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5E3E4" w14:textId="77777777" w:rsidR="005C5FCE" w:rsidRPr="005C5FCE" w:rsidRDefault="005C5FCE" w:rsidP="005C5FCE">
      <w:pPr>
        <w:spacing w:line="480" w:lineRule="auto"/>
        <w:contextualSpacing/>
        <w:jc w:val="center"/>
        <w:rPr>
          <w:sz w:val="24"/>
          <w:szCs w:val="24"/>
        </w:rPr>
      </w:pPr>
      <w:r w:rsidRPr="005C5FCE">
        <w:rPr>
          <w:sz w:val="24"/>
          <w:szCs w:val="24"/>
        </w:rPr>
        <w:t>UNIVERSITY OF OKLAHOMA</w:t>
      </w:r>
    </w:p>
    <w:p w14:paraId="33D467D0" w14:textId="77777777" w:rsidR="005C5FCE" w:rsidRPr="005C5FCE" w:rsidRDefault="005C5FCE" w:rsidP="005C5FCE">
      <w:pPr>
        <w:tabs>
          <w:tab w:val="left" w:pos="1871"/>
          <w:tab w:val="center" w:pos="4608"/>
        </w:tabs>
        <w:spacing w:line="480" w:lineRule="auto"/>
        <w:contextualSpacing/>
        <w:jc w:val="center"/>
        <w:rPr>
          <w:sz w:val="24"/>
          <w:szCs w:val="24"/>
        </w:rPr>
      </w:pPr>
      <w:r w:rsidRPr="005C5FCE">
        <w:rPr>
          <w:sz w:val="24"/>
          <w:szCs w:val="24"/>
        </w:rPr>
        <w:t>GRADUATE COLLEGE</w:t>
      </w:r>
    </w:p>
    <w:p w14:paraId="4120575D" w14:textId="77777777" w:rsidR="0096278C" w:rsidRPr="0008176F" w:rsidRDefault="0096278C" w:rsidP="00480891">
      <w:pPr>
        <w:pStyle w:val="NoSpacing"/>
        <w:jc w:val="center"/>
        <w:rPr>
          <w:caps/>
        </w:rPr>
      </w:pPr>
    </w:p>
    <w:p w14:paraId="10C46E72" w14:textId="77777777" w:rsidR="0096278C" w:rsidRPr="0008176F" w:rsidRDefault="0096278C" w:rsidP="00480891">
      <w:pPr>
        <w:pStyle w:val="NoSpacing"/>
        <w:jc w:val="center"/>
        <w:rPr>
          <w:caps/>
        </w:rPr>
      </w:pPr>
    </w:p>
    <w:p w14:paraId="5ACDBD3D" w14:textId="77777777" w:rsidR="0096278C" w:rsidRPr="0008176F" w:rsidRDefault="0096278C" w:rsidP="00480891">
      <w:pPr>
        <w:pStyle w:val="NoSpacing"/>
        <w:jc w:val="center"/>
        <w:rPr>
          <w:caps/>
        </w:rPr>
      </w:pPr>
    </w:p>
    <w:p w14:paraId="21E1C559" w14:textId="77777777" w:rsidR="0096278C" w:rsidRPr="0008176F" w:rsidRDefault="0096278C" w:rsidP="00480891">
      <w:pPr>
        <w:pStyle w:val="NoSpacing"/>
        <w:jc w:val="center"/>
        <w:rPr>
          <w:caps/>
        </w:rPr>
      </w:pPr>
    </w:p>
    <w:p w14:paraId="6D5CA84B" w14:textId="77777777" w:rsidR="0096278C" w:rsidRPr="0008176F" w:rsidRDefault="0096278C" w:rsidP="00480891">
      <w:pPr>
        <w:pStyle w:val="NoSpacing"/>
        <w:jc w:val="center"/>
        <w:rPr>
          <w:caps/>
        </w:rPr>
      </w:pPr>
    </w:p>
    <w:p w14:paraId="16B13198" w14:textId="77777777" w:rsidR="0096278C" w:rsidRPr="0008176F" w:rsidRDefault="0096278C" w:rsidP="00480891">
      <w:pPr>
        <w:pStyle w:val="NoSpacing"/>
        <w:jc w:val="center"/>
        <w:rPr>
          <w:caps/>
        </w:rPr>
      </w:pPr>
    </w:p>
    <w:p w14:paraId="26C860DF" w14:textId="77777777" w:rsidR="0096278C" w:rsidRPr="0008176F" w:rsidRDefault="0096278C" w:rsidP="00480891">
      <w:pPr>
        <w:pStyle w:val="NoSpacing"/>
        <w:jc w:val="center"/>
        <w:rPr>
          <w:caps/>
        </w:rPr>
      </w:pPr>
    </w:p>
    <w:sdt>
      <w:sdtPr>
        <w:rPr>
          <w:rFonts w:cstheme="minorHAnsi"/>
          <w:caps/>
          <w:sz w:val="32"/>
          <w:szCs w:val="32"/>
        </w:rPr>
        <w:alias w:val="Click to enter dissertation title"/>
        <w:tag w:val="Click to enter dissertation title"/>
        <w:id w:val="30091832"/>
        <w:placeholder>
          <w:docPart w:val="B824D34F3EF1C84FBF2145B3BB1C0394"/>
        </w:placeholder>
      </w:sdtPr>
      <w:sdtEndPr>
        <w:rPr>
          <w:rFonts w:cstheme="minorBidi"/>
          <w:sz w:val="24"/>
          <w:szCs w:val="24"/>
        </w:rPr>
      </w:sdtEndPr>
      <w:sdtContent>
        <w:p w14:paraId="70391DE1" w14:textId="09771485" w:rsidR="0096278C" w:rsidRPr="005C5FCE" w:rsidRDefault="0096278C" w:rsidP="00480891">
          <w:pPr>
            <w:pStyle w:val="NoSpacing"/>
            <w:spacing w:line="480" w:lineRule="auto"/>
            <w:jc w:val="center"/>
            <w:rPr>
              <w:caps/>
              <w:sz w:val="24"/>
              <w:szCs w:val="24"/>
            </w:rPr>
          </w:pPr>
          <w:r w:rsidRPr="005C5FCE">
            <w:rPr>
              <w:rFonts w:cstheme="minorHAnsi"/>
              <w:caps/>
              <w:sz w:val="24"/>
              <w:szCs w:val="24"/>
            </w:rPr>
            <w:t xml:space="preserve">ENGINEERING A PEPTIDE-BASED TOOL </w:t>
          </w:r>
          <w:r w:rsidR="00B91FF7">
            <w:rPr>
              <w:rFonts w:cstheme="minorHAnsi"/>
              <w:caps/>
              <w:sz w:val="24"/>
              <w:szCs w:val="24"/>
            </w:rPr>
            <w:t>for biomedical a</w:t>
          </w:r>
          <w:r w:rsidR="00537DE3">
            <w:rPr>
              <w:rFonts w:cstheme="minorHAnsi"/>
              <w:caps/>
              <w:sz w:val="24"/>
              <w:szCs w:val="24"/>
            </w:rPr>
            <w:t>P</w:t>
          </w:r>
          <w:r w:rsidR="00B91FF7">
            <w:rPr>
              <w:rFonts w:cstheme="minorHAnsi"/>
              <w:caps/>
              <w:sz w:val="24"/>
              <w:szCs w:val="24"/>
            </w:rPr>
            <w:t>plications</w:t>
          </w:r>
        </w:p>
      </w:sdtContent>
    </w:sdt>
    <w:p w14:paraId="5A3C3CE5" w14:textId="77777777" w:rsidR="0096278C" w:rsidRPr="0008176F" w:rsidRDefault="0096278C" w:rsidP="00480891">
      <w:pPr>
        <w:pStyle w:val="NoSpacing"/>
        <w:jc w:val="center"/>
        <w:rPr>
          <w:caps/>
        </w:rPr>
      </w:pPr>
    </w:p>
    <w:p w14:paraId="53F8F648" w14:textId="77777777" w:rsidR="0096278C" w:rsidRPr="0008176F" w:rsidRDefault="0096278C" w:rsidP="00480891">
      <w:pPr>
        <w:pStyle w:val="NoSpacing"/>
        <w:jc w:val="center"/>
        <w:rPr>
          <w:caps/>
        </w:rPr>
      </w:pPr>
    </w:p>
    <w:p w14:paraId="110D00E0" w14:textId="77777777" w:rsidR="0096278C" w:rsidRPr="0008176F" w:rsidRDefault="0096278C" w:rsidP="00480891">
      <w:pPr>
        <w:pStyle w:val="NoSpacing"/>
        <w:jc w:val="center"/>
        <w:rPr>
          <w:caps/>
        </w:rPr>
      </w:pPr>
    </w:p>
    <w:p w14:paraId="3AE74740" w14:textId="1349A7AE" w:rsidR="0096278C" w:rsidRDefault="0096278C" w:rsidP="00480891">
      <w:pPr>
        <w:pStyle w:val="NoSpacing"/>
        <w:jc w:val="center"/>
        <w:rPr>
          <w:caps/>
        </w:rPr>
      </w:pPr>
    </w:p>
    <w:p w14:paraId="0BB28998" w14:textId="5B55355A" w:rsidR="005C5FCE" w:rsidRDefault="005C5FCE" w:rsidP="00480891">
      <w:pPr>
        <w:pStyle w:val="NoSpacing"/>
        <w:jc w:val="center"/>
        <w:rPr>
          <w:caps/>
        </w:rPr>
      </w:pPr>
    </w:p>
    <w:p w14:paraId="6EECB32E" w14:textId="77777777" w:rsidR="005C5FCE" w:rsidRPr="0008176F" w:rsidRDefault="005C5FCE" w:rsidP="00480891">
      <w:pPr>
        <w:pStyle w:val="NoSpacing"/>
        <w:jc w:val="center"/>
        <w:rPr>
          <w:caps/>
        </w:rPr>
      </w:pPr>
    </w:p>
    <w:p w14:paraId="55A52CBA" w14:textId="77777777" w:rsidR="0096278C" w:rsidRPr="0008176F" w:rsidRDefault="0096278C" w:rsidP="00480891">
      <w:pPr>
        <w:pStyle w:val="NoSpacing"/>
        <w:jc w:val="center"/>
        <w:rPr>
          <w:caps/>
        </w:rPr>
      </w:pPr>
    </w:p>
    <w:p w14:paraId="3CB1CA8A" w14:textId="77777777" w:rsidR="0096278C" w:rsidRPr="0008176F" w:rsidRDefault="0096278C" w:rsidP="00480891">
      <w:pPr>
        <w:pStyle w:val="NoSpacing"/>
        <w:jc w:val="center"/>
        <w:rPr>
          <w:caps/>
        </w:rPr>
      </w:pPr>
    </w:p>
    <w:p w14:paraId="3C55B838" w14:textId="77777777" w:rsidR="005C5FCE" w:rsidRPr="005C5FCE" w:rsidRDefault="005C5FCE" w:rsidP="005C5FCE">
      <w:pPr>
        <w:spacing w:line="480" w:lineRule="auto"/>
        <w:contextualSpacing/>
        <w:jc w:val="center"/>
        <w:rPr>
          <w:sz w:val="24"/>
          <w:szCs w:val="24"/>
        </w:rPr>
      </w:pPr>
      <w:r w:rsidRPr="005C5FCE">
        <w:rPr>
          <w:sz w:val="24"/>
          <w:szCs w:val="24"/>
        </w:rPr>
        <w:t>A DISSERTATION</w:t>
      </w:r>
    </w:p>
    <w:p w14:paraId="3F89046D" w14:textId="77777777" w:rsidR="005C5FCE" w:rsidRPr="005C5FCE" w:rsidRDefault="005C5FCE" w:rsidP="005C5FCE">
      <w:pPr>
        <w:spacing w:line="480" w:lineRule="auto"/>
        <w:contextualSpacing/>
        <w:jc w:val="center"/>
        <w:rPr>
          <w:sz w:val="24"/>
          <w:szCs w:val="24"/>
        </w:rPr>
      </w:pPr>
      <w:r w:rsidRPr="005C5FCE">
        <w:rPr>
          <w:sz w:val="24"/>
          <w:szCs w:val="24"/>
        </w:rPr>
        <w:t>SUBMITTED TO THE GRADUATE FACULTY</w:t>
      </w:r>
    </w:p>
    <w:p w14:paraId="067B9966" w14:textId="77777777" w:rsidR="005C5FCE" w:rsidRPr="005C5FCE" w:rsidRDefault="005C5FCE" w:rsidP="005C5FCE">
      <w:pPr>
        <w:spacing w:line="480" w:lineRule="auto"/>
        <w:contextualSpacing/>
        <w:jc w:val="center"/>
        <w:rPr>
          <w:sz w:val="24"/>
          <w:szCs w:val="24"/>
        </w:rPr>
      </w:pPr>
      <w:r w:rsidRPr="005C5FCE">
        <w:rPr>
          <w:sz w:val="24"/>
          <w:szCs w:val="24"/>
        </w:rPr>
        <w:t>in partial fulfillment of the requirements for the</w:t>
      </w:r>
    </w:p>
    <w:p w14:paraId="4EB8A2B0" w14:textId="77777777" w:rsidR="005C5FCE" w:rsidRPr="005C5FCE" w:rsidRDefault="005C5FCE" w:rsidP="005C5FCE">
      <w:pPr>
        <w:spacing w:line="480" w:lineRule="auto"/>
        <w:contextualSpacing/>
        <w:jc w:val="center"/>
        <w:rPr>
          <w:sz w:val="24"/>
          <w:szCs w:val="24"/>
        </w:rPr>
      </w:pPr>
      <w:r w:rsidRPr="005C5FCE">
        <w:rPr>
          <w:sz w:val="24"/>
          <w:szCs w:val="24"/>
        </w:rPr>
        <w:t>Degree of</w:t>
      </w:r>
    </w:p>
    <w:p w14:paraId="1C462277" w14:textId="77777777" w:rsidR="005C5FCE" w:rsidRPr="005C5FCE" w:rsidRDefault="005C5FCE" w:rsidP="005C5FCE">
      <w:pPr>
        <w:spacing w:line="480" w:lineRule="auto"/>
        <w:contextualSpacing/>
        <w:jc w:val="center"/>
        <w:rPr>
          <w:sz w:val="24"/>
          <w:szCs w:val="24"/>
        </w:rPr>
      </w:pPr>
      <w:r w:rsidRPr="005C5FCE">
        <w:rPr>
          <w:sz w:val="24"/>
          <w:szCs w:val="24"/>
        </w:rPr>
        <w:t>DOCTOR OF PHILOSOPHY</w:t>
      </w:r>
    </w:p>
    <w:p w14:paraId="21A932EC" w14:textId="77777777" w:rsidR="0096278C" w:rsidRDefault="0096278C" w:rsidP="00480891">
      <w:pPr>
        <w:pStyle w:val="NoSpacing"/>
        <w:jc w:val="center"/>
      </w:pPr>
    </w:p>
    <w:p w14:paraId="731353A2" w14:textId="77777777" w:rsidR="0096278C" w:rsidRDefault="0096278C" w:rsidP="00480891">
      <w:pPr>
        <w:pStyle w:val="NoSpacing"/>
        <w:jc w:val="center"/>
      </w:pPr>
    </w:p>
    <w:p w14:paraId="477C6E21" w14:textId="77777777" w:rsidR="0096278C" w:rsidRDefault="0096278C" w:rsidP="00480891">
      <w:pPr>
        <w:pStyle w:val="NoSpacing"/>
        <w:jc w:val="center"/>
      </w:pPr>
    </w:p>
    <w:p w14:paraId="0B99C0A2" w14:textId="77777777" w:rsidR="0096278C" w:rsidRDefault="0096278C" w:rsidP="00480891">
      <w:pPr>
        <w:pStyle w:val="NoSpacing"/>
        <w:jc w:val="center"/>
      </w:pPr>
    </w:p>
    <w:p w14:paraId="247FB5C2" w14:textId="77777777" w:rsidR="0096278C" w:rsidRDefault="0096278C" w:rsidP="00480891">
      <w:pPr>
        <w:pStyle w:val="NoSpacing"/>
        <w:jc w:val="center"/>
      </w:pPr>
    </w:p>
    <w:p w14:paraId="526CA213" w14:textId="77777777" w:rsidR="0096278C" w:rsidRDefault="0096278C" w:rsidP="00480891">
      <w:pPr>
        <w:pStyle w:val="NoSpacing"/>
        <w:jc w:val="center"/>
      </w:pPr>
    </w:p>
    <w:p w14:paraId="2C92A17F" w14:textId="09A2E4B9" w:rsidR="0096278C" w:rsidRPr="005C5FCE" w:rsidRDefault="0096278C" w:rsidP="00480891">
      <w:pPr>
        <w:pStyle w:val="NoSpacing"/>
        <w:jc w:val="center"/>
        <w:rPr>
          <w:sz w:val="24"/>
          <w:szCs w:val="24"/>
        </w:rPr>
      </w:pPr>
      <w:r w:rsidRPr="005C5FCE">
        <w:rPr>
          <w:sz w:val="24"/>
          <w:szCs w:val="24"/>
        </w:rPr>
        <w:t>By</w:t>
      </w:r>
    </w:p>
    <w:p w14:paraId="492D4E2B" w14:textId="6A1CB3F7" w:rsidR="005C5FCE" w:rsidRDefault="005C5FCE" w:rsidP="00480891">
      <w:pPr>
        <w:pStyle w:val="NoSpacing"/>
        <w:jc w:val="center"/>
      </w:pPr>
    </w:p>
    <w:p w14:paraId="6A30FD98" w14:textId="747D9B83" w:rsidR="005C5FCE" w:rsidRDefault="005C5FCE" w:rsidP="00480891">
      <w:pPr>
        <w:pStyle w:val="NoSpacing"/>
        <w:jc w:val="center"/>
      </w:pPr>
    </w:p>
    <w:p w14:paraId="11C3F4FE" w14:textId="3CF76928" w:rsidR="005C5FCE" w:rsidRDefault="005C5FCE" w:rsidP="00480891">
      <w:pPr>
        <w:pStyle w:val="NoSpacing"/>
        <w:jc w:val="center"/>
      </w:pPr>
    </w:p>
    <w:p w14:paraId="7A89FC18" w14:textId="1A991962" w:rsidR="005C5FCE" w:rsidRDefault="005C5FCE" w:rsidP="00480891">
      <w:pPr>
        <w:pStyle w:val="NoSpacing"/>
        <w:jc w:val="center"/>
      </w:pPr>
    </w:p>
    <w:p w14:paraId="7E6F9765" w14:textId="77777777" w:rsidR="005C5FCE" w:rsidRDefault="005C5FCE" w:rsidP="00480891">
      <w:pPr>
        <w:pStyle w:val="NoSpacing"/>
        <w:jc w:val="center"/>
      </w:pPr>
    </w:p>
    <w:p w14:paraId="2F518502" w14:textId="65687CCF" w:rsidR="005C5FCE" w:rsidRDefault="005C5FCE" w:rsidP="00480891">
      <w:pPr>
        <w:pStyle w:val="NoSpacing"/>
        <w:jc w:val="center"/>
      </w:pPr>
    </w:p>
    <w:p w14:paraId="28351DA0" w14:textId="51E529F0" w:rsidR="005C5FCE" w:rsidRPr="005C5FCE" w:rsidRDefault="005C5FCE" w:rsidP="005C5FCE">
      <w:pPr>
        <w:spacing w:line="360" w:lineRule="auto"/>
        <w:contextualSpacing/>
        <w:jc w:val="center"/>
        <w:rPr>
          <w:sz w:val="24"/>
          <w:szCs w:val="24"/>
        </w:rPr>
      </w:pPr>
      <w:r w:rsidRPr="005C5FCE">
        <w:rPr>
          <w:sz w:val="24"/>
          <w:szCs w:val="24"/>
        </w:rPr>
        <w:t>SEREN HAMSICI</w:t>
      </w:r>
    </w:p>
    <w:p w14:paraId="18BE3C4C" w14:textId="77777777" w:rsidR="005C5FCE" w:rsidRPr="005C5FCE" w:rsidRDefault="005C5FCE" w:rsidP="005C5FCE">
      <w:pPr>
        <w:spacing w:line="360" w:lineRule="auto"/>
        <w:contextualSpacing/>
        <w:jc w:val="center"/>
        <w:rPr>
          <w:sz w:val="24"/>
          <w:szCs w:val="24"/>
        </w:rPr>
      </w:pPr>
      <w:r w:rsidRPr="005C5FCE">
        <w:rPr>
          <w:sz w:val="24"/>
          <w:szCs w:val="24"/>
        </w:rPr>
        <w:t>Norman, Oklahoma</w:t>
      </w:r>
    </w:p>
    <w:p w14:paraId="7DCE3CEB" w14:textId="7E7D4AD1" w:rsidR="0096278C" w:rsidRPr="00595BE7" w:rsidRDefault="005C5FCE" w:rsidP="00595BE7">
      <w:pPr>
        <w:spacing w:line="360" w:lineRule="auto"/>
        <w:contextualSpacing/>
        <w:jc w:val="center"/>
        <w:rPr>
          <w:sz w:val="24"/>
          <w:szCs w:val="24"/>
        </w:rPr>
      </w:pPr>
      <w:r w:rsidRPr="005C5FCE">
        <w:rPr>
          <w:sz w:val="24"/>
          <w:szCs w:val="24"/>
        </w:rPr>
        <w:t>2022</w:t>
      </w:r>
    </w:p>
    <w:p w14:paraId="3B083680" w14:textId="77777777" w:rsidR="00051FBD" w:rsidRDefault="00051FBD" w:rsidP="00480891">
      <w:pPr>
        <w:pStyle w:val="NoSpacing"/>
        <w:jc w:val="center"/>
      </w:pPr>
    </w:p>
    <w:p w14:paraId="1ABEDE21" w14:textId="77777777" w:rsidR="00B20456" w:rsidRDefault="00B20456" w:rsidP="00480891">
      <w:pPr>
        <w:pStyle w:val="NoSpacing"/>
        <w:jc w:val="center"/>
      </w:pPr>
    </w:p>
    <w:p w14:paraId="2A0D31EF" w14:textId="77777777" w:rsidR="00051FBD" w:rsidRDefault="00051FBD" w:rsidP="00480891">
      <w:pPr>
        <w:pStyle w:val="NoSpacing"/>
        <w:jc w:val="center"/>
      </w:pPr>
    </w:p>
    <w:p w14:paraId="57416EE5" w14:textId="77777777" w:rsidR="00051FBD" w:rsidRDefault="00051FBD" w:rsidP="00480891">
      <w:pPr>
        <w:pStyle w:val="NoSpacing"/>
        <w:jc w:val="center"/>
      </w:pPr>
    </w:p>
    <w:sdt>
      <w:sdtPr>
        <w:rPr>
          <w:caps/>
          <w:sz w:val="36"/>
          <w:szCs w:val="36"/>
        </w:rPr>
        <w:alias w:val="Click to enter dissertation title"/>
        <w:tag w:val="Click to enter dissertation title"/>
        <w:id w:val="131535334"/>
        <w:placeholder>
          <w:docPart w:val="BAAFDFFCE3E86C4D9A7373C7D5EA52D4"/>
        </w:placeholder>
      </w:sdtPr>
      <w:sdtEndPr>
        <w:rPr>
          <w:sz w:val="32"/>
          <w:szCs w:val="32"/>
        </w:rPr>
      </w:sdtEndPr>
      <w:sdtContent>
        <w:sdt>
          <w:sdtPr>
            <w:rPr>
              <w:rFonts w:cstheme="minorHAnsi"/>
              <w:caps/>
              <w:sz w:val="32"/>
              <w:szCs w:val="32"/>
            </w:rPr>
            <w:alias w:val="Click to enter dissertation title"/>
            <w:tag w:val="Click to enter dissertation title"/>
            <w:id w:val="-319963331"/>
            <w:placeholder>
              <w:docPart w:val="89795F73BB9709499FB8D2149B9EE4D2"/>
            </w:placeholder>
          </w:sdtPr>
          <w:sdtEndPr>
            <w:rPr>
              <w:rFonts w:cstheme="minorBidi"/>
            </w:rPr>
          </w:sdtEndPr>
          <w:sdtContent>
            <w:p w14:paraId="19712478" w14:textId="77777777" w:rsidR="00B20456" w:rsidRPr="00595BE7" w:rsidRDefault="00B20456" w:rsidP="00B20456">
              <w:pPr>
                <w:pStyle w:val="NoSpacing"/>
                <w:spacing w:line="480" w:lineRule="auto"/>
                <w:jc w:val="center"/>
                <w:rPr>
                  <w:rFonts w:cstheme="minorHAnsi"/>
                  <w:caps/>
                  <w:sz w:val="24"/>
                  <w:szCs w:val="24"/>
                </w:rPr>
              </w:pPr>
            </w:p>
            <w:p w14:paraId="0131B600" w14:textId="2490D701" w:rsidR="00983DC3" w:rsidRPr="00051FBD" w:rsidRDefault="00B20456" w:rsidP="00B20456">
              <w:pPr>
                <w:pStyle w:val="NoSpacing"/>
                <w:spacing w:line="480" w:lineRule="auto"/>
                <w:jc w:val="center"/>
                <w:rPr>
                  <w:caps/>
                  <w:sz w:val="32"/>
                  <w:szCs w:val="32"/>
                </w:rPr>
              </w:pPr>
              <w:r w:rsidRPr="00595BE7">
                <w:rPr>
                  <w:rFonts w:cstheme="minorHAnsi"/>
                  <w:caps/>
                  <w:sz w:val="24"/>
                  <w:szCs w:val="24"/>
                </w:rPr>
                <w:t>ENGINEERING A PEPTIDE-BASED TOOL FOR BIOMEDICAL APPLICATIONS</w:t>
              </w:r>
            </w:p>
          </w:sdtContent>
        </w:sdt>
      </w:sdtContent>
    </w:sdt>
    <w:p w14:paraId="613B9E24" w14:textId="77777777" w:rsidR="00051FBD" w:rsidRPr="00730F0A" w:rsidRDefault="00051FBD" w:rsidP="00480891">
      <w:pPr>
        <w:pStyle w:val="NoSpacing"/>
        <w:jc w:val="center"/>
        <w:rPr>
          <w:caps/>
        </w:rPr>
      </w:pPr>
    </w:p>
    <w:p w14:paraId="472EBA32" w14:textId="77777777" w:rsidR="00051FBD" w:rsidRPr="00730F0A" w:rsidRDefault="00051FBD" w:rsidP="00480891">
      <w:pPr>
        <w:pStyle w:val="NoSpacing"/>
        <w:jc w:val="center"/>
        <w:rPr>
          <w:caps/>
        </w:rPr>
      </w:pPr>
    </w:p>
    <w:p w14:paraId="3E8F2C5F" w14:textId="77777777" w:rsidR="00595BE7" w:rsidRPr="00595BE7" w:rsidRDefault="00595BE7" w:rsidP="00595BE7">
      <w:pPr>
        <w:spacing w:line="240" w:lineRule="auto"/>
        <w:contextualSpacing/>
        <w:jc w:val="center"/>
        <w:rPr>
          <w:sz w:val="24"/>
          <w:szCs w:val="24"/>
        </w:rPr>
      </w:pPr>
      <w:r w:rsidRPr="00595BE7">
        <w:rPr>
          <w:sz w:val="24"/>
          <w:szCs w:val="24"/>
        </w:rPr>
        <w:t>A DISSERTATION APPROVED FOR THE</w:t>
      </w:r>
    </w:p>
    <w:p w14:paraId="15A61533" w14:textId="77777777" w:rsidR="00595BE7" w:rsidRPr="00595BE7" w:rsidRDefault="00595BE7" w:rsidP="00595BE7">
      <w:pPr>
        <w:spacing w:line="240" w:lineRule="auto"/>
        <w:contextualSpacing/>
        <w:jc w:val="center"/>
        <w:rPr>
          <w:sz w:val="24"/>
          <w:szCs w:val="24"/>
        </w:rPr>
      </w:pPr>
      <w:r w:rsidRPr="00595BE7">
        <w:rPr>
          <w:sz w:val="24"/>
          <w:szCs w:val="24"/>
        </w:rPr>
        <w:t>STEPHENSON SCHOOL OF BIOMEDICAL ENGINEERING</w:t>
      </w:r>
    </w:p>
    <w:p w14:paraId="7391CF95" w14:textId="77777777" w:rsidR="00051FBD" w:rsidRPr="00730F0A" w:rsidRDefault="00051FBD" w:rsidP="00480891">
      <w:pPr>
        <w:pStyle w:val="NoSpacing"/>
        <w:jc w:val="center"/>
        <w:rPr>
          <w:caps/>
        </w:rPr>
      </w:pPr>
    </w:p>
    <w:p w14:paraId="3BD58696" w14:textId="07AB1E3E" w:rsidR="00051FBD" w:rsidRDefault="00051FBD" w:rsidP="00480891">
      <w:pPr>
        <w:pStyle w:val="NoSpacing"/>
        <w:jc w:val="center"/>
        <w:rPr>
          <w:caps/>
        </w:rPr>
      </w:pPr>
    </w:p>
    <w:p w14:paraId="4AB3E44C" w14:textId="724A2527" w:rsidR="00595BE7" w:rsidRDefault="00595BE7" w:rsidP="00480891">
      <w:pPr>
        <w:pStyle w:val="NoSpacing"/>
        <w:jc w:val="center"/>
        <w:rPr>
          <w:caps/>
        </w:rPr>
      </w:pPr>
    </w:p>
    <w:p w14:paraId="21803870" w14:textId="4F01F07C" w:rsidR="00595BE7" w:rsidRDefault="00595BE7" w:rsidP="00480891">
      <w:pPr>
        <w:pStyle w:val="NoSpacing"/>
        <w:jc w:val="center"/>
        <w:rPr>
          <w:caps/>
        </w:rPr>
      </w:pPr>
    </w:p>
    <w:p w14:paraId="1873B00C" w14:textId="29357E86" w:rsidR="00595BE7" w:rsidRDefault="00595BE7" w:rsidP="00480891">
      <w:pPr>
        <w:pStyle w:val="NoSpacing"/>
        <w:jc w:val="center"/>
        <w:rPr>
          <w:caps/>
        </w:rPr>
      </w:pPr>
    </w:p>
    <w:p w14:paraId="04439D12" w14:textId="30ED6C78" w:rsidR="00595BE7" w:rsidRDefault="00595BE7" w:rsidP="00480891">
      <w:pPr>
        <w:pStyle w:val="NoSpacing"/>
        <w:jc w:val="center"/>
        <w:rPr>
          <w:caps/>
        </w:rPr>
      </w:pPr>
    </w:p>
    <w:p w14:paraId="1F670286" w14:textId="4DD89ABB" w:rsidR="00595BE7" w:rsidRDefault="00595BE7" w:rsidP="00480891">
      <w:pPr>
        <w:pStyle w:val="NoSpacing"/>
        <w:jc w:val="center"/>
        <w:rPr>
          <w:caps/>
        </w:rPr>
      </w:pPr>
    </w:p>
    <w:p w14:paraId="09B4DFCA" w14:textId="7AF9F26A" w:rsidR="00595BE7" w:rsidRDefault="00595BE7" w:rsidP="00480891">
      <w:pPr>
        <w:pStyle w:val="NoSpacing"/>
        <w:jc w:val="center"/>
        <w:rPr>
          <w:caps/>
        </w:rPr>
      </w:pPr>
    </w:p>
    <w:p w14:paraId="61D5C8E3" w14:textId="61889A62" w:rsidR="00595BE7" w:rsidRDefault="00595BE7" w:rsidP="00480891">
      <w:pPr>
        <w:pStyle w:val="NoSpacing"/>
        <w:jc w:val="center"/>
        <w:rPr>
          <w:caps/>
        </w:rPr>
      </w:pPr>
    </w:p>
    <w:p w14:paraId="50978D59" w14:textId="77777777" w:rsidR="00595BE7" w:rsidRPr="00730F0A" w:rsidRDefault="00595BE7" w:rsidP="00480891">
      <w:pPr>
        <w:pStyle w:val="NoSpacing"/>
        <w:jc w:val="center"/>
        <w:rPr>
          <w:caps/>
        </w:rPr>
      </w:pPr>
    </w:p>
    <w:p w14:paraId="0998F1DA" w14:textId="77777777" w:rsidR="00051FBD" w:rsidRPr="00730F0A" w:rsidRDefault="00051FBD" w:rsidP="00480891">
      <w:pPr>
        <w:pStyle w:val="NoSpacing"/>
        <w:jc w:val="center"/>
        <w:rPr>
          <w:caps/>
        </w:rPr>
      </w:pPr>
    </w:p>
    <w:p w14:paraId="4B82E501" w14:textId="77777777" w:rsidR="00051FBD" w:rsidRPr="00730F0A" w:rsidRDefault="00051FBD" w:rsidP="00480891">
      <w:pPr>
        <w:pStyle w:val="NoSpacing"/>
        <w:jc w:val="center"/>
        <w:rPr>
          <w:caps/>
        </w:rPr>
      </w:pPr>
    </w:p>
    <w:p w14:paraId="054B7B2F" w14:textId="77777777" w:rsidR="00595BE7" w:rsidRPr="00595BE7" w:rsidRDefault="00595BE7" w:rsidP="00595BE7">
      <w:pPr>
        <w:spacing w:line="240" w:lineRule="auto"/>
        <w:contextualSpacing/>
        <w:jc w:val="center"/>
        <w:rPr>
          <w:sz w:val="24"/>
          <w:szCs w:val="24"/>
        </w:rPr>
      </w:pPr>
      <w:r w:rsidRPr="00595BE7">
        <w:rPr>
          <w:sz w:val="24"/>
          <w:szCs w:val="24"/>
        </w:rPr>
        <w:t>BY THE COMMITTEE CONSISTING OF</w:t>
      </w:r>
    </w:p>
    <w:p w14:paraId="2276C2A7" w14:textId="34FE4B32" w:rsidR="00051FBD" w:rsidRDefault="00051FBD" w:rsidP="00480891">
      <w:pPr>
        <w:pStyle w:val="NoSpacing"/>
        <w:jc w:val="center"/>
      </w:pPr>
    </w:p>
    <w:p w14:paraId="1A979D4D" w14:textId="457A482C" w:rsidR="00595BE7" w:rsidRDefault="00595BE7" w:rsidP="00480891">
      <w:pPr>
        <w:pStyle w:val="NoSpacing"/>
        <w:jc w:val="center"/>
      </w:pPr>
    </w:p>
    <w:p w14:paraId="7F2F9879" w14:textId="5FF947A7" w:rsidR="00595BE7" w:rsidRDefault="00595BE7" w:rsidP="00480891">
      <w:pPr>
        <w:pStyle w:val="NoSpacing"/>
        <w:jc w:val="center"/>
      </w:pPr>
    </w:p>
    <w:p w14:paraId="793EA882" w14:textId="73D37112" w:rsidR="00595BE7" w:rsidRDefault="00595BE7" w:rsidP="00480891">
      <w:pPr>
        <w:pStyle w:val="NoSpacing"/>
        <w:jc w:val="center"/>
      </w:pPr>
    </w:p>
    <w:p w14:paraId="11A5A478" w14:textId="1AA35CD9" w:rsidR="00595BE7" w:rsidRDefault="00595BE7" w:rsidP="00480891">
      <w:pPr>
        <w:pStyle w:val="NoSpacing"/>
        <w:jc w:val="center"/>
      </w:pPr>
    </w:p>
    <w:p w14:paraId="082DAEBA" w14:textId="5B94CA65" w:rsidR="00595BE7" w:rsidRDefault="00595BE7" w:rsidP="00480891">
      <w:pPr>
        <w:pStyle w:val="NoSpacing"/>
        <w:jc w:val="center"/>
      </w:pPr>
    </w:p>
    <w:p w14:paraId="762560B3" w14:textId="77777777" w:rsidR="00595BE7" w:rsidRDefault="00595BE7" w:rsidP="00480891">
      <w:pPr>
        <w:pStyle w:val="NoSpacing"/>
        <w:jc w:val="center"/>
      </w:pPr>
    </w:p>
    <w:p w14:paraId="411653EA" w14:textId="77777777" w:rsidR="00051FBD" w:rsidRDefault="00051FBD" w:rsidP="00480891">
      <w:pPr>
        <w:pStyle w:val="NoSpacing"/>
        <w:jc w:val="center"/>
      </w:pPr>
    </w:p>
    <w:p w14:paraId="109E0A48" w14:textId="77777777" w:rsidR="00051FBD" w:rsidRDefault="00051FBD" w:rsidP="00480891">
      <w:pPr>
        <w:pStyle w:val="NoSpacing"/>
        <w:jc w:val="center"/>
      </w:pPr>
    </w:p>
    <w:p w14:paraId="19FD3092" w14:textId="7EDB7F6C" w:rsidR="00051FBD" w:rsidRPr="006B4721" w:rsidRDefault="00051FBD" w:rsidP="00480891">
      <w:pPr>
        <w:pStyle w:val="NoSpacing"/>
        <w:jc w:val="right"/>
      </w:pPr>
      <w:r>
        <w:tab/>
      </w:r>
    </w:p>
    <w:p w14:paraId="213CFE4C" w14:textId="788631AF" w:rsidR="00051FBD" w:rsidRDefault="00000000" w:rsidP="00480891">
      <w:pPr>
        <w:pStyle w:val="NoSpacing"/>
        <w:wordWrap w:val="0"/>
        <w:jc w:val="right"/>
      </w:pPr>
      <w:sdt>
        <w:sdtPr>
          <w:rPr>
            <w:sz w:val="24"/>
            <w:szCs w:val="24"/>
          </w:rPr>
          <w:alias w:val="Click to enter committee chair name"/>
          <w:tag w:val="committee chair"/>
          <w:id w:val="30091849"/>
          <w:placeholder>
            <w:docPart w:val="9C8B181AFDF35D488EAA04E165200E34"/>
          </w:placeholder>
        </w:sdtPr>
        <w:sdtContent>
          <w:r w:rsidR="00595BE7">
            <w:rPr>
              <w:sz w:val="24"/>
              <w:szCs w:val="24"/>
            </w:rPr>
            <w:t xml:space="preserve">Dr. </w:t>
          </w:r>
          <w:r w:rsidR="00051FBD" w:rsidRPr="00595BE7">
            <w:rPr>
              <w:sz w:val="24"/>
              <w:szCs w:val="24"/>
            </w:rPr>
            <w:t>Handan Acar</w:t>
          </w:r>
        </w:sdtContent>
      </w:sdt>
      <w:r w:rsidR="00051FBD" w:rsidRPr="00595BE7">
        <w:rPr>
          <w:sz w:val="24"/>
          <w:szCs w:val="24"/>
        </w:rPr>
        <w:t>,</w:t>
      </w:r>
      <w:r w:rsidR="00051FBD">
        <w:t xml:space="preserve"> </w:t>
      </w:r>
      <w:r w:rsidR="00051FBD" w:rsidRPr="00595BE7">
        <w:rPr>
          <w:sz w:val="24"/>
          <w:szCs w:val="24"/>
        </w:rPr>
        <w:t>Chair</w:t>
      </w:r>
    </w:p>
    <w:p w14:paraId="3BF4785C" w14:textId="77777777" w:rsidR="00051FBD" w:rsidRDefault="00051FBD" w:rsidP="00480891">
      <w:pPr>
        <w:pStyle w:val="NoSpacing"/>
        <w:jc w:val="right"/>
      </w:pPr>
    </w:p>
    <w:p w14:paraId="2CBA3797" w14:textId="77777777" w:rsidR="00051FBD" w:rsidRDefault="00051FBD" w:rsidP="00480891">
      <w:pPr>
        <w:pStyle w:val="NoSpacing"/>
        <w:jc w:val="right"/>
      </w:pPr>
    </w:p>
    <w:p w14:paraId="5C5046D6" w14:textId="5656E1DF" w:rsidR="00051FBD" w:rsidRPr="00595BE7" w:rsidRDefault="00000000" w:rsidP="00480891">
      <w:pPr>
        <w:pStyle w:val="NoSpacing"/>
        <w:wordWrap w:val="0"/>
        <w:jc w:val="right"/>
        <w:rPr>
          <w:sz w:val="24"/>
          <w:szCs w:val="24"/>
        </w:rPr>
      </w:pPr>
      <w:sdt>
        <w:sdtPr>
          <w:rPr>
            <w:sz w:val="24"/>
            <w:szCs w:val="24"/>
          </w:rPr>
          <w:alias w:val="Click to enter 2nd member name"/>
          <w:tag w:val="2nd member"/>
          <w:id w:val="30091850"/>
          <w:placeholder>
            <w:docPart w:val="0C6D9FD2F64CD24AB30DB1BDF8A6703F"/>
          </w:placeholder>
        </w:sdtPr>
        <w:sdtContent>
          <w:r w:rsidR="00595BE7" w:rsidRPr="00595BE7">
            <w:rPr>
              <w:sz w:val="24"/>
              <w:szCs w:val="24"/>
            </w:rPr>
            <w:t xml:space="preserve">Dr. </w:t>
          </w:r>
          <w:r w:rsidR="00051FBD" w:rsidRPr="00595BE7">
            <w:rPr>
              <w:sz w:val="24"/>
              <w:szCs w:val="24"/>
            </w:rPr>
            <w:t>Stefan Wilhelm</w:t>
          </w:r>
        </w:sdtContent>
      </w:sdt>
    </w:p>
    <w:p w14:paraId="0EBA61FA" w14:textId="77777777" w:rsidR="00051FBD" w:rsidRDefault="00051FBD" w:rsidP="00480891">
      <w:pPr>
        <w:pStyle w:val="NoSpacing"/>
        <w:jc w:val="right"/>
      </w:pPr>
    </w:p>
    <w:p w14:paraId="1F4D6C52" w14:textId="77777777" w:rsidR="00051FBD" w:rsidRDefault="00051FBD" w:rsidP="00480891">
      <w:pPr>
        <w:pStyle w:val="NoSpacing"/>
        <w:jc w:val="right"/>
      </w:pPr>
    </w:p>
    <w:p w14:paraId="78FF7A38" w14:textId="5985D8D0" w:rsidR="00051FBD" w:rsidRPr="00595BE7" w:rsidRDefault="00000000" w:rsidP="00480891">
      <w:pPr>
        <w:pStyle w:val="NoSpacing"/>
        <w:wordWrap w:val="0"/>
        <w:jc w:val="right"/>
        <w:rPr>
          <w:sz w:val="24"/>
          <w:szCs w:val="24"/>
        </w:rPr>
      </w:pPr>
      <w:sdt>
        <w:sdtPr>
          <w:rPr>
            <w:sz w:val="24"/>
            <w:szCs w:val="24"/>
          </w:rPr>
          <w:alias w:val="Click to enter 3rd member name"/>
          <w:tag w:val="3rd member"/>
          <w:id w:val="30091852"/>
          <w:placeholder>
            <w:docPart w:val="6CBF0CAD2C43FE459B0B01973170E04A"/>
          </w:placeholder>
        </w:sdtPr>
        <w:sdtContent>
          <w:r w:rsidR="00595BE7" w:rsidRPr="00595BE7">
            <w:rPr>
              <w:sz w:val="24"/>
              <w:szCs w:val="24"/>
            </w:rPr>
            <w:t xml:space="preserve">Dr. </w:t>
          </w:r>
          <w:r w:rsidR="00051FBD" w:rsidRPr="00595BE7">
            <w:rPr>
              <w:sz w:val="24"/>
              <w:szCs w:val="24"/>
            </w:rPr>
            <w:t>Qinggong Tang</w:t>
          </w:r>
        </w:sdtContent>
      </w:sdt>
    </w:p>
    <w:p w14:paraId="7C009DAB" w14:textId="77777777" w:rsidR="00051FBD" w:rsidRDefault="00051FBD" w:rsidP="00480891">
      <w:pPr>
        <w:pStyle w:val="NoSpacing"/>
        <w:jc w:val="right"/>
      </w:pPr>
    </w:p>
    <w:p w14:paraId="3EAD958B" w14:textId="77777777" w:rsidR="00051FBD" w:rsidRDefault="00051FBD" w:rsidP="00480891">
      <w:pPr>
        <w:pStyle w:val="NoSpacing"/>
        <w:jc w:val="right"/>
      </w:pPr>
    </w:p>
    <w:p w14:paraId="7D8372C6" w14:textId="4009F842" w:rsidR="00051FBD" w:rsidRPr="00595BE7" w:rsidRDefault="00000000" w:rsidP="00480891">
      <w:pPr>
        <w:pStyle w:val="NoSpacing"/>
        <w:wordWrap w:val="0"/>
        <w:jc w:val="right"/>
        <w:rPr>
          <w:sz w:val="24"/>
          <w:szCs w:val="24"/>
        </w:rPr>
      </w:pPr>
      <w:sdt>
        <w:sdtPr>
          <w:rPr>
            <w:sz w:val="24"/>
            <w:szCs w:val="24"/>
          </w:rPr>
          <w:alias w:val="Click to enter 4th member name"/>
          <w:tag w:val="4th member"/>
          <w:id w:val="30091855"/>
          <w:placeholder>
            <w:docPart w:val="D514E9672CE68D4BAF442E382DE3C388"/>
          </w:placeholder>
        </w:sdtPr>
        <w:sdtContent>
          <w:r w:rsidR="00595BE7" w:rsidRPr="00595BE7">
            <w:rPr>
              <w:sz w:val="24"/>
              <w:szCs w:val="24"/>
            </w:rPr>
            <w:t xml:space="preserve">Dr. </w:t>
          </w:r>
          <w:r w:rsidR="00051FBD" w:rsidRPr="00595BE7">
            <w:rPr>
              <w:sz w:val="24"/>
              <w:szCs w:val="24"/>
            </w:rPr>
            <w:t>Shanteri Singh</w:t>
          </w:r>
        </w:sdtContent>
      </w:sdt>
    </w:p>
    <w:p w14:paraId="36D71695" w14:textId="77777777" w:rsidR="00051FBD" w:rsidRDefault="00051FBD" w:rsidP="00480891">
      <w:pPr>
        <w:pStyle w:val="NoSpacing"/>
        <w:jc w:val="right"/>
      </w:pPr>
    </w:p>
    <w:p w14:paraId="748A2752" w14:textId="77777777" w:rsidR="00051FBD" w:rsidRDefault="00051FBD" w:rsidP="00480891">
      <w:pPr>
        <w:pStyle w:val="NoSpacing"/>
        <w:jc w:val="right"/>
      </w:pPr>
    </w:p>
    <w:p w14:paraId="731362C8" w14:textId="77777777" w:rsidR="00051FBD" w:rsidRPr="006B4721" w:rsidRDefault="00051FBD" w:rsidP="00480891">
      <w:pPr>
        <w:pStyle w:val="NoSpacing"/>
        <w:jc w:val="right"/>
      </w:pPr>
    </w:p>
    <w:p w14:paraId="77C8FB5A" w14:textId="77777777" w:rsidR="00CB4427" w:rsidRDefault="00CB4427" w:rsidP="00CB4427">
      <w:pPr>
        <w:pStyle w:val="TableofFigures"/>
        <w:tabs>
          <w:tab w:val="right" w:leader="dot" w:pos="9350"/>
        </w:tabs>
        <w:spacing w:line="480" w:lineRule="auto"/>
        <w:ind w:left="0" w:firstLine="0"/>
      </w:pPr>
    </w:p>
    <w:p w14:paraId="22DC2ADD" w14:textId="77777777" w:rsidR="00E1111F" w:rsidRDefault="00E1111F"/>
    <w:p w14:paraId="0CD87649" w14:textId="77777777" w:rsidR="00E1111F" w:rsidRDefault="00E1111F"/>
    <w:p w14:paraId="62D77346" w14:textId="77777777" w:rsidR="00E1111F" w:rsidRDefault="00E1111F"/>
    <w:p w14:paraId="64F027AE" w14:textId="77777777" w:rsidR="00E1111F" w:rsidRDefault="00E1111F"/>
    <w:p w14:paraId="68DF582E" w14:textId="77777777" w:rsidR="00E1111F" w:rsidRDefault="00E1111F"/>
    <w:p w14:paraId="4817545F" w14:textId="77777777" w:rsidR="00E1111F" w:rsidRDefault="00E1111F"/>
    <w:p w14:paraId="116FD50D" w14:textId="1EE3F692" w:rsidR="00CB4427" w:rsidRDefault="00CB4427"/>
    <w:p w14:paraId="2A770C4B" w14:textId="341F5723" w:rsidR="00B20456" w:rsidRDefault="00B20456"/>
    <w:p w14:paraId="315EB4E7" w14:textId="194EDDEF" w:rsidR="00B20456" w:rsidRDefault="00B20456"/>
    <w:p w14:paraId="01A4CF67" w14:textId="2AB55106" w:rsidR="00B20456" w:rsidRDefault="00B20456"/>
    <w:p w14:paraId="08F22C46" w14:textId="4D993748" w:rsidR="00B20456" w:rsidRDefault="00B20456"/>
    <w:p w14:paraId="09EAB00C" w14:textId="0B7060EE" w:rsidR="00B20456" w:rsidRDefault="00B20456"/>
    <w:p w14:paraId="71433026" w14:textId="399B09A8" w:rsidR="00B20456" w:rsidRDefault="00B20456"/>
    <w:p w14:paraId="0BCE4295" w14:textId="02DD0BB9" w:rsidR="00B20456" w:rsidRDefault="00B20456"/>
    <w:p w14:paraId="75177785" w14:textId="205115D1" w:rsidR="00B20456" w:rsidRDefault="00B20456"/>
    <w:p w14:paraId="61BEBE14" w14:textId="6D8EE638" w:rsidR="00B20456" w:rsidRDefault="00B20456"/>
    <w:p w14:paraId="1E22F432" w14:textId="3DFEF3C3" w:rsidR="00B20456" w:rsidRDefault="00B20456"/>
    <w:p w14:paraId="78DA5242" w14:textId="6A92A6AF" w:rsidR="00B20456" w:rsidRDefault="00B20456"/>
    <w:p w14:paraId="17117965" w14:textId="146AC7CC" w:rsidR="00B20456" w:rsidRDefault="00B20456"/>
    <w:p w14:paraId="5F7FA81C" w14:textId="3F61338E" w:rsidR="00B20456" w:rsidRDefault="00B20456"/>
    <w:p w14:paraId="0F03B252" w14:textId="1BDC9E33" w:rsidR="00B20456" w:rsidRDefault="00B20456"/>
    <w:p w14:paraId="79ADDD05" w14:textId="1E05087F" w:rsidR="00B20456" w:rsidRDefault="00B20456"/>
    <w:p w14:paraId="4223B765" w14:textId="6F3F6D90" w:rsidR="00B20456" w:rsidRDefault="00B20456"/>
    <w:p w14:paraId="6F5B1F47" w14:textId="15CBCB46" w:rsidR="00B20456" w:rsidRDefault="00B20456"/>
    <w:p w14:paraId="6BED16EF" w14:textId="0195BACD" w:rsidR="00B20456" w:rsidRDefault="00B20456"/>
    <w:p w14:paraId="4A0E2AB2" w14:textId="42F37524" w:rsidR="00CB4427" w:rsidRDefault="00CB4427" w:rsidP="00CB4427">
      <w:pPr>
        <w:pStyle w:val="TableofFigures"/>
        <w:tabs>
          <w:tab w:val="right" w:leader="dot" w:pos="9350"/>
        </w:tabs>
        <w:spacing w:line="480" w:lineRule="auto"/>
        <w:ind w:left="0" w:firstLine="0"/>
      </w:pPr>
    </w:p>
    <w:p w14:paraId="3C78CF7B" w14:textId="04593FF7" w:rsidR="00595BE7" w:rsidRDefault="00595BE7" w:rsidP="00595BE7">
      <w:pPr>
        <w:spacing w:line="240" w:lineRule="auto"/>
        <w:contextualSpacing/>
        <w:jc w:val="center"/>
      </w:pPr>
      <w:r>
        <w:t>© Copyright by SEREN HAMSICI 2022</w:t>
      </w:r>
    </w:p>
    <w:p w14:paraId="07863689" w14:textId="6EF50B5E" w:rsidR="008C113D" w:rsidRDefault="00595BE7" w:rsidP="008C113D">
      <w:pPr>
        <w:spacing w:line="240" w:lineRule="auto"/>
        <w:contextualSpacing/>
        <w:jc w:val="center"/>
        <w:sectPr w:rsidR="008C113D" w:rsidSect="008C113D">
          <w:footerReference w:type="even" r:id="rId8"/>
          <w:footerReference w:type="default" r:id="rId9"/>
          <w:footerReference w:type="first" r:id="rId10"/>
          <w:pgSz w:w="12240" w:h="15840"/>
          <w:pgMar w:top="1440" w:right="1440" w:bottom="1440" w:left="1440" w:header="720" w:footer="720" w:gutter="0"/>
          <w:pgNumType w:fmt="lowerRoman" w:start="1"/>
          <w:cols w:space="720"/>
          <w:docGrid w:linePitch="360"/>
        </w:sectPr>
      </w:pPr>
      <w:r>
        <w:t>All Rights Reserved.</w:t>
      </w:r>
    </w:p>
    <w:p w14:paraId="293793B5" w14:textId="0832C176" w:rsidR="00595BE7" w:rsidRDefault="00595BE7" w:rsidP="003D77DC">
      <w:pPr>
        <w:spacing w:line="240" w:lineRule="auto"/>
        <w:contextualSpacing/>
        <w:jc w:val="center"/>
        <w:rPr>
          <w:sz w:val="32"/>
          <w:szCs w:val="32"/>
        </w:rPr>
      </w:pPr>
      <w:r>
        <w:rPr>
          <w:sz w:val="32"/>
          <w:szCs w:val="32"/>
        </w:rPr>
        <w:lastRenderedPageBreak/>
        <w:t>Acknowledgments</w:t>
      </w:r>
    </w:p>
    <w:p w14:paraId="1E3493F3" w14:textId="77777777" w:rsidR="00900EEC" w:rsidRDefault="00900EEC" w:rsidP="00900EEC">
      <w:pPr>
        <w:spacing w:line="480" w:lineRule="auto"/>
        <w:contextualSpacing/>
        <w:jc w:val="center"/>
        <w:rPr>
          <w:sz w:val="32"/>
          <w:szCs w:val="32"/>
        </w:rPr>
      </w:pPr>
    </w:p>
    <w:p w14:paraId="642B7A5E" w14:textId="159FB057" w:rsidR="00595BE7" w:rsidRDefault="00900EEC" w:rsidP="00900EEC">
      <w:pPr>
        <w:pStyle w:val="NoSpacing"/>
        <w:spacing w:line="480" w:lineRule="auto"/>
        <w:rPr>
          <w:sz w:val="24"/>
          <w:szCs w:val="24"/>
        </w:rPr>
      </w:pPr>
      <w:r>
        <w:rPr>
          <w:sz w:val="24"/>
          <w:szCs w:val="24"/>
        </w:rPr>
        <w:t>I</w:t>
      </w:r>
      <w:r w:rsidR="00567312">
        <w:rPr>
          <w:sz w:val="24"/>
          <w:szCs w:val="24"/>
        </w:rPr>
        <w:t xml:space="preserve"> would</w:t>
      </w:r>
      <w:r>
        <w:rPr>
          <w:sz w:val="24"/>
          <w:szCs w:val="24"/>
        </w:rPr>
        <w:t xml:space="preserve"> like to thank Dr. Acar for her support and guidance throughout my PhD studies. </w:t>
      </w:r>
      <w:r w:rsidR="005F2AE2">
        <w:rPr>
          <w:sz w:val="24"/>
          <w:szCs w:val="24"/>
        </w:rPr>
        <w:t xml:space="preserve">I have a deep gratitude to Dr. Acar for her patience and feedbacks during my PhD. This four-year helped me to improve myself both mentally and scientifically. </w:t>
      </w:r>
      <w:r>
        <w:rPr>
          <w:sz w:val="24"/>
          <w:szCs w:val="24"/>
        </w:rPr>
        <w:t xml:space="preserve">Also, I’d like to acknowledge my thesis committee members Dr. Stefan Wilhelm, Dr. Qinggong Tang and Dr. Shanteri Singh for their fruitful discussions. </w:t>
      </w:r>
    </w:p>
    <w:p w14:paraId="7ADE90B2" w14:textId="0F6C698D" w:rsidR="00567312" w:rsidRDefault="00567312" w:rsidP="00900EEC">
      <w:pPr>
        <w:pStyle w:val="NoSpacing"/>
        <w:spacing w:line="480" w:lineRule="auto"/>
        <w:rPr>
          <w:sz w:val="24"/>
          <w:szCs w:val="24"/>
        </w:rPr>
      </w:pPr>
      <w:r>
        <w:rPr>
          <w:sz w:val="24"/>
          <w:szCs w:val="24"/>
        </w:rPr>
        <w:t xml:space="preserve">I would like to express my special thanks </w:t>
      </w:r>
      <w:r w:rsidR="00BE1273">
        <w:rPr>
          <w:sz w:val="24"/>
          <w:szCs w:val="24"/>
        </w:rPr>
        <w:t xml:space="preserve">to </w:t>
      </w:r>
      <w:r>
        <w:rPr>
          <w:sz w:val="24"/>
          <w:szCs w:val="24"/>
        </w:rPr>
        <w:t xml:space="preserve">Gokhan Gunay for not only contribution to my studies and </w:t>
      </w:r>
      <w:r w:rsidR="00BE1273">
        <w:rPr>
          <w:sz w:val="24"/>
          <w:szCs w:val="24"/>
        </w:rPr>
        <w:t>but also</w:t>
      </w:r>
      <w:r>
        <w:rPr>
          <w:sz w:val="24"/>
          <w:szCs w:val="24"/>
        </w:rPr>
        <w:t xml:space="preserve"> for his support, </w:t>
      </w:r>
      <w:r w:rsidR="000505BA">
        <w:rPr>
          <w:sz w:val="24"/>
          <w:szCs w:val="24"/>
        </w:rPr>
        <w:t>love,</w:t>
      </w:r>
      <w:r>
        <w:rPr>
          <w:sz w:val="24"/>
          <w:szCs w:val="24"/>
        </w:rPr>
        <w:t xml:space="preserve"> and encouragement. </w:t>
      </w:r>
      <w:r w:rsidR="000505BA">
        <w:rPr>
          <w:sz w:val="24"/>
          <w:szCs w:val="24"/>
        </w:rPr>
        <w:t xml:space="preserve">I would never forget all beautiful moments that we catch even in stressful and difficult times. </w:t>
      </w:r>
    </w:p>
    <w:p w14:paraId="5E7B7DB4" w14:textId="225419BF" w:rsidR="00567312" w:rsidRDefault="00BE1273" w:rsidP="00900EEC">
      <w:pPr>
        <w:pStyle w:val="NoSpacing"/>
        <w:spacing w:line="480" w:lineRule="auto"/>
        <w:rPr>
          <w:sz w:val="24"/>
          <w:szCs w:val="24"/>
        </w:rPr>
      </w:pPr>
      <w:r>
        <w:rPr>
          <w:sz w:val="24"/>
          <w:szCs w:val="24"/>
        </w:rPr>
        <w:t xml:space="preserve">Finally, </w:t>
      </w:r>
      <w:r w:rsidR="00567312">
        <w:rPr>
          <w:sz w:val="24"/>
          <w:szCs w:val="24"/>
        </w:rPr>
        <w:t xml:space="preserve">I would like to thank </w:t>
      </w:r>
      <w:r>
        <w:rPr>
          <w:sz w:val="24"/>
          <w:szCs w:val="24"/>
        </w:rPr>
        <w:t xml:space="preserve">all </w:t>
      </w:r>
      <w:r w:rsidR="00567312">
        <w:rPr>
          <w:sz w:val="24"/>
          <w:szCs w:val="24"/>
        </w:rPr>
        <w:t>undergraduate students</w:t>
      </w:r>
      <w:r w:rsidR="00CD5017">
        <w:rPr>
          <w:sz w:val="24"/>
          <w:szCs w:val="24"/>
        </w:rPr>
        <w:t xml:space="preserve"> in AcarLab</w:t>
      </w:r>
      <w:r w:rsidR="00567312">
        <w:rPr>
          <w:sz w:val="24"/>
          <w:szCs w:val="24"/>
        </w:rPr>
        <w:t xml:space="preserve"> especially Advika Kamatar and Ofelya Baghd</w:t>
      </w:r>
      <w:r w:rsidR="00CD5017">
        <w:rPr>
          <w:sz w:val="24"/>
          <w:szCs w:val="24"/>
        </w:rPr>
        <w:t>asaryan for being a wonderful lab mate.</w:t>
      </w:r>
    </w:p>
    <w:p w14:paraId="157D71E3" w14:textId="7469DBE0" w:rsidR="00CD5017" w:rsidRDefault="00CD5017" w:rsidP="00900EEC">
      <w:pPr>
        <w:pStyle w:val="NoSpacing"/>
        <w:spacing w:line="480" w:lineRule="auto"/>
        <w:rPr>
          <w:sz w:val="24"/>
          <w:szCs w:val="24"/>
        </w:rPr>
      </w:pPr>
    </w:p>
    <w:p w14:paraId="351774E2" w14:textId="77777777" w:rsidR="00567312" w:rsidRDefault="00567312" w:rsidP="00900EEC">
      <w:pPr>
        <w:pStyle w:val="NoSpacing"/>
        <w:spacing w:line="480" w:lineRule="auto"/>
        <w:rPr>
          <w:sz w:val="24"/>
          <w:szCs w:val="24"/>
        </w:rPr>
      </w:pPr>
    </w:p>
    <w:p w14:paraId="73BC31EB" w14:textId="77777777" w:rsidR="00900EEC" w:rsidRDefault="00900EEC" w:rsidP="00900EEC">
      <w:pPr>
        <w:pStyle w:val="NoSpacing"/>
        <w:spacing w:line="480" w:lineRule="auto"/>
        <w:rPr>
          <w:sz w:val="24"/>
          <w:szCs w:val="24"/>
        </w:rPr>
      </w:pPr>
    </w:p>
    <w:p w14:paraId="7F5C40E5" w14:textId="6C495872" w:rsidR="00900EEC" w:rsidRPr="00900EEC" w:rsidRDefault="00900EEC" w:rsidP="009B6EE0">
      <w:pPr>
        <w:pStyle w:val="NoSpacing"/>
        <w:rPr>
          <w:sz w:val="24"/>
          <w:szCs w:val="24"/>
        </w:rPr>
      </w:pPr>
    </w:p>
    <w:p w14:paraId="7A20A1CF" w14:textId="77777777" w:rsidR="00121B74" w:rsidRDefault="00121B74" w:rsidP="00AD43A9">
      <w:pPr>
        <w:pStyle w:val="NoSpacing"/>
        <w:spacing w:line="480" w:lineRule="auto"/>
        <w:rPr>
          <w:sz w:val="22"/>
          <w:szCs w:val="22"/>
        </w:rPr>
      </w:pPr>
    </w:p>
    <w:p w14:paraId="201EF823" w14:textId="05FAE6F9" w:rsidR="00F4384E" w:rsidRDefault="00F4384E" w:rsidP="00AD43A9">
      <w:pPr>
        <w:pStyle w:val="NoSpacing"/>
        <w:spacing w:line="480" w:lineRule="auto"/>
        <w:rPr>
          <w:sz w:val="22"/>
          <w:szCs w:val="22"/>
        </w:rPr>
      </w:pPr>
    </w:p>
    <w:p w14:paraId="3FA831C0" w14:textId="77777777" w:rsidR="001F1B2C" w:rsidRDefault="001F1B2C" w:rsidP="00AD43A9">
      <w:pPr>
        <w:pStyle w:val="NoSpacing"/>
        <w:spacing w:line="480" w:lineRule="auto"/>
        <w:rPr>
          <w:sz w:val="22"/>
          <w:szCs w:val="22"/>
        </w:rPr>
      </w:pPr>
    </w:p>
    <w:p w14:paraId="5E931D74" w14:textId="77777777" w:rsidR="001F1B2C" w:rsidRDefault="001F1B2C" w:rsidP="00AD43A9">
      <w:pPr>
        <w:pStyle w:val="NoSpacing"/>
        <w:spacing w:line="480" w:lineRule="auto"/>
        <w:rPr>
          <w:sz w:val="22"/>
          <w:szCs w:val="22"/>
        </w:rPr>
      </w:pPr>
    </w:p>
    <w:p w14:paraId="7019ED85" w14:textId="77777777" w:rsidR="003618C9" w:rsidRDefault="003618C9" w:rsidP="00AD43A9">
      <w:pPr>
        <w:pStyle w:val="NoSpacing"/>
        <w:spacing w:line="480" w:lineRule="auto"/>
        <w:rPr>
          <w:sz w:val="22"/>
          <w:szCs w:val="22"/>
        </w:rPr>
      </w:pPr>
    </w:p>
    <w:p w14:paraId="2454912A" w14:textId="4D1A080C" w:rsidR="00AD43A9" w:rsidRDefault="00AD43A9" w:rsidP="00AD43A9">
      <w:pPr>
        <w:pStyle w:val="NoSpacing"/>
        <w:spacing w:line="480" w:lineRule="auto"/>
        <w:rPr>
          <w:sz w:val="22"/>
          <w:szCs w:val="22"/>
        </w:rPr>
      </w:pPr>
    </w:p>
    <w:p w14:paraId="7AB390EE" w14:textId="55CBF771" w:rsidR="00BE1273" w:rsidRDefault="00BE1273" w:rsidP="00AD43A9">
      <w:pPr>
        <w:pStyle w:val="NoSpacing"/>
        <w:spacing w:line="480" w:lineRule="auto"/>
        <w:rPr>
          <w:sz w:val="22"/>
          <w:szCs w:val="22"/>
        </w:rPr>
      </w:pPr>
    </w:p>
    <w:p w14:paraId="56A0844F" w14:textId="77777777" w:rsidR="00AD43A9" w:rsidRPr="00AD43A9" w:rsidRDefault="00AD43A9" w:rsidP="00AD43A9">
      <w:pPr>
        <w:pStyle w:val="NoSpacing"/>
        <w:spacing w:line="480" w:lineRule="auto"/>
        <w:rPr>
          <w:sz w:val="22"/>
          <w:szCs w:val="22"/>
        </w:rPr>
      </w:pPr>
    </w:p>
    <w:sdt>
      <w:sdtPr>
        <w:rPr>
          <w:smallCaps w:val="0"/>
          <w:spacing w:val="0"/>
          <w:sz w:val="20"/>
          <w:szCs w:val="20"/>
        </w:rPr>
        <w:id w:val="745454184"/>
        <w:docPartObj>
          <w:docPartGallery w:val="Table of Contents"/>
          <w:docPartUnique/>
        </w:docPartObj>
      </w:sdtPr>
      <w:sdtEndPr>
        <w:rPr>
          <w:b/>
          <w:bCs/>
          <w:noProof/>
        </w:rPr>
      </w:sdtEndPr>
      <w:sdtContent>
        <w:p w14:paraId="07FF5255" w14:textId="1920B11B" w:rsidR="00E351D0" w:rsidRDefault="00E351D0" w:rsidP="00E351D0">
          <w:pPr>
            <w:pStyle w:val="TOCHeading"/>
            <w:spacing w:line="480" w:lineRule="auto"/>
          </w:pPr>
          <w:r>
            <w:t>Table of Contents</w:t>
          </w:r>
        </w:p>
        <w:p w14:paraId="0B2DA576" w14:textId="54B2AFBE" w:rsidR="00575816" w:rsidRDefault="003039A3">
          <w:pPr>
            <w:pStyle w:val="TOC1"/>
            <w:tabs>
              <w:tab w:val="right" w:leader="dot" w:pos="9350"/>
            </w:tabs>
            <w:rPr>
              <w:rFonts w:cstheme="minorBidi"/>
              <w:b w:val="0"/>
              <w:bCs w:val="0"/>
              <w:noProof/>
              <w:szCs w:val="24"/>
            </w:rPr>
          </w:pPr>
          <w:r>
            <w:rPr>
              <w:caps/>
            </w:rPr>
            <w:fldChar w:fldCharType="begin"/>
          </w:r>
          <w:r>
            <w:rPr>
              <w:caps/>
            </w:rPr>
            <w:instrText xml:space="preserve"> TOC \o "1-7" \h \z \u </w:instrText>
          </w:r>
          <w:r>
            <w:rPr>
              <w:caps/>
            </w:rPr>
            <w:fldChar w:fldCharType="separate"/>
          </w:r>
          <w:hyperlink w:anchor="_Toc121134608" w:history="1">
            <w:r w:rsidR="00575816" w:rsidRPr="0079799D">
              <w:rPr>
                <w:rStyle w:val="Hyperlink"/>
                <w:noProof/>
              </w:rPr>
              <w:t>ABSTRACT</w:t>
            </w:r>
            <w:r w:rsidR="00575816">
              <w:rPr>
                <w:noProof/>
                <w:webHidden/>
              </w:rPr>
              <w:tab/>
            </w:r>
            <w:r w:rsidR="00575816">
              <w:rPr>
                <w:noProof/>
                <w:webHidden/>
              </w:rPr>
              <w:fldChar w:fldCharType="begin"/>
            </w:r>
            <w:r w:rsidR="00575816">
              <w:rPr>
                <w:noProof/>
                <w:webHidden/>
              </w:rPr>
              <w:instrText xml:space="preserve"> PAGEREF _Toc121134608 \h </w:instrText>
            </w:r>
            <w:r w:rsidR="00575816">
              <w:rPr>
                <w:noProof/>
                <w:webHidden/>
              </w:rPr>
            </w:r>
            <w:r w:rsidR="00575816">
              <w:rPr>
                <w:noProof/>
                <w:webHidden/>
              </w:rPr>
              <w:fldChar w:fldCharType="separate"/>
            </w:r>
            <w:r w:rsidR="00785166">
              <w:rPr>
                <w:noProof/>
                <w:webHidden/>
              </w:rPr>
              <w:t>xii</w:t>
            </w:r>
            <w:r w:rsidR="00575816">
              <w:rPr>
                <w:noProof/>
                <w:webHidden/>
              </w:rPr>
              <w:fldChar w:fldCharType="end"/>
            </w:r>
          </w:hyperlink>
        </w:p>
        <w:p w14:paraId="71314A80" w14:textId="7BAB888E" w:rsidR="00575816" w:rsidRDefault="00000000">
          <w:pPr>
            <w:pStyle w:val="TOC1"/>
            <w:tabs>
              <w:tab w:val="right" w:leader="dot" w:pos="9350"/>
            </w:tabs>
            <w:rPr>
              <w:rFonts w:cstheme="minorBidi"/>
              <w:b w:val="0"/>
              <w:bCs w:val="0"/>
              <w:noProof/>
              <w:szCs w:val="24"/>
            </w:rPr>
          </w:pPr>
          <w:hyperlink w:anchor="_Toc121134609" w:history="1">
            <w:r w:rsidR="00575816" w:rsidRPr="0079799D">
              <w:rPr>
                <w:rStyle w:val="Hyperlink"/>
                <w:rFonts w:asciiTheme="majorHAnsi" w:hAnsiTheme="majorHAnsi" w:cstheme="majorHAnsi"/>
                <w:noProof/>
              </w:rPr>
              <w:t>CHAPTER 1. INTRODUCTION</w:t>
            </w:r>
            <w:r w:rsidR="00575816">
              <w:rPr>
                <w:noProof/>
                <w:webHidden/>
              </w:rPr>
              <w:tab/>
            </w:r>
            <w:r w:rsidR="00575816">
              <w:rPr>
                <w:noProof/>
                <w:webHidden/>
              </w:rPr>
              <w:fldChar w:fldCharType="begin"/>
            </w:r>
            <w:r w:rsidR="00575816">
              <w:rPr>
                <w:noProof/>
                <w:webHidden/>
              </w:rPr>
              <w:instrText xml:space="preserve"> PAGEREF _Toc121134609 \h </w:instrText>
            </w:r>
            <w:r w:rsidR="00575816">
              <w:rPr>
                <w:noProof/>
                <w:webHidden/>
              </w:rPr>
            </w:r>
            <w:r w:rsidR="00575816">
              <w:rPr>
                <w:noProof/>
                <w:webHidden/>
              </w:rPr>
              <w:fldChar w:fldCharType="separate"/>
            </w:r>
            <w:r w:rsidR="00785166">
              <w:rPr>
                <w:noProof/>
                <w:webHidden/>
              </w:rPr>
              <w:t>1</w:t>
            </w:r>
            <w:r w:rsidR="00575816">
              <w:rPr>
                <w:noProof/>
                <w:webHidden/>
              </w:rPr>
              <w:fldChar w:fldCharType="end"/>
            </w:r>
          </w:hyperlink>
        </w:p>
        <w:p w14:paraId="0B03F7E8" w14:textId="3EB252FF" w:rsidR="00575816" w:rsidRDefault="00000000">
          <w:pPr>
            <w:pStyle w:val="TOC2"/>
            <w:tabs>
              <w:tab w:val="left" w:pos="800"/>
              <w:tab w:val="right" w:leader="dot" w:pos="9350"/>
            </w:tabs>
            <w:rPr>
              <w:rFonts w:cstheme="minorBidi"/>
              <w:iCs w:val="0"/>
              <w:noProof/>
              <w:szCs w:val="24"/>
            </w:rPr>
          </w:pPr>
          <w:hyperlink w:anchor="_Toc121134610" w:history="1">
            <w:r w:rsidR="00575816" w:rsidRPr="0079799D">
              <w:rPr>
                <w:rStyle w:val="Hyperlink"/>
                <w:noProof/>
              </w:rPr>
              <w:t>1.1</w:t>
            </w:r>
            <w:r w:rsidR="00575816">
              <w:rPr>
                <w:rFonts w:cstheme="minorBidi"/>
                <w:iCs w:val="0"/>
                <w:noProof/>
                <w:szCs w:val="24"/>
              </w:rPr>
              <w:tab/>
            </w:r>
            <w:r w:rsidR="00575816" w:rsidRPr="0079799D">
              <w:rPr>
                <w:rStyle w:val="Hyperlink"/>
                <w:noProof/>
              </w:rPr>
              <w:t>Protein Mimetic Peptides for Bio-material Design</w:t>
            </w:r>
            <w:r w:rsidR="00575816">
              <w:rPr>
                <w:noProof/>
                <w:webHidden/>
              </w:rPr>
              <w:tab/>
            </w:r>
            <w:r w:rsidR="00575816">
              <w:rPr>
                <w:noProof/>
                <w:webHidden/>
              </w:rPr>
              <w:fldChar w:fldCharType="begin"/>
            </w:r>
            <w:r w:rsidR="00575816">
              <w:rPr>
                <w:noProof/>
                <w:webHidden/>
              </w:rPr>
              <w:instrText xml:space="preserve"> PAGEREF _Toc121134610 \h </w:instrText>
            </w:r>
            <w:r w:rsidR="00575816">
              <w:rPr>
                <w:noProof/>
                <w:webHidden/>
              </w:rPr>
            </w:r>
            <w:r w:rsidR="00575816">
              <w:rPr>
                <w:noProof/>
                <w:webHidden/>
              </w:rPr>
              <w:fldChar w:fldCharType="separate"/>
            </w:r>
            <w:r w:rsidR="00785166">
              <w:rPr>
                <w:noProof/>
                <w:webHidden/>
              </w:rPr>
              <w:t>2</w:t>
            </w:r>
            <w:r w:rsidR="00575816">
              <w:rPr>
                <w:noProof/>
                <w:webHidden/>
              </w:rPr>
              <w:fldChar w:fldCharType="end"/>
            </w:r>
          </w:hyperlink>
        </w:p>
        <w:p w14:paraId="324A25DF" w14:textId="2044C43C" w:rsidR="00575816" w:rsidRDefault="00000000">
          <w:pPr>
            <w:pStyle w:val="TOC3"/>
            <w:tabs>
              <w:tab w:val="left" w:pos="1200"/>
              <w:tab w:val="right" w:leader="dot" w:pos="9350"/>
            </w:tabs>
            <w:rPr>
              <w:rFonts w:cstheme="minorBidi"/>
              <w:noProof/>
              <w:szCs w:val="24"/>
            </w:rPr>
          </w:pPr>
          <w:hyperlink w:anchor="_Toc121134611" w:history="1">
            <w:r w:rsidR="00575816" w:rsidRPr="0079799D">
              <w:rPr>
                <w:rStyle w:val="Hyperlink"/>
                <w:rFonts w:eastAsia="Times New Roman"/>
                <w:noProof/>
              </w:rPr>
              <w:t>1.1.1.</w:t>
            </w:r>
            <w:r w:rsidR="00575816">
              <w:rPr>
                <w:rFonts w:cstheme="minorBidi"/>
                <w:noProof/>
                <w:szCs w:val="24"/>
              </w:rPr>
              <w:tab/>
            </w:r>
            <w:r w:rsidR="00575816" w:rsidRPr="0079799D">
              <w:rPr>
                <w:rStyle w:val="Hyperlink"/>
                <w:rFonts w:eastAsia="Times New Roman"/>
                <w:noProof/>
              </w:rPr>
              <w:t>Peptides are Composed of Amino Acids</w:t>
            </w:r>
            <w:r w:rsidR="00575816">
              <w:rPr>
                <w:noProof/>
                <w:webHidden/>
              </w:rPr>
              <w:tab/>
            </w:r>
            <w:r w:rsidR="00575816">
              <w:rPr>
                <w:noProof/>
                <w:webHidden/>
              </w:rPr>
              <w:fldChar w:fldCharType="begin"/>
            </w:r>
            <w:r w:rsidR="00575816">
              <w:rPr>
                <w:noProof/>
                <w:webHidden/>
              </w:rPr>
              <w:instrText xml:space="preserve"> PAGEREF _Toc121134611 \h </w:instrText>
            </w:r>
            <w:r w:rsidR="00575816">
              <w:rPr>
                <w:noProof/>
                <w:webHidden/>
              </w:rPr>
            </w:r>
            <w:r w:rsidR="00575816">
              <w:rPr>
                <w:noProof/>
                <w:webHidden/>
              </w:rPr>
              <w:fldChar w:fldCharType="separate"/>
            </w:r>
            <w:r w:rsidR="00785166">
              <w:rPr>
                <w:noProof/>
                <w:webHidden/>
              </w:rPr>
              <w:t>3</w:t>
            </w:r>
            <w:r w:rsidR="00575816">
              <w:rPr>
                <w:noProof/>
                <w:webHidden/>
              </w:rPr>
              <w:fldChar w:fldCharType="end"/>
            </w:r>
          </w:hyperlink>
        </w:p>
        <w:p w14:paraId="619BA464" w14:textId="040F9C27" w:rsidR="00575816" w:rsidRDefault="00000000">
          <w:pPr>
            <w:pStyle w:val="TOC3"/>
            <w:tabs>
              <w:tab w:val="left" w:pos="1200"/>
              <w:tab w:val="right" w:leader="dot" w:pos="9350"/>
            </w:tabs>
            <w:rPr>
              <w:rFonts w:cstheme="minorBidi"/>
              <w:noProof/>
              <w:szCs w:val="24"/>
            </w:rPr>
          </w:pPr>
          <w:hyperlink w:anchor="_Toc121134612" w:history="1">
            <w:r w:rsidR="00575816" w:rsidRPr="0079799D">
              <w:rPr>
                <w:rStyle w:val="Hyperlink"/>
                <w:noProof/>
              </w:rPr>
              <w:t>1.1.2</w:t>
            </w:r>
            <w:r w:rsidR="00575816">
              <w:rPr>
                <w:rFonts w:cstheme="minorBidi"/>
                <w:noProof/>
                <w:szCs w:val="24"/>
              </w:rPr>
              <w:tab/>
            </w:r>
            <w:r w:rsidR="00575816" w:rsidRPr="0079799D">
              <w:rPr>
                <w:rStyle w:val="Hyperlink"/>
                <w:noProof/>
              </w:rPr>
              <w:t>Amyloid-like Peptides</w:t>
            </w:r>
            <w:r w:rsidR="00575816">
              <w:rPr>
                <w:noProof/>
                <w:webHidden/>
              </w:rPr>
              <w:tab/>
            </w:r>
            <w:r w:rsidR="00575816">
              <w:rPr>
                <w:noProof/>
                <w:webHidden/>
              </w:rPr>
              <w:fldChar w:fldCharType="begin"/>
            </w:r>
            <w:r w:rsidR="00575816">
              <w:rPr>
                <w:noProof/>
                <w:webHidden/>
              </w:rPr>
              <w:instrText xml:space="preserve"> PAGEREF _Toc121134612 \h </w:instrText>
            </w:r>
            <w:r w:rsidR="00575816">
              <w:rPr>
                <w:noProof/>
                <w:webHidden/>
              </w:rPr>
            </w:r>
            <w:r w:rsidR="00575816">
              <w:rPr>
                <w:noProof/>
                <w:webHidden/>
              </w:rPr>
              <w:fldChar w:fldCharType="separate"/>
            </w:r>
            <w:r w:rsidR="00785166">
              <w:rPr>
                <w:noProof/>
                <w:webHidden/>
              </w:rPr>
              <w:t>6</w:t>
            </w:r>
            <w:r w:rsidR="00575816">
              <w:rPr>
                <w:noProof/>
                <w:webHidden/>
              </w:rPr>
              <w:fldChar w:fldCharType="end"/>
            </w:r>
          </w:hyperlink>
        </w:p>
        <w:p w14:paraId="2AFE7C00" w14:textId="4CA97E56" w:rsidR="00575816" w:rsidRDefault="00000000">
          <w:pPr>
            <w:pStyle w:val="TOC4"/>
            <w:tabs>
              <w:tab w:val="left" w:pos="1600"/>
              <w:tab w:val="right" w:leader="dot" w:pos="9350"/>
            </w:tabs>
            <w:rPr>
              <w:rFonts w:cstheme="minorBidi"/>
              <w:noProof/>
              <w:szCs w:val="24"/>
            </w:rPr>
          </w:pPr>
          <w:hyperlink w:anchor="_Toc121134613" w:history="1">
            <w:r w:rsidR="00575816" w:rsidRPr="0079799D">
              <w:rPr>
                <w:rStyle w:val="Hyperlink"/>
                <w:noProof/>
              </w:rPr>
              <w:t>1.1.2.1</w:t>
            </w:r>
            <w:r w:rsidR="00575816">
              <w:rPr>
                <w:rFonts w:cstheme="minorBidi"/>
                <w:noProof/>
                <w:szCs w:val="24"/>
              </w:rPr>
              <w:tab/>
            </w:r>
            <w:r w:rsidR="00575816" w:rsidRPr="0079799D">
              <w:rPr>
                <w:rStyle w:val="Hyperlink"/>
                <w:noProof/>
              </w:rPr>
              <w:t>Kinetics of Amyloid Fibril Formation</w:t>
            </w:r>
            <w:r w:rsidR="00575816">
              <w:rPr>
                <w:noProof/>
                <w:webHidden/>
              </w:rPr>
              <w:tab/>
            </w:r>
            <w:r w:rsidR="00575816">
              <w:rPr>
                <w:noProof/>
                <w:webHidden/>
              </w:rPr>
              <w:fldChar w:fldCharType="begin"/>
            </w:r>
            <w:r w:rsidR="00575816">
              <w:rPr>
                <w:noProof/>
                <w:webHidden/>
              </w:rPr>
              <w:instrText xml:space="preserve"> PAGEREF _Toc121134613 \h </w:instrText>
            </w:r>
            <w:r w:rsidR="00575816">
              <w:rPr>
                <w:noProof/>
                <w:webHidden/>
              </w:rPr>
            </w:r>
            <w:r w:rsidR="00575816">
              <w:rPr>
                <w:noProof/>
                <w:webHidden/>
              </w:rPr>
              <w:fldChar w:fldCharType="separate"/>
            </w:r>
            <w:r w:rsidR="00785166">
              <w:rPr>
                <w:noProof/>
                <w:webHidden/>
              </w:rPr>
              <w:t>7</w:t>
            </w:r>
            <w:r w:rsidR="00575816">
              <w:rPr>
                <w:noProof/>
                <w:webHidden/>
              </w:rPr>
              <w:fldChar w:fldCharType="end"/>
            </w:r>
          </w:hyperlink>
        </w:p>
        <w:p w14:paraId="7FE7E683" w14:textId="1B3846CD" w:rsidR="00575816" w:rsidRDefault="00000000">
          <w:pPr>
            <w:pStyle w:val="TOC4"/>
            <w:tabs>
              <w:tab w:val="left" w:pos="1600"/>
              <w:tab w:val="right" w:leader="dot" w:pos="9350"/>
            </w:tabs>
            <w:rPr>
              <w:rFonts w:cstheme="minorBidi"/>
              <w:noProof/>
              <w:szCs w:val="24"/>
            </w:rPr>
          </w:pPr>
          <w:hyperlink w:anchor="_Toc121134614" w:history="1">
            <w:r w:rsidR="00575816" w:rsidRPr="0079799D">
              <w:rPr>
                <w:rStyle w:val="Hyperlink"/>
                <w:noProof/>
              </w:rPr>
              <w:t>1.1.2.2</w:t>
            </w:r>
            <w:r w:rsidR="00575816">
              <w:rPr>
                <w:rFonts w:cstheme="minorBidi"/>
                <w:noProof/>
                <w:szCs w:val="24"/>
              </w:rPr>
              <w:tab/>
            </w:r>
            <w:r w:rsidR="00575816" w:rsidRPr="0079799D">
              <w:rPr>
                <w:rStyle w:val="Hyperlink"/>
                <w:noProof/>
              </w:rPr>
              <w:t>Design Considerations of Amyloid-like Peptides</w:t>
            </w:r>
            <w:r w:rsidR="00575816">
              <w:rPr>
                <w:noProof/>
                <w:webHidden/>
              </w:rPr>
              <w:tab/>
            </w:r>
            <w:r w:rsidR="00575816">
              <w:rPr>
                <w:noProof/>
                <w:webHidden/>
              </w:rPr>
              <w:fldChar w:fldCharType="begin"/>
            </w:r>
            <w:r w:rsidR="00575816">
              <w:rPr>
                <w:noProof/>
                <w:webHidden/>
              </w:rPr>
              <w:instrText xml:space="preserve"> PAGEREF _Toc121134614 \h </w:instrText>
            </w:r>
            <w:r w:rsidR="00575816">
              <w:rPr>
                <w:noProof/>
                <w:webHidden/>
              </w:rPr>
            </w:r>
            <w:r w:rsidR="00575816">
              <w:rPr>
                <w:noProof/>
                <w:webHidden/>
              </w:rPr>
              <w:fldChar w:fldCharType="separate"/>
            </w:r>
            <w:r w:rsidR="00785166">
              <w:rPr>
                <w:noProof/>
                <w:webHidden/>
              </w:rPr>
              <w:t>9</w:t>
            </w:r>
            <w:r w:rsidR="00575816">
              <w:rPr>
                <w:noProof/>
                <w:webHidden/>
              </w:rPr>
              <w:fldChar w:fldCharType="end"/>
            </w:r>
          </w:hyperlink>
        </w:p>
        <w:p w14:paraId="7E83199C" w14:textId="15115EC6" w:rsidR="00575816" w:rsidRDefault="00000000">
          <w:pPr>
            <w:pStyle w:val="TOC4"/>
            <w:tabs>
              <w:tab w:val="left" w:pos="1600"/>
              <w:tab w:val="right" w:leader="dot" w:pos="9350"/>
            </w:tabs>
            <w:rPr>
              <w:rFonts w:cstheme="minorBidi"/>
              <w:noProof/>
              <w:szCs w:val="24"/>
            </w:rPr>
          </w:pPr>
          <w:hyperlink w:anchor="_Toc121134615" w:history="1">
            <w:r w:rsidR="00575816" w:rsidRPr="0079799D">
              <w:rPr>
                <w:rStyle w:val="Hyperlink"/>
                <w:noProof/>
              </w:rPr>
              <w:t>1.1.2.3</w:t>
            </w:r>
            <w:r w:rsidR="00575816">
              <w:rPr>
                <w:rFonts w:cstheme="minorBidi"/>
                <w:noProof/>
                <w:szCs w:val="24"/>
              </w:rPr>
              <w:tab/>
            </w:r>
            <w:r w:rsidR="00575816" w:rsidRPr="0079799D">
              <w:rPr>
                <w:rStyle w:val="Hyperlink"/>
                <w:noProof/>
              </w:rPr>
              <w:t>Co-assembling Peptides</w:t>
            </w:r>
            <w:r w:rsidR="00575816">
              <w:rPr>
                <w:noProof/>
                <w:webHidden/>
              </w:rPr>
              <w:tab/>
            </w:r>
            <w:r w:rsidR="00575816">
              <w:rPr>
                <w:noProof/>
                <w:webHidden/>
              </w:rPr>
              <w:fldChar w:fldCharType="begin"/>
            </w:r>
            <w:r w:rsidR="00575816">
              <w:rPr>
                <w:noProof/>
                <w:webHidden/>
              </w:rPr>
              <w:instrText xml:space="preserve"> PAGEREF _Toc121134615 \h </w:instrText>
            </w:r>
            <w:r w:rsidR="00575816">
              <w:rPr>
                <w:noProof/>
                <w:webHidden/>
              </w:rPr>
            </w:r>
            <w:r w:rsidR="00575816">
              <w:rPr>
                <w:noProof/>
                <w:webHidden/>
              </w:rPr>
              <w:fldChar w:fldCharType="separate"/>
            </w:r>
            <w:r w:rsidR="00785166">
              <w:rPr>
                <w:noProof/>
                <w:webHidden/>
              </w:rPr>
              <w:t>10</w:t>
            </w:r>
            <w:r w:rsidR="00575816">
              <w:rPr>
                <w:noProof/>
                <w:webHidden/>
              </w:rPr>
              <w:fldChar w:fldCharType="end"/>
            </w:r>
          </w:hyperlink>
        </w:p>
        <w:p w14:paraId="067A76C7" w14:textId="4469E405" w:rsidR="00575816" w:rsidRDefault="00000000">
          <w:pPr>
            <w:pStyle w:val="TOC4"/>
            <w:tabs>
              <w:tab w:val="left" w:pos="1600"/>
              <w:tab w:val="right" w:leader="dot" w:pos="9350"/>
            </w:tabs>
            <w:rPr>
              <w:rFonts w:cstheme="minorBidi"/>
              <w:noProof/>
              <w:szCs w:val="24"/>
            </w:rPr>
          </w:pPr>
          <w:hyperlink w:anchor="_Toc121134616" w:history="1">
            <w:r w:rsidR="00575816" w:rsidRPr="0079799D">
              <w:rPr>
                <w:rStyle w:val="Hyperlink"/>
                <w:noProof/>
              </w:rPr>
              <w:t>1.1.2.4</w:t>
            </w:r>
            <w:r w:rsidR="00575816">
              <w:rPr>
                <w:rFonts w:cstheme="minorBidi"/>
                <w:noProof/>
                <w:szCs w:val="24"/>
              </w:rPr>
              <w:tab/>
            </w:r>
            <w:r w:rsidR="00575816" w:rsidRPr="0079799D">
              <w:rPr>
                <w:rStyle w:val="Hyperlink"/>
                <w:noProof/>
              </w:rPr>
              <w:t>Amyloid-like Peptides for Biomedical Applications</w:t>
            </w:r>
            <w:r w:rsidR="00575816">
              <w:rPr>
                <w:noProof/>
                <w:webHidden/>
              </w:rPr>
              <w:tab/>
            </w:r>
            <w:r w:rsidR="00575816">
              <w:rPr>
                <w:noProof/>
                <w:webHidden/>
              </w:rPr>
              <w:fldChar w:fldCharType="begin"/>
            </w:r>
            <w:r w:rsidR="00575816">
              <w:rPr>
                <w:noProof/>
                <w:webHidden/>
              </w:rPr>
              <w:instrText xml:space="preserve"> PAGEREF _Toc121134616 \h </w:instrText>
            </w:r>
            <w:r w:rsidR="00575816">
              <w:rPr>
                <w:noProof/>
                <w:webHidden/>
              </w:rPr>
            </w:r>
            <w:r w:rsidR="00575816">
              <w:rPr>
                <w:noProof/>
                <w:webHidden/>
              </w:rPr>
              <w:fldChar w:fldCharType="separate"/>
            </w:r>
            <w:r w:rsidR="00785166">
              <w:rPr>
                <w:noProof/>
                <w:webHidden/>
              </w:rPr>
              <w:t>12</w:t>
            </w:r>
            <w:r w:rsidR="00575816">
              <w:rPr>
                <w:noProof/>
                <w:webHidden/>
              </w:rPr>
              <w:fldChar w:fldCharType="end"/>
            </w:r>
          </w:hyperlink>
        </w:p>
        <w:p w14:paraId="232B6292" w14:textId="745B96AA" w:rsidR="00575816" w:rsidRDefault="00000000">
          <w:pPr>
            <w:pStyle w:val="TOC5"/>
            <w:tabs>
              <w:tab w:val="left" w:pos="1749"/>
              <w:tab w:val="right" w:leader="dot" w:pos="9350"/>
            </w:tabs>
            <w:rPr>
              <w:rFonts w:cstheme="minorBidi"/>
              <w:noProof/>
              <w:sz w:val="24"/>
              <w:szCs w:val="24"/>
            </w:rPr>
          </w:pPr>
          <w:hyperlink w:anchor="_Toc121134617" w:history="1">
            <w:r w:rsidR="00575816" w:rsidRPr="0079799D">
              <w:rPr>
                <w:rStyle w:val="Hyperlink"/>
                <w:noProof/>
              </w:rPr>
              <w:t>1.1.2.4.1</w:t>
            </w:r>
            <w:r w:rsidR="00575816">
              <w:rPr>
                <w:rFonts w:cstheme="minorBidi"/>
                <w:noProof/>
                <w:sz w:val="24"/>
                <w:szCs w:val="24"/>
              </w:rPr>
              <w:tab/>
            </w:r>
            <w:r w:rsidR="00575816" w:rsidRPr="0079799D">
              <w:rPr>
                <w:rStyle w:val="Hyperlink"/>
                <w:noProof/>
              </w:rPr>
              <w:t>The Relationship between Aggregation and Toxicity</w:t>
            </w:r>
            <w:r w:rsidR="00575816">
              <w:rPr>
                <w:noProof/>
                <w:webHidden/>
              </w:rPr>
              <w:tab/>
            </w:r>
            <w:r w:rsidR="00575816">
              <w:rPr>
                <w:noProof/>
                <w:webHidden/>
              </w:rPr>
              <w:fldChar w:fldCharType="begin"/>
            </w:r>
            <w:r w:rsidR="00575816">
              <w:rPr>
                <w:noProof/>
                <w:webHidden/>
              </w:rPr>
              <w:instrText xml:space="preserve"> PAGEREF _Toc121134617 \h </w:instrText>
            </w:r>
            <w:r w:rsidR="00575816">
              <w:rPr>
                <w:noProof/>
                <w:webHidden/>
              </w:rPr>
            </w:r>
            <w:r w:rsidR="00575816">
              <w:rPr>
                <w:noProof/>
                <w:webHidden/>
              </w:rPr>
              <w:fldChar w:fldCharType="separate"/>
            </w:r>
            <w:r w:rsidR="00785166">
              <w:rPr>
                <w:noProof/>
                <w:webHidden/>
              </w:rPr>
              <w:t>14</w:t>
            </w:r>
            <w:r w:rsidR="00575816">
              <w:rPr>
                <w:noProof/>
                <w:webHidden/>
              </w:rPr>
              <w:fldChar w:fldCharType="end"/>
            </w:r>
          </w:hyperlink>
        </w:p>
        <w:p w14:paraId="5271504F" w14:textId="12862195" w:rsidR="00575816" w:rsidRDefault="00000000">
          <w:pPr>
            <w:pStyle w:val="TOC2"/>
            <w:tabs>
              <w:tab w:val="left" w:pos="800"/>
              <w:tab w:val="right" w:leader="dot" w:pos="9350"/>
            </w:tabs>
            <w:rPr>
              <w:rFonts w:cstheme="minorBidi"/>
              <w:iCs w:val="0"/>
              <w:noProof/>
              <w:szCs w:val="24"/>
            </w:rPr>
          </w:pPr>
          <w:hyperlink w:anchor="_Toc121134618" w:history="1">
            <w:r w:rsidR="00575816" w:rsidRPr="0079799D">
              <w:rPr>
                <w:rStyle w:val="Hyperlink"/>
                <w:noProof/>
              </w:rPr>
              <w:t>1.2</w:t>
            </w:r>
            <w:r w:rsidR="00575816">
              <w:rPr>
                <w:rFonts w:cstheme="minorBidi"/>
                <w:iCs w:val="0"/>
                <w:noProof/>
                <w:szCs w:val="24"/>
              </w:rPr>
              <w:tab/>
            </w:r>
            <w:r w:rsidR="00575816" w:rsidRPr="0079799D">
              <w:rPr>
                <w:rStyle w:val="Hyperlink"/>
                <w:noProof/>
              </w:rPr>
              <w:t>Characterization Techniques of Peptide Assembly</w:t>
            </w:r>
            <w:r w:rsidR="00575816">
              <w:rPr>
                <w:noProof/>
                <w:webHidden/>
              </w:rPr>
              <w:tab/>
            </w:r>
            <w:r w:rsidR="00575816">
              <w:rPr>
                <w:noProof/>
                <w:webHidden/>
              </w:rPr>
              <w:fldChar w:fldCharType="begin"/>
            </w:r>
            <w:r w:rsidR="00575816">
              <w:rPr>
                <w:noProof/>
                <w:webHidden/>
              </w:rPr>
              <w:instrText xml:space="preserve"> PAGEREF _Toc121134618 \h </w:instrText>
            </w:r>
            <w:r w:rsidR="00575816">
              <w:rPr>
                <w:noProof/>
                <w:webHidden/>
              </w:rPr>
            </w:r>
            <w:r w:rsidR="00575816">
              <w:rPr>
                <w:noProof/>
                <w:webHidden/>
              </w:rPr>
              <w:fldChar w:fldCharType="separate"/>
            </w:r>
            <w:r w:rsidR="00785166">
              <w:rPr>
                <w:noProof/>
                <w:webHidden/>
              </w:rPr>
              <w:t>16</w:t>
            </w:r>
            <w:r w:rsidR="00575816">
              <w:rPr>
                <w:noProof/>
                <w:webHidden/>
              </w:rPr>
              <w:fldChar w:fldCharType="end"/>
            </w:r>
          </w:hyperlink>
        </w:p>
        <w:p w14:paraId="6022B54C" w14:textId="5B0D3A8C" w:rsidR="00575816" w:rsidRDefault="00000000">
          <w:pPr>
            <w:pStyle w:val="TOC3"/>
            <w:tabs>
              <w:tab w:val="left" w:pos="1200"/>
              <w:tab w:val="right" w:leader="dot" w:pos="9350"/>
            </w:tabs>
            <w:rPr>
              <w:rFonts w:cstheme="minorBidi"/>
              <w:noProof/>
              <w:szCs w:val="24"/>
            </w:rPr>
          </w:pPr>
          <w:hyperlink w:anchor="_Toc121134619" w:history="1">
            <w:r w:rsidR="00575816" w:rsidRPr="0079799D">
              <w:rPr>
                <w:rStyle w:val="Hyperlink"/>
                <w:rFonts w:eastAsia="EB Garamond"/>
                <w:noProof/>
              </w:rPr>
              <w:t>1.2.1</w:t>
            </w:r>
            <w:r w:rsidR="00575816">
              <w:rPr>
                <w:rFonts w:cstheme="minorBidi"/>
                <w:noProof/>
                <w:szCs w:val="24"/>
              </w:rPr>
              <w:tab/>
            </w:r>
            <w:r w:rsidR="00575816" w:rsidRPr="0079799D">
              <w:rPr>
                <w:rStyle w:val="Hyperlink"/>
                <w:rFonts w:eastAsia="EB Garamond"/>
                <w:noProof/>
              </w:rPr>
              <w:t>Spectroscopic Methods</w:t>
            </w:r>
            <w:r w:rsidR="00575816">
              <w:rPr>
                <w:noProof/>
                <w:webHidden/>
              </w:rPr>
              <w:tab/>
            </w:r>
            <w:r w:rsidR="00575816">
              <w:rPr>
                <w:noProof/>
                <w:webHidden/>
              </w:rPr>
              <w:fldChar w:fldCharType="begin"/>
            </w:r>
            <w:r w:rsidR="00575816">
              <w:rPr>
                <w:noProof/>
                <w:webHidden/>
              </w:rPr>
              <w:instrText xml:space="preserve"> PAGEREF _Toc121134619 \h </w:instrText>
            </w:r>
            <w:r w:rsidR="00575816">
              <w:rPr>
                <w:noProof/>
                <w:webHidden/>
              </w:rPr>
            </w:r>
            <w:r w:rsidR="00575816">
              <w:rPr>
                <w:noProof/>
                <w:webHidden/>
              </w:rPr>
              <w:fldChar w:fldCharType="separate"/>
            </w:r>
            <w:r w:rsidR="00785166">
              <w:rPr>
                <w:noProof/>
                <w:webHidden/>
              </w:rPr>
              <w:t>16</w:t>
            </w:r>
            <w:r w:rsidR="00575816">
              <w:rPr>
                <w:noProof/>
                <w:webHidden/>
              </w:rPr>
              <w:fldChar w:fldCharType="end"/>
            </w:r>
          </w:hyperlink>
        </w:p>
        <w:p w14:paraId="2E921334" w14:textId="05DB9326" w:rsidR="00575816" w:rsidRDefault="00000000">
          <w:pPr>
            <w:pStyle w:val="TOC3"/>
            <w:tabs>
              <w:tab w:val="left" w:pos="1200"/>
              <w:tab w:val="right" w:leader="dot" w:pos="9350"/>
            </w:tabs>
            <w:rPr>
              <w:rFonts w:cstheme="minorBidi"/>
              <w:noProof/>
              <w:szCs w:val="24"/>
            </w:rPr>
          </w:pPr>
          <w:hyperlink w:anchor="_Toc121134620" w:history="1">
            <w:r w:rsidR="00575816" w:rsidRPr="0079799D">
              <w:rPr>
                <w:rStyle w:val="Hyperlink"/>
                <w:rFonts w:eastAsia="EB Garamond"/>
                <w:noProof/>
              </w:rPr>
              <w:t>1.3.1</w:t>
            </w:r>
            <w:r w:rsidR="00575816">
              <w:rPr>
                <w:rFonts w:cstheme="minorBidi"/>
                <w:noProof/>
                <w:szCs w:val="24"/>
              </w:rPr>
              <w:tab/>
            </w:r>
            <w:r w:rsidR="00575816" w:rsidRPr="0079799D">
              <w:rPr>
                <w:rStyle w:val="Hyperlink"/>
                <w:rFonts w:eastAsia="EB Garamond"/>
                <w:noProof/>
              </w:rPr>
              <w:t>Fluorescence-based Methods</w:t>
            </w:r>
            <w:r w:rsidR="00575816">
              <w:rPr>
                <w:noProof/>
                <w:webHidden/>
              </w:rPr>
              <w:tab/>
            </w:r>
            <w:r w:rsidR="00575816">
              <w:rPr>
                <w:noProof/>
                <w:webHidden/>
              </w:rPr>
              <w:fldChar w:fldCharType="begin"/>
            </w:r>
            <w:r w:rsidR="00575816">
              <w:rPr>
                <w:noProof/>
                <w:webHidden/>
              </w:rPr>
              <w:instrText xml:space="preserve"> PAGEREF _Toc121134620 \h </w:instrText>
            </w:r>
            <w:r w:rsidR="00575816">
              <w:rPr>
                <w:noProof/>
                <w:webHidden/>
              </w:rPr>
            </w:r>
            <w:r w:rsidR="00575816">
              <w:rPr>
                <w:noProof/>
                <w:webHidden/>
              </w:rPr>
              <w:fldChar w:fldCharType="separate"/>
            </w:r>
            <w:r w:rsidR="00785166">
              <w:rPr>
                <w:noProof/>
                <w:webHidden/>
              </w:rPr>
              <w:t>19</w:t>
            </w:r>
            <w:r w:rsidR="00575816">
              <w:rPr>
                <w:noProof/>
                <w:webHidden/>
              </w:rPr>
              <w:fldChar w:fldCharType="end"/>
            </w:r>
          </w:hyperlink>
        </w:p>
        <w:p w14:paraId="34F78FA0" w14:textId="0C6A0693" w:rsidR="00575816" w:rsidRDefault="00000000">
          <w:pPr>
            <w:pStyle w:val="TOC1"/>
            <w:tabs>
              <w:tab w:val="right" w:leader="dot" w:pos="9350"/>
            </w:tabs>
            <w:rPr>
              <w:rFonts w:cstheme="minorBidi"/>
              <w:b w:val="0"/>
              <w:bCs w:val="0"/>
              <w:noProof/>
              <w:szCs w:val="24"/>
            </w:rPr>
          </w:pPr>
          <w:hyperlink w:anchor="_Toc121134621" w:history="1">
            <w:r w:rsidR="00575816" w:rsidRPr="0079799D">
              <w:rPr>
                <w:rStyle w:val="Hyperlink"/>
                <w:rFonts w:asciiTheme="majorHAnsi" w:hAnsiTheme="majorHAnsi" w:cstheme="majorHAnsi"/>
                <w:noProof/>
              </w:rPr>
              <w:t>CHAPTER 2. PEPTIDE FRAMEWORK FOR SCREENING THE EFFECT OF AMINO ACIDS ON ASSEMBLY</w:t>
            </w:r>
            <w:r w:rsidR="00575816">
              <w:rPr>
                <w:noProof/>
                <w:webHidden/>
              </w:rPr>
              <w:tab/>
            </w:r>
            <w:r w:rsidR="00575816">
              <w:rPr>
                <w:noProof/>
                <w:webHidden/>
              </w:rPr>
              <w:fldChar w:fldCharType="begin"/>
            </w:r>
            <w:r w:rsidR="00575816">
              <w:rPr>
                <w:noProof/>
                <w:webHidden/>
              </w:rPr>
              <w:instrText xml:space="preserve"> PAGEREF _Toc121134621 \h </w:instrText>
            </w:r>
            <w:r w:rsidR="00575816">
              <w:rPr>
                <w:noProof/>
                <w:webHidden/>
              </w:rPr>
            </w:r>
            <w:r w:rsidR="00575816">
              <w:rPr>
                <w:noProof/>
                <w:webHidden/>
              </w:rPr>
              <w:fldChar w:fldCharType="separate"/>
            </w:r>
            <w:r w:rsidR="00785166">
              <w:rPr>
                <w:noProof/>
                <w:webHidden/>
              </w:rPr>
              <w:t>23</w:t>
            </w:r>
            <w:r w:rsidR="00575816">
              <w:rPr>
                <w:noProof/>
                <w:webHidden/>
              </w:rPr>
              <w:fldChar w:fldCharType="end"/>
            </w:r>
          </w:hyperlink>
        </w:p>
        <w:p w14:paraId="184DCFE2" w14:textId="1F6DC1E5" w:rsidR="00575816" w:rsidRDefault="00000000">
          <w:pPr>
            <w:pStyle w:val="TOC2"/>
            <w:tabs>
              <w:tab w:val="right" w:leader="dot" w:pos="9350"/>
            </w:tabs>
            <w:rPr>
              <w:rFonts w:cstheme="minorBidi"/>
              <w:iCs w:val="0"/>
              <w:noProof/>
              <w:szCs w:val="24"/>
            </w:rPr>
          </w:pPr>
          <w:hyperlink w:anchor="_Toc121134622" w:history="1">
            <w:r w:rsidR="00575816" w:rsidRPr="0079799D">
              <w:rPr>
                <w:rStyle w:val="Hyperlink"/>
                <w:noProof/>
              </w:rPr>
              <w:t>2.1 INTRODUCTION</w:t>
            </w:r>
            <w:r w:rsidR="00575816">
              <w:rPr>
                <w:noProof/>
                <w:webHidden/>
              </w:rPr>
              <w:tab/>
            </w:r>
            <w:r w:rsidR="00575816">
              <w:rPr>
                <w:noProof/>
                <w:webHidden/>
              </w:rPr>
              <w:fldChar w:fldCharType="begin"/>
            </w:r>
            <w:r w:rsidR="00575816">
              <w:rPr>
                <w:noProof/>
                <w:webHidden/>
              </w:rPr>
              <w:instrText xml:space="preserve"> PAGEREF _Toc121134622 \h </w:instrText>
            </w:r>
            <w:r w:rsidR="00575816">
              <w:rPr>
                <w:noProof/>
                <w:webHidden/>
              </w:rPr>
            </w:r>
            <w:r w:rsidR="00575816">
              <w:rPr>
                <w:noProof/>
                <w:webHidden/>
              </w:rPr>
              <w:fldChar w:fldCharType="separate"/>
            </w:r>
            <w:r w:rsidR="00785166">
              <w:rPr>
                <w:noProof/>
                <w:webHidden/>
              </w:rPr>
              <w:t>24</w:t>
            </w:r>
            <w:r w:rsidR="00575816">
              <w:rPr>
                <w:noProof/>
                <w:webHidden/>
              </w:rPr>
              <w:fldChar w:fldCharType="end"/>
            </w:r>
          </w:hyperlink>
        </w:p>
        <w:p w14:paraId="7C2CD402" w14:textId="2A0C2854" w:rsidR="00575816" w:rsidRDefault="00000000">
          <w:pPr>
            <w:pStyle w:val="TOC2"/>
            <w:tabs>
              <w:tab w:val="left" w:pos="800"/>
              <w:tab w:val="right" w:leader="dot" w:pos="9350"/>
            </w:tabs>
            <w:rPr>
              <w:rFonts w:cstheme="minorBidi"/>
              <w:iCs w:val="0"/>
              <w:noProof/>
              <w:szCs w:val="24"/>
            </w:rPr>
          </w:pPr>
          <w:hyperlink w:anchor="_Toc121134623" w:history="1">
            <w:r w:rsidR="00575816" w:rsidRPr="0079799D">
              <w:rPr>
                <w:rStyle w:val="Hyperlink"/>
                <w:noProof/>
              </w:rPr>
              <w:t>2.2</w:t>
            </w:r>
            <w:r w:rsidR="00575816">
              <w:rPr>
                <w:rFonts w:cstheme="minorBidi"/>
                <w:iCs w:val="0"/>
                <w:noProof/>
                <w:szCs w:val="24"/>
              </w:rPr>
              <w:tab/>
            </w:r>
            <w:r w:rsidR="00575816" w:rsidRPr="0079799D">
              <w:rPr>
                <w:rStyle w:val="Hyperlink"/>
                <w:noProof/>
              </w:rPr>
              <w:t>RESULTS</w:t>
            </w:r>
            <w:r w:rsidR="00575816">
              <w:rPr>
                <w:noProof/>
                <w:webHidden/>
              </w:rPr>
              <w:tab/>
            </w:r>
            <w:r w:rsidR="00575816">
              <w:rPr>
                <w:noProof/>
                <w:webHidden/>
              </w:rPr>
              <w:fldChar w:fldCharType="begin"/>
            </w:r>
            <w:r w:rsidR="00575816">
              <w:rPr>
                <w:noProof/>
                <w:webHidden/>
              </w:rPr>
              <w:instrText xml:space="preserve"> PAGEREF _Toc121134623 \h </w:instrText>
            </w:r>
            <w:r w:rsidR="00575816">
              <w:rPr>
                <w:noProof/>
                <w:webHidden/>
              </w:rPr>
            </w:r>
            <w:r w:rsidR="00575816">
              <w:rPr>
                <w:noProof/>
                <w:webHidden/>
              </w:rPr>
              <w:fldChar w:fldCharType="separate"/>
            </w:r>
            <w:r w:rsidR="00785166">
              <w:rPr>
                <w:noProof/>
                <w:webHidden/>
              </w:rPr>
              <w:t>26</w:t>
            </w:r>
            <w:r w:rsidR="00575816">
              <w:rPr>
                <w:noProof/>
                <w:webHidden/>
              </w:rPr>
              <w:fldChar w:fldCharType="end"/>
            </w:r>
          </w:hyperlink>
        </w:p>
        <w:p w14:paraId="5ECE58CB" w14:textId="0CD82615" w:rsidR="00575816" w:rsidRDefault="00000000">
          <w:pPr>
            <w:pStyle w:val="TOC3"/>
            <w:tabs>
              <w:tab w:val="left" w:pos="1200"/>
              <w:tab w:val="right" w:leader="dot" w:pos="9350"/>
            </w:tabs>
            <w:rPr>
              <w:rFonts w:cstheme="minorBidi"/>
              <w:noProof/>
              <w:szCs w:val="24"/>
            </w:rPr>
          </w:pPr>
          <w:hyperlink w:anchor="_Toc121134624" w:history="1">
            <w:r w:rsidR="00575816" w:rsidRPr="0079799D">
              <w:rPr>
                <w:rStyle w:val="Hyperlink"/>
                <w:noProof/>
              </w:rPr>
              <w:t>2.2.1</w:t>
            </w:r>
            <w:r w:rsidR="00575816">
              <w:rPr>
                <w:rFonts w:cstheme="minorBidi"/>
                <w:noProof/>
                <w:szCs w:val="24"/>
              </w:rPr>
              <w:tab/>
            </w:r>
            <w:r w:rsidR="00575816" w:rsidRPr="0079799D">
              <w:rPr>
                <w:rStyle w:val="Hyperlink"/>
                <w:noProof/>
              </w:rPr>
              <w:t>Co-assembled Peptide Design and Validation with Molecular Dynamics</w:t>
            </w:r>
            <w:r w:rsidR="00575816">
              <w:rPr>
                <w:noProof/>
                <w:webHidden/>
              </w:rPr>
              <w:tab/>
            </w:r>
            <w:r w:rsidR="00575816">
              <w:rPr>
                <w:noProof/>
                <w:webHidden/>
              </w:rPr>
              <w:fldChar w:fldCharType="begin"/>
            </w:r>
            <w:r w:rsidR="00575816">
              <w:rPr>
                <w:noProof/>
                <w:webHidden/>
              </w:rPr>
              <w:instrText xml:space="preserve"> PAGEREF _Toc121134624 \h </w:instrText>
            </w:r>
            <w:r w:rsidR="00575816">
              <w:rPr>
                <w:noProof/>
                <w:webHidden/>
              </w:rPr>
            </w:r>
            <w:r w:rsidR="00575816">
              <w:rPr>
                <w:noProof/>
                <w:webHidden/>
              </w:rPr>
              <w:fldChar w:fldCharType="separate"/>
            </w:r>
            <w:r w:rsidR="00785166">
              <w:rPr>
                <w:noProof/>
                <w:webHidden/>
              </w:rPr>
              <w:t>26</w:t>
            </w:r>
            <w:r w:rsidR="00575816">
              <w:rPr>
                <w:noProof/>
                <w:webHidden/>
              </w:rPr>
              <w:fldChar w:fldCharType="end"/>
            </w:r>
          </w:hyperlink>
        </w:p>
        <w:p w14:paraId="2D315E8E" w14:textId="4E0BC5A2" w:rsidR="00575816" w:rsidRDefault="00000000">
          <w:pPr>
            <w:pStyle w:val="TOC3"/>
            <w:tabs>
              <w:tab w:val="left" w:pos="1200"/>
              <w:tab w:val="right" w:leader="dot" w:pos="9350"/>
            </w:tabs>
            <w:rPr>
              <w:rFonts w:cstheme="minorBidi"/>
              <w:noProof/>
              <w:szCs w:val="24"/>
            </w:rPr>
          </w:pPr>
          <w:hyperlink w:anchor="_Toc121134625" w:history="1">
            <w:r w:rsidR="00575816" w:rsidRPr="0079799D">
              <w:rPr>
                <w:rStyle w:val="Hyperlink"/>
                <w:noProof/>
              </w:rPr>
              <w:t>2.2.2</w:t>
            </w:r>
            <w:r w:rsidR="00575816">
              <w:rPr>
                <w:rFonts w:cstheme="minorBidi"/>
                <w:noProof/>
                <w:szCs w:val="24"/>
              </w:rPr>
              <w:tab/>
            </w:r>
            <w:r w:rsidR="00575816" w:rsidRPr="0079799D">
              <w:rPr>
                <w:rStyle w:val="Hyperlink"/>
                <w:noProof/>
              </w:rPr>
              <w:t>Co-assembled Peptide Characterization</w:t>
            </w:r>
            <w:r w:rsidR="00575816">
              <w:rPr>
                <w:noProof/>
                <w:webHidden/>
              </w:rPr>
              <w:tab/>
            </w:r>
            <w:r w:rsidR="00575816">
              <w:rPr>
                <w:noProof/>
                <w:webHidden/>
              </w:rPr>
              <w:fldChar w:fldCharType="begin"/>
            </w:r>
            <w:r w:rsidR="00575816">
              <w:rPr>
                <w:noProof/>
                <w:webHidden/>
              </w:rPr>
              <w:instrText xml:space="preserve"> PAGEREF _Toc121134625 \h </w:instrText>
            </w:r>
            <w:r w:rsidR="00575816">
              <w:rPr>
                <w:noProof/>
                <w:webHidden/>
              </w:rPr>
            </w:r>
            <w:r w:rsidR="00575816">
              <w:rPr>
                <w:noProof/>
                <w:webHidden/>
              </w:rPr>
              <w:fldChar w:fldCharType="separate"/>
            </w:r>
            <w:r w:rsidR="00785166">
              <w:rPr>
                <w:noProof/>
                <w:webHidden/>
              </w:rPr>
              <w:t>37</w:t>
            </w:r>
            <w:r w:rsidR="00575816">
              <w:rPr>
                <w:noProof/>
                <w:webHidden/>
              </w:rPr>
              <w:fldChar w:fldCharType="end"/>
            </w:r>
          </w:hyperlink>
        </w:p>
        <w:p w14:paraId="5A053C42" w14:textId="70AA7B96" w:rsidR="00575816" w:rsidRDefault="00000000">
          <w:pPr>
            <w:pStyle w:val="TOC4"/>
            <w:tabs>
              <w:tab w:val="left" w:pos="1600"/>
              <w:tab w:val="right" w:leader="dot" w:pos="9350"/>
            </w:tabs>
            <w:rPr>
              <w:rFonts w:cstheme="minorBidi"/>
              <w:noProof/>
              <w:szCs w:val="24"/>
            </w:rPr>
          </w:pPr>
          <w:hyperlink w:anchor="_Toc121134626" w:history="1">
            <w:r w:rsidR="00575816" w:rsidRPr="0079799D">
              <w:rPr>
                <w:rStyle w:val="Hyperlink"/>
                <w:noProof/>
              </w:rPr>
              <w:t>2.2.2.1</w:t>
            </w:r>
            <w:r w:rsidR="00575816">
              <w:rPr>
                <w:rFonts w:cstheme="minorBidi"/>
                <w:noProof/>
                <w:szCs w:val="24"/>
              </w:rPr>
              <w:tab/>
            </w:r>
            <w:r w:rsidR="00575816" w:rsidRPr="0079799D">
              <w:rPr>
                <w:rStyle w:val="Hyperlink"/>
                <w:noProof/>
              </w:rPr>
              <w:t>Co-assembly of Peptides into 1D Structures</w:t>
            </w:r>
            <w:r w:rsidR="00575816">
              <w:rPr>
                <w:noProof/>
                <w:webHidden/>
              </w:rPr>
              <w:tab/>
            </w:r>
            <w:r w:rsidR="00575816">
              <w:rPr>
                <w:noProof/>
                <w:webHidden/>
              </w:rPr>
              <w:fldChar w:fldCharType="begin"/>
            </w:r>
            <w:r w:rsidR="00575816">
              <w:rPr>
                <w:noProof/>
                <w:webHidden/>
              </w:rPr>
              <w:instrText xml:space="preserve"> PAGEREF _Toc121134626 \h </w:instrText>
            </w:r>
            <w:r w:rsidR="00575816">
              <w:rPr>
                <w:noProof/>
                <w:webHidden/>
              </w:rPr>
            </w:r>
            <w:r w:rsidR="00575816">
              <w:rPr>
                <w:noProof/>
                <w:webHidden/>
              </w:rPr>
              <w:fldChar w:fldCharType="separate"/>
            </w:r>
            <w:r w:rsidR="00785166">
              <w:rPr>
                <w:noProof/>
                <w:webHidden/>
              </w:rPr>
              <w:t>37</w:t>
            </w:r>
            <w:r w:rsidR="00575816">
              <w:rPr>
                <w:noProof/>
                <w:webHidden/>
              </w:rPr>
              <w:fldChar w:fldCharType="end"/>
            </w:r>
          </w:hyperlink>
        </w:p>
        <w:p w14:paraId="15E5A58B" w14:textId="50973D04" w:rsidR="00575816" w:rsidRDefault="00000000">
          <w:pPr>
            <w:pStyle w:val="TOC4"/>
            <w:tabs>
              <w:tab w:val="left" w:pos="1600"/>
              <w:tab w:val="right" w:leader="dot" w:pos="9350"/>
            </w:tabs>
            <w:rPr>
              <w:rFonts w:cstheme="minorBidi"/>
              <w:noProof/>
              <w:szCs w:val="24"/>
            </w:rPr>
          </w:pPr>
          <w:hyperlink w:anchor="_Toc121134627" w:history="1">
            <w:r w:rsidR="00575816" w:rsidRPr="0079799D">
              <w:rPr>
                <w:rStyle w:val="Hyperlink"/>
                <w:noProof/>
              </w:rPr>
              <w:t>2.2.2.2</w:t>
            </w:r>
            <w:r w:rsidR="00575816">
              <w:rPr>
                <w:rFonts w:cstheme="minorBidi"/>
                <w:noProof/>
                <w:szCs w:val="24"/>
              </w:rPr>
              <w:tab/>
            </w:r>
            <w:r w:rsidR="00575816" w:rsidRPr="0079799D">
              <w:rPr>
                <w:rStyle w:val="Hyperlink"/>
                <w:noProof/>
              </w:rPr>
              <w:t>Characterization of Assembly Kinetics and Mechanism</w:t>
            </w:r>
            <w:r w:rsidR="00575816">
              <w:rPr>
                <w:noProof/>
                <w:webHidden/>
              </w:rPr>
              <w:tab/>
            </w:r>
            <w:r w:rsidR="00575816">
              <w:rPr>
                <w:noProof/>
                <w:webHidden/>
              </w:rPr>
              <w:fldChar w:fldCharType="begin"/>
            </w:r>
            <w:r w:rsidR="00575816">
              <w:rPr>
                <w:noProof/>
                <w:webHidden/>
              </w:rPr>
              <w:instrText xml:space="preserve"> PAGEREF _Toc121134627 \h </w:instrText>
            </w:r>
            <w:r w:rsidR="00575816">
              <w:rPr>
                <w:noProof/>
                <w:webHidden/>
              </w:rPr>
            </w:r>
            <w:r w:rsidR="00575816">
              <w:rPr>
                <w:noProof/>
                <w:webHidden/>
              </w:rPr>
              <w:fldChar w:fldCharType="separate"/>
            </w:r>
            <w:r w:rsidR="00785166">
              <w:rPr>
                <w:noProof/>
                <w:webHidden/>
              </w:rPr>
              <w:t>38</w:t>
            </w:r>
            <w:r w:rsidR="00575816">
              <w:rPr>
                <w:noProof/>
                <w:webHidden/>
              </w:rPr>
              <w:fldChar w:fldCharType="end"/>
            </w:r>
          </w:hyperlink>
        </w:p>
        <w:p w14:paraId="260C78C0" w14:textId="625B7DD1" w:rsidR="00575816" w:rsidRDefault="00000000">
          <w:pPr>
            <w:pStyle w:val="TOC4"/>
            <w:tabs>
              <w:tab w:val="left" w:pos="1600"/>
              <w:tab w:val="right" w:leader="dot" w:pos="9350"/>
            </w:tabs>
            <w:rPr>
              <w:rFonts w:cstheme="minorBidi"/>
              <w:noProof/>
              <w:szCs w:val="24"/>
            </w:rPr>
          </w:pPr>
          <w:hyperlink w:anchor="_Toc121134628" w:history="1">
            <w:r w:rsidR="00575816" w:rsidRPr="0079799D">
              <w:rPr>
                <w:rStyle w:val="Hyperlink"/>
                <w:noProof/>
              </w:rPr>
              <w:t>2.2.2.3</w:t>
            </w:r>
            <w:r w:rsidR="00575816">
              <w:rPr>
                <w:rFonts w:cstheme="minorBidi"/>
                <w:noProof/>
                <w:szCs w:val="24"/>
              </w:rPr>
              <w:tab/>
            </w:r>
            <w:r w:rsidR="00575816" w:rsidRPr="0079799D">
              <w:rPr>
                <w:rStyle w:val="Hyperlink"/>
                <w:noProof/>
              </w:rPr>
              <w:t>Secondary Structure Analysis of 1D Structures</w:t>
            </w:r>
            <w:r w:rsidR="00575816">
              <w:rPr>
                <w:noProof/>
                <w:webHidden/>
              </w:rPr>
              <w:tab/>
            </w:r>
            <w:r w:rsidR="00575816">
              <w:rPr>
                <w:noProof/>
                <w:webHidden/>
              </w:rPr>
              <w:fldChar w:fldCharType="begin"/>
            </w:r>
            <w:r w:rsidR="00575816">
              <w:rPr>
                <w:noProof/>
                <w:webHidden/>
              </w:rPr>
              <w:instrText xml:space="preserve"> PAGEREF _Toc121134628 \h </w:instrText>
            </w:r>
            <w:r w:rsidR="00575816">
              <w:rPr>
                <w:noProof/>
                <w:webHidden/>
              </w:rPr>
            </w:r>
            <w:r w:rsidR="00575816">
              <w:rPr>
                <w:noProof/>
                <w:webHidden/>
              </w:rPr>
              <w:fldChar w:fldCharType="separate"/>
            </w:r>
            <w:r w:rsidR="00785166">
              <w:rPr>
                <w:noProof/>
                <w:webHidden/>
              </w:rPr>
              <w:t>43</w:t>
            </w:r>
            <w:r w:rsidR="00575816">
              <w:rPr>
                <w:noProof/>
                <w:webHidden/>
              </w:rPr>
              <w:fldChar w:fldCharType="end"/>
            </w:r>
          </w:hyperlink>
        </w:p>
        <w:p w14:paraId="47811A84" w14:textId="156A5EB1" w:rsidR="00575816" w:rsidRDefault="00000000">
          <w:pPr>
            <w:pStyle w:val="TOC3"/>
            <w:tabs>
              <w:tab w:val="left" w:pos="1200"/>
              <w:tab w:val="right" w:leader="dot" w:pos="9350"/>
            </w:tabs>
            <w:rPr>
              <w:rFonts w:cstheme="minorBidi"/>
              <w:noProof/>
              <w:szCs w:val="24"/>
            </w:rPr>
          </w:pPr>
          <w:hyperlink w:anchor="_Toc121134629" w:history="1">
            <w:r w:rsidR="00575816" w:rsidRPr="0079799D">
              <w:rPr>
                <w:rStyle w:val="Hyperlink"/>
                <w:noProof/>
              </w:rPr>
              <w:t>2.2.3</w:t>
            </w:r>
            <w:r w:rsidR="00575816">
              <w:rPr>
                <w:rFonts w:cstheme="minorBidi"/>
                <w:noProof/>
                <w:szCs w:val="24"/>
              </w:rPr>
              <w:tab/>
            </w:r>
            <w:r w:rsidR="00575816" w:rsidRPr="0079799D">
              <w:rPr>
                <w:rStyle w:val="Hyperlink"/>
                <w:noProof/>
              </w:rPr>
              <w:t>Mechanical Properties of Co-assembled Peptides</w:t>
            </w:r>
            <w:r w:rsidR="00575816">
              <w:rPr>
                <w:noProof/>
                <w:webHidden/>
              </w:rPr>
              <w:tab/>
            </w:r>
            <w:r w:rsidR="00575816">
              <w:rPr>
                <w:noProof/>
                <w:webHidden/>
              </w:rPr>
              <w:fldChar w:fldCharType="begin"/>
            </w:r>
            <w:r w:rsidR="00575816">
              <w:rPr>
                <w:noProof/>
                <w:webHidden/>
              </w:rPr>
              <w:instrText xml:space="preserve"> PAGEREF _Toc121134629 \h </w:instrText>
            </w:r>
            <w:r w:rsidR="00575816">
              <w:rPr>
                <w:noProof/>
                <w:webHidden/>
              </w:rPr>
            </w:r>
            <w:r w:rsidR="00575816">
              <w:rPr>
                <w:noProof/>
                <w:webHidden/>
              </w:rPr>
              <w:fldChar w:fldCharType="separate"/>
            </w:r>
            <w:r w:rsidR="00785166">
              <w:rPr>
                <w:noProof/>
                <w:webHidden/>
              </w:rPr>
              <w:t>47</w:t>
            </w:r>
            <w:r w:rsidR="00575816">
              <w:rPr>
                <w:noProof/>
                <w:webHidden/>
              </w:rPr>
              <w:fldChar w:fldCharType="end"/>
            </w:r>
          </w:hyperlink>
        </w:p>
        <w:p w14:paraId="3EE31FB5" w14:textId="44AD6842" w:rsidR="00575816" w:rsidRDefault="00000000">
          <w:pPr>
            <w:pStyle w:val="TOC2"/>
            <w:tabs>
              <w:tab w:val="left" w:pos="800"/>
              <w:tab w:val="right" w:leader="dot" w:pos="9350"/>
            </w:tabs>
            <w:rPr>
              <w:rFonts w:cstheme="minorBidi"/>
              <w:iCs w:val="0"/>
              <w:noProof/>
              <w:szCs w:val="24"/>
            </w:rPr>
          </w:pPr>
          <w:hyperlink w:anchor="_Toc121134630" w:history="1">
            <w:r w:rsidR="00575816" w:rsidRPr="0079799D">
              <w:rPr>
                <w:rStyle w:val="Hyperlink"/>
                <w:noProof/>
              </w:rPr>
              <w:t>2.3</w:t>
            </w:r>
            <w:r w:rsidR="00575816">
              <w:rPr>
                <w:rFonts w:cstheme="minorBidi"/>
                <w:iCs w:val="0"/>
                <w:noProof/>
                <w:szCs w:val="24"/>
              </w:rPr>
              <w:tab/>
            </w:r>
            <w:r w:rsidR="00575816" w:rsidRPr="0079799D">
              <w:rPr>
                <w:rStyle w:val="Hyperlink"/>
                <w:noProof/>
              </w:rPr>
              <w:t>DISCUSSION</w:t>
            </w:r>
            <w:r w:rsidR="00575816">
              <w:rPr>
                <w:noProof/>
                <w:webHidden/>
              </w:rPr>
              <w:tab/>
            </w:r>
            <w:r w:rsidR="00575816">
              <w:rPr>
                <w:noProof/>
                <w:webHidden/>
              </w:rPr>
              <w:fldChar w:fldCharType="begin"/>
            </w:r>
            <w:r w:rsidR="00575816">
              <w:rPr>
                <w:noProof/>
                <w:webHidden/>
              </w:rPr>
              <w:instrText xml:space="preserve"> PAGEREF _Toc121134630 \h </w:instrText>
            </w:r>
            <w:r w:rsidR="00575816">
              <w:rPr>
                <w:noProof/>
                <w:webHidden/>
              </w:rPr>
            </w:r>
            <w:r w:rsidR="00575816">
              <w:rPr>
                <w:noProof/>
                <w:webHidden/>
              </w:rPr>
              <w:fldChar w:fldCharType="separate"/>
            </w:r>
            <w:r w:rsidR="00785166">
              <w:rPr>
                <w:noProof/>
                <w:webHidden/>
              </w:rPr>
              <w:t>51</w:t>
            </w:r>
            <w:r w:rsidR="00575816">
              <w:rPr>
                <w:noProof/>
                <w:webHidden/>
              </w:rPr>
              <w:fldChar w:fldCharType="end"/>
            </w:r>
          </w:hyperlink>
        </w:p>
        <w:p w14:paraId="2A442FDB" w14:textId="5CC77075" w:rsidR="00575816" w:rsidRDefault="00000000">
          <w:pPr>
            <w:pStyle w:val="TOC2"/>
            <w:tabs>
              <w:tab w:val="left" w:pos="800"/>
              <w:tab w:val="right" w:leader="dot" w:pos="9350"/>
            </w:tabs>
            <w:rPr>
              <w:rFonts w:cstheme="minorBidi"/>
              <w:iCs w:val="0"/>
              <w:noProof/>
              <w:szCs w:val="24"/>
            </w:rPr>
          </w:pPr>
          <w:hyperlink w:anchor="_Toc121134631" w:history="1">
            <w:r w:rsidR="00575816" w:rsidRPr="0079799D">
              <w:rPr>
                <w:rStyle w:val="Hyperlink"/>
                <w:noProof/>
              </w:rPr>
              <w:t>2.4</w:t>
            </w:r>
            <w:r w:rsidR="00575816">
              <w:rPr>
                <w:rFonts w:cstheme="minorBidi"/>
                <w:iCs w:val="0"/>
                <w:noProof/>
                <w:szCs w:val="24"/>
              </w:rPr>
              <w:tab/>
            </w:r>
            <w:r w:rsidR="00575816" w:rsidRPr="0079799D">
              <w:rPr>
                <w:rStyle w:val="Hyperlink"/>
                <w:noProof/>
              </w:rPr>
              <w:t>CONCLUSIONS</w:t>
            </w:r>
            <w:r w:rsidR="00575816">
              <w:rPr>
                <w:noProof/>
                <w:webHidden/>
              </w:rPr>
              <w:tab/>
            </w:r>
            <w:r w:rsidR="00575816">
              <w:rPr>
                <w:noProof/>
                <w:webHidden/>
              </w:rPr>
              <w:fldChar w:fldCharType="begin"/>
            </w:r>
            <w:r w:rsidR="00575816">
              <w:rPr>
                <w:noProof/>
                <w:webHidden/>
              </w:rPr>
              <w:instrText xml:space="preserve"> PAGEREF _Toc121134631 \h </w:instrText>
            </w:r>
            <w:r w:rsidR="00575816">
              <w:rPr>
                <w:noProof/>
                <w:webHidden/>
              </w:rPr>
            </w:r>
            <w:r w:rsidR="00575816">
              <w:rPr>
                <w:noProof/>
                <w:webHidden/>
              </w:rPr>
              <w:fldChar w:fldCharType="separate"/>
            </w:r>
            <w:r w:rsidR="00785166">
              <w:rPr>
                <w:noProof/>
                <w:webHidden/>
              </w:rPr>
              <w:t>57</w:t>
            </w:r>
            <w:r w:rsidR="00575816">
              <w:rPr>
                <w:noProof/>
                <w:webHidden/>
              </w:rPr>
              <w:fldChar w:fldCharType="end"/>
            </w:r>
          </w:hyperlink>
        </w:p>
        <w:p w14:paraId="14ECBAE1" w14:textId="2121272C" w:rsidR="00575816" w:rsidRDefault="00000000">
          <w:pPr>
            <w:pStyle w:val="TOC2"/>
            <w:tabs>
              <w:tab w:val="left" w:pos="800"/>
              <w:tab w:val="right" w:leader="dot" w:pos="9350"/>
            </w:tabs>
            <w:rPr>
              <w:rFonts w:cstheme="minorBidi"/>
              <w:iCs w:val="0"/>
              <w:noProof/>
              <w:szCs w:val="24"/>
            </w:rPr>
          </w:pPr>
          <w:hyperlink w:anchor="_Toc121134632" w:history="1">
            <w:r w:rsidR="00575816" w:rsidRPr="0079799D">
              <w:rPr>
                <w:rStyle w:val="Hyperlink"/>
                <w:noProof/>
              </w:rPr>
              <w:t>2.5</w:t>
            </w:r>
            <w:r w:rsidR="00575816">
              <w:rPr>
                <w:rFonts w:cstheme="minorBidi"/>
                <w:iCs w:val="0"/>
                <w:noProof/>
                <w:szCs w:val="24"/>
              </w:rPr>
              <w:tab/>
            </w:r>
            <w:r w:rsidR="00575816" w:rsidRPr="0079799D">
              <w:rPr>
                <w:rStyle w:val="Hyperlink"/>
                <w:noProof/>
              </w:rPr>
              <w:t>MATERIALS AND METHODS</w:t>
            </w:r>
            <w:r w:rsidR="00575816">
              <w:rPr>
                <w:noProof/>
                <w:webHidden/>
              </w:rPr>
              <w:tab/>
            </w:r>
            <w:r w:rsidR="00575816">
              <w:rPr>
                <w:noProof/>
                <w:webHidden/>
              </w:rPr>
              <w:fldChar w:fldCharType="begin"/>
            </w:r>
            <w:r w:rsidR="00575816">
              <w:rPr>
                <w:noProof/>
                <w:webHidden/>
              </w:rPr>
              <w:instrText xml:space="preserve"> PAGEREF _Toc121134632 \h </w:instrText>
            </w:r>
            <w:r w:rsidR="00575816">
              <w:rPr>
                <w:noProof/>
                <w:webHidden/>
              </w:rPr>
            </w:r>
            <w:r w:rsidR="00575816">
              <w:rPr>
                <w:noProof/>
                <w:webHidden/>
              </w:rPr>
              <w:fldChar w:fldCharType="separate"/>
            </w:r>
            <w:r w:rsidR="00785166">
              <w:rPr>
                <w:noProof/>
                <w:webHidden/>
              </w:rPr>
              <w:t>59</w:t>
            </w:r>
            <w:r w:rsidR="00575816">
              <w:rPr>
                <w:noProof/>
                <w:webHidden/>
              </w:rPr>
              <w:fldChar w:fldCharType="end"/>
            </w:r>
          </w:hyperlink>
        </w:p>
        <w:p w14:paraId="58CA06CE" w14:textId="6814B07F" w:rsidR="00575816" w:rsidRDefault="00000000">
          <w:pPr>
            <w:pStyle w:val="TOC1"/>
            <w:tabs>
              <w:tab w:val="right" w:leader="dot" w:pos="9350"/>
            </w:tabs>
            <w:rPr>
              <w:rFonts w:cstheme="minorBidi"/>
              <w:b w:val="0"/>
              <w:bCs w:val="0"/>
              <w:noProof/>
              <w:szCs w:val="24"/>
            </w:rPr>
          </w:pPr>
          <w:hyperlink w:anchor="_Toc121134633" w:history="1">
            <w:r w:rsidR="00575816" w:rsidRPr="0079799D">
              <w:rPr>
                <w:rStyle w:val="Hyperlink"/>
                <w:noProof/>
              </w:rPr>
              <w:t>CHAPTER 3. CONTROLLABLE MEMBRANE DAMAGE BY TUNABLE AGGREGATION</w:t>
            </w:r>
            <w:r w:rsidR="00575816">
              <w:rPr>
                <w:noProof/>
                <w:webHidden/>
              </w:rPr>
              <w:tab/>
            </w:r>
            <w:r w:rsidR="00575816">
              <w:rPr>
                <w:noProof/>
                <w:webHidden/>
              </w:rPr>
              <w:fldChar w:fldCharType="begin"/>
            </w:r>
            <w:r w:rsidR="00575816">
              <w:rPr>
                <w:noProof/>
                <w:webHidden/>
              </w:rPr>
              <w:instrText xml:space="preserve"> PAGEREF _Toc121134633 \h </w:instrText>
            </w:r>
            <w:r w:rsidR="00575816">
              <w:rPr>
                <w:noProof/>
                <w:webHidden/>
              </w:rPr>
            </w:r>
            <w:r w:rsidR="00575816">
              <w:rPr>
                <w:noProof/>
                <w:webHidden/>
              </w:rPr>
              <w:fldChar w:fldCharType="separate"/>
            </w:r>
            <w:r w:rsidR="00785166">
              <w:rPr>
                <w:noProof/>
                <w:webHidden/>
              </w:rPr>
              <w:t>64</w:t>
            </w:r>
            <w:r w:rsidR="00575816">
              <w:rPr>
                <w:noProof/>
                <w:webHidden/>
              </w:rPr>
              <w:fldChar w:fldCharType="end"/>
            </w:r>
          </w:hyperlink>
        </w:p>
        <w:p w14:paraId="5973E819" w14:textId="03A54418" w:rsidR="00575816" w:rsidRDefault="00000000">
          <w:pPr>
            <w:pStyle w:val="TOC2"/>
            <w:tabs>
              <w:tab w:val="right" w:leader="dot" w:pos="9350"/>
            </w:tabs>
            <w:rPr>
              <w:rFonts w:cstheme="minorBidi"/>
              <w:iCs w:val="0"/>
              <w:noProof/>
              <w:szCs w:val="24"/>
            </w:rPr>
          </w:pPr>
          <w:hyperlink w:anchor="_Toc121134634" w:history="1">
            <w:r w:rsidR="00575816" w:rsidRPr="0079799D">
              <w:rPr>
                <w:rStyle w:val="Hyperlink"/>
                <w:noProof/>
              </w:rPr>
              <w:t>3.1 INTRODUCTION</w:t>
            </w:r>
            <w:r w:rsidR="00575816">
              <w:rPr>
                <w:noProof/>
                <w:webHidden/>
              </w:rPr>
              <w:tab/>
            </w:r>
            <w:r w:rsidR="00575816">
              <w:rPr>
                <w:noProof/>
                <w:webHidden/>
              </w:rPr>
              <w:fldChar w:fldCharType="begin"/>
            </w:r>
            <w:r w:rsidR="00575816">
              <w:rPr>
                <w:noProof/>
                <w:webHidden/>
              </w:rPr>
              <w:instrText xml:space="preserve"> PAGEREF _Toc121134634 \h </w:instrText>
            </w:r>
            <w:r w:rsidR="00575816">
              <w:rPr>
                <w:noProof/>
                <w:webHidden/>
              </w:rPr>
            </w:r>
            <w:r w:rsidR="00575816">
              <w:rPr>
                <w:noProof/>
                <w:webHidden/>
              </w:rPr>
              <w:fldChar w:fldCharType="separate"/>
            </w:r>
            <w:r w:rsidR="00785166">
              <w:rPr>
                <w:noProof/>
                <w:webHidden/>
              </w:rPr>
              <w:t>65</w:t>
            </w:r>
            <w:r w:rsidR="00575816">
              <w:rPr>
                <w:noProof/>
                <w:webHidden/>
              </w:rPr>
              <w:fldChar w:fldCharType="end"/>
            </w:r>
          </w:hyperlink>
        </w:p>
        <w:p w14:paraId="4E9BEA10" w14:textId="76F952F0" w:rsidR="00575816" w:rsidRDefault="00000000">
          <w:pPr>
            <w:pStyle w:val="TOC2"/>
            <w:tabs>
              <w:tab w:val="left" w:pos="800"/>
              <w:tab w:val="right" w:leader="dot" w:pos="9350"/>
            </w:tabs>
            <w:rPr>
              <w:rFonts w:cstheme="minorBidi"/>
              <w:iCs w:val="0"/>
              <w:noProof/>
              <w:szCs w:val="24"/>
            </w:rPr>
          </w:pPr>
          <w:hyperlink w:anchor="_Toc121134635" w:history="1">
            <w:r w:rsidR="00575816" w:rsidRPr="0079799D">
              <w:rPr>
                <w:rStyle w:val="Hyperlink"/>
                <w:noProof/>
              </w:rPr>
              <w:t>3.2</w:t>
            </w:r>
            <w:r w:rsidR="00575816">
              <w:rPr>
                <w:rFonts w:cstheme="minorBidi"/>
                <w:iCs w:val="0"/>
                <w:noProof/>
                <w:szCs w:val="24"/>
              </w:rPr>
              <w:tab/>
            </w:r>
            <w:r w:rsidR="00575816" w:rsidRPr="0079799D">
              <w:rPr>
                <w:rStyle w:val="Hyperlink"/>
                <w:noProof/>
              </w:rPr>
              <w:t>RESULTS AND DISCUSSION</w:t>
            </w:r>
            <w:r w:rsidR="00575816">
              <w:rPr>
                <w:noProof/>
                <w:webHidden/>
              </w:rPr>
              <w:tab/>
            </w:r>
            <w:r w:rsidR="00575816">
              <w:rPr>
                <w:noProof/>
                <w:webHidden/>
              </w:rPr>
              <w:fldChar w:fldCharType="begin"/>
            </w:r>
            <w:r w:rsidR="00575816">
              <w:rPr>
                <w:noProof/>
                <w:webHidden/>
              </w:rPr>
              <w:instrText xml:space="preserve"> PAGEREF _Toc121134635 \h </w:instrText>
            </w:r>
            <w:r w:rsidR="00575816">
              <w:rPr>
                <w:noProof/>
                <w:webHidden/>
              </w:rPr>
            </w:r>
            <w:r w:rsidR="00575816">
              <w:rPr>
                <w:noProof/>
                <w:webHidden/>
              </w:rPr>
              <w:fldChar w:fldCharType="separate"/>
            </w:r>
            <w:r w:rsidR="00785166">
              <w:rPr>
                <w:noProof/>
                <w:webHidden/>
              </w:rPr>
              <w:t>68</w:t>
            </w:r>
            <w:r w:rsidR="00575816">
              <w:rPr>
                <w:noProof/>
                <w:webHidden/>
              </w:rPr>
              <w:fldChar w:fldCharType="end"/>
            </w:r>
          </w:hyperlink>
        </w:p>
        <w:p w14:paraId="4E6F3FA1" w14:textId="67628786" w:rsidR="00575816" w:rsidRDefault="00000000">
          <w:pPr>
            <w:pStyle w:val="TOC3"/>
            <w:tabs>
              <w:tab w:val="left" w:pos="1200"/>
              <w:tab w:val="right" w:leader="dot" w:pos="9350"/>
            </w:tabs>
            <w:rPr>
              <w:rFonts w:cstheme="minorBidi"/>
              <w:noProof/>
              <w:szCs w:val="24"/>
            </w:rPr>
          </w:pPr>
          <w:hyperlink w:anchor="_Toc121134636" w:history="1">
            <w:r w:rsidR="00575816" w:rsidRPr="0079799D">
              <w:rPr>
                <w:rStyle w:val="Hyperlink"/>
                <w:noProof/>
              </w:rPr>
              <w:t>3.2.1</w:t>
            </w:r>
            <w:r w:rsidR="00575816">
              <w:rPr>
                <w:rFonts w:cstheme="minorBidi"/>
                <w:noProof/>
                <w:szCs w:val="24"/>
              </w:rPr>
              <w:tab/>
            </w:r>
            <w:r w:rsidR="00575816" w:rsidRPr="0079799D">
              <w:rPr>
                <w:rStyle w:val="Hyperlink"/>
                <w:noProof/>
              </w:rPr>
              <w:t>Peptide Design and Aggregation Analysis</w:t>
            </w:r>
            <w:r w:rsidR="00575816">
              <w:rPr>
                <w:noProof/>
                <w:webHidden/>
              </w:rPr>
              <w:tab/>
            </w:r>
            <w:r w:rsidR="00575816">
              <w:rPr>
                <w:noProof/>
                <w:webHidden/>
              </w:rPr>
              <w:fldChar w:fldCharType="begin"/>
            </w:r>
            <w:r w:rsidR="00575816">
              <w:rPr>
                <w:noProof/>
                <w:webHidden/>
              </w:rPr>
              <w:instrText xml:space="preserve"> PAGEREF _Toc121134636 \h </w:instrText>
            </w:r>
            <w:r w:rsidR="00575816">
              <w:rPr>
                <w:noProof/>
                <w:webHidden/>
              </w:rPr>
            </w:r>
            <w:r w:rsidR="00575816">
              <w:rPr>
                <w:noProof/>
                <w:webHidden/>
              </w:rPr>
              <w:fldChar w:fldCharType="separate"/>
            </w:r>
            <w:r w:rsidR="00785166">
              <w:rPr>
                <w:noProof/>
                <w:webHidden/>
              </w:rPr>
              <w:t>68</w:t>
            </w:r>
            <w:r w:rsidR="00575816">
              <w:rPr>
                <w:noProof/>
                <w:webHidden/>
              </w:rPr>
              <w:fldChar w:fldCharType="end"/>
            </w:r>
          </w:hyperlink>
        </w:p>
        <w:p w14:paraId="1CE8D8D6" w14:textId="010F9FD7" w:rsidR="00575816" w:rsidRDefault="00000000">
          <w:pPr>
            <w:pStyle w:val="TOC3"/>
            <w:tabs>
              <w:tab w:val="left" w:pos="1200"/>
              <w:tab w:val="right" w:leader="dot" w:pos="9350"/>
            </w:tabs>
            <w:rPr>
              <w:rFonts w:cstheme="minorBidi"/>
              <w:noProof/>
              <w:szCs w:val="24"/>
            </w:rPr>
          </w:pPr>
          <w:hyperlink w:anchor="_Toc121134637" w:history="1">
            <w:r w:rsidR="00575816" w:rsidRPr="0079799D">
              <w:rPr>
                <w:rStyle w:val="Hyperlink"/>
                <w:noProof/>
              </w:rPr>
              <w:t>3.2.2</w:t>
            </w:r>
            <w:r w:rsidR="00575816">
              <w:rPr>
                <w:rFonts w:cstheme="minorBidi"/>
                <w:noProof/>
                <w:szCs w:val="24"/>
              </w:rPr>
              <w:tab/>
            </w:r>
            <w:r w:rsidR="00575816" w:rsidRPr="0079799D">
              <w:rPr>
                <w:rStyle w:val="Hyperlink"/>
                <w:noProof/>
              </w:rPr>
              <w:t>Cell Viability Analysis</w:t>
            </w:r>
            <w:r w:rsidR="00575816">
              <w:rPr>
                <w:noProof/>
                <w:webHidden/>
              </w:rPr>
              <w:tab/>
            </w:r>
            <w:r w:rsidR="00575816">
              <w:rPr>
                <w:noProof/>
                <w:webHidden/>
              </w:rPr>
              <w:fldChar w:fldCharType="begin"/>
            </w:r>
            <w:r w:rsidR="00575816">
              <w:rPr>
                <w:noProof/>
                <w:webHidden/>
              </w:rPr>
              <w:instrText xml:space="preserve"> PAGEREF _Toc121134637 \h </w:instrText>
            </w:r>
            <w:r w:rsidR="00575816">
              <w:rPr>
                <w:noProof/>
                <w:webHidden/>
              </w:rPr>
            </w:r>
            <w:r w:rsidR="00575816">
              <w:rPr>
                <w:noProof/>
                <w:webHidden/>
              </w:rPr>
              <w:fldChar w:fldCharType="separate"/>
            </w:r>
            <w:r w:rsidR="00785166">
              <w:rPr>
                <w:noProof/>
                <w:webHidden/>
              </w:rPr>
              <w:t>73</w:t>
            </w:r>
            <w:r w:rsidR="00575816">
              <w:rPr>
                <w:noProof/>
                <w:webHidden/>
              </w:rPr>
              <w:fldChar w:fldCharType="end"/>
            </w:r>
          </w:hyperlink>
        </w:p>
        <w:p w14:paraId="2BD338F3" w14:textId="230EC68A" w:rsidR="00575816" w:rsidRDefault="00000000">
          <w:pPr>
            <w:pStyle w:val="TOC3"/>
            <w:tabs>
              <w:tab w:val="left" w:pos="1200"/>
              <w:tab w:val="right" w:leader="dot" w:pos="9350"/>
            </w:tabs>
            <w:rPr>
              <w:rFonts w:cstheme="minorBidi"/>
              <w:noProof/>
              <w:szCs w:val="24"/>
            </w:rPr>
          </w:pPr>
          <w:hyperlink w:anchor="_Toc121134638" w:history="1">
            <w:r w:rsidR="00575816" w:rsidRPr="0079799D">
              <w:rPr>
                <w:rStyle w:val="Hyperlink"/>
                <w:noProof/>
              </w:rPr>
              <w:t>3.2.3</w:t>
            </w:r>
            <w:r w:rsidR="00575816">
              <w:rPr>
                <w:rFonts w:cstheme="minorBidi"/>
                <w:noProof/>
                <w:szCs w:val="24"/>
              </w:rPr>
              <w:tab/>
            </w:r>
            <w:r w:rsidR="00575816" w:rsidRPr="0079799D">
              <w:rPr>
                <w:rStyle w:val="Hyperlink"/>
                <w:noProof/>
              </w:rPr>
              <w:t>Cell Membrane Rupture through Peptide Aggregation</w:t>
            </w:r>
            <w:r w:rsidR="00575816">
              <w:rPr>
                <w:noProof/>
                <w:webHidden/>
              </w:rPr>
              <w:tab/>
            </w:r>
            <w:r w:rsidR="00575816">
              <w:rPr>
                <w:noProof/>
                <w:webHidden/>
              </w:rPr>
              <w:fldChar w:fldCharType="begin"/>
            </w:r>
            <w:r w:rsidR="00575816">
              <w:rPr>
                <w:noProof/>
                <w:webHidden/>
              </w:rPr>
              <w:instrText xml:space="preserve"> PAGEREF _Toc121134638 \h </w:instrText>
            </w:r>
            <w:r w:rsidR="00575816">
              <w:rPr>
                <w:noProof/>
                <w:webHidden/>
              </w:rPr>
            </w:r>
            <w:r w:rsidR="00575816">
              <w:rPr>
                <w:noProof/>
                <w:webHidden/>
              </w:rPr>
              <w:fldChar w:fldCharType="separate"/>
            </w:r>
            <w:r w:rsidR="00785166">
              <w:rPr>
                <w:noProof/>
                <w:webHidden/>
              </w:rPr>
              <w:t>75</w:t>
            </w:r>
            <w:r w:rsidR="00575816">
              <w:rPr>
                <w:noProof/>
                <w:webHidden/>
              </w:rPr>
              <w:fldChar w:fldCharType="end"/>
            </w:r>
          </w:hyperlink>
        </w:p>
        <w:p w14:paraId="613C8663" w14:textId="149CD7E6" w:rsidR="00575816" w:rsidRDefault="00000000">
          <w:pPr>
            <w:pStyle w:val="TOC3"/>
            <w:tabs>
              <w:tab w:val="left" w:pos="1200"/>
              <w:tab w:val="right" w:leader="dot" w:pos="9350"/>
            </w:tabs>
            <w:rPr>
              <w:rFonts w:cstheme="minorBidi"/>
              <w:noProof/>
              <w:szCs w:val="24"/>
            </w:rPr>
          </w:pPr>
          <w:hyperlink w:anchor="_Toc121134639" w:history="1">
            <w:r w:rsidR="00575816" w:rsidRPr="0079799D">
              <w:rPr>
                <w:rStyle w:val="Hyperlink"/>
                <w:noProof/>
              </w:rPr>
              <w:t>3.2.4</w:t>
            </w:r>
            <w:r w:rsidR="00575816">
              <w:rPr>
                <w:rFonts w:cstheme="minorBidi"/>
                <w:noProof/>
                <w:szCs w:val="24"/>
              </w:rPr>
              <w:tab/>
            </w:r>
            <w:r w:rsidR="00575816" w:rsidRPr="0079799D">
              <w:rPr>
                <w:rStyle w:val="Hyperlink"/>
                <w:noProof/>
              </w:rPr>
              <w:t>Integration of [II] Peptides into Liposome Membranes</w:t>
            </w:r>
            <w:r w:rsidR="00575816">
              <w:rPr>
                <w:noProof/>
                <w:webHidden/>
              </w:rPr>
              <w:tab/>
            </w:r>
            <w:r w:rsidR="00575816">
              <w:rPr>
                <w:noProof/>
                <w:webHidden/>
              </w:rPr>
              <w:fldChar w:fldCharType="begin"/>
            </w:r>
            <w:r w:rsidR="00575816">
              <w:rPr>
                <w:noProof/>
                <w:webHidden/>
              </w:rPr>
              <w:instrText xml:space="preserve"> PAGEREF _Toc121134639 \h </w:instrText>
            </w:r>
            <w:r w:rsidR="00575816">
              <w:rPr>
                <w:noProof/>
                <w:webHidden/>
              </w:rPr>
            </w:r>
            <w:r w:rsidR="00575816">
              <w:rPr>
                <w:noProof/>
                <w:webHidden/>
              </w:rPr>
              <w:fldChar w:fldCharType="separate"/>
            </w:r>
            <w:r w:rsidR="00785166">
              <w:rPr>
                <w:noProof/>
                <w:webHidden/>
              </w:rPr>
              <w:t>79</w:t>
            </w:r>
            <w:r w:rsidR="00575816">
              <w:rPr>
                <w:noProof/>
                <w:webHidden/>
              </w:rPr>
              <w:fldChar w:fldCharType="end"/>
            </w:r>
          </w:hyperlink>
        </w:p>
        <w:p w14:paraId="69FC6213" w14:textId="5D643EBC" w:rsidR="00575816" w:rsidRDefault="00000000">
          <w:pPr>
            <w:pStyle w:val="TOC3"/>
            <w:tabs>
              <w:tab w:val="left" w:pos="1200"/>
              <w:tab w:val="right" w:leader="dot" w:pos="9350"/>
            </w:tabs>
            <w:rPr>
              <w:rFonts w:cstheme="minorBidi"/>
              <w:noProof/>
              <w:szCs w:val="24"/>
            </w:rPr>
          </w:pPr>
          <w:hyperlink w:anchor="_Toc121134640" w:history="1">
            <w:r w:rsidR="00575816" w:rsidRPr="0079799D">
              <w:rPr>
                <w:rStyle w:val="Hyperlink"/>
                <w:noProof/>
              </w:rPr>
              <w:t>3.2.5</w:t>
            </w:r>
            <w:r w:rsidR="00575816">
              <w:rPr>
                <w:rFonts w:cstheme="minorBidi"/>
                <w:noProof/>
                <w:szCs w:val="24"/>
              </w:rPr>
              <w:tab/>
            </w:r>
            <w:r w:rsidR="00575816" w:rsidRPr="0079799D">
              <w:rPr>
                <w:rStyle w:val="Hyperlink"/>
                <w:noProof/>
              </w:rPr>
              <w:t>Controlling Peptide Aggregation Kinetics</w:t>
            </w:r>
            <w:r w:rsidR="00575816">
              <w:rPr>
                <w:noProof/>
                <w:webHidden/>
              </w:rPr>
              <w:tab/>
            </w:r>
            <w:r w:rsidR="00575816">
              <w:rPr>
                <w:noProof/>
                <w:webHidden/>
              </w:rPr>
              <w:fldChar w:fldCharType="begin"/>
            </w:r>
            <w:r w:rsidR="00575816">
              <w:rPr>
                <w:noProof/>
                <w:webHidden/>
              </w:rPr>
              <w:instrText xml:space="preserve"> PAGEREF _Toc121134640 \h </w:instrText>
            </w:r>
            <w:r w:rsidR="00575816">
              <w:rPr>
                <w:noProof/>
                <w:webHidden/>
              </w:rPr>
            </w:r>
            <w:r w:rsidR="00575816">
              <w:rPr>
                <w:noProof/>
                <w:webHidden/>
              </w:rPr>
              <w:fldChar w:fldCharType="separate"/>
            </w:r>
            <w:r w:rsidR="00785166">
              <w:rPr>
                <w:noProof/>
                <w:webHidden/>
              </w:rPr>
              <w:t>82</w:t>
            </w:r>
            <w:r w:rsidR="00575816">
              <w:rPr>
                <w:noProof/>
                <w:webHidden/>
              </w:rPr>
              <w:fldChar w:fldCharType="end"/>
            </w:r>
          </w:hyperlink>
        </w:p>
        <w:p w14:paraId="124B5224" w14:textId="27D666B3" w:rsidR="00575816" w:rsidRDefault="00000000">
          <w:pPr>
            <w:pStyle w:val="TOC3"/>
            <w:tabs>
              <w:tab w:val="left" w:pos="1200"/>
              <w:tab w:val="right" w:leader="dot" w:pos="9350"/>
            </w:tabs>
            <w:rPr>
              <w:rFonts w:cstheme="minorBidi"/>
              <w:noProof/>
              <w:szCs w:val="24"/>
            </w:rPr>
          </w:pPr>
          <w:hyperlink w:anchor="_Toc121134641" w:history="1">
            <w:r w:rsidR="00575816" w:rsidRPr="0079799D">
              <w:rPr>
                <w:rStyle w:val="Hyperlink"/>
                <w:noProof/>
              </w:rPr>
              <w:t>3.2.6</w:t>
            </w:r>
            <w:r w:rsidR="00575816">
              <w:rPr>
                <w:rFonts w:cstheme="minorBidi"/>
                <w:noProof/>
                <w:szCs w:val="24"/>
              </w:rPr>
              <w:tab/>
            </w:r>
            <w:r w:rsidR="00575816" w:rsidRPr="0079799D">
              <w:rPr>
                <w:rStyle w:val="Hyperlink"/>
                <w:noProof/>
              </w:rPr>
              <w:t>Delayed Aggregation Increased the Lipid Membrane Integration of [II]</w:t>
            </w:r>
            <w:r w:rsidR="00575816">
              <w:rPr>
                <w:noProof/>
                <w:webHidden/>
              </w:rPr>
              <w:tab/>
            </w:r>
            <w:r w:rsidR="00575816">
              <w:rPr>
                <w:noProof/>
                <w:webHidden/>
              </w:rPr>
              <w:fldChar w:fldCharType="begin"/>
            </w:r>
            <w:r w:rsidR="00575816">
              <w:rPr>
                <w:noProof/>
                <w:webHidden/>
              </w:rPr>
              <w:instrText xml:space="preserve"> PAGEREF _Toc121134641 \h </w:instrText>
            </w:r>
            <w:r w:rsidR="00575816">
              <w:rPr>
                <w:noProof/>
                <w:webHidden/>
              </w:rPr>
            </w:r>
            <w:r w:rsidR="00575816">
              <w:rPr>
                <w:noProof/>
                <w:webHidden/>
              </w:rPr>
              <w:fldChar w:fldCharType="separate"/>
            </w:r>
            <w:r w:rsidR="00785166">
              <w:rPr>
                <w:noProof/>
                <w:webHidden/>
              </w:rPr>
              <w:t>89</w:t>
            </w:r>
            <w:r w:rsidR="00575816">
              <w:rPr>
                <w:noProof/>
                <w:webHidden/>
              </w:rPr>
              <w:fldChar w:fldCharType="end"/>
            </w:r>
          </w:hyperlink>
        </w:p>
        <w:p w14:paraId="6E9ADD62" w14:textId="02851936" w:rsidR="00575816" w:rsidRDefault="00000000">
          <w:pPr>
            <w:pStyle w:val="TOC3"/>
            <w:tabs>
              <w:tab w:val="left" w:pos="1200"/>
              <w:tab w:val="right" w:leader="dot" w:pos="9350"/>
            </w:tabs>
            <w:rPr>
              <w:rFonts w:cstheme="minorBidi"/>
              <w:noProof/>
              <w:szCs w:val="24"/>
            </w:rPr>
          </w:pPr>
          <w:hyperlink w:anchor="_Toc121134642" w:history="1">
            <w:r w:rsidR="00575816" w:rsidRPr="0079799D">
              <w:rPr>
                <w:rStyle w:val="Hyperlink"/>
                <w:noProof/>
              </w:rPr>
              <w:t>3.2.7</w:t>
            </w:r>
            <w:r w:rsidR="00575816">
              <w:rPr>
                <w:rFonts w:cstheme="minorBidi"/>
                <w:noProof/>
                <w:szCs w:val="24"/>
              </w:rPr>
              <w:tab/>
            </w:r>
            <w:r w:rsidR="00575816" w:rsidRPr="0079799D">
              <w:rPr>
                <w:rStyle w:val="Hyperlink"/>
                <w:noProof/>
              </w:rPr>
              <w:t>Fret Analysis for Albumin and [II] Interactions</w:t>
            </w:r>
            <w:r w:rsidR="00575816">
              <w:rPr>
                <w:noProof/>
                <w:webHidden/>
              </w:rPr>
              <w:tab/>
            </w:r>
            <w:r w:rsidR="00575816">
              <w:rPr>
                <w:noProof/>
                <w:webHidden/>
              </w:rPr>
              <w:fldChar w:fldCharType="begin"/>
            </w:r>
            <w:r w:rsidR="00575816">
              <w:rPr>
                <w:noProof/>
                <w:webHidden/>
              </w:rPr>
              <w:instrText xml:space="preserve"> PAGEREF _Toc121134642 \h </w:instrText>
            </w:r>
            <w:r w:rsidR="00575816">
              <w:rPr>
                <w:noProof/>
                <w:webHidden/>
              </w:rPr>
            </w:r>
            <w:r w:rsidR="00575816">
              <w:rPr>
                <w:noProof/>
                <w:webHidden/>
              </w:rPr>
              <w:fldChar w:fldCharType="separate"/>
            </w:r>
            <w:r w:rsidR="00785166">
              <w:rPr>
                <w:noProof/>
                <w:webHidden/>
              </w:rPr>
              <w:t>92</w:t>
            </w:r>
            <w:r w:rsidR="00575816">
              <w:rPr>
                <w:noProof/>
                <w:webHidden/>
              </w:rPr>
              <w:fldChar w:fldCharType="end"/>
            </w:r>
          </w:hyperlink>
        </w:p>
        <w:p w14:paraId="462BDC2E" w14:textId="6A5FE54A" w:rsidR="00575816" w:rsidRDefault="00000000">
          <w:pPr>
            <w:pStyle w:val="TOC3"/>
            <w:tabs>
              <w:tab w:val="left" w:pos="1200"/>
              <w:tab w:val="right" w:leader="dot" w:pos="9350"/>
            </w:tabs>
            <w:rPr>
              <w:rFonts w:cstheme="minorBidi"/>
              <w:noProof/>
              <w:szCs w:val="24"/>
            </w:rPr>
          </w:pPr>
          <w:hyperlink w:anchor="_Toc121134643" w:history="1">
            <w:r w:rsidR="00575816" w:rsidRPr="0079799D">
              <w:rPr>
                <w:rStyle w:val="Hyperlink"/>
                <w:noProof/>
              </w:rPr>
              <w:t>3.2.8</w:t>
            </w:r>
            <w:r w:rsidR="00575816">
              <w:rPr>
                <w:rFonts w:cstheme="minorBidi"/>
                <w:noProof/>
                <w:szCs w:val="24"/>
              </w:rPr>
              <w:tab/>
            </w:r>
            <w:r w:rsidR="00575816" w:rsidRPr="0079799D">
              <w:rPr>
                <w:rStyle w:val="Hyperlink"/>
                <w:noProof/>
              </w:rPr>
              <w:t>Aggregation of [II] Induces Cell Stress</w:t>
            </w:r>
            <w:r w:rsidR="00575816">
              <w:rPr>
                <w:noProof/>
                <w:webHidden/>
              </w:rPr>
              <w:tab/>
            </w:r>
            <w:r w:rsidR="00575816">
              <w:rPr>
                <w:noProof/>
                <w:webHidden/>
              </w:rPr>
              <w:fldChar w:fldCharType="begin"/>
            </w:r>
            <w:r w:rsidR="00575816">
              <w:rPr>
                <w:noProof/>
                <w:webHidden/>
              </w:rPr>
              <w:instrText xml:space="preserve"> PAGEREF _Toc121134643 \h </w:instrText>
            </w:r>
            <w:r w:rsidR="00575816">
              <w:rPr>
                <w:noProof/>
                <w:webHidden/>
              </w:rPr>
            </w:r>
            <w:r w:rsidR="00575816">
              <w:rPr>
                <w:noProof/>
                <w:webHidden/>
              </w:rPr>
              <w:fldChar w:fldCharType="separate"/>
            </w:r>
            <w:r w:rsidR="00785166">
              <w:rPr>
                <w:noProof/>
                <w:webHidden/>
              </w:rPr>
              <w:t>95</w:t>
            </w:r>
            <w:r w:rsidR="00575816">
              <w:rPr>
                <w:noProof/>
                <w:webHidden/>
              </w:rPr>
              <w:fldChar w:fldCharType="end"/>
            </w:r>
          </w:hyperlink>
        </w:p>
        <w:p w14:paraId="1BAAB9FD" w14:textId="3231AA31" w:rsidR="00575816" w:rsidRDefault="00000000">
          <w:pPr>
            <w:pStyle w:val="TOC2"/>
            <w:tabs>
              <w:tab w:val="left" w:pos="800"/>
              <w:tab w:val="right" w:leader="dot" w:pos="9350"/>
            </w:tabs>
            <w:rPr>
              <w:rFonts w:cstheme="minorBidi"/>
              <w:iCs w:val="0"/>
              <w:noProof/>
              <w:szCs w:val="24"/>
            </w:rPr>
          </w:pPr>
          <w:hyperlink w:anchor="_Toc121134644" w:history="1">
            <w:r w:rsidR="00575816" w:rsidRPr="0079799D">
              <w:rPr>
                <w:rStyle w:val="Hyperlink"/>
                <w:noProof/>
              </w:rPr>
              <w:t>3.3</w:t>
            </w:r>
            <w:r w:rsidR="00575816">
              <w:rPr>
                <w:rFonts w:cstheme="minorBidi"/>
                <w:iCs w:val="0"/>
                <w:noProof/>
                <w:szCs w:val="24"/>
              </w:rPr>
              <w:tab/>
            </w:r>
            <w:r w:rsidR="00575816" w:rsidRPr="0079799D">
              <w:rPr>
                <w:rStyle w:val="Hyperlink"/>
                <w:noProof/>
              </w:rPr>
              <w:t>CONCLUSIONS</w:t>
            </w:r>
            <w:r w:rsidR="00575816">
              <w:rPr>
                <w:noProof/>
                <w:webHidden/>
              </w:rPr>
              <w:tab/>
            </w:r>
            <w:r w:rsidR="00575816">
              <w:rPr>
                <w:noProof/>
                <w:webHidden/>
              </w:rPr>
              <w:fldChar w:fldCharType="begin"/>
            </w:r>
            <w:r w:rsidR="00575816">
              <w:rPr>
                <w:noProof/>
                <w:webHidden/>
              </w:rPr>
              <w:instrText xml:space="preserve"> PAGEREF _Toc121134644 \h </w:instrText>
            </w:r>
            <w:r w:rsidR="00575816">
              <w:rPr>
                <w:noProof/>
                <w:webHidden/>
              </w:rPr>
            </w:r>
            <w:r w:rsidR="00575816">
              <w:rPr>
                <w:noProof/>
                <w:webHidden/>
              </w:rPr>
              <w:fldChar w:fldCharType="separate"/>
            </w:r>
            <w:r w:rsidR="00785166">
              <w:rPr>
                <w:noProof/>
                <w:webHidden/>
              </w:rPr>
              <w:t>98</w:t>
            </w:r>
            <w:r w:rsidR="00575816">
              <w:rPr>
                <w:noProof/>
                <w:webHidden/>
              </w:rPr>
              <w:fldChar w:fldCharType="end"/>
            </w:r>
          </w:hyperlink>
        </w:p>
        <w:p w14:paraId="7FADDA40" w14:textId="58D1BCCD" w:rsidR="00575816" w:rsidRDefault="00000000">
          <w:pPr>
            <w:pStyle w:val="TOC2"/>
            <w:tabs>
              <w:tab w:val="left" w:pos="800"/>
              <w:tab w:val="right" w:leader="dot" w:pos="9350"/>
            </w:tabs>
            <w:rPr>
              <w:rFonts w:cstheme="minorBidi"/>
              <w:iCs w:val="0"/>
              <w:noProof/>
              <w:szCs w:val="24"/>
            </w:rPr>
          </w:pPr>
          <w:hyperlink w:anchor="_Toc121134645" w:history="1">
            <w:r w:rsidR="00575816" w:rsidRPr="0079799D">
              <w:rPr>
                <w:rStyle w:val="Hyperlink"/>
                <w:noProof/>
              </w:rPr>
              <w:t>3.4</w:t>
            </w:r>
            <w:r w:rsidR="00575816">
              <w:rPr>
                <w:rFonts w:cstheme="minorBidi"/>
                <w:iCs w:val="0"/>
                <w:noProof/>
                <w:szCs w:val="24"/>
              </w:rPr>
              <w:tab/>
            </w:r>
            <w:r w:rsidR="00575816" w:rsidRPr="0079799D">
              <w:rPr>
                <w:rStyle w:val="Hyperlink"/>
                <w:noProof/>
              </w:rPr>
              <w:t>MATERIALS AND METHODS</w:t>
            </w:r>
            <w:r w:rsidR="00575816">
              <w:rPr>
                <w:noProof/>
                <w:webHidden/>
              </w:rPr>
              <w:tab/>
            </w:r>
            <w:r w:rsidR="00575816">
              <w:rPr>
                <w:noProof/>
                <w:webHidden/>
              </w:rPr>
              <w:fldChar w:fldCharType="begin"/>
            </w:r>
            <w:r w:rsidR="00575816">
              <w:rPr>
                <w:noProof/>
                <w:webHidden/>
              </w:rPr>
              <w:instrText xml:space="preserve"> PAGEREF _Toc121134645 \h </w:instrText>
            </w:r>
            <w:r w:rsidR="00575816">
              <w:rPr>
                <w:noProof/>
                <w:webHidden/>
              </w:rPr>
            </w:r>
            <w:r w:rsidR="00575816">
              <w:rPr>
                <w:noProof/>
                <w:webHidden/>
              </w:rPr>
              <w:fldChar w:fldCharType="separate"/>
            </w:r>
            <w:r w:rsidR="00785166">
              <w:rPr>
                <w:noProof/>
                <w:webHidden/>
              </w:rPr>
              <w:t>99</w:t>
            </w:r>
            <w:r w:rsidR="00575816">
              <w:rPr>
                <w:noProof/>
                <w:webHidden/>
              </w:rPr>
              <w:fldChar w:fldCharType="end"/>
            </w:r>
          </w:hyperlink>
        </w:p>
        <w:p w14:paraId="4B9AC40F" w14:textId="4E5003D9" w:rsidR="00575816" w:rsidRDefault="00000000">
          <w:pPr>
            <w:pStyle w:val="TOC1"/>
            <w:tabs>
              <w:tab w:val="right" w:leader="dot" w:pos="9350"/>
            </w:tabs>
            <w:rPr>
              <w:rFonts w:cstheme="minorBidi"/>
              <w:b w:val="0"/>
              <w:bCs w:val="0"/>
              <w:noProof/>
              <w:szCs w:val="24"/>
            </w:rPr>
          </w:pPr>
          <w:hyperlink w:anchor="_Toc121134646" w:history="1">
            <w:r w:rsidR="00575816" w:rsidRPr="0079799D">
              <w:rPr>
                <w:rStyle w:val="Hyperlink"/>
                <w:noProof/>
              </w:rPr>
              <w:t>CHAPTER 4. MODULATING PEPTIDE AGGREGATION KINETICS</w:t>
            </w:r>
            <w:r w:rsidR="00575816">
              <w:rPr>
                <w:noProof/>
                <w:webHidden/>
              </w:rPr>
              <w:tab/>
            </w:r>
            <w:r w:rsidR="00575816">
              <w:rPr>
                <w:noProof/>
                <w:webHidden/>
              </w:rPr>
              <w:fldChar w:fldCharType="begin"/>
            </w:r>
            <w:r w:rsidR="00575816">
              <w:rPr>
                <w:noProof/>
                <w:webHidden/>
              </w:rPr>
              <w:instrText xml:space="preserve"> PAGEREF _Toc121134646 \h </w:instrText>
            </w:r>
            <w:r w:rsidR="00575816">
              <w:rPr>
                <w:noProof/>
                <w:webHidden/>
              </w:rPr>
            </w:r>
            <w:r w:rsidR="00575816">
              <w:rPr>
                <w:noProof/>
                <w:webHidden/>
              </w:rPr>
              <w:fldChar w:fldCharType="separate"/>
            </w:r>
            <w:r w:rsidR="00785166">
              <w:rPr>
                <w:noProof/>
                <w:webHidden/>
              </w:rPr>
              <w:t>110</w:t>
            </w:r>
            <w:r w:rsidR="00575816">
              <w:rPr>
                <w:noProof/>
                <w:webHidden/>
              </w:rPr>
              <w:fldChar w:fldCharType="end"/>
            </w:r>
          </w:hyperlink>
        </w:p>
        <w:p w14:paraId="0B604234" w14:textId="04D28B47" w:rsidR="00575816" w:rsidRDefault="00000000">
          <w:pPr>
            <w:pStyle w:val="TOC2"/>
            <w:tabs>
              <w:tab w:val="left" w:pos="800"/>
              <w:tab w:val="right" w:leader="dot" w:pos="9350"/>
            </w:tabs>
            <w:rPr>
              <w:rFonts w:cstheme="minorBidi"/>
              <w:iCs w:val="0"/>
              <w:noProof/>
              <w:szCs w:val="24"/>
            </w:rPr>
          </w:pPr>
          <w:hyperlink w:anchor="_Toc121134647" w:history="1">
            <w:r w:rsidR="00575816" w:rsidRPr="0079799D">
              <w:rPr>
                <w:rStyle w:val="Hyperlink"/>
                <w:noProof/>
              </w:rPr>
              <w:t>4.1</w:t>
            </w:r>
            <w:r w:rsidR="00575816">
              <w:rPr>
                <w:rFonts w:cstheme="minorBidi"/>
                <w:iCs w:val="0"/>
                <w:noProof/>
                <w:szCs w:val="24"/>
              </w:rPr>
              <w:tab/>
            </w:r>
            <w:r w:rsidR="00575816" w:rsidRPr="0079799D">
              <w:rPr>
                <w:rStyle w:val="Hyperlink"/>
                <w:noProof/>
              </w:rPr>
              <w:t>INTRODUCTION</w:t>
            </w:r>
            <w:r w:rsidR="00575816">
              <w:rPr>
                <w:noProof/>
                <w:webHidden/>
              </w:rPr>
              <w:tab/>
            </w:r>
            <w:r w:rsidR="00575816">
              <w:rPr>
                <w:noProof/>
                <w:webHidden/>
              </w:rPr>
              <w:fldChar w:fldCharType="begin"/>
            </w:r>
            <w:r w:rsidR="00575816">
              <w:rPr>
                <w:noProof/>
                <w:webHidden/>
              </w:rPr>
              <w:instrText xml:space="preserve"> PAGEREF _Toc121134647 \h </w:instrText>
            </w:r>
            <w:r w:rsidR="00575816">
              <w:rPr>
                <w:noProof/>
                <w:webHidden/>
              </w:rPr>
            </w:r>
            <w:r w:rsidR="00575816">
              <w:rPr>
                <w:noProof/>
                <w:webHidden/>
              </w:rPr>
              <w:fldChar w:fldCharType="separate"/>
            </w:r>
            <w:r w:rsidR="00785166">
              <w:rPr>
                <w:noProof/>
                <w:webHidden/>
              </w:rPr>
              <w:t>111</w:t>
            </w:r>
            <w:r w:rsidR="00575816">
              <w:rPr>
                <w:noProof/>
                <w:webHidden/>
              </w:rPr>
              <w:fldChar w:fldCharType="end"/>
            </w:r>
          </w:hyperlink>
        </w:p>
        <w:p w14:paraId="06D874B3" w14:textId="56D778D8" w:rsidR="00575816" w:rsidRDefault="00000000">
          <w:pPr>
            <w:pStyle w:val="TOC2"/>
            <w:tabs>
              <w:tab w:val="left" w:pos="800"/>
              <w:tab w:val="right" w:leader="dot" w:pos="9350"/>
            </w:tabs>
            <w:rPr>
              <w:rFonts w:cstheme="minorBidi"/>
              <w:iCs w:val="0"/>
              <w:noProof/>
              <w:szCs w:val="24"/>
            </w:rPr>
          </w:pPr>
          <w:hyperlink w:anchor="_Toc121134648" w:history="1">
            <w:r w:rsidR="00575816" w:rsidRPr="0079799D">
              <w:rPr>
                <w:rStyle w:val="Hyperlink"/>
                <w:noProof/>
              </w:rPr>
              <w:t>4.2</w:t>
            </w:r>
            <w:r w:rsidR="00575816">
              <w:rPr>
                <w:rFonts w:cstheme="minorBidi"/>
                <w:iCs w:val="0"/>
                <w:noProof/>
                <w:szCs w:val="24"/>
              </w:rPr>
              <w:tab/>
            </w:r>
            <w:r w:rsidR="00575816" w:rsidRPr="0079799D">
              <w:rPr>
                <w:rStyle w:val="Hyperlink"/>
                <w:noProof/>
              </w:rPr>
              <w:t>RESULTS AND DISCUSSION</w:t>
            </w:r>
            <w:r w:rsidR="00575816">
              <w:rPr>
                <w:noProof/>
                <w:webHidden/>
              </w:rPr>
              <w:tab/>
            </w:r>
            <w:r w:rsidR="00575816">
              <w:rPr>
                <w:noProof/>
                <w:webHidden/>
              </w:rPr>
              <w:fldChar w:fldCharType="begin"/>
            </w:r>
            <w:r w:rsidR="00575816">
              <w:rPr>
                <w:noProof/>
                <w:webHidden/>
              </w:rPr>
              <w:instrText xml:space="preserve"> PAGEREF _Toc121134648 \h </w:instrText>
            </w:r>
            <w:r w:rsidR="00575816">
              <w:rPr>
                <w:noProof/>
                <w:webHidden/>
              </w:rPr>
            </w:r>
            <w:r w:rsidR="00575816">
              <w:rPr>
                <w:noProof/>
                <w:webHidden/>
              </w:rPr>
              <w:fldChar w:fldCharType="separate"/>
            </w:r>
            <w:r w:rsidR="00785166">
              <w:rPr>
                <w:noProof/>
                <w:webHidden/>
              </w:rPr>
              <w:t>115</w:t>
            </w:r>
            <w:r w:rsidR="00575816">
              <w:rPr>
                <w:noProof/>
                <w:webHidden/>
              </w:rPr>
              <w:fldChar w:fldCharType="end"/>
            </w:r>
          </w:hyperlink>
        </w:p>
        <w:p w14:paraId="3901A628" w14:textId="7BC3768F" w:rsidR="00575816" w:rsidRDefault="00000000">
          <w:pPr>
            <w:pStyle w:val="TOC3"/>
            <w:tabs>
              <w:tab w:val="left" w:pos="1200"/>
              <w:tab w:val="right" w:leader="dot" w:pos="9350"/>
            </w:tabs>
            <w:rPr>
              <w:rFonts w:cstheme="minorBidi"/>
              <w:noProof/>
              <w:szCs w:val="24"/>
            </w:rPr>
          </w:pPr>
          <w:hyperlink w:anchor="_Toc121134649" w:history="1">
            <w:r w:rsidR="00575816" w:rsidRPr="0079799D">
              <w:rPr>
                <w:rStyle w:val="Hyperlink"/>
                <w:noProof/>
              </w:rPr>
              <w:t>4.2.1</w:t>
            </w:r>
            <w:r w:rsidR="00575816">
              <w:rPr>
                <w:rFonts w:cstheme="minorBidi"/>
                <w:noProof/>
                <w:szCs w:val="24"/>
              </w:rPr>
              <w:tab/>
            </w:r>
            <w:r w:rsidR="00575816" w:rsidRPr="0079799D">
              <w:rPr>
                <w:rStyle w:val="Hyperlink"/>
                <w:noProof/>
              </w:rPr>
              <w:t>The Change of Peptide Aggregation Kinetics Affects Cellular Viability</w:t>
            </w:r>
            <w:r w:rsidR="00575816">
              <w:rPr>
                <w:noProof/>
                <w:webHidden/>
              </w:rPr>
              <w:tab/>
            </w:r>
            <w:r w:rsidR="00575816">
              <w:rPr>
                <w:noProof/>
                <w:webHidden/>
              </w:rPr>
              <w:fldChar w:fldCharType="begin"/>
            </w:r>
            <w:r w:rsidR="00575816">
              <w:rPr>
                <w:noProof/>
                <w:webHidden/>
              </w:rPr>
              <w:instrText xml:space="preserve"> PAGEREF _Toc121134649 \h </w:instrText>
            </w:r>
            <w:r w:rsidR="00575816">
              <w:rPr>
                <w:noProof/>
                <w:webHidden/>
              </w:rPr>
            </w:r>
            <w:r w:rsidR="00575816">
              <w:rPr>
                <w:noProof/>
                <w:webHidden/>
              </w:rPr>
              <w:fldChar w:fldCharType="separate"/>
            </w:r>
            <w:r w:rsidR="00785166">
              <w:rPr>
                <w:noProof/>
                <w:webHidden/>
              </w:rPr>
              <w:t>115</w:t>
            </w:r>
            <w:r w:rsidR="00575816">
              <w:rPr>
                <w:noProof/>
                <w:webHidden/>
              </w:rPr>
              <w:fldChar w:fldCharType="end"/>
            </w:r>
          </w:hyperlink>
        </w:p>
        <w:p w14:paraId="0F50300A" w14:textId="1487680F" w:rsidR="00575816" w:rsidRDefault="00000000">
          <w:pPr>
            <w:pStyle w:val="TOC3"/>
            <w:tabs>
              <w:tab w:val="left" w:pos="1200"/>
              <w:tab w:val="right" w:leader="dot" w:pos="9350"/>
            </w:tabs>
            <w:rPr>
              <w:rFonts w:cstheme="minorBidi"/>
              <w:noProof/>
              <w:szCs w:val="24"/>
            </w:rPr>
          </w:pPr>
          <w:hyperlink w:anchor="_Toc121134650" w:history="1">
            <w:r w:rsidR="00575816" w:rsidRPr="0079799D">
              <w:rPr>
                <w:rStyle w:val="Hyperlink"/>
                <w:noProof/>
              </w:rPr>
              <w:t>4.2.2</w:t>
            </w:r>
            <w:r w:rsidR="00575816">
              <w:rPr>
                <w:rFonts w:cstheme="minorBidi"/>
                <w:noProof/>
                <w:szCs w:val="24"/>
              </w:rPr>
              <w:tab/>
            </w:r>
            <w:r w:rsidR="00575816" w:rsidRPr="0079799D">
              <w:rPr>
                <w:rStyle w:val="Hyperlink"/>
                <w:noProof/>
              </w:rPr>
              <w:t>Cell Membrane Damage Modulated through Control of [II] Aggregation</w:t>
            </w:r>
            <w:r w:rsidR="00575816">
              <w:rPr>
                <w:noProof/>
                <w:webHidden/>
              </w:rPr>
              <w:tab/>
            </w:r>
            <w:r w:rsidR="00575816">
              <w:rPr>
                <w:noProof/>
                <w:webHidden/>
              </w:rPr>
              <w:fldChar w:fldCharType="begin"/>
            </w:r>
            <w:r w:rsidR="00575816">
              <w:rPr>
                <w:noProof/>
                <w:webHidden/>
              </w:rPr>
              <w:instrText xml:space="preserve"> PAGEREF _Toc121134650 \h </w:instrText>
            </w:r>
            <w:r w:rsidR="00575816">
              <w:rPr>
                <w:noProof/>
                <w:webHidden/>
              </w:rPr>
            </w:r>
            <w:r w:rsidR="00575816">
              <w:rPr>
                <w:noProof/>
                <w:webHidden/>
              </w:rPr>
              <w:fldChar w:fldCharType="separate"/>
            </w:r>
            <w:r w:rsidR="00785166">
              <w:rPr>
                <w:noProof/>
                <w:webHidden/>
              </w:rPr>
              <w:t>117</w:t>
            </w:r>
            <w:r w:rsidR="00575816">
              <w:rPr>
                <w:noProof/>
                <w:webHidden/>
              </w:rPr>
              <w:fldChar w:fldCharType="end"/>
            </w:r>
          </w:hyperlink>
        </w:p>
        <w:p w14:paraId="124FAB81" w14:textId="58ADE4B9" w:rsidR="00575816" w:rsidRDefault="00000000">
          <w:pPr>
            <w:pStyle w:val="TOC3"/>
            <w:tabs>
              <w:tab w:val="left" w:pos="1200"/>
              <w:tab w:val="right" w:leader="dot" w:pos="9350"/>
            </w:tabs>
            <w:rPr>
              <w:rFonts w:cstheme="minorBidi"/>
              <w:noProof/>
              <w:szCs w:val="24"/>
            </w:rPr>
          </w:pPr>
          <w:hyperlink w:anchor="_Toc121134651" w:history="1">
            <w:r w:rsidR="00575816" w:rsidRPr="0079799D">
              <w:rPr>
                <w:rStyle w:val="Hyperlink"/>
                <w:noProof/>
              </w:rPr>
              <w:t>4.2.3</w:t>
            </w:r>
            <w:r w:rsidR="00575816">
              <w:rPr>
                <w:rFonts w:cstheme="minorBidi"/>
                <w:noProof/>
                <w:szCs w:val="24"/>
              </w:rPr>
              <w:tab/>
            </w:r>
            <w:r w:rsidR="00575816" w:rsidRPr="0079799D">
              <w:rPr>
                <w:rStyle w:val="Hyperlink"/>
                <w:noProof/>
              </w:rPr>
              <w:t>DAMP Release with Peptide Aggregation</w:t>
            </w:r>
            <w:r w:rsidR="00575816">
              <w:rPr>
                <w:noProof/>
                <w:webHidden/>
              </w:rPr>
              <w:tab/>
            </w:r>
            <w:r w:rsidR="00575816">
              <w:rPr>
                <w:noProof/>
                <w:webHidden/>
              </w:rPr>
              <w:fldChar w:fldCharType="begin"/>
            </w:r>
            <w:r w:rsidR="00575816">
              <w:rPr>
                <w:noProof/>
                <w:webHidden/>
              </w:rPr>
              <w:instrText xml:space="preserve"> PAGEREF _Toc121134651 \h </w:instrText>
            </w:r>
            <w:r w:rsidR="00575816">
              <w:rPr>
                <w:noProof/>
                <w:webHidden/>
              </w:rPr>
            </w:r>
            <w:r w:rsidR="00575816">
              <w:rPr>
                <w:noProof/>
                <w:webHidden/>
              </w:rPr>
              <w:fldChar w:fldCharType="separate"/>
            </w:r>
            <w:r w:rsidR="00785166">
              <w:rPr>
                <w:noProof/>
                <w:webHidden/>
              </w:rPr>
              <w:t>119</w:t>
            </w:r>
            <w:r w:rsidR="00575816">
              <w:rPr>
                <w:noProof/>
                <w:webHidden/>
              </w:rPr>
              <w:fldChar w:fldCharType="end"/>
            </w:r>
          </w:hyperlink>
        </w:p>
        <w:p w14:paraId="15732C5D" w14:textId="1BC4F12E" w:rsidR="00575816" w:rsidRDefault="00000000">
          <w:pPr>
            <w:pStyle w:val="TOC3"/>
            <w:tabs>
              <w:tab w:val="left" w:pos="1200"/>
              <w:tab w:val="right" w:leader="dot" w:pos="9350"/>
            </w:tabs>
            <w:rPr>
              <w:rFonts w:cstheme="minorBidi"/>
              <w:noProof/>
              <w:szCs w:val="24"/>
            </w:rPr>
          </w:pPr>
          <w:hyperlink w:anchor="_Toc121134652" w:history="1">
            <w:r w:rsidR="00575816" w:rsidRPr="0079799D">
              <w:rPr>
                <w:rStyle w:val="Hyperlink"/>
                <w:noProof/>
              </w:rPr>
              <w:t>4.2.4</w:t>
            </w:r>
            <w:r w:rsidR="00575816">
              <w:rPr>
                <w:rFonts w:cstheme="minorBidi"/>
                <w:noProof/>
                <w:szCs w:val="24"/>
              </w:rPr>
              <w:tab/>
            </w:r>
            <w:r w:rsidR="00575816" w:rsidRPr="0079799D">
              <w:rPr>
                <w:rStyle w:val="Hyperlink"/>
                <w:noProof/>
              </w:rPr>
              <w:t>The Change of Peptide Aggregation Kinetics Affects the Antibody Levels in Vaccine Applications</w:t>
            </w:r>
            <w:r w:rsidR="00575816">
              <w:rPr>
                <w:noProof/>
                <w:webHidden/>
              </w:rPr>
              <w:tab/>
            </w:r>
            <w:r w:rsidR="00575816">
              <w:rPr>
                <w:noProof/>
                <w:webHidden/>
              </w:rPr>
              <w:fldChar w:fldCharType="begin"/>
            </w:r>
            <w:r w:rsidR="00575816">
              <w:rPr>
                <w:noProof/>
                <w:webHidden/>
              </w:rPr>
              <w:instrText xml:space="preserve"> PAGEREF _Toc121134652 \h </w:instrText>
            </w:r>
            <w:r w:rsidR="00575816">
              <w:rPr>
                <w:noProof/>
                <w:webHidden/>
              </w:rPr>
            </w:r>
            <w:r w:rsidR="00575816">
              <w:rPr>
                <w:noProof/>
                <w:webHidden/>
              </w:rPr>
              <w:fldChar w:fldCharType="separate"/>
            </w:r>
            <w:r w:rsidR="00785166">
              <w:rPr>
                <w:noProof/>
                <w:webHidden/>
              </w:rPr>
              <w:t>120</w:t>
            </w:r>
            <w:r w:rsidR="00575816">
              <w:rPr>
                <w:noProof/>
                <w:webHidden/>
              </w:rPr>
              <w:fldChar w:fldCharType="end"/>
            </w:r>
          </w:hyperlink>
        </w:p>
        <w:p w14:paraId="7E799D9C" w14:textId="60A8E20F" w:rsidR="00575816" w:rsidRDefault="00000000">
          <w:pPr>
            <w:pStyle w:val="TOC3"/>
            <w:tabs>
              <w:tab w:val="left" w:pos="1200"/>
              <w:tab w:val="right" w:leader="dot" w:pos="9350"/>
            </w:tabs>
            <w:rPr>
              <w:rFonts w:cstheme="minorBidi"/>
              <w:noProof/>
              <w:szCs w:val="24"/>
            </w:rPr>
          </w:pPr>
          <w:hyperlink w:anchor="_Toc121134653" w:history="1">
            <w:r w:rsidR="00575816" w:rsidRPr="0079799D">
              <w:rPr>
                <w:rStyle w:val="Hyperlink"/>
                <w:noProof/>
              </w:rPr>
              <w:t>4.2.5</w:t>
            </w:r>
            <w:r w:rsidR="00575816">
              <w:rPr>
                <w:rFonts w:cstheme="minorBidi"/>
                <w:noProof/>
                <w:szCs w:val="24"/>
              </w:rPr>
              <w:tab/>
            </w:r>
            <w:r w:rsidR="00575816" w:rsidRPr="0079799D">
              <w:rPr>
                <w:rStyle w:val="Hyperlink"/>
                <w:noProof/>
              </w:rPr>
              <w:t>Controlled Peptide Aggregation for Controlling the Cellular Immunity</w:t>
            </w:r>
            <w:r w:rsidR="00575816">
              <w:rPr>
                <w:noProof/>
                <w:webHidden/>
              </w:rPr>
              <w:tab/>
            </w:r>
            <w:r w:rsidR="00575816">
              <w:rPr>
                <w:noProof/>
                <w:webHidden/>
              </w:rPr>
              <w:fldChar w:fldCharType="begin"/>
            </w:r>
            <w:r w:rsidR="00575816">
              <w:rPr>
                <w:noProof/>
                <w:webHidden/>
              </w:rPr>
              <w:instrText xml:space="preserve"> PAGEREF _Toc121134653 \h </w:instrText>
            </w:r>
            <w:r w:rsidR="00575816">
              <w:rPr>
                <w:noProof/>
                <w:webHidden/>
              </w:rPr>
            </w:r>
            <w:r w:rsidR="00575816">
              <w:rPr>
                <w:noProof/>
                <w:webHidden/>
              </w:rPr>
              <w:fldChar w:fldCharType="separate"/>
            </w:r>
            <w:r w:rsidR="00785166">
              <w:rPr>
                <w:noProof/>
                <w:webHidden/>
              </w:rPr>
              <w:t>123</w:t>
            </w:r>
            <w:r w:rsidR="00575816">
              <w:rPr>
                <w:noProof/>
                <w:webHidden/>
              </w:rPr>
              <w:fldChar w:fldCharType="end"/>
            </w:r>
          </w:hyperlink>
        </w:p>
        <w:p w14:paraId="1AA061DC" w14:textId="612493E1" w:rsidR="00575816" w:rsidRDefault="00000000">
          <w:pPr>
            <w:pStyle w:val="TOC2"/>
            <w:tabs>
              <w:tab w:val="left" w:pos="800"/>
              <w:tab w:val="right" w:leader="dot" w:pos="9350"/>
            </w:tabs>
            <w:rPr>
              <w:rFonts w:cstheme="minorBidi"/>
              <w:iCs w:val="0"/>
              <w:noProof/>
              <w:szCs w:val="24"/>
            </w:rPr>
          </w:pPr>
          <w:hyperlink w:anchor="_Toc121134654" w:history="1">
            <w:r w:rsidR="00575816" w:rsidRPr="0079799D">
              <w:rPr>
                <w:rStyle w:val="Hyperlink"/>
                <w:noProof/>
              </w:rPr>
              <w:t>4.3</w:t>
            </w:r>
            <w:r w:rsidR="00575816">
              <w:rPr>
                <w:rFonts w:cstheme="minorBidi"/>
                <w:iCs w:val="0"/>
                <w:noProof/>
                <w:szCs w:val="24"/>
              </w:rPr>
              <w:tab/>
            </w:r>
            <w:r w:rsidR="00575816" w:rsidRPr="0079799D">
              <w:rPr>
                <w:rStyle w:val="Hyperlink"/>
                <w:noProof/>
              </w:rPr>
              <w:t>CONCLUSIONS</w:t>
            </w:r>
            <w:r w:rsidR="00575816">
              <w:rPr>
                <w:noProof/>
                <w:webHidden/>
              </w:rPr>
              <w:tab/>
            </w:r>
            <w:r w:rsidR="00575816">
              <w:rPr>
                <w:noProof/>
                <w:webHidden/>
              </w:rPr>
              <w:fldChar w:fldCharType="begin"/>
            </w:r>
            <w:r w:rsidR="00575816">
              <w:rPr>
                <w:noProof/>
                <w:webHidden/>
              </w:rPr>
              <w:instrText xml:space="preserve"> PAGEREF _Toc121134654 \h </w:instrText>
            </w:r>
            <w:r w:rsidR="00575816">
              <w:rPr>
                <w:noProof/>
                <w:webHidden/>
              </w:rPr>
            </w:r>
            <w:r w:rsidR="00575816">
              <w:rPr>
                <w:noProof/>
                <w:webHidden/>
              </w:rPr>
              <w:fldChar w:fldCharType="separate"/>
            </w:r>
            <w:r w:rsidR="00785166">
              <w:rPr>
                <w:noProof/>
                <w:webHidden/>
              </w:rPr>
              <w:t>124</w:t>
            </w:r>
            <w:r w:rsidR="00575816">
              <w:rPr>
                <w:noProof/>
                <w:webHidden/>
              </w:rPr>
              <w:fldChar w:fldCharType="end"/>
            </w:r>
          </w:hyperlink>
        </w:p>
        <w:p w14:paraId="15D6F5E3" w14:textId="57D21770" w:rsidR="00575816" w:rsidRDefault="00000000">
          <w:pPr>
            <w:pStyle w:val="TOC2"/>
            <w:tabs>
              <w:tab w:val="left" w:pos="800"/>
              <w:tab w:val="right" w:leader="dot" w:pos="9350"/>
            </w:tabs>
            <w:rPr>
              <w:rFonts w:cstheme="minorBidi"/>
              <w:iCs w:val="0"/>
              <w:noProof/>
              <w:szCs w:val="24"/>
            </w:rPr>
          </w:pPr>
          <w:hyperlink w:anchor="_Toc121134655" w:history="1">
            <w:r w:rsidR="00575816" w:rsidRPr="0079799D">
              <w:rPr>
                <w:rStyle w:val="Hyperlink"/>
                <w:noProof/>
              </w:rPr>
              <w:t>4.4</w:t>
            </w:r>
            <w:r w:rsidR="00575816">
              <w:rPr>
                <w:rFonts w:cstheme="minorBidi"/>
                <w:iCs w:val="0"/>
                <w:noProof/>
                <w:szCs w:val="24"/>
              </w:rPr>
              <w:tab/>
            </w:r>
            <w:r w:rsidR="00575816" w:rsidRPr="0079799D">
              <w:rPr>
                <w:rStyle w:val="Hyperlink"/>
                <w:noProof/>
              </w:rPr>
              <w:t>MATERIALS AND METHODS</w:t>
            </w:r>
            <w:r w:rsidR="00575816">
              <w:rPr>
                <w:noProof/>
                <w:webHidden/>
              </w:rPr>
              <w:tab/>
            </w:r>
            <w:r w:rsidR="00575816">
              <w:rPr>
                <w:noProof/>
                <w:webHidden/>
              </w:rPr>
              <w:fldChar w:fldCharType="begin"/>
            </w:r>
            <w:r w:rsidR="00575816">
              <w:rPr>
                <w:noProof/>
                <w:webHidden/>
              </w:rPr>
              <w:instrText xml:space="preserve"> PAGEREF _Toc121134655 \h </w:instrText>
            </w:r>
            <w:r w:rsidR="00575816">
              <w:rPr>
                <w:noProof/>
                <w:webHidden/>
              </w:rPr>
            </w:r>
            <w:r w:rsidR="00575816">
              <w:rPr>
                <w:noProof/>
                <w:webHidden/>
              </w:rPr>
              <w:fldChar w:fldCharType="separate"/>
            </w:r>
            <w:r w:rsidR="00785166">
              <w:rPr>
                <w:noProof/>
                <w:webHidden/>
              </w:rPr>
              <w:t>125</w:t>
            </w:r>
            <w:r w:rsidR="00575816">
              <w:rPr>
                <w:noProof/>
                <w:webHidden/>
              </w:rPr>
              <w:fldChar w:fldCharType="end"/>
            </w:r>
          </w:hyperlink>
        </w:p>
        <w:p w14:paraId="72A3CB72" w14:textId="12CEB67E" w:rsidR="00575816" w:rsidRDefault="00000000">
          <w:pPr>
            <w:pStyle w:val="TOC1"/>
            <w:tabs>
              <w:tab w:val="right" w:leader="dot" w:pos="9350"/>
            </w:tabs>
            <w:rPr>
              <w:rFonts w:cstheme="minorBidi"/>
              <w:b w:val="0"/>
              <w:bCs w:val="0"/>
              <w:noProof/>
              <w:szCs w:val="24"/>
            </w:rPr>
          </w:pPr>
          <w:hyperlink w:anchor="_Toc121134656" w:history="1">
            <w:r w:rsidR="00575816" w:rsidRPr="0079799D">
              <w:rPr>
                <w:rStyle w:val="Hyperlink"/>
                <w:noProof/>
              </w:rPr>
              <w:t>CHAPTER 5. CONCLUSIONS AND FUTURE PERSPECTIVES</w:t>
            </w:r>
            <w:r w:rsidR="00575816">
              <w:rPr>
                <w:noProof/>
                <w:webHidden/>
              </w:rPr>
              <w:tab/>
            </w:r>
            <w:r w:rsidR="00575816">
              <w:rPr>
                <w:noProof/>
                <w:webHidden/>
              </w:rPr>
              <w:fldChar w:fldCharType="begin"/>
            </w:r>
            <w:r w:rsidR="00575816">
              <w:rPr>
                <w:noProof/>
                <w:webHidden/>
              </w:rPr>
              <w:instrText xml:space="preserve"> PAGEREF _Toc121134656 \h </w:instrText>
            </w:r>
            <w:r w:rsidR="00575816">
              <w:rPr>
                <w:noProof/>
                <w:webHidden/>
              </w:rPr>
            </w:r>
            <w:r w:rsidR="00575816">
              <w:rPr>
                <w:noProof/>
                <w:webHidden/>
              </w:rPr>
              <w:fldChar w:fldCharType="separate"/>
            </w:r>
            <w:r w:rsidR="00785166">
              <w:rPr>
                <w:noProof/>
                <w:webHidden/>
              </w:rPr>
              <w:t>131</w:t>
            </w:r>
            <w:r w:rsidR="00575816">
              <w:rPr>
                <w:noProof/>
                <w:webHidden/>
              </w:rPr>
              <w:fldChar w:fldCharType="end"/>
            </w:r>
          </w:hyperlink>
        </w:p>
        <w:p w14:paraId="10C0C748" w14:textId="53FBC605" w:rsidR="00575816" w:rsidRDefault="00000000">
          <w:pPr>
            <w:pStyle w:val="TOC1"/>
            <w:tabs>
              <w:tab w:val="right" w:leader="dot" w:pos="9350"/>
            </w:tabs>
            <w:rPr>
              <w:rFonts w:cstheme="minorBidi"/>
              <w:b w:val="0"/>
              <w:bCs w:val="0"/>
              <w:noProof/>
              <w:szCs w:val="24"/>
            </w:rPr>
          </w:pPr>
          <w:hyperlink w:anchor="_Toc121134657" w:history="1">
            <w:r w:rsidR="00575816" w:rsidRPr="0079799D">
              <w:rPr>
                <w:rStyle w:val="Hyperlink"/>
                <w:noProof/>
              </w:rPr>
              <w:t>REFERENCES</w:t>
            </w:r>
            <w:r w:rsidR="00575816">
              <w:rPr>
                <w:noProof/>
                <w:webHidden/>
              </w:rPr>
              <w:tab/>
            </w:r>
            <w:r w:rsidR="00575816">
              <w:rPr>
                <w:noProof/>
                <w:webHidden/>
              </w:rPr>
              <w:fldChar w:fldCharType="begin"/>
            </w:r>
            <w:r w:rsidR="00575816">
              <w:rPr>
                <w:noProof/>
                <w:webHidden/>
              </w:rPr>
              <w:instrText xml:space="preserve"> PAGEREF _Toc121134657 \h </w:instrText>
            </w:r>
            <w:r w:rsidR="00575816">
              <w:rPr>
                <w:noProof/>
                <w:webHidden/>
              </w:rPr>
            </w:r>
            <w:r w:rsidR="00575816">
              <w:rPr>
                <w:noProof/>
                <w:webHidden/>
              </w:rPr>
              <w:fldChar w:fldCharType="separate"/>
            </w:r>
            <w:r w:rsidR="00785166">
              <w:rPr>
                <w:noProof/>
                <w:webHidden/>
              </w:rPr>
              <w:t>135</w:t>
            </w:r>
            <w:r w:rsidR="00575816">
              <w:rPr>
                <w:noProof/>
                <w:webHidden/>
              </w:rPr>
              <w:fldChar w:fldCharType="end"/>
            </w:r>
          </w:hyperlink>
        </w:p>
        <w:p w14:paraId="69064EE2" w14:textId="4EA9DA2A" w:rsidR="00E351D0" w:rsidRDefault="003039A3" w:rsidP="00E351D0">
          <w:pPr>
            <w:spacing w:line="480" w:lineRule="auto"/>
          </w:pPr>
          <w:r>
            <w:rPr>
              <w:rFonts w:cstheme="minorHAnsi"/>
              <w:caps/>
              <w:sz w:val="24"/>
            </w:rPr>
            <w:fldChar w:fldCharType="end"/>
          </w:r>
        </w:p>
      </w:sdtContent>
    </w:sdt>
    <w:p w14:paraId="11A3D4B0" w14:textId="0C4A6AA1" w:rsidR="0015121D" w:rsidRDefault="0015121D" w:rsidP="00EA353E">
      <w:pPr>
        <w:pStyle w:val="TOCHeading"/>
        <w:spacing w:line="480" w:lineRule="auto"/>
        <w:jc w:val="both"/>
      </w:pPr>
    </w:p>
    <w:p w14:paraId="1DE96720" w14:textId="1E25F8CA" w:rsidR="00F130FF" w:rsidRDefault="00F130FF" w:rsidP="00F130FF"/>
    <w:p w14:paraId="31C61FC5" w14:textId="18BD9FDC" w:rsidR="00F130FF" w:rsidRDefault="00F130FF" w:rsidP="00F130FF"/>
    <w:p w14:paraId="3DAA85DA" w14:textId="51DDC83F" w:rsidR="00F130FF" w:rsidRDefault="00F130FF" w:rsidP="00F130FF"/>
    <w:p w14:paraId="445800BD" w14:textId="7F21230E" w:rsidR="00F130FF" w:rsidRDefault="00F130FF" w:rsidP="00F130FF"/>
    <w:p w14:paraId="354ACC78" w14:textId="1192DF27" w:rsidR="00F130FF" w:rsidRDefault="00F130FF" w:rsidP="00F130FF"/>
    <w:p w14:paraId="4A87A08D" w14:textId="502722B4" w:rsidR="00F130FF" w:rsidRDefault="00F130FF" w:rsidP="00F130FF"/>
    <w:p w14:paraId="086B394C" w14:textId="1481CD49" w:rsidR="00F130FF" w:rsidRDefault="00F130FF" w:rsidP="00F130FF"/>
    <w:p w14:paraId="52AD3798" w14:textId="5A3AA666" w:rsidR="00F130FF" w:rsidRDefault="00F130FF" w:rsidP="00F130FF"/>
    <w:p w14:paraId="170E6B47" w14:textId="1F363C91" w:rsidR="00F130FF" w:rsidRDefault="00F130FF" w:rsidP="00F130FF"/>
    <w:p w14:paraId="0084EF48" w14:textId="77777777" w:rsidR="00824921" w:rsidRPr="00F130FF" w:rsidRDefault="00824921" w:rsidP="00F130FF"/>
    <w:p w14:paraId="5DF1AD6C" w14:textId="77777777" w:rsidR="00B81312" w:rsidRDefault="00B81312" w:rsidP="008B6CBE">
      <w:pPr>
        <w:pStyle w:val="TOCHeading"/>
        <w:spacing w:line="480" w:lineRule="auto"/>
        <w:jc w:val="both"/>
      </w:pPr>
    </w:p>
    <w:p w14:paraId="3E8D4539" w14:textId="75F548AB" w:rsidR="008B6CBE" w:rsidRPr="00E90030" w:rsidRDefault="00D4639D" w:rsidP="008B6CBE">
      <w:pPr>
        <w:pStyle w:val="TOCHeading"/>
        <w:spacing w:line="480" w:lineRule="auto"/>
        <w:jc w:val="both"/>
      </w:pPr>
      <w:r>
        <w:lastRenderedPageBreak/>
        <w:t>List</w:t>
      </w:r>
      <w:r w:rsidR="00E1111F">
        <w:t xml:space="preserve"> of Figures</w:t>
      </w:r>
    </w:p>
    <w:p w14:paraId="6AB6D9B8" w14:textId="77E14452" w:rsidR="00DD2795" w:rsidRPr="00E90030" w:rsidRDefault="00DD2795" w:rsidP="00AD6E83">
      <w:pPr>
        <w:pStyle w:val="TableofFigures"/>
        <w:tabs>
          <w:tab w:val="right" w:leader="dot" w:pos="9350"/>
        </w:tabs>
        <w:jc w:val="both"/>
        <w:rPr>
          <w:rFonts w:cstheme="minorBidi"/>
          <w:noProof/>
          <w:szCs w:val="24"/>
        </w:rPr>
      </w:pPr>
      <w:r w:rsidRPr="00E90030">
        <w:fldChar w:fldCharType="begin"/>
      </w:r>
      <w:r w:rsidRPr="00E90030">
        <w:instrText xml:space="preserve"> TOC \h \z \c "Figure 1." </w:instrText>
      </w:r>
      <w:r w:rsidRPr="00E90030">
        <w:fldChar w:fldCharType="separate"/>
      </w:r>
      <w:hyperlink w:anchor="_Toc114947243" w:history="1">
        <w:r w:rsidRPr="00E90030">
          <w:rPr>
            <w:rStyle w:val="Hyperlink"/>
            <w:noProof/>
          </w:rPr>
          <w:t>Figure 1. 1 Twenty natural amino acids. Classifications with their name and one letter abbreviations.  Reproduced with the permission from 1</w:t>
        </w:r>
        <w:r w:rsidRPr="00E90030">
          <w:rPr>
            <w:noProof/>
            <w:webHidden/>
          </w:rPr>
          <w:tab/>
        </w:r>
        <w:r w:rsidRPr="00E90030">
          <w:rPr>
            <w:noProof/>
            <w:webHidden/>
          </w:rPr>
          <w:fldChar w:fldCharType="begin"/>
        </w:r>
        <w:r w:rsidRPr="00E90030">
          <w:rPr>
            <w:noProof/>
            <w:webHidden/>
          </w:rPr>
          <w:instrText xml:space="preserve"> PAGEREF _Toc114947243 \h </w:instrText>
        </w:r>
        <w:r w:rsidRPr="00E90030">
          <w:rPr>
            <w:noProof/>
            <w:webHidden/>
          </w:rPr>
        </w:r>
        <w:r w:rsidRPr="00E90030">
          <w:rPr>
            <w:noProof/>
            <w:webHidden/>
          </w:rPr>
          <w:fldChar w:fldCharType="separate"/>
        </w:r>
        <w:r w:rsidR="00785166">
          <w:rPr>
            <w:noProof/>
            <w:webHidden/>
          </w:rPr>
          <w:t>4</w:t>
        </w:r>
        <w:r w:rsidRPr="00E90030">
          <w:rPr>
            <w:noProof/>
            <w:webHidden/>
          </w:rPr>
          <w:fldChar w:fldCharType="end"/>
        </w:r>
      </w:hyperlink>
    </w:p>
    <w:p w14:paraId="03CB4A9A" w14:textId="5D598178" w:rsidR="00DD2795" w:rsidRPr="00E90030" w:rsidRDefault="00000000" w:rsidP="00AD6E83">
      <w:pPr>
        <w:pStyle w:val="TableofFigures"/>
        <w:tabs>
          <w:tab w:val="right" w:leader="dot" w:pos="9350"/>
        </w:tabs>
        <w:jc w:val="both"/>
        <w:rPr>
          <w:rFonts w:cstheme="minorBidi"/>
          <w:noProof/>
          <w:szCs w:val="24"/>
        </w:rPr>
      </w:pPr>
      <w:hyperlink w:anchor="_Toc114947244" w:history="1">
        <w:r w:rsidR="00DD2795" w:rsidRPr="00E90030">
          <w:rPr>
            <w:rStyle w:val="Hyperlink"/>
            <w:noProof/>
          </w:rPr>
          <w:t>Figure 1. 2 Non-covalent interactions during the assembly process. Electrostatic and hydrophobic interactions interactions, hydrogen bonding and p-stacking were illustrated.</w:t>
        </w:r>
        <w:r w:rsidR="00DD2795" w:rsidRPr="00E90030">
          <w:rPr>
            <w:noProof/>
            <w:webHidden/>
          </w:rPr>
          <w:tab/>
        </w:r>
        <w:r w:rsidR="00DD2795" w:rsidRPr="00E90030">
          <w:rPr>
            <w:noProof/>
            <w:webHidden/>
          </w:rPr>
          <w:fldChar w:fldCharType="begin"/>
        </w:r>
        <w:r w:rsidR="00DD2795" w:rsidRPr="00E90030">
          <w:rPr>
            <w:noProof/>
            <w:webHidden/>
          </w:rPr>
          <w:instrText xml:space="preserve"> PAGEREF _Toc114947244 \h </w:instrText>
        </w:r>
        <w:r w:rsidR="00DD2795" w:rsidRPr="00E90030">
          <w:rPr>
            <w:noProof/>
            <w:webHidden/>
          </w:rPr>
        </w:r>
        <w:r w:rsidR="00DD2795" w:rsidRPr="00E90030">
          <w:rPr>
            <w:noProof/>
            <w:webHidden/>
          </w:rPr>
          <w:fldChar w:fldCharType="separate"/>
        </w:r>
        <w:r w:rsidR="00785166">
          <w:rPr>
            <w:noProof/>
            <w:webHidden/>
          </w:rPr>
          <w:t>5</w:t>
        </w:r>
        <w:r w:rsidR="00DD2795" w:rsidRPr="00E90030">
          <w:rPr>
            <w:noProof/>
            <w:webHidden/>
          </w:rPr>
          <w:fldChar w:fldCharType="end"/>
        </w:r>
      </w:hyperlink>
    </w:p>
    <w:p w14:paraId="28F9B8DC" w14:textId="27134244" w:rsidR="00DD2795" w:rsidRPr="00E90030" w:rsidRDefault="00000000" w:rsidP="00AD6E83">
      <w:pPr>
        <w:pStyle w:val="TableofFigures"/>
        <w:tabs>
          <w:tab w:val="right" w:leader="dot" w:pos="9350"/>
        </w:tabs>
        <w:jc w:val="both"/>
        <w:rPr>
          <w:rFonts w:cstheme="minorBidi"/>
          <w:noProof/>
          <w:szCs w:val="24"/>
        </w:rPr>
      </w:pPr>
      <w:hyperlink w:anchor="_Toc114947245" w:history="1">
        <w:r w:rsidR="00DD2795" w:rsidRPr="00E90030">
          <w:rPr>
            <w:rStyle w:val="Hyperlink"/>
            <w:noProof/>
          </w:rPr>
          <w:t xml:space="preserve">Figure 1. 3 A schematic of energy landscape of amyloid folding (purple) and fibril formation (pink). Top part of the funnel represent the highest free energy. During folding process (purple part), free energy decreases and results in native state of folded protein. In the case of off-pathway folding (pink part), the lowest free energy observed in fibrillar form of amyloid, which yields the most stable thermodynamic state. Reproduced with permission from </w:t>
        </w:r>
        <w:r w:rsidR="00DD2795" w:rsidRPr="00E90030">
          <w:rPr>
            <w:rStyle w:val="Hyperlink"/>
            <w:rFonts w:ascii="Arial" w:cs="Arial"/>
            <w:noProof/>
            <w:vertAlign w:val="superscript"/>
          </w:rPr>
          <w:t>21</w:t>
        </w:r>
        <w:r w:rsidR="00DD2795" w:rsidRPr="00E90030">
          <w:rPr>
            <w:noProof/>
            <w:webHidden/>
          </w:rPr>
          <w:tab/>
        </w:r>
        <w:r w:rsidR="00DD2795" w:rsidRPr="00E90030">
          <w:rPr>
            <w:noProof/>
            <w:webHidden/>
          </w:rPr>
          <w:fldChar w:fldCharType="begin"/>
        </w:r>
        <w:r w:rsidR="00DD2795" w:rsidRPr="00E90030">
          <w:rPr>
            <w:noProof/>
            <w:webHidden/>
          </w:rPr>
          <w:instrText xml:space="preserve"> PAGEREF _Toc114947245 \h </w:instrText>
        </w:r>
        <w:r w:rsidR="00DD2795" w:rsidRPr="00E90030">
          <w:rPr>
            <w:noProof/>
            <w:webHidden/>
          </w:rPr>
        </w:r>
        <w:r w:rsidR="00DD2795" w:rsidRPr="00E90030">
          <w:rPr>
            <w:noProof/>
            <w:webHidden/>
          </w:rPr>
          <w:fldChar w:fldCharType="separate"/>
        </w:r>
        <w:r w:rsidR="00785166">
          <w:rPr>
            <w:noProof/>
            <w:webHidden/>
          </w:rPr>
          <w:t>8</w:t>
        </w:r>
        <w:r w:rsidR="00DD2795" w:rsidRPr="00E90030">
          <w:rPr>
            <w:noProof/>
            <w:webHidden/>
          </w:rPr>
          <w:fldChar w:fldCharType="end"/>
        </w:r>
      </w:hyperlink>
    </w:p>
    <w:p w14:paraId="0F358B45" w14:textId="7F261913" w:rsidR="00DD2795" w:rsidRPr="00E90030" w:rsidRDefault="00000000" w:rsidP="00AD6E83">
      <w:pPr>
        <w:pStyle w:val="TableofFigures"/>
        <w:tabs>
          <w:tab w:val="right" w:leader="dot" w:pos="9350"/>
        </w:tabs>
        <w:jc w:val="both"/>
        <w:rPr>
          <w:rFonts w:cstheme="minorBidi"/>
          <w:noProof/>
          <w:szCs w:val="24"/>
        </w:rPr>
      </w:pPr>
      <w:hyperlink w:anchor="_Toc114947246" w:history="1">
        <w:r w:rsidR="00DD2795" w:rsidRPr="00E90030">
          <w:rPr>
            <w:rStyle w:val="Hyperlink"/>
            <w:noProof/>
          </w:rPr>
          <w:t xml:space="preserve">Figure 1. 4 The kinetics of amyloid fibrillization follows a sigmoidal kinetic curve. There are three steps involving in kinetics which are lag phase, growth phase and saturation phase. Reproduced with permission from </w:t>
        </w:r>
        <w:r w:rsidR="00DD2795" w:rsidRPr="00E90030">
          <w:rPr>
            <w:rStyle w:val="Hyperlink"/>
            <w:rFonts w:ascii="Arial" w:cs="Arial"/>
            <w:noProof/>
            <w:vertAlign w:val="superscript"/>
          </w:rPr>
          <w:t>1</w:t>
        </w:r>
        <w:r w:rsidR="00DD2795" w:rsidRPr="00E90030">
          <w:rPr>
            <w:noProof/>
            <w:webHidden/>
          </w:rPr>
          <w:tab/>
        </w:r>
        <w:r w:rsidR="00DD2795" w:rsidRPr="00E90030">
          <w:rPr>
            <w:noProof/>
            <w:webHidden/>
          </w:rPr>
          <w:fldChar w:fldCharType="begin"/>
        </w:r>
        <w:r w:rsidR="00DD2795" w:rsidRPr="00E90030">
          <w:rPr>
            <w:noProof/>
            <w:webHidden/>
          </w:rPr>
          <w:instrText xml:space="preserve"> PAGEREF _Toc114947246 \h </w:instrText>
        </w:r>
        <w:r w:rsidR="00DD2795" w:rsidRPr="00E90030">
          <w:rPr>
            <w:noProof/>
            <w:webHidden/>
          </w:rPr>
        </w:r>
        <w:r w:rsidR="00DD2795" w:rsidRPr="00E90030">
          <w:rPr>
            <w:noProof/>
            <w:webHidden/>
          </w:rPr>
          <w:fldChar w:fldCharType="separate"/>
        </w:r>
        <w:r w:rsidR="00785166">
          <w:rPr>
            <w:noProof/>
            <w:webHidden/>
          </w:rPr>
          <w:t>9</w:t>
        </w:r>
        <w:r w:rsidR="00DD2795" w:rsidRPr="00E90030">
          <w:rPr>
            <w:noProof/>
            <w:webHidden/>
          </w:rPr>
          <w:fldChar w:fldCharType="end"/>
        </w:r>
      </w:hyperlink>
    </w:p>
    <w:p w14:paraId="142C8426" w14:textId="64760A00" w:rsidR="00DD2795" w:rsidRPr="00E90030" w:rsidRDefault="00000000" w:rsidP="00AD6E83">
      <w:pPr>
        <w:pStyle w:val="TableofFigures"/>
        <w:tabs>
          <w:tab w:val="right" w:leader="dot" w:pos="9350"/>
        </w:tabs>
        <w:jc w:val="both"/>
        <w:rPr>
          <w:rFonts w:cstheme="minorBidi"/>
          <w:noProof/>
          <w:szCs w:val="24"/>
        </w:rPr>
      </w:pPr>
      <w:hyperlink w:anchor="_Toc114947247" w:history="1">
        <w:r w:rsidR="00DD2795" w:rsidRPr="00E90030">
          <w:rPr>
            <w:rStyle w:val="Hyperlink"/>
            <w:noProof/>
          </w:rPr>
          <w:t xml:space="preserve">Figure 1. 5 A schematic showing three different co-assembly strategy. Individual components are assembled separately in the presence of one another during orthogonal (self-sorting) co-assembly (a). Building blocks in cooperative co-assembly are very similar with each other and interact one another with donor and acceptor molecules in the sequence (b). Components in disruptive co-assembly incorporate partially and one of the components is disrupted by the other (c). Reproduced with the permission from </w:t>
        </w:r>
        <w:r w:rsidR="00DD2795" w:rsidRPr="00E90030">
          <w:rPr>
            <w:rStyle w:val="Hyperlink"/>
            <w:rFonts w:ascii="Arial" w:cs="Arial"/>
            <w:noProof/>
            <w:vertAlign w:val="superscript"/>
          </w:rPr>
          <w:t>36</w:t>
        </w:r>
        <w:r w:rsidR="00DD2795" w:rsidRPr="00E90030">
          <w:rPr>
            <w:noProof/>
            <w:webHidden/>
          </w:rPr>
          <w:tab/>
        </w:r>
        <w:r w:rsidR="00DD2795" w:rsidRPr="00E90030">
          <w:rPr>
            <w:noProof/>
            <w:webHidden/>
          </w:rPr>
          <w:fldChar w:fldCharType="begin"/>
        </w:r>
        <w:r w:rsidR="00DD2795" w:rsidRPr="00E90030">
          <w:rPr>
            <w:noProof/>
            <w:webHidden/>
          </w:rPr>
          <w:instrText xml:space="preserve"> PAGEREF _Toc114947247 \h </w:instrText>
        </w:r>
        <w:r w:rsidR="00DD2795" w:rsidRPr="00E90030">
          <w:rPr>
            <w:noProof/>
            <w:webHidden/>
          </w:rPr>
        </w:r>
        <w:r w:rsidR="00DD2795" w:rsidRPr="00E90030">
          <w:rPr>
            <w:noProof/>
            <w:webHidden/>
          </w:rPr>
          <w:fldChar w:fldCharType="separate"/>
        </w:r>
        <w:r w:rsidR="00785166">
          <w:rPr>
            <w:noProof/>
            <w:webHidden/>
          </w:rPr>
          <w:t>11</w:t>
        </w:r>
        <w:r w:rsidR="00DD2795" w:rsidRPr="00E90030">
          <w:rPr>
            <w:noProof/>
            <w:webHidden/>
          </w:rPr>
          <w:fldChar w:fldCharType="end"/>
        </w:r>
      </w:hyperlink>
    </w:p>
    <w:p w14:paraId="39E6EF36" w14:textId="0AD6747C" w:rsidR="008B6CBE" w:rsidRPr="00E90030" w:rsidRDefault="00DD2795" w:rsidP="00AD6E83">
      <w:pPr>
        <w:spacing w:after="0" w:line="240" w:lineRule="auto"/>
      </w:pPr>
      <w:r w:rsidRPr="00E90030">
        <w:rPr>
          <w:rFonts w:cs="Arial (Body)"/>
          <w:sz w:val="24"/>
        </w:rPr>
        <w:fldChar w:fldCharType="end"/>
      </w:r>
    </w:p>
    <w:p w14:paraId="1EDCDC07" w14:textId="58817AB3" w:rsidR="00AD6E83" w:rsidRDefault="00DD2795" w:rsidP="00AD6E83">
      <w:pPr>
        <w:pStyle w:val="TableofFigures"/>
        <w:tabs>
          <w:tab w:val="right" w:leader="dot" w:pos="9350"/>
        </w:tabs>
        <w:jc w:val="both"/>
        <w:rPr>
          <w:rFonts w:cstheme="minorBidi"/>
          <w:noProof/>
          <w:szCs w:val="24"/>
        </w:rPr>
      </w:pPr>
      <w:r w:rsidRPr="00E90030">
        <w:rPr>
          <w:smallCaps/>
        </w:rPr>
        <w:fldChar w:fldCharType="begin"/>
      </w:r>
      <w:r w:rsidRPr="00E90030">
        <w:rPr>
          <w:smallCaps/>
        </w:rPr>
        <w:instrText xml:space="preserve"> TOC \h \z \c "Figure 2." </w:instrText>
      </w:r>
      <w:r w:rsidRPr="00E90030">
        <w:rPr>
          <w:smallCaps/>
        </w:rPr>
        <w:fldChar w:fldCharType="separate"/>
      </w:r>
      <w:hyperlink w:anchor="_Toc115118617" w:history="1">
        <w:r w:rsidR="00AD6E83" w:rsidRPr="00F733D8">
          <w:rPr>
            <w:rStyle w:val="Hyperlink"/>
            <w:noProof/>
          </w:rPr>
          <w:t xml:space="preserve">Figure 2. 1 CoOP design composed of oppositely charged hexapeptide units which represent the minimalistic assembly template.   </w:t>
        </w:r>
        <w:r w:rsidR="00AD6E83" w:rsidRPr="00F733D8">
          <w:rPr>
            <w:rStyle w:val="Hyperlink"/>
            <w:bCs/>
            <w:noProof/>
          </w:rPr>
          <w:t xml:space="preserve">Schematic description of peptide co-assembly triggered by oppositely charged hexapeptides (A). Chemical representation of hexapeptides (B). E and K residues at both ends provided electrostatic interactions, FF at the core contributed self-assembly with </w:t>
        </w:r>
        <w:r w:rsidR="00AD6E83" w:rsidRPr="00F733D8">
          <w:rPr>
            <w:rStyle w:val="Hyperlink"/>
            <w:b/>
            <w:bCs/>
            <w:noProof/>
          </w:rPr>
          <w:sym w:font="Symbol" w:char="F070"/>
        </w:r>
        <w:r w:rsidR="00AD6E83" w:rsidRPr="00F733D8">
          <w:rPr>
            <w:rStyle w:val="Hyperlink"/>
            <w:bCs/>
            <w:noProof/>
          </w:rPr>
          <w:t>-stacking and replacing [XX] with either dialanine, ditryptophan or diisoleucine to enable tunable hydrophobic interactions.</w:t>
        </w:r>
        <w:r w:rsidR="00AD6E83">
          <w:rPr>
            <w:noProof/>
            <w:webHidden/>
          </w:rPr>
          <w:tab/>
        </w:r>
        <w:r w:rsidR="00AD6E83">
          <w:rPr>
            <w:noProof/>
            <w:webHidden/>
          </w:rPr>
          <w:fldChar w:fldCharType="begin"/>
        </w:r>
        <w:r w:rsidR="00AD6E83">
          <w:rPr>
            <w:noProof/>
            <w:webHidden/>
          </w:rPr>
          <w:instrText xml:space="preserve"> PAGEREF _Toc115118617 \h </w:instrText>
        </w:r>
        <w:r w:rsidR="00AD6E83">
          <w:rPr>
            <w:noProof/>
            <w:webHidden/>
          </w:rPr>
        </w:r>
        <w:r w:rsidR="00AD6E83">
          <w:rPr>
            <w:noProof/>
            <w:webHidden/>
          </w:rPr>
          <w:fldChar w:fldCharType="separate"/>
        </w:r>
        <w:r w:rsidR="00785166">
          <w:rPr>
            <w:noProof/>
            <w:webHidden/>
          </w:rPr>
          <w:t>29</w:t>
        </w:r>
        <w:r w:rsidR="00AD6E83">
          <w:rPr>
            <w:noProof/>
            <w:webHidden/>
          </w:rPr>
          <w:fldChar w:fldCharType="end"/>
        </w:r>
      </w:hyperlink>
    </w:p>
    <w:p w14:paraId="19F1ABF2" w14:textId="794D0020" w:rsidR="00AD6E83" w:rsidRPr="00AD6E83" w:rsidRDefault="00000000" w:rsidP="00AD6E83">
      <w:pPr>
        <w:pStyle w:val="TableofFigures"/>
        <w:tabs>
          <w:tab w:val="right" w:leader="dot" w:pos="9350"/>
        </w:tabs>
        <w:jc w:val="both"/>
        <w:rPr>
          <w:rFonts w:cstheme="minorBidi"/>
          <w:noProof/>
          <w:szCs w:val="24"/>
        </w:rPr>
      </w:pPr>
      <w:hyperlink w:anchor="_Toc115118618" w:history="1">
        <w:r w:rsidR="00AD6E83" w:rsidRPr="00AD6E83">
          <w:rPr>
            <w:rStyle w:val="Hyperlink"/>
            <w:noProof/>
          </w:rPr>
          <w:t xml:space="preserve">Figure 2. 2 Free energy surfaces of three co-assembly systems from a metadynamics calculation. </w:t>
        </w:r>
        <w:r w:rsidR="00AD6E83" w:rsidRPr="00AD6E83">
          <w:rPr>
            <w:rStyle w:val="Hyperlink"/>
            <w:i/>
            <w:iCs/>
            <w:noProof/>
          </w:rPr>
          <w:t>r</w:t>
        </w:r>
        <w:r w:rsidR="00AD6E83" w:rsidRPr="00AD6E83">
          <w:rPr>
            <w:rStyle w:val="Hyperlink"/>
            <w:noProof/>
          </w:rPr>
          <w:t xml:space="preserve"> is average distance between all centers of mass and R</w:t>
        </w:r>
        <w:r w:rsidR="00AD6E83" w:rsidRPr="00AD6E83">
          <w:rPr>
            <w:rStyle w:val="Hyperlink"/>
            <w:noProof/>
            <w:vertAlign w:val="subscript"/>
          </w:rPr>
          <w:t>g</w:t>
        </w:r>
        <w:r w:rsidR="00AD6E83" w:rsidRPr="00AD6E83">
          <w:rPr>
            <w:rStyle w:val="Hyperlink"/>
            <w:noProof/>
          </w:rPr>
          <w:t xml:space="preserve"> is the average radii of gyration (both only consider backbone atoms). Panels A-C show free energy as computed via the metadynamics bias. Panel D shows the integrated free energy surface along the average distance. This plot does not predict the occurrence of self-assembly but is instead a measure of solvated peptide aggregation.</w:t>
        </w:r>
        <w:r w:rsidR="00AD6E83" w:rsidRPr="00AD6E83">
          <w:rPr>
            <w:noProof/>
            <w:webHidden/>
          </w:rPr>
          <w:tab/>
        </w:r>
        <w:r w:rsidR="00AD6E83" w:rsidRPr="00AD6E83">
          <w:rPr>
            <w:noProof/>
            <w:webHidden/>
          </w:rPr>
          <w:fldChar w:fldCharType="begin"/>
        </w:r>
        <w:r w:rsidR="00AD6E83" w:rsidRPr="00AD6E83">
          <w:rPr>
            <w:noProof/>
            <w:webHidden/>
          </w:rPr>
          <w:instrText xml:space="preserve"> PAGEREF _Toc115118618 \h </w:instrText>
        </w:r>
        <w:r w:rsidR="00AD6E83" w:rsidRPr="00AD6E83">
          <w:rPr>
            <w:noProof/>
            <w:webHidden/>
          </w:rPr>
        </w:r>
        <w:r w:rsidR="00AD6E83" w:rsidRPr="00AD6E83">
          <w:rPr>
            <w:noProof/>
            <w:webHidden/>
          </w:rPr>
          <w:fldChar w:fldCharType="separate"/>
        </w:r>
        <w:r w:rsidR="00785166">
          <w:rPr>
            <w:noProof/>
            <w:webHidden/>
          </w:rPr>
          <w:t>30</w:t>
        </w:r>
        <w:r w:rsidR="00AD6E83" w:rsidRPr="00AD6E83">
          <w:rPr>
            <w:noProof/>
            <w:webHidden/>
          </w:rPr>
          <w:fldChar w:fldCharType="end"/>
        </w:r>
      </w:hyperlink>
    </w:p>
    <w:p w14:paraId="675E2D9E" w14:textId="28C1F237" w:rsidR="00AD6E83" w:rsidRDefault="00000000" w:rsidP="00AD6E83">
      <w:pPr>
        <w:pStyle w:val="TableofFigures"/>
        <w:tabs>
          <w:tab w:val="right" w:leader="dot" w:pos="9350"/>
        </w:tabs>
        <w:jc w:val="both"/>
        <w:rPr>
          <w:rFonts w:cstheme="minorBidi"/>
          <w:noProof/>
          <w:szCs w:val="24"/>
        </w:rPr>
      </w:pPr>
      <w:hyperlink w:anchor="_Toc115118619" w:history="1">
        <w:r w:rsidR="00AD6E83" w:rsidRPr="00F733D8">
          <w:rPr>
            <w:rStyle w:val="Hyperlink"/>
            <w:noProof/>
          </w:rPr>
          <w:t xml:space="preserve">Figure 2. 3 Free energy of intra- and inter-chain contact between amino acids in the WW sequence. </w:t>
        </w:r>
        <w:r w:rsidR="00AD6E83" w:rsidRPr="00F733D8">
          <w:rPr>
            <w:rStyle w:val="Hyperlink"/>
            <w:bCs/>
            <w:noProof/>
          </w:rPr>
          <w:t xml:space="preserve">Contact is defined as there being a pair of two heavy atoms in an amino acid within 3.5 </w:t>
        </w:r>
        <w:r w:rsidR="00AD6E83" w:rsidRPr="00F733D8">
          <w:rPr>
            <w:rStyle w:val="Hyperlink"/>
            <w:b/>
            <w:bCs/>
            <w:noProof/>
          </w:rPr>
          <w:sym w:font="Symbol" w:char="F041"/>
        </w:r>
        <w:r w:rsidR="00AD6E83" w:rsidRPr="00F733D8">
          <w:rPr>
            <w:rStyle w:val="Hyperlink"/>
            <w:b/>
            <w:bCs/>
            <w:noProof/>
          </w:rPr>
          <w:sym w:font="Symbol" w:char="F0B0"/>
        </w:r>
        <w:r w:rsidR="00AD6E83" w:rsidRPr="00F733D8">
          <w:rPr>
            <w:rStyle w:val="Hyperlink"/>
            <w:bCs/>
            <w:noProof/>
          </w:rPr>
          <w:t>. These are computed from a single 392 ns simulation via F = -kT lnP(c). No enhanced sampling was used, so should not be numerically comparable with main text due to inefficient sampling.</w:t>
        </w:r>
        <w:r w:rsidR="00AD6E83">
          <w:rPr>
            <w:noProof/>
            <w:webHidden/>
          </w:rPr>
          <w:tab/>
        </w:r>
        <w:r w:rsidR="00AD6E83">
          <w:rPr>
            <w:noProof/>
            <w:webHidden/>
          </w:rPr>
          <w:fldChar w:fldCharType="begin"/>
        </w:r>
        <w:r w:rsidR="00AD6E83">
          <w:rPr>
            <w:noProof/>
            <w:webHidden/>
          </w:rPr>
          <w:instrText xml:space="preserve"> PAGEREF _Toc115118619 \h </w:instrText>
        </w:r>
        <w:r w:rsidR="00AD6E83">
          <w:rPr>
            <w:noProof/>
            <w:webHidden/>
          </w:rPr>
        </w:r>
        <w:r w:rsidR="00AD6E83">
          <w:rPr>
            <w:noProof/>
            <w:webHidden/>
          </w:rPr>
          <w:fldChar w:fldCharType="separate"/>
        </w:r>
        <w:r w:rsidR="00785166">
          <w:rPr>
            <w:noProof/>
            <w:webHidden/>
          </w:rPr>
          <w:t>32</w:t>
        </w:r>
        <w:r w:rsidR="00AD6E83">
          <w:rPr>
            <w:noProof/>
            <w:webHidden/>
          </w:rPr>
          <w:fldChar w:fldCharType="end"/>
        </w:r>
      </w:hyperlink>
    </w:p>
    <w:p w14:paraId="2308E3E9" w14:textId="500E5406" w:rsidR="00AD6E83" w:rsidRDefault="00000000" w:rsidP="00AD6E83">
      <w:pPr>
        <w:pStyle w:val="TableofFigures"/>
        <w:tabs>
          <w:tab w:val="right" w:leader="dot" w:pos="9350"/>
        </w:tabs>
        <w:jc w:val="both"/>
        <w:rPr>
          <w:rFonts w:cstheme="minorBidi"/>
          <w:noProof/>
          <w:szCs w:val="24"/>
        </w:rPr>
      </w:pPr>
      <w:hyperlink w:anchor="_Toc115118620" w:history="1">
        <w:r w:rsidR="00AD6E83" w:rsidRPr="00F733D8">
          <w:rPr>
            <w:rStyle w:val="Hyperlink"/>
            <w:noProof/>
          </w:rPr>
          <w:t xml:space="preserve">Figure 2. 4 Free energy of intra- and inter-chain contact between amino acids. </w:t>
        </w:r>
        <w:r w:rsidR="00AD6E83" w:rsidRPr="00F733D8">
          <w:rPr>
            <w:rStyle w:val="Hyperlink"/>
            <w:bCs/>
            <w:noProof/>
          </w:rPr>
          <w:t xml:space="preserve">Contact is </w:t>
        </w:r>
        <w:r w:rsidR="00AD6E83" w:rsidRPr="0005670B">
          <w:rPr>
            <w:rStyle w:val="Hyperlink"/>
            <w:bCs/>
            <w:noProof/>
          </w:rPr>
          <w:t xml:space="preserve">defined as there is a pair of two side-chain heavy atoms in an amino acid within 3.5 </w:t>
        </w:r>
        <w:r w:rsidR="00AD6E83" w:rsidRPr="0005670B">
          <w:rPr>
            <w:rStyle w:val="Hyperlink"/>
            <w:bCs/>
            <w:noProof/>
          </w:rPr>
          <w:sym w:font="Symbol" w:char="F041"/>
        </w:r>
        <w:r w:rsidR="00AD6E83" w:rsidRPr="0005670B">
          <w:rPr>
            <w:rStyle w:val="Hyperlink"/>
            <w:bCs/>
            <w:noProof/>
          </w:rPr>
          <w:sym w:font="Symbol" w:char="F0B0"/>
        </w:r>
        <w:r w:rsidR="00AD6E83" w:rsidRPr="0005670B">
          <w:rPr>
            <w:rStyle w:val="Hyperlink"/>
            <w:bCs/>
            <w:noProof/>
          </w:rPr>
          <w:t>.</w:t>
        </w:r>
        <w:r w:rsidR="00AD6E83" w:rsidRPr="00F733D8">
          <w:rPr>
            <w:rStyle w:val="Hyperlink"/>
            <w:bCs/>
            <w:noProof/>
          </w:rPr>
          <w:t xml:space="preserve"> These are computed via reweighting the metadynamics simulations. (Bigger size of circles and lighter color defines lower free energy, higher probability of contact).</w:t>
        </w:r>
        <w:r w:rsidR="00AD6E83">
          <w:rPr>
            <w:noProof/>
            <w:webHidden/>
          </w:rPr>
          <w:tab/>
        </w:r>
        <w:r w:rsidR="00AD6E83">
          <w:rPr>
            <w:noProof/>
            <w:webHidden/>
          </w:rPr>
          <w:fldChar w:fldCharType="begin"/>
        </w:r>
        <w:r w:rsidR="00AD6E83">
          <w:rPr>
            <w:noProof/>
            <w:webHidden/>
          </w:rPr>
          <w:instrText xml:space="preserve"> PAGEREF _Toc115118620 \h </w:instrText>
        </w:r>
        <w:r w:rsidR="00AD6E83">
          <w:rPr>
            <w:noProof/>
            <w:webHidden/>
          </w:rPr>
        </w:r>
        <w:r w:rsidR="00AD6E83">
          <w:rPr>
            <w:noProof/>
            <w:webHidden/>
          </w:rPr>
          <w:fldChar w:fldCharType="separate"/>
        </w:r>
        <w:r w:rsidR="00785166">
          <w:rPr>
            <w:noProof/>
            <w:webHidden/>
          </w:rPr>
          <w:t>33</w:t>
        </w:r>
        <w:r w:rsidR="00AD6E83">
          <w:rPr>
            <w:noProof/>
            <w:webHidden/>
          </w:rPr>
          <w:fldChar w:fldCharType="end"/>
        </w:r>
      </w:hyperlink>
    </w:p>
    <w:p w14:paraId="271C2F7F" w14:textId="13E1B03A" w:rsidR="00AD6E83" w:rsidRDefault="00000000" w:rsidP="00AD6E83">
      <w:pPr>
        <w:pStyle w:val="TableofFigures"/>
        <w:tabs>
          <w:tab w:val="right" w:leader="dot" w:pos="9350"/>
        </w:tabs>
        <w:jc w:val="both"/>
        <w:rPr>
          <w:rFonts w:cstheme="minorBidi"/>
          <w:noProof/>
          <w:szCs w:val="24"/>
        </w:rPr>
      </w:pPr>
      <w:hyperlink w:anchor="_Toc115118621" w:history="1">
        <w:r w:rsidR="00AD6E83" w:rsidRPr="00F733D8">
          <w:rPr>
            <w:rStyle w:val="Hyperlink"/>
            <w:noProof/>
          </w:rPr>
          <w:t xml:space="preserve">Figure 2. 5 Probability of first contacting residues from 40 unbiased molecular dynamics simulations. </w:t>
        </w:r>
        <w:r w:rsidR="00AD6E83" w:rsidRPr="00F733D8">
          <w:rPr>
            <w:rStyle w:val="Hyperlink"/>
            <w:bCs/>
            <w:noProof/>
          </w:rPr>
          <w:t xml:space="preserve">Contact is defined as there being a pair of two side-chain heavy atoms in an amino acids within 3.5 </w:t>
        </w:r>
        <w:r w:rsidR="00AD6E83" w:rsidRPr="00F733D8">
          <w:rPr>
            <w:rStyle w:val="Hyperlink"/>
            <w:b/>
            <w:bCs/>
            <w:noProof/>
          </w:rPr>
          <w:sym w:font="Symbol" w:char="F041"/>
        </w:r>
        <w:r w:rsidR="00AD6E83" w:rsidRPr="00F733D8">
          <w:rPr>
            <w:rStyle w:val="Hyperlink"/>
            <w:b/>
            <w:bCs/>
            <w:noProof/>
          </w:rPr>
          <w:sym w:font="Symbol" w:char="F0B0"/>
        </w:r>
        <w:r w:rsidR="00AD6E83" w:rsidRPr="00F733D8">
          <w:rPr>
            <w:rStyle w:val="Hyperlink"/>
            <w:bCs/>
            <w:noProof/>
          </w:rPr>
          <w:t>. Simulations ended at a four-chain aggregate and began with the chains at least 2.5 nm apart. Working from end, this plot shows the minimum non-zero contact maps averaged across the 40 simulations. (Lighter color represent more contact).</w:t>
        </w:r>
        <w:r w:rsidR="00AD6E83">
          <w:rPr>
            <w:noProof/>
            <w:webHidden/>
          </w:rPr>
          <w:tab/>
        </w:r>
        <w:r w:rsidR="00AD6E83">
          <w:rPr>
            <w:noProof/>
            <w:webHidden/>
          </w:rPr>
          <w:fldChar w:fldCharType="begin"/>
        </w:r>
        <w:r w:rsidR="00AD6E83">
          <w:rPr>
            <w:noProof/>
            <w:webHidden/>
          </w:rPr>
          <w:instrText xml:space="preserve"> PAGEREF _Toc115118621 \h </w:instrText>
        </w:r>
        <w:r w:rsidR="00AD6E83">
          <w:rPr>
            <w:noProof/>
            <w:webHidden/>
          </w:rPr>
        </w:r>
        <w:r w:rsidR="00AD6E83">
          <w:rPr>
            <w:noProof/>
            <w:webHidden/>
          </w:rPr>
          <w:fldChar w:fldCharType="separate"/>
        </w:r>
        <w:r w:rsidR="00785166">
          <w:rPr>
            <w:noProof/>
            <w:webHidden/>
          </w:rPr>
          <w:t>36</w:t>
        </w:r>
        <w:r w:rsidR="00AD6E83">
          <w:rPr>
            <w:noProof/>
            <w:webHidden/>
          </w:rPr>
          <w:fldChar w:fldCharType="end"/>
        </w:r>
      </w:hyperlink>
    </w:p>
    <w:p w14:paraId="7F56EA68" w14:textId="295576DF" w:rsidR="00AD6E83" w:rsidRDefault="00000000" w:rsidP="00AD6E83">
      <w:pPr>
        <w:pStyle w:val="TableofFigures"/>
        <w:tabs>
          <w:tab w:val="right" w:leader="dot" w:pos="9350"/>
        </w:tabs>
        <w:jc w:val="both"/>
        <w:rPr>
          <w:rFonts w:cstheme="minorBidi"/>
          <w:noProof/>
          <w:szCs w:val="24"/>
        </w:rPr>
      </w:pPr>
      <w:hyperlink w:anchor="_Toc115118622" w:history="1">
        <w:r w:rsidR="00AD6E83" w:rsidRPr="00F733D8">
          <w:rPr>
            <w:rStyle w:val="Hyperlink"/>
            <w:noProof/>
          </w:rPr>
          <w:t xml:space="preserve">Figure 2. 6 Secondary structure of peptides at initial contact. </w:t>
        </w:r>
        <w:r w:rsidR="00AD6E83" w:rsidRPr="00F733D8">
          <w:rPr>
            <w:rStyle w:val="Hyperlink"/>
            <w:bCs/>
            <w:noProof/>
          </w:rPr>
          <w:t>Coil is random coil, Strand includes beta-sheet forming dihedral angles. Reweighted as described in maintext.</w:t>
        </w:r>
        <w:r w:rsidR="00AD6E83">
          <w:rPr>
            <w:noProof/>
            <w:webHidden/>
          </w:rPr>
          <w:tab/>
        </w:r>
        <w:r w:rsidR="00AD6E83">
          <w:rPr>
            <w:noProof/>
            <w:webHidden/>
          </w:rPr>
          <w:fldChar w:fldCharType="begin"/>
        </w:r>
        <w:r w:rsidR="00AD6E83">
          <w:rPr>
            <w:noProof/>
            <w:webHidden/>
          </w:rPr>
          <w:instrText xml:space="preserve"> PAGEREF _Toc115118622 \h </w:instrText>
        </w:r>
        <w:r w:rsidR="00AD6E83">
          <w:rPr>
            <w:noProof/>
            <w:webHidden/>
          </w:rPr>
        </w:r>
        <w:r w:rsidR="00AD6E83">
          <w:rPr>
            <w:noProof/>
            <w:webHidden/>
          </w:rPr>
          <w:fldChar w:fldCharType="separate"/>
        </w:r>
        <w:r w:rsidR="00785166">
          <w:rPr>
            <w:noProof/>
            <w:webHidden/>
          </w:rPr>
          <w:t>36</w:t>
        </w:r>
        <w:r w:rsidR="00AD6E83">
          <w:rPr>
            <w:noProof/>
            <w:webHidden/>
          </w:rPr>
          <w:fldChar w:fldCharType="end"/>
        </w:r>
      </w:hyperlink>
    </w:p>
    <w:p w14:paraId="446B9EBA" w14:textId="6AFEE866" w:rsidR="00AD6E83" w:rsidRDefault="00000000" w:rsidP="00AD6E83">
      <w:pPr>
        <w:pStyle w:val="TableofFigures"/>
        <w:tabs>
          <w:tab w:val="right" w:leader="dot" w:pos="9350"/>
        </w:tabs>
        <w:jc w:val="both"/>
        <w:rPr>
          <w:rFonts w:cstheme="minorBidi"/>
          <w:noProof/>
          <w:szCs w:val="24"/>
        </w:rPr>
      </w:pPr>
      <w:hyperlink w:anchor="_Toc115118623" w:history="1">
        <w:r w:rsidR="00AD6E83" w:rsidRPr="00F733D8">
          <w:rPr>
            <w:rStyle w:val="Hyperlink"/>
            <w:noProof/>
          </w:rPr>
          <w:t xml:space="preserve">Figure 2. 7 Zeta potential measurements. </w:t>
        </w:r>
        <w:r w:rsidR="00AD6E83" w:rsidRPr="00F733D8">
          <w:rPr>
            <w:rStyle w:val="Hyperlink"/>
            <w:bCs/>
            <w:noProof/>
          </w:rPr>
          <w:t>Individual positively and negatively charged peptides and 1:1 (molar ratio) mixed forms.</w:t>
        </w:r>
        <w:r w:rsidR="00AD6E83">
          <w:rPr>
            <w:noProof/>
            <w:webHidden/>
          </w:rPr>
          <w:tab/>
        </w:r>
        <w:r w:rsidR="00AD6E83">
          <w:rPr>
            <w:noProof/>
            <w:webHidden/>
          </w:rPr>
          <w:fldChar w:fldCharType="begin"/>
        </w:r>
        <w:r w:rsidR="00AD6E83">
          <w:rPr>
            <w:noProof/>
            <w:webHidden/>
          </w:rPr>
          <w:instrText xml:space="preserve"> PAGEREF _Toc115118623 \h </w:instrText>
        </w:r>
        <w:r w:rsidR="00AD6E83">
          <w:rPr>
            <w:noProof/>
            <w:webHidden/>
          </w:rPr>
        </w:r>
        <w:r w:rsidR="00AD6E83">
          <w:rPr>
            <w:noProof/>
            <w:webHidden/>
          </w:rPr>
          <w:fldChar w:fldCharType="separate"/>
        </w:r>
        <w:r w:rsidR="00785166">
          <w:rPr>
            <w:noProof/>
            <w:webHidden/>
          </w:rPr>
          <w:t>38</w:t>
        </w:r>
        <w:r w:rsidR="00AD6E83">
          <w:rPr>
            <w:noProof/>
            <w:webHidden/>
          </w:rPr>
          <w:fldChar w:fldCharType="end"/>
        </w:r>
      </w:hyperlink>
    </w:p>
    <w:p w14:paraId="6FB524A7" w14:textId="6DA03C59" w:rsidR="00AD6E83" w:rsidRDefault="00000000" w:rsidP="00AD6E83">
      <w:pPr>
        <w:pStyle w:val="TableofFigures"/>
        <w:tabs>
          <w:tab w:val="right" w:leader="dot" w:pos="9350"/>
        </w:tabs>
        <w:jc w:val="both"/>
        <w:rPr>
          <w:rFonts w:cstheme="minorBidi"/>
          <w:noProof/>
          <w:szCs w:val="24"/>
        </w:rPr>
      </w:pPr>
      <w:hyperlink w:anchor="_Toc115118624" w:history="1">
        <w:r w:rsidR="00AD6E83" w:rsidRPr="00F733D8">
          <w:rPr>
            <w:rStyle w:val="Hyperlink"/>
            <w:noProof/>
          </w:rPr>
          <w:t xml:space="preserve">Figure 2. 8 Morphological analysis of peptide structures. </w:t>
        </w:r>
        <w:r w:rsidR="00AD6E83" w:rsidRPr="00F733D8">
          <w:rPr>
            <w:rStyle w:val="Hyperlink"/>
            <w:bCs/>
            <w:noProof/>
          </w:rPr>
          <w:t>AFM images of CoOPs. Diameter analysis of [AA], [WW] and [II].</w:t>
        </w:r>
        <w:r w:rsidR="00AD6E83">
          <w:rPr>
            <w:noProof/>
            <w:webHidden/>
          </w:rPr>
          <w:tab/>
        </w:r>
        <w:r w:rsidR="00AD6E83">
          <w:rPr>
            <w:noProof/>
            <w:webHidden/>
          </w:rPr>
          <w:fldChar w:fldCharType="begin"/>
        </w:r>
        <w:r w:rsidR="00AD6E83">
          <w:rPr>
            <w:noProof/>
            <w:webHidden/>
          </w:rPr>
          <w:instrText xml:space="preserve"> PAGEREF _Toc115118624 \h </w:instrText>
        </w:r>
        <w:r w:rsidR="00AD6E83">
          <w:rPr>
            <w:noProof/>
            <w:webHidden/>
          </w:rPr>
        </w:r>
        <w:r w:rsidR="00AD6E83">
          <w:rPr>
            <w:noProof/>
            <w:webHidden/>
          </w:rPr>
          <w:fldChar w:fldCharType="separate"/>
        </w:r>
        <w:r w:rsidR="00785166">
          <w:rPr>
            <w:noProof/>
            <w:webHidden/>
          </w:rPr>
          <w:t>38</w:t>
        </w:r>
        <w:r w:rsidR="00AD6E83">
          <w:rPr>
            <w:noProof/>
            <w:webHidden/>
          </w:rPr>
          <w:fldChar w:fldCharType="end"/>
        </w:r>
      </w:hyperlink>
    </w:p>
    <w:p w14:paraId="134C07C4" w14:textId="7AB50B96" w:rsidR="00AD6E83" w:rsidRDefault="00000000" w:rsidP="00AD6E83">
      <w:pPr>
        <w:pStyle w:val="TableofFigures"/>
        <w:tabs>
          <w:tab w:val="right" w:leader="dot" w:pos="9350"/>
        </w:tabs>
        <w:jc w:val="both"/>
        <w:rPr>
          <w:rFonts w:cstheme="minorBidi"/>
          <w:noProof/>
          <w:szCs w:val="24"/>
        </w:rPr>
      </w:pPr>
      <w:hyperlink w:anchor="_Toc115118625" w:history="1">
        <w:r w:rsidR="00AD6E83" w:rsidRPr="00F733D8">
          <w:rPr>
            <w:rStyle w:val="Hyperlink"/>
            <w:noProof/>
          </w:rPr>
          <w:t xml:space="preserve">Figure 2. 9 Hydrogel formation and 1D nanofibrillar assembly kinetics. </w:t>
        </w:r>
        <w:r w:rsidR="00AD6E83" w:rsidRPr="00F733D8">
          <w:rPr>
            <w:rStyle w:val="Hyperlink"/>
            <w:bCs/>
            <w:noProof/>
          </w:rPr>
          <w:t>Upon mixing two oppositely charged peptides, [II] and [WW] formed gels (A) consisting of nanofibers (B) while [AA] did not form any organized structure (A,B). Molecular co-assembly of the peptides was characterized by CAC determination (C). Characterization of amyloid-like aggregation mechanism probed by congo red assay for two days (D)</w:t>
        </w:r>
        <w:r w:rsidR="00AD6E83">
          <w:rPr>
            <w:noProof/>
            <w:webHidden/>
          </w:rPr>
          <w:tab/>
        </w:r>
        <w:r w:rsidR="00AD6E83">
          <w:rPr>
            <w:noProof/>
            <w:webHidden/>
          </w:rPr>
          <w:fldChar w:fldCharType="begin"/>
        </w:r>
        <w:r w:rsidR="00AD6E83">
          <w:rPr>
            <w:noProof/>
            <w:webHidden/>
          </w:rPr>
          <w:instrText xml:space="preserve"> PAGEREF _Toc115118625 \h </w:instrText>
        </w:r>
        <w:r w:rsidR="00AD6E83">
          <w:rPr>
            <w:noProof/>
            <w:webHidden/>
          </w:rPr>
        </w:r>
        <w:r w:rsidR="00AD6E83">
          <w:rPr>
            <w:noProof/>
            <w:webHidden/>
          </w:rPr>
          <w:fldChar w:fldCharType="separate"/>
        </w:r>
        <w:r w:rsidR="00785166">
          <w:rPr>
            <w:noProof/>
            <w:webHidden/>
          </w:rPr>
          <w:t>40</w:t>
        </w:r>
        <w:r w:rsidR="00AD6E83">
          <w:rPr>
            <w:noProof/>
            <w:webHidden/>
          </w:rPr>
          <w:fldChar w:fldCharType="end"/>
        </w:r>
      </w:hyperlink>
    </w:p>
    <w:p w14:paraId="66D2AFA9" w14:textId="70A51C68" w:rsidR="00AD6E83" w:rsidRDefault="00000000" w:rsidP="00AD6E83">
      <w:pPr>
        <w:pStyle w:val="TableofFigures"/>
        <w:tabs>
          <w:tab w:val="right" w:leader="dot" w:pos="9350"/>
        </w:tabs>
        <w:jc w:val="both"/>
        <w:rPr>
          <w:rFonts w:cstheme="minorBidi"/>
          <w:noProof/>
          <w:szCs w:val="24"/>
        </w:rPr>
      </w:pPr>
      <w:hyperlink w:anchor="_Toc115118626" w:history="1">
        <w:r w:rsidR="00AD6E83" w:rsidRPr="00F733D8">
          <w:rPr>
            <w:rStyle w:val="Hyperlink"/>
            <w:noProof/>
          </w:rPr>
          <w:t xml:space="preserve">Figure 2. 10 Determination of aggregation concentration of CoOPs. </w:t>
        </w:r>
        <w:r w:rsidR="00AD6E83" w:rsidRPr="00F733D8">
          <w:rPr>
            <w:rStyle w:val="Hyperlink"/>
            <w:bCs/>
            <w:noProof/>
          </w:rPr>
          <w:t>Dynamic light scattering (DLS) measurements were performed by co-assembled peptides with immediate incubation.</w:t>
        </w:r>
        <w:r w:rsidR="00AD6E83">
          <w:rPr>
            <w:noProof/>
            <w:webHidden/>
          </w:rPr>
          <w:tab/>
        </w:r>
        <w:r w:rsidR="00AD6E83">
          <w:rPr>
            <w:noProof/>
            <w:webHidden/>
          </w:rPr>
          <w:fldChar w:fldCharType="begin"/>
        </w:r>
        <w:r w:rsidR="00AD6E83">
          <w:rPr>
            <w:noProof/>
            <w:webHidden/>
          </w:rPr>
          <w:instrText xml:space="preserve"> PAGEREF _Toc115118626 \h </w:instrText>
        </w:r>
        <w:r w:rsidR="00AD6E83">
          <w:rPr>
            <w:noProof/>
            <w:webHidden/>
          </w:rPr>
        </w:r>
        <w:r w:rsidR="00AD6E83">
          <w:rPr>
            <w:noProof/>
            <w:webHidden/>
          </w:rPr>
          <w:fldChar w:fldCharType="separate"/>
        </w:r>
        <w:r w:rsidR="00785166">
          <w:rPr>
            <w:noProof/>
            <w:webHidden/>
          </w:rPr>
          <w:t>41</w:t>
        </w:r>
        <w:r w:rsidR="00AD6E83">
          <w:rPr>
            <w:noProof/>
            <w:webHidden/>
          </w:rPr>
          <w:fldChar w:fldCharType="end"/>
        </w:r>
      </w:hyperlink>
    </w:p>
    <w:p w14:paraId="3BA9CED8" w14:textId="6CA5E204" w:rsidR="00AD6E83" w:rsidRDefault="00000000" w:rsidP="00AD6E83">
      <w:pPr>
        <w:pStyle w:val="TableofFigures"/>
        <w:tabs>
          <w:tab w:val="right" w:leader="dot" w:pos="9350"/>
        </w:tabs>
        <w:jc w:val="both"/>
        <w:rPr>
          <w:rFonts w:cstheme="minorBidi"/>
          <w:noProof/>
          <w:szCs w:val="24"/>
        </w:rPr>
      </w:pPr>
      <w:hyperlink w:anchor="_Toc115118627" w:history="1">
        <w:r w:rsidR="00AD6E83" w:rsidRPr="00F733D8">
          <w:rPr>
            <w:rStyle w:val="Hyperlink"/>
            <w:noProof/>
          </w:rPr>
          <w:t xml:space="preserve">Figure 2. 11 DLS measurements of CoOPs. </w:t>
        </w:r>
        <w:r w:rsidR="00AD6E83" w:rsidRPr="00F733D8">
          <w:rPr>
            <w:rStyle w:val="Hyperlink"/>
            <w:bCs/>
            <w:noProof/>
          </w:rPr>
          <w:t>DLS measurements were performed by co-assembled peptides with overnight incubation.</w:t>
        </w:r>
        <w:r w:rsidR="00AD6E83">
          <w:rPr>
            <w:noProof/>
            <w:webHidden/>
          </w:rPr>
          <w:tab/>
        </w:r>
        <w:r w:rsidR="00AD6E83">
          <w:rPr>
            <w:noProof/>
            <w:webHidden/>
          </w:rPr>
          <w:fldChar w:fldCharType="begin"/>
        </w:r>
        <w:r w:rsidR="00AD6E83">
          <w:rPr>
            <w:noProof/>
            <w:webHidden/>
          </w:rPr>
          <w:instrText xml:space="preserve"> PAGEREF _Toc115118627 \h </w:instrText>
        </w:r>
        <w:r w:rsidR="00AD6E83">
          <w:rPr>
            <w:noProof/>
            <w:webHidden/>
          </w:rPr>
        </w:r>
        <w:r w:rsidR="00AD6E83">
          <w:rPr>
            <w:noProof/>
            <w:webHidden/>
          </w:rPr>
          <w:fldChar w:fldCharType="separate"/>
        </w:r>
        <w:r w:rsidR="00785166">
          <w:rPr>
            <w:noProof/>
            <w:webHidden/>
          </w:rPr>
          <w:t>42</w:t>
        </w:r>
        <w:r w:rsidR="00AD6E83">
          <w:rPr>
            <w:noProof/>
            <w:webHidden/>
          </w:rPr>
          <w:fldChar w:fldCharType="end"/>
        </w:r>
      </w:hyperlink>
    </w:p>
    <w:p w14:paraId="7C71163F" w14:textId="5427D0EB" w:rsidR="00AD6E83" w:rsidRDefault="00000000" w:rsidP="00AD6E83">
      <w:pPr>
        <w:pStyle w:val="TableofFigures"/>
        <w:tabs>
          <w:tab w:val="right" w:leader="dot" w:pos="9350"/>
        </w:tabs>
        <w:jc w:val="both"/>
        <w:rPr>
          <w:rFonts w:cstheme="minorBidi"/>
          <w:noProof/>
          <w:szCs w:val="24"/>
        </w:rPr>
      </w:pPr>
      <w:hyperlink w:anchor="_Toc115118628" w:history="1">
        <w:r w:rsidR="00AD6E83" w:rsidRPr="00F733D8">
          <w:rPr>
            <w:rStyle w:val="Hyperlink"/>
            <w:noProof/>
          </w:rPr>
          <w:t xml:space="preserve">Figure 2. 12 DLS measurements of single peptides. </w:t>
        </w:r>
        <w:r w:rsidR="00AD6E83" w:rsidRPr="00F733D8">
          <w:rPr>
            <w:rStyle w:val="Hyperlink"/>
            <w:bCs/>
            <w:noProof/>
          </w:rPr>
          <w:t xml:space="preserve">DLS measurements were performed with freshly prepared and overnight incubated samples for both positively (A) and negatively (B) charged peptides at 500 </w:t>
        </w:r>
        <w:r w:rsidR="00AD6E83" w:rsidRPr="00F733D8">
          <w:rPr>
            <w:rStyle w:val="Hyperlink"/>
            <w:b/>
            <w:bCs/>
            <w:noProof/>
          </w:rPr>
          <w:sym w:font="Symbol" w:char="F06D"/>
        </w:r>
        <w:r w:rsidR="00AD6E83" w:rsidRPr="00F733D8">
          <w:rPr>
            <w:rStyle w:val="Hyperlink"/>
            <w:bCs/>
            <w:noProof/>
          </w:rPr>
          <w:t>M.</w:t>
        </w:r>
        <w:r w:rsidR="00AD6E83">
          <w:rPr>
            <w:noProof/>
            <w:webHidden/>
          </w:rPr>
          <w:tab/>
        </w:r>
        <w:r w:rsidR="00AD6E83">
          <w:rPr>
            <w:noProof/>
            <w:webHidden/>
          </w:rPr>
          <w:fldChar w:fldCharType="begin"/>
        </w:r>
        <w:r w:rsidR="00AD6E83">
          <w:rPr>
            <w:noProof/>
            <w:webHidden/>
          </w:rPr>
          <w:instrText xml:space="preserve"> PAGEREF _Toc115118628 \h </w:instrText>
        </w:r>
        <w:r w:rsidR="00AD6E83">
          <w:rPr>
            <w:noProof/>
            <w:webHidden/>
          </w:rPr>
        </w:r>
        <w:r w:rsidR="00AD6E83">
          <w:rPr>
            <w:noProof/>
            <w:webHidden/>
          </w:rPr>
          <w:fldChar w:fldCharType="separate"/>
        </w:r>
        <w:r w:rsidR="00785166">
          <w:rPr>
            <w:noProof/>
            <w:webHidden/>
          </w:rPr>
          <w:t>43</w:t>
        </w:r>
        <w:r w:rsidR="00AD6E83">
          <w:rPr>
            <w:noProof/>
            <w:webHidden/>
          </w:rPr>
          <w:fldChar w:fldCharType="end"/>
        </w:r>
      </w:hyperlink>
    </w:p>
    <w:p w14:paraId="196F70AA" w14:textId="46987E24" w:rsidR="00AD6E83" w:rsidRDefault="00000000" w:rsidP="00AD6E83">
      <w:pPr>
        <w:pStyle w:val="TableofFigures"/>
        <w:tabs>
          <w:tab w:val="right" w:leader="dot" w:pos="9350"/>
        </w:tabs>
        <w:jc w:val="both"/>
        <w:rPr>
          <w:rFonts w:cstheme="minorBidi"/>
          <w:noProof/>
          <w:szCs w:val="24"/>
        </w:rPr>
      </w:pPr>
      <w:hyperlink w:anchor="_Toc115118629" w:history="1">
        <w:r w:rsidR="00AD6E83" w:rsidRPr="00F733D8">
          <w:rPr>
            <w:rStyle w:val="Hyperlink"/>
            <w:noProof/>
          </w:rPr>
          <w:t xml:space="preserve">Figure 2. 13 Structural determination of CoOPs. </w:t>
        </w:r>
        <w:r w:rsidR="00AD6E83" w:rsidRPr="00F733D8">
          <w:rPr>
            <w:rStyle w:val="Hyperlink"/>
            <w:bCs/>
            <w:noProof/>
          </w:rPr>
          <w:t>Secondary structure analysis of CoOPs and the individual counterparts in water with different concentrations by using FTIR and CD measurements (A,B))</w:t>
        </w:r>
        <w:r w:rsidR="00AD6E83">
          <w:rPr>
            <w:noProof/>
            <w:webHidden/>
          </w:rPr>
          <w:tab/>
        </w:r>
        <w:r w:rsidR="00AD6E83">
          <w:rPr>
            <w:noProof/>
            <w:webHidden/>
          </w:rPr>
          <w:fldChar w:fldCharType="begin"/>
        </w:r>
        <w:r w:rsidR="00AD6E83">
          <w:rPr>
            <w:noProof/>
            <w:webHidden/>
          </w:rPr>
          <w:instrText xml:space="preserve"> PAGEREF _Toc115118629 \h </w:instrText>
        </w:r>
        <w:r w:rsidR="00AD6E83">
          <w:rPr>
            <w:noProof/>
            <w:webHidden/>
          </w:rPr>
        </w:r>
        <w:r w:rsidR="00AD6E83">
          <w:rPr>
            <w:noProof/>
            <w:webHidden/>
          </w:rPr>
          <w:fldChar w:fldCharType="separate"/>
        </w:r>
        <w:r w:rsidR="00785166">
          <w:rPr>
            <w:noProof/>
            <w:webHidden/>
          </w:rPr>
          <w:t>45</w:t>
        </w:r>
        <w:r w:rsidR="00AD6E83">
          <w:rPr>
            <w:noProof/>
            <w:webHidden/>
          </w:rPr>
          <w:fldChar w:fldCharType="end"/>
        </w:r>
      </w:hyperlink>
    </w:p>
    <w:p w14:paraId="6341F44F" w14:textId="2C0A4E6E" w:rsidR="00AD6E83" w:rsidRDefault="00000000" w:rsidP="00AD6E83">
      <w:pPr>
        <w:pStyle w:val="TableofFigures"/>
        <w:tabs>
          <w:tab w:val="right" w:leader="dot" w:pos="9350"/>
        </w:tabs>
        <w:jc w:val="both"/>
        <w:rPr>
          <w:rFonts w:cstheme="minorBidi"/>
          <w:noProof/>
          <w:szCs w:val="24"/>
        </w:rPr>
      </w:pPr>
      <w:hyperlink w:anchor="_Toc115118630" w:history="1">
        <w:r w:rsidR="00AD6E83" w:rsidRPr="00F733D8">
          <w:rPr>
            <w:rStyle w:val="Hyperlink"/>
            <w:noProof/>
          </w:rPr>
          <w:t xml:space="preserve">Figure 2. 14 Secondary structure analysis CoOPs. </w:t>
        </w:r>
        <w:r w:rsidR="00AD6E83" w:rsidRPr="00F733D8">
          <w:rPr>
            <w:rStyle w:val="Hyperlink"/>
            <w:bCs/>
            <w:noProof/>
          </w:rPr>
          <w:t>Positively (A) and negatively charged (B) individual peptides in water by using FTIR.</w:t>
        </w:r>
        <w:r w:rsidR="00AD6E83">
          <w:rPr>
            <w:noProof/>
            <w:webHidden/>
          </w:rPr>
          <w:tab/>
        </w:r>
        <w:r w:rsidR="00AD6E83">
          <w:rPr>
            <w:noProof/>
            <w:webHidden/>
          </w:rPr>
          <w:fldChar w:fldCharType="begin"/>
        </w:r>
        <w:r w:rsidR="00AD6E83">
          <w:rPr>
            <w:noProof/>
            <w:webHidden/>
          </w:rPr>
          <w:instrText xml:space="preserve"> PAGEREF _Toc115118630 \h </w:instrText>
        </w:r>
        <w:r w:rsidR="00AD6E83">
          <w:rPr>
            <w:noProof/>
            <w:webHidden/>
          </w:rPr>
        </w:r>
        <w:r w:rsidR="00AD6E83">
          <w:rPr>
            <w:noProof/>
            <w:webHidden/>
          </w:rPr>
          <w:fldChar w:fldCharType="separate"/>
        </w:r>
        <w:r w:rsidR="00785166">
          <w:rPr>
            <w:noProof/>
            <w:webHidden/>
          </w:rPr>
          <w:t>47</w:t>
        </w:r>
        <w:r w:rsidR="00AD6E83">
          <w:rPr>
            <w:noProof/>
            <w:webHidden/>
          </w:rPr>
          <w:fldChar w:fldCharType="end"/>
        </w:r>
      </w:hyperlink>
    </w:p>
    <w:p w14:paraId="744670A2" w14:textId="3041531B" w:rsidR="00AD6E83" w:rsidRDefault="00000000" w:rsidP="00AD6E83">
      <w:pPr>
        <w:pStyle w:val="TableofFigures"/>
        <w:tabs>
          <w:tab w:val="right" w:leader="dot" w:pos="9350"/>
        </w:tabs>
        <w:jc w:val="both"/>
        <w:rPr>
          <w:rFonts w:cstheme="minorBidi"/>
          <w:noProof/>
          <w:szCs w:val="24"/>
        </w:rPr>
      </w:pPr>
      <w:hyperlink w:anchor="_Toc115118631" w:history="1">
        <w:r w:rsidR="00AD6E83" w:rsidRPr="00F733D8">
          <w:rPr>
            <w:rStyle w:val="Hyperlink"/>
            <w:noProof/>
          </w:rPr>
          <w:t xml:space="preserve">Figure 2. 15 Mechanical characterization of CoOPs. </w:t>
        </w:r>
        <w:r w:rsidR="00AD6E83" w:rsidRPr="00F733D8">
          <w:rPr>
            <w:rStyle w:val="Hyperlink"/>
            <w:bCs/>
            <w:noProof/>
          </w:rPr>
          <w:t>Time sweep and strain sweep tests of [AA], [WW] and [II] for immediate analysis.</w:t>
        </w:r>
        <w:r w:rsidR="00AD6E83">
          <w:rPr>
            <w:noProof/>
            <w:webHidden/>
          </w:rPr>
          <w:tab/>
        </w:r>
        <w:r w:rsidR="00AD6E83">
          <w:rPr>
            <w:noProof/>
            <w:webHidden/>
          </w:rPr>
          <w:fldChar w:fldCharType="begin"/>
        </w:r>
        <w:r w:rsidR="00AD6E83">
          <w:rPr>
            <w:noProof/>
            <w:webHidden/>
          </w:rPr>
          <w:instrText xml:space="preserve"> PAGEREF _Toc115118631 \h </w:instrText>
        </w:r>
        <w:r w:rsidR="00AD6E83">
          <w:rPr>
            <w:noProof/>
            <w:webHidden/>
          </w:rPr>
        </w:r>
        <w:r w:rsidR="00AD6E83">
          <w:rPr>
            <w:noProof/>
            <w:webHidden/>
          </w:rPr>
          <w:fldChar w:fldCharType="separate"/>
        </w:r>
        <w:r w:rsidR="00785166">
          <w:rPr>
            <w:noProof/>
            <w:webHidden/>
          </w:rPr>
          <w:t>48</w:t>
        </w:r>
        <w:r w:rsidR="00AD6E83">
          <w:rPr>
            <w:noProof/>
            <w:webHidden/>
          </w:rPr>
          <w:fldChar w:fldCharType="end"/>
        </w:r>
      </w:hyperlink>
    </w:p>
    <w:p w14:paraId="4D5BF34F" w14:textId="78969EFD" w:rsidR="00AD6E83" w:rsidRDefault="00000000" w:rsidP="00AD6E83">
      <w:pPr>
        <w:pStyle w:val="TableofFigures"/>
        <w:tabs>
          <w:tab w:val="right" w:leader="dot" w:pos="9350"/>
        </w:tabs>
        <w:jc w:val="both"/>
        <w:rPr>
          <w:rFonts w:cstheme="minorBidi"/>
          <w:noProof/>
          <w:szCs w:val="24"/>
        </w:rPr>
      </w:pPr>
      <w:hyperlink w:anchor="_Toc115118632" w:history="1">
        <w:r w:rsidR="00AD6E83" w:rsidRPr="00F733D8">
          <w:rPr>
            <w:rStyle w:val="Hyperlink"/>
            <w:noProof/>
          </w:rPr>
          <w:t xml:space="preserve">Figure 2. 16 Mechanical characterization of CoOPs. </w:t>
        </w:r>
        <w:r w:rsidR="00AD6E83" w:rsidRPr="00F733D8">
          <w:rPr>
            <w:rStyle w:val="Hyperlink"/>
            <w:bCs/>
            <w:noProof/>
          </w:rPr>
          <w:t>Time sweep and strain sweep tests of [AA], [WW] and [II] for overnight characterization.</w:t>
        </w:r>
        <w:r w:rsidR="00AD6E83">
          <w:rPr>
            <w:noProof/>
            <w:webHidden/>
          </w:rPr>
          <w:tab/>
        </w:r>
        <w:r w:rsidR="00AD6E83">
          <w:rPr>
            <w:noProof/>
            <w:webHidden/>
          </w:rPr>
          <w:fldChar w:fldCharType="begin"/>
        </w:r>
        <w:r w:rsidR="00AD6E83">
          <w:rPr>
            <w:noProof/>
            <w:webHidden/>
          </w:rPr>
          <w:instrText xml:space="preserve"> PAGEREF _Toc115118632 \h </w:instrText>
        </w:r>
        <w:r w:rsidR="00AD6E83">
          <w:rPr>
            <w:noProof/>
            <w:webHidden/>
          </w:rPr>
        </w:r>
        <w:r w:rsidR="00AD6E83">
          <w:rPr>
            <w:noProof/>
            <w:webHidden/>
          </w:rPr>
          <w:fldChar w:fldCharType="separate"/>
        </w:r>
        <w:r w:rsidR="00785166">
          <w:rPr>
            <w:noProof/>
            <w:webHidden/>
          </w:rPr>
          <w:t>48</w:t>
        </w:r>
        <w:r w:rsidR="00AD6E83">
          <w:rPr>
            <w:noProof/>
            <w:webHidden/>
          </w:rPr>
          <w:fldChar w:fldCharType="end"/>
        </w:r>
      </w:hyperlink>
    </w:p>
    <w:p w14:paraId="5B91EC4C" w14:textId="4C7C6E25" w:rsidR="00AD6E83" w:rsidRDefault="00000000" w:rsidP="00AD6E83">
      <w:pPr>
        <w:pStyle w:val="TableofFigures"/>
        <w:tabs>
          <w:tab w:val="right" w:leader="dot" w:pos="9350"/>
        </w:tabs>
        <w:jc w:val="both"/>
        <w:rPr>
          <w:rFonts w:cstheme="minorBidi"/>
          <w:noProof/>
          <w:szCs w:val="24"/>
        </w:rPr>
      </w:pPr>
      <w:hyperlink w:anchor="_Toc115118633" w:history="1">
        <w:r w:rsidR="00AD6E83" w:rsidRPr="00F733D8">
          <w:rPr>
            <w:rStyle w:val="Hyperlink"/>
            <w:noProof/>
          </w:rPr>
          <w:t xml:space="preserve">Figure 2. 17 Storage modulus of [WW] and [II]. </w:t>
        </w:r>
        <w:r w:rsidR="00AD6E83" w:rsidRPr="00F733D8">
          <w:rPr>
            <w:rStyle w:val="Hyperlink"/>
            <w:bCs/>
            <w:noProof/>
          </w:rPr>
          <w:t>One phase association of storage modulus of [WW] and [II] during 20 min.</w:t>
        </w:r>
        <w:r w:rsidR="00AD6E83">
          <w:rPr>
            <w:noProof/>
            <w:webHidden/>
          </w:rPr>
          <w:tab/>
        </w:r>
        <w:r w:rsidR="00AD6E83">
          <w:rPr>
            <w:noProof/>
            <w:webHidden/>
          </w:rPr>
          <w:fldChar w:fldCharType="begin"/>
        </w:r>
        <w:r w:rsidR="00AD6E83">
          <w:rPr>
            <w:noProof/>
            <w:webHidden/>
          </w:rPr>
          <w:instrText xml:space="preserve"> PAGEREF _Toc115118633 \h </w:instrText>
        </w:r>
        <w:r w:rsidR="00AD6E83">
          <w:rPr>
            <w:noProof/>
            <w:webHidden/>
          </w:rPr>
        </w:r>
        <w:r w:rsidR="00AD6E83">
          <w:rPr>
            <w:noProof/>
            <w:webHidden/>
          </w:rPr>
          <w:fldChar w:fldCharType="separate"/>
        </w:r>
        <w:r w:rsidR="00785166">
          <w:rPr>
            <w:noProof/>
            <w:webHidden/>
          </w:rPr>
          <w:t>50</w:t>
        </w:r>
        <w:r w:rsidR="00AD6E83">
          <w:rPr>
            <w:noProof/>
            <w:webHidden/>
          </w:rPr>
          <w:fldChar w:fldCharType="end"/>
        </w:r>
      </w:hyperlink>
    </w:p>
    <w:p w14:paraId="40A20A36" w14:textId="08230E35" w:rsidR="008B6CBE" w:rsidRPr="00E90030" w:rsidRDefault="00DD2795" w:rsidP="00AD6E83">
      <w:pPr>
        <w:pStyle w:val="TOCHeading"/>
        <w:spacing w:before="0" w:after="0" w:line="240" w:lineRule="auto"/>
        <w:jc w:val="both"/>
        <w:rPr>
          <w:rFonts w:cs="Arial (Body)"/>
          <w:sz w:val="24"/>
        </w:rPr>
      </w:pPr>
      <w:r w:rsidRPr="00E90030">
        <w:rPr>
          <w:rFonts w:cs="Arial (Body)"/>
          <w:smallCaps w:val="0"/>
          <w:spacing w:val="0"/>
          <w:sz w:val="24"/>
          <w:szCs w:val="20"/>
        </w:rPr>
        <w:fldChar w:fldCharType="end"/>
      </w:r>
    </w:p>
    <w:p w14:paraId="03A3DF22" w14:textId="277358ED" w:rsidR="00AD6E83" w:rsidRDefault="00DD2795" w:rsidP="0005670B">
      <w:pPr>
        <w:pStyle w:val="TableofFigures"/>
        <w:tabs>
          <w:tab w:val="right" w:leader="dot" w:pos="9350"/>
        </w:tabs>
        <w:jc w:val="both"/>
        <w:rPr>
          <w:rFonts w:cstheme="minorBidi"/>
          <w:noProof/>
          <w:szCs w:val="24"/>
        </w:rPr>
      </w:pPr>
      <w:r w:rsidRPr="00E90030">
        <w:rPr>
          <w:rFonts w:cstheme="minorHAnsi"/>
          <w:sz w:val="20"/>
        </w:rPr>
        <w:fldChar w:fldCharType="begin"/>
      </w:r>
      <w:r w:rsidRPr="00E90030">
        <w:rPr>
          <w:rFonts w:cstheme="minorHAnsi"/>
          <w:sz w:val="20"/>
        </w:rPr>
        <w:instrText xml:space="preserve"> TOC \h \z \c "Figure 3." </w:instrText>
      </w:r>
      <w:r w:rsidRPr="00E90030">
        <w:rPr>
          <w:rFonts w:cstheme="minorHAnsi"/>
          <w:sz w:val="20"/>
        </w:rPr>
        <w:fldChar w:fldCharType="separate"/>
      </w:r>
      <w:hyperlink w:anchor="_Toc115118638" w:history="1">
        <w:r w:rsidR="00AD6E83" w:rsidRPr="00F04237">
          <w:rPr>
            <w:rStyle w:val="Hyperlink"/>
            <w:noProof/>
          </w:rPr>
          <w:t xml:space="preserve">Figure 3. 1 Peptide groups and aggregation kinetics. </w:t>
        </w:r>
        <w:r w:rsidR="00AD6E83" w:rsidRPr="00F04237">
          <w:rPr>
            <w:rStyle w:val="Hyperlink"/>
            <w:bCs/>
            <w:noProof/>
          </w:rPr>
          <w:t>(A) CoOP groups and individual counterparts were used in this study. (B) CAC of co-assembled peptides with DPH. (C) Macroscopic CoOP aggregates incubated with Congo Red. (D) Determination of aggregation kinetics of CoOPs and (E) individual counterparts by ThT assay. Data are representative of three experiments.</w:t>
        </w:r>
        <w:r w:rsidR="00AD6E83">
          <w:rPr>
            <w:noProof/>
            <w:webHidden/>
          </w:rPr>
          <w:tab/>
        </w:r>
        <w:r w:rsidR="00AD6E83">
          <w:rPr>
            <w:noProof/>
            <w:webHidden/>
          </w:rPr>
          <w:fldChar w:fldCharType="begin"/>
        </w:r>
        <w:r w:rsidR="00AD6E83">
          <w:rPr>
            <w:noProof/>
            <w:webHidden/>
          </w:rPr>
          <w:instrText xml:space="preserve"> PAGEREF _Toc115118638 \h </w:instrText>
        </w:r>
        <w:r w:rsidR="00AD6E83">
          <w:rPr>
            <w:noProof/>
            <w:webHidden/>
          </w:rPr>
        </w:r>
        <w:r w:rsidR="00AD6E83">
          <w:rPr>
            <w:noProof/>
            <w:webHidden/>
          </w:rPr>
          <w:fldChar w:fldCharType="separate"/>
        </w:r>
        <w:r w:rsidR="00785166">
          <w:rPr>
            <w:noProof/>
            <w:webHidden/>
          </w:rPr>
          <w:t>69</w:t>
        </w:r>
        <w:r w:rsidR="00AD6E83">
          <w:rPr>
            <w:noProof/>
            <w:webHidden/>
          </w:rPr>
          <w:fldChar w:fldCharType="end"/>
        </w:r>
      </w:hyperlink>
    </w:p>
    <w:p w14:paraId="40B3D4D2" w14:textId="715B1DE7" w:rsidR="00AD6E83" w:rsidRDefault="00000000" w:rsidP="0005670B">
      <w:pPr>
        <w:pStyle w:val="TableofFigures"/>
        <w:tabs>
          <w:tab w:val="right" w:leader="dot" w:pos="9350"/>
        </w:tabs>
        <w:jc w:val="both"/>
        <w:rPr>
          <w:rFonts w:cstheme="minorBidi"/>
          <w:noProof/>
          <w:szCs w:val="24"/>
        </w:rPr>
      </w:pPr>
      <w:hyperlink w:anchor="_Toc115118639" w:history="1">
        <w:r w:rsidR="00AD6E83" w:rsidRPr="00F04237">
          <w:rPr>
            <w:rStyle w:val="Hyperlink"/>
            <w:noProof/>
          </w:rPr>
          <w:t xml:space="preserve">Figure 3. 2. LC and MS analysis of [LL] and [VV] peptides. </w:t>
        </w:r>
        <w:r w:rsidR="00AD6E83" w:rsidRPr="00F04237">
          <w:rPr>
            <w:rStyle w:val="Hyperlink"/>
            <w:bCs/>
            <w:noProof/>
          </w:rPr>
          <w:t>The exact molecular weight of KFFVVK: 765.49, KFFLLK:793.52 , EFFVVE: 809.4 , EFFLLE: 837.43.</w:t>
        </w:r>
        <w:r w:rsidR="00AD6E83">
          <w:rPr>
            <w:noProof/>
            <w:webHidden/>
          </w:rPr>
          <w:tab/>
        </w:r>
        <w:r w:rsidR="00AD6E83">
          <w:rPr>
            <w:noProof/>
            <w:webHidden/>
          </w:rPr>
          <w:fldChar w:fldCharType="begin"/>
        </w:r>
        <w:r w:rsidR="00AD6E83">
          <w:rPr>
            <w:noProof/>
            <w:webHidden/>
          </w:rPr>
          <w:instrText xml:space="preserve"> PAGEREF _Toc115118639 \h </w:instrText>
        </w:r>
        <w:r w:rsidR="00AD6E83">
          <w:rPr>
            <w:noProof/>
            <w:webHidden/>
          </w:rPr>
        </w:r>
        <w:r w:rsidR="00AD6E83">
          <w:rPr>
            <w:noProof/>
            <w:webHidden/>
          </w:rPr>
          <w:fldChar w:fldCharType="separate"/>
        </w:r>
        <w:r w:rsidR="00785166">
          <w:rPr>
            <w:noProof/>
            <w:webHidden/>
          </w:rPr>
          <w:t>70</w:t>
        </w:r>
        <w:r w:rsidR="00AD6E83">
          <w:rPr>
            <w:noProof/>
            <w:webHidden/>
          </w:rPr>
          <w:fldChar w:fldCharType="end"/>
        </w:r>
      </w:hyperlink>
    </w:p>
    <w:p w14:paraId="4DF86257" w14:textId="72B0DA02" w:rsidR="00AD6E83" w:rsidRDefault="00000000" w:rsidP="0005670B">
      <w:pPr>
        <w:pStyle w:val="TableofFigures"/>
        <w:tabs>
          <w:tab w:val="right" w:leader="dot" w:pos="9350"/>
        </w:tabs>
        <w:jc w:val="both"/>
        <w:rPr>
          <w:rFonts w:cstheme="minorBidi"/>
          <w:noProof/>
          <w:szCs w:val="24"/>
        </w:rPr>
      </w:pPr>
      <w:hyperlink w:anchor="_Toc115118640" w:history="1">
        <w:r w:rsidR="00AD6E83" w:rsidRPr="00F04237">
          <w:rPr>
            <w:rStyle w:val="Hyperlink"/>
            <w:noProof/>
          </w:rPr>
          <w:t xml:space="preserve">Figure 3. 3 Morphological analysis of peptide structures. </w:t>
        </w:r>
        <w:r w:rsidR="00AD6E83" w:rsidRPr="00F04237">
          <w:rPr>
            <w:rStyle w:val="Hyperlink"/>
            <w:bCs/>
            <w:noProof/>
          </w:rPr>
          <w:t>TEM images of [VV], [WW], [LL] and [II] peptides. Scale bar: 500 nm.</w:t>
        </w:r>
        <w:r w:rsidR="00AD6E83">
          <w:rPr>
            <w:noProof/>
            <w:webHidden/>
          </w:rPr>
          <w:tab/>
        </w:r>
        <w:r w:rsidR="00AD6E83">
          <w:rPr>
            <w:noProof/>
            <w:webHidden/>
          </w:rPr>
          <w:fldChar w:fldCharType="begin"/>
        </w:r>
        <w:r w:rsidR="00AD6E83">
          <w:rPr>
            <w:noProof/>
            <w:webHidden/>
          </w:rPr>
          <w:instrText xml:space="preserve"> PAGEREF _Toc115118640 \h </w:instrText>
        </w:r>
        <w:r w:rsidR="00AD6E83">
          <w:rPr>
            <w:noProof/>
            <w:webHidden/>
          </w:rPr>
        </w:r>
        <w:r w:rsidR="00AD6E83">
          <w:rPr>
            <w:noProof/>
            <w:webHidden/>
          </w:rPr>
          <w:fldChar w:fldCharType="separate"/>
        </w:r>
        <w:r w:rsidR="00785166">
          <w:rPr>
            <w:noProof/>
            <w:webHidden/>
          </w:rPr>
          <w:t>72</w:t>
        </w:r>
        <w:r w:rsidR="00AD6E83">
          <w:rPr>
            <w:noProof/>
            <w:webHidden/>
          </w:rPr>
          <w:fldChar w:fldCharType="end"/>
        </w:r>
      </w:hyperlink>
    </w:p>
    <w:p w14:paraId="4CE18C94" w14:textId="27A515A0" w:rsidR="00AD6E83" w:rsidRDefault="00000000" w:rsidP="0005670B">
      <w:pPr>
        <w:pStyle w:val="TableofFigures"/>
        <w:tabs>
          <w:tab w:val="right" w:leader="dot" w:pos="9350"/>
        </w:tabs>
        <w:jc w:val="both"/>
        <w:rPr>
          <w:rFonts w:cstheme="minorBidi"/>
          <w:noProof/>
          <w:szCs w:val="24"/>
        </w:rPr>
      </w:pPr>
      <w:hyperlink w:anchor="_Toc115118641" w:history="1">
        <w:r w:rsidR="00AD6E83" w:rsidRPr="00F04237">
          <w:rPr>
            <w:rStyle w:val="Hyperlink"/>
            <w:noProof/>
          </w:rPr>
          <w:t xml:space="preserve">Figure 3. 4 Cytotoxicity of peptides to ovcar-8 cells. Negative peptides were added to the cells, followed by corresponding positive peptides. </w:t>
        </w:r>
        <w:r w:rsidR="00AD6E83" w:rsidRPr="00F04237">
          <w:rPr>
            <w:rStyle w:val="Hyperlink"/>
            <w:bCs/>
            <w:noProof/>
          </w:rPr>
          <w:t xml:space="preserve">(A) live-dead images of ovcar-8 cells treated with peptide combinations and corresponding individual counterparts at 6h (peptide concentration is 0.5 mm) (B) zeta potential of individual and combined peptides. (C) illustration of peptide preparation for [WW] and [II]. The effect of peptide preparation on cell viability for [WW] (D) and [II] (E). The scale bar is 200 </w:t>
        </w:r>
        <w:r w:rsidR="00AD6E83" w:rsidRPr="00F04237">
          <w:rPr>
            <w:rStyle w:val="Hyperlink"/>
            <w:rFonts w:ascii="Symbol" w:hAnsi="Symbol"/>
            <w:bCs/>
            <w:noProof/>
          </w:rPr>
          <w:t></w:t>
        </w:r>
        <w:r w:rsidR="00AD6E83" w:rsidRPr="00F04237">
          <w:rPr>
            <w:rStyle w:val="Hyperlink"/>
            <w:bCs/>
            <w:noProof/>
          </w:rPr>
          <w:t>m. Data are representative of at least three experiments. Statistical analysis via one-way anova test, data are mean ± sd, ****p&lt;0.0001.</w:t>
        </w:r>
        <w:r w:rsidR="00AD6E83">
          <w:rPr>
            <w:noProof/>
            <w:webHidden/>
          </w:rPr>
          <w:tab/>
        </w:r>
        <w:r w:rsidR="00AD6E83">
          <w:rPr>
            <w:noProof/>
            <w:webHidden/>
          </w:rPr>
          <w:fldChar w:fldCharType="begin"/>
        </w:r>
        <w:r w:rsidR="00AD6E83">
          <w:rPr>
            <w:noProof/>
            <w:webHidden/>
          </w:rPr>
          <w:instrText xml:space="preserve"> PAGEREF _Toc115118641 \h </w:instrText>
        </w:r>
        <w:r w:rsidR="00AD6E83">
          <w:rPr>
            <w:noProof/>
            <w:webHidden/>
          </w:rPr>
        </w:r>
        <w:r w:rsidR="00AD6E83">
          <w:rPr>
            <w:noProof/>
            <w:webHidden/>
          </w:rPr>
          <w:fldChar w:fldCharType="separate"/>
        </w:r>
        <w:r w:rsidR="00785166">
          <w:rPr>
            <w:noProof/>
            <w:webHidden/>
          </w:rPr>
          <w:t>76</w:t>
        </w:r>
        <w:r w:rsidR="00AD6E83">
          <w:rPr>
            <w:noProof/>
            <w:webHidden/>
          </w:rPr>
          <w:fldChar w:fldCharType="end"/>
        </w:r>
      </w:hyperlink>
    </w:p>
    <w:p w14:paraId="03DAF5F7" w14:textId="1B001989" w:rsidR="00AD6E83" w:rsidRDefault="00000000" w:rsidP="0005670B">
      <w:pPr>
        <w:pStyle w:val="TableofFigures"/>
        <w:tabs>
          <w:tab w:val="right" w:leader="dot" w:pos="9350"/>
        </w:tabs>
        <w:jc w:val="both"/>
        <w:rPr>
          <w:rFonts w:cstheme="minorBidi"/>
          <w:noProof/>
          <w:szCs w:val="24"/>
        </w:rPr>
      </w:pPr>
      <w:hyperlink w:anchor="_Toc115118642" w:history="1">
        <w:r w:rsidR="00AD6E83" w:rsidRPr="00F04237">
          <w:rPr>
            <w:rStyle w:val="Hyperlink"/>
            <w:noProof/>
          </w:rPr>
          <w:t xml:space="preserve">Figure 3. 5 [II] induces membrane rupture. (A) time and concentration-dependent cell membrane damage of [II] were analyzed through pi uptake (scale bar is 100 </w:t>
        </w:r>
        <w:r w:rsidR="00AD6E83" w:rsidRPr="00F04237">
          <w:rPr>
            <w:rStyle w:val="Hyperlink"/>
            <w:rFonts w:ascii="Symbol" w:hAnsi="Symbol"/>
            <w:noProof/>
          </w:rPr>
          <w:t></w:t>
        </w:r>
        <w:r w:rsidR="00AD6E83" w:rsidRPr="00F04237">
          <w:rPr>
            <w:rStyle w:val="Hyperlink"/>
            <w:noProof/>
          </w:rPr>
          <w:t xml:space="preserve">m). (B) time-dependent viability measurement and (C) time-dependent nuclear size analysis. (d) actin cytoskeleton staining of [II] treated ovcar-8 cells at 1,3 and 6h, scale bar is 20 </w:t>
        </w:r>
        <w:r w:rsidR="00AD6E83" w:rsidRPr="00F04237">
          <w:rPr>
            <w:rStyle w:val="Hyperlink"/>
            <w:rFonts w:ascii="Symbol" w:hAnsi="Symbol"/>
            <w:noProof/>
          </w:rPr>
          <w:t></w:t>
        </w:r>
        <w:r w:rsidR="00AD6E83" w:rsidRPr="00F04237">
          <w:rPr>
            <w:rStyle w:val="Hyperlink"/>
            <w:noProof/>
          </w:rPr>
          <w:t xml:space="preserve">m. (e) internalization of FITC-KFFIIK and (f) FITC-[II] for 1, 3 and 6h, scale bar is 100 </w:t>
        </w:r>
        <w:r w:rsidR="00AD6E83" w:rsidRPr="00F04237">
          <w:rPr>
            <w:rStyle w:val="Hyperlink"/>
            <w:rFonts w:ascii="Symbol" w:hAnsi="Symbol"/>
            <w:noProof/>
          </w:rPr>
          <w:t></w:t>
        </w:r>
        <w:r w:rsidR="00AD6E83" w:rsidRPr="00F04237">
          <w:rPr>
            <w:rStyle w:val="Hyperlink"/>
            <w:noProof/>
          </w:rPr>
          <w:t>m. Data are representative of at least three experiments. Statistical analysis was done with one-way anova test. Data are mean ± sd, ****p&lt;0.0001.</w:t>
        </w:r>
        <w:r w:rsidR="00AD6E83">
          <w:rPr>
            <w:noProof/>
            <w:webHidden/>
          </w:rPr>
          <w:tab/>
        </w:r>
        <w:r w:rsidR="00AD6E83">
          <w:rPr>
            <w:noProof/>
            <w:webHidden/>
          </w:rPr>
          <w:fldChar w:fldCharType="begin"/>
        </w:r>
        <w:r w:rsidR="00AD6E83">
          <w:rPr>
            <w:noProof/>
            <w:webHidden/>
          </w:rPr>
          <w:instrText xml:space="preserve"> PAGEREF _Toc115118642 \h </w:instrText>
        </w:r>
        <w:r w:rsidR="00AD6E83">
          <w:rPr>
            <w:noProof/>
            <w:webHidden/>
          </w:rPr>
        </w:r>
        <w:r w:rsidR="00AD6E83">
          <w:rPr>
            <w:noProof/>
            <w:webHidden/>
          </w:rPr>
          <w:fldChar w:fldCharType="separate"/>
        </w:r>
        <w:r w:rsidR="00785166">
          <w:rPr>
            <w:noProof/>
            <w:webHidden/>
          </w:rPr>
          <w:t>78</w:t>
        </w:r>
        <w:r w:rsidR="00AD6E83">
          <w:rPr>
            <w:noProof/>
            <w:webHidden/>
          </w:rPr>
          <w:fldChar w:fldCharType="end"/>
        </w:r>
      </w:hyperlink>
    </w:p>
    <w:p w14:paraId="021AC34D" w14:textId="52004339" w:rsidR="00AD6E83" w:rsidRDefault="00000000" w:rsidP="0005670B">
      <w:pPr>
        <w:pStyle w:val="TableofFigures"/>
        <w:tabs>
          <w:tab w:val="right" w:leader="dot" w:pos="9350"/>
        </w:tabs>
        <w:jc w:val="both"/>
        <w:rPr>
          <w:rFonts w:cstheme="minorBidi"/>
          <w:noProof/>
          <w:szCs w:val="24"/>
        </w:rPr>
      </w:pPr>
      <w:hyperlink w:anchor="_Toc115118643" w:history="1">
        <w:r w:rsidR="00AD6E83" w:rsidRPr="00F04237">
          <w:rPr>
            <w:rStyle w:val="Hyperlink"/>
            <w:noProof/>
          </w:rPr>
          <w:t xml:space="preserve">Figure 3. 6 Liposome diameters. Films of agarose enable rapid formation of giant liposomes having around 100 </w:t>
        </w:r>
        <w:r w:rsidR="00AD6E83" w:rsidRPr="00F04237">
          <w:rPr>
            <w:rStyle w:val="Hyperlink"/>
            <w:rFonts w:ascii="Symbol" w:hAnsi="Symbol"/>
            <w:noProof/>
          </w:rPr>
          <w:t></w:t>
        </w:r>
        <w:r w:rsidR="00AD6E83" w:rsidRPr="00F04237">
          <w:rPr>
            <w:rStyle w:val="Hyperlink"/>
            <w:noProof/>
          </w:rPr>
          <w:t>m in diameter.</w:t>
        </w:r>
        <w:r w:rsidR="00AD6E83">
          <w:rPr>
            <w:noProof/>
            <w:webHidden/>
          </w:rPr>
          <w:tab/>
        </w:r>
        <w:r w:rsidR="00AD6E83">
          <w:rPr>
            <w:noProof/>
            <w:webHidden/>
          </w:rPr>
          <w:fldChar w:fldCharType="begin"/>
        </w:r>
        <w:r w:rsidR="00AD6E83">
          <w:rPr>
            <w:noProof/>
            <w:webHidden/>
          </w:rPr>
          <w:instrText xml:space="preserve"> PAGEREF _Toc115118643 \h </w:instrText>
        </w:r>
        <w:r w:rsidR="00AD6E83">
          <w:rPr>
            <w:noProof/>
            <w:webHidden/>
          </w:rPr>
        </w:r>
        <w:r w:rsidR="00AD6E83">
          <w:rPr>
            <w:noProof/>
            <w:webHidden/>
          </w:rPr>
          <w:fldChar w:fldCharType="separate"/>
        </w:r>
        <w:r w:rsidR="00785166">
          <w:rPr>
            <w:noProof/>
            <w:webHidden/>
          </w:rPr>
          <w:t>79</w:t>
        </w:r>
        <w:r w:rsidR="00AD6E83">
          <w:rPr>
            <w:noProof/>
            <w:webHidden/>
          </w:rPr>
          <w:fldChar w:fldCharType="end"/>
        </w:r>
      </w:hyperlink>
    </w:p>
    <w:p w14:paraId="57C307C9" w14:textId="323F1AF1" w:rsidR="00AD6E83" w:rsidRDefault="00000000" w:rsidP="0005670B">
      <w:pPr>
        <w:pStyle w:val="TableofFigures"/>
        <w:tabs>
          <w:tab w:val="right" w:leader="dot" w:pos="9350"/>
        </w:tabs>
        <w:jc w:val="both"/>
        <w:rPr>
          <w:rFonts w:cstheme="minorBidi"/>
          <w:noProof/>
          <w:szCs w:val="24"/>
        </w:rPr>
      </w:pPr>
      <w:hyperlink w:anchor="_Toc115118644" w:history="1">
        <w:r w:rsidR="00AD6E83" w:rsidRPr="00F04237">
          <w:rPr>
            <w:rStyle w:val="Hyperlink"/>
            <w:noProof/>
          </w:rPr>
          <w:t>Figure 3. 7 Characterization of peptides after purification. LC and MS analysis of KFFIIK and EFFIIE peptides</w:t>
        </w:r>
        <w:r w:rsidR="00AD6E83">
          <w:rPr>
            <w:noProof/>
            <w:webHidden/>
          </w:rPr>
          <w:tab/>
        </w:r>
        <w:r w:rsidR="00AD6E83">
          <w:rPr>
            <w:noProof/>
            <w:webHidden/>
          </w:rPr>
          <w:fldChar w:fldCharType="begin"/>
        </w:r>
        <w:r w:rsidR="00AD6E83">
          <w:rPr>
            <w:noProof/>
            <w:webHidden/>
          </w:rPr>
          <w:instrText xml:space="preserve"> PAGEREF _Toc115118644 \h </w:instrText>
        </w:r>
        <w:r w:rsidR="00AD6E83">
          <w:rPr>
            <w:noProof/>
            <w:webHidden/>
          </w:rPr>
        </w:r>
        <w:r w:rsidR="00AD6E83">
          <w:rPr>
            <w:noProof/>
            <w:webHidden/>
          </w:rPr>
          <w:fldChar w:fldCharType="separate"/>
        </w:r>
        <w:r w:rsidR="00785166">
          <w:rPr>
            <w:noProof/>
            <w:webHidden/>
          </w:rPr>
          <w:t>80</w:t>
        </w:r>
        <w:r w:rsidR="00AD6E83">
          <w:rPr>
            <w:noProof/>
            <w:webHidden/>
          </w:rPr>
          <w:fldChar w:fldCharType="end"/>
        </w:r>
      </w:hyperlink>
    </w:p>
    <w:p w14:paraId="700E874E" w14:textId="2FD9F82D" w:rsidR="00AD6E83" w:rsidRDefault="00000000" w:rsidP="0005670B">
      <w:pPr>
        <w:pStyle w:val="TableofFigures"/>
        <w:tabs>
          <w:tab w:val="right" w:leader="dot" w:pos="9350"/>
        </w:tabs>
        <w:jc w:val="both"/>
        <w:rPr>
          <w:rFonts w:cstheme="minorBidi"/>
          <w:noProof/>
          <w:szCs w:val="24"/>
        </w:rPr>
      </w:pPr>
      <w:hyperlink w:anchor="_Toc115118645" w:history="1">
        <w:r w:rsidR="00AD6E83" w:rsidRPr="00F04237">
          <w:rPr>
            <w:rStyle w:val="Hyperlink"/>
            <w:noProof/>
          </w:rPr>
          <w:t xml:space="preserve">Figure 3. 8 Liposome (blue) membrane integration of [II] and individual peptides; KFFIIK (green), EFFIIE (red). </w:t>
        </w:r>
        <w:r w:rsidR="00AD6E83" w:rsidRPr="00F04237">
          <w:rPr>
            <w:rStyle w:val="Hyperlink"/>
            <w:bCs/>
            <w:noProof/>
          </w:rPr>
          <w:t xml:space="preserve">(A) The schematic of membrane localization experiment by using agarose embedded liposomes. (B) Membrane localization of 30 min premixed of EFFIIE+KFFIIK. (C) EFFIIE addition followed by KFFIIK and (D) KFFIIK addition followed by EFFIIE.  (Scale bar = 100 </w:t>
        </w:r>
        <w:r w:rsidR="00AD6E83" w:rsidRPr="00F04237">
          <w:rPr>
            <w:rStyle w:val="Hyperlink"/>
            <w:rFonts w:ascii="Symbol" w:hAnsi="Symbol"/>
            <w:bCs/>
            <w:noProof/>
          </w:rPr>
          <w:t></w:t>
        </w:r>
        <w:r w:rsidR="00AD6E83" w:rsidRPr="00F04237">
          <w:rPr>
            <w:rStyle w:val="Hyperlink"/>
            <w:bCs/>
            <w:noProof/>
          </w:rPr>
          <w:t>m).</w:t>
        </w:r>
        <w:r w:rsidR="00AD6E83">
          <w:rPr>
            <w:noProof/>
            <w:webHidden/>
          </w:rPr>
          <w:tab/>
        </w:r>
        <w:r w:rsidR="00AD6E83">
          <w:rPr>
            <w:noProof/>
            <w:webHidden/>
          </w:rPr>
          <w:fldChar w:fldCharType="begin"/>
        </w:r>
        <w:r w:rsidR="00AD6E83">
          <w:rPr>
            <w:noProof/>
            <w:webHidden/>
          </w:rPr>
          <w:instrText xml:space="preserve"> PAGEREF _Toc115118645 \h </w:instrText>
        </w:r>
        <w:r w:rsidR="00AD6E83">
          <w:rPr>
            <w:noProof/>
            <w:webHidden/>
          </w:rPr>
        </w:r>
        <w:r w:rsidR="00AD6E83">
          <w:rPr>
            <w:noProof/>
            <w:webHidden/>
          </w:rPr>
          <w:fldChar w:fldCharType="separate"/>
        </w:r>
        <w:r w:rsidR="00785166">
          <w:rPr>
            <w:noProof/>
            <w:webHidden/>
          </w:rPr>
          <w:t>81</w:t>
        </w:r>
        <w:r w:rsidR="00AD6E83">
          <w:rPr>
            <w:noProof/>
            <w:webHidden/>
          </w:rPr>
          <w:fldChar w:fldCharType="end"/>
        </w:r>
      </w:hyperlink>
    </w:p>
    <w:p w14:paraId="7869B1A5" w14:textId="5BE1E271" w:rsidR="00AD6E83" w:rsidRDefault="00000000" w:rsidP="0005670B">
      <w:pPr>
        <w:pStyle w:val="TableofFigures"/>
        <w:tabs>
          <w:tab w:val="right" w:leader="dot" w:pos="9350"/>
        </w:tabs>
        <w:jc w:val="both"/>
        <w:rPr>
          <w:rFonts w:cstheme="minorBidi"/>
          <w:noProof/>
          <w:szCs w:val="24"/>
        </w:rPr>
      </w:pPr>
      <w:hyperlink w:anchor="_Toc115118646" w:history="1">
        <w:r w:rsidR="00AD6E83" w:rsidRPr="00F04237">
          <w:rPr>
            <w:rStyle w:val="Hyperlink"/>
            <w:noProof/>
          </w:rPr>
          <w:t>Figure 3. 9 Charge measurements. Zeta potential of individual oppositely charged peptides, co-assembled form and albumin only in PBS.</w:t>
        </w:r>
        <w:r w:rsidR="00AD6E83">
          <w:rPr>
            <w:noProof/>
            <w:webHidden/>
          </w:rPr>
          <w:tab/>
        </w:r>
        <w:r w:rsidR="00AD6E83">
          <w:rPr>
            <w:noProof/>
            <w:webHidden/>
          </w:rPr>
          <w:fldChar w:fldCharType="begin"/>
        </w:r>
        <w:r w:rsidR="00AD6E83">
          <w:rPr>
            <w:noProof/>
            <w:webHidden/>
          </w:rPr>
          <w:instrText xml:space="preserve"> PAGEREF _Toc115118646 \h </w:instrText>
        </w:r>
        <w:r w:rsidR="00AD6E83">
          <w:rPr>
            <w:noProof/>
            <w:webHidden/>
          </w:rPr>
        </w:r>
        <w:r w:rsidR="00AD6E83">
          <w:rPr>
            <w:noProof/>
            <w:webHidden/>
          </w:rPr>
          <w:fldChar w:fldCharType="separate"/>
        </w:r>
        <w:r w:rsidR="00785166">
          <w:rPr>
            <w:noProof/>
            <w:webHidden/>
          </w:rPr>
          <w:t>82</w:t>
        </w:r>
        <w:r w:rsidR="00AD6E83">
          <w:rPr>
            <w:noProof/>
            <w:webHidden/>
          </w:rPr>
          <w:fldChar w:fldCharType="end"/>
        </w:r>
      </w:hyperlink>
    </w:p>
    <w:p w14:paraId="09D0FFF4" w14:textId="68A58253" w:rsidR="00AD6E83" w:rsidRDefault="00000000" w:rsidP="0005670B">
      <w:pPr>
        <w:pStyle w:val="TableofFigures"/>
        <w:tabs>
          <w:tab w:val="right" w:leader="dot" w:pos="9350"/>
        </w:tabs>
        <w:jc w:val="both"/>
        <w:rPr>
          <w:rFonts w:cstheme="minorBidi"/>
          <w:noProof/>
          <w:szCs w:val="24"/>
        </w:rPr>
      </w:pPr>
      <w:hyperlink w:anchor="_Toc115118647" w:history="1">
        <w:r w:rsidR="00AD6E83" w:rsidRPr="00F04237">
          <w:rPr>
            <w:rStyle w:val="Hyperlink"/>
            <w:noProof/>
          </w:rPr>
          <w:t>Figure 3. 10 Aggregation kinetics depend on albumin concentration. (A) The schematic of [II] aggregation with albumin. Aggregation kinetics performed with (B) ThT and (C) DPH assays in increasing albumin content. (D) AFM images of [II]-albumin structures (Scale bar = 100 nm). (E) DLS measurements [II]-albumin mixtures.</w:t>
        </w:r>
        <w:r w:rsidR="00AD6E83">
          <w:rPr>
            <w:noProof/>
            <w:webHidden/>
          </w:rPr>
          <w:tab/>
        </w:r>
        <w:r w:rsidR="00AD6E83">
          <w:rPr>
            <w:noProof/>
            <w:webHidden/>
          </w:rPr>
          <w:fldChar w:fldCharType="begin"/>
        </w:r>
        <w:r w:rsidR="00AD6E83">
          <w:rPr>
            <w:noProof/>
            <w:webHidden/>
          </w:rPr>
          <w:instrText xml:space="preserve"> PAGEREF _Toc115118647 \h </w:instrText>
        </w:r>
        <w:r w:rsidR="00AD6E83">
          <w:rPr>
            <w:noProof/>
            <w:webHidden/>
          </w:rPr>
        </w:r>
        <w:r w:rsidR="00AD6E83">
          <w:rPr>
            <w:noProof/>
            <w:webHidden/>
          </w:rPr>
          <w:fldChar w:fldCharType="separate"/>
        </w:r>
        <w:r w:rsidR="00785166">
          <w:rPr>
            <w:noProof/>
            <w:webHidden/>
          </w:rPr>
          <w:t>85</w:t>
        </w:r>
        <w:r w:rsidR="00AD6E83">
          <w:rPr>
            <w:noProof/>
            <w:webHidden/>
          </w:rPr>
          <w:fldChar w:fldCharType="end"/>
        </w:r>
      </w:hyperlink>
    </w:p>
    <w:p w14:paraId="31F7F49B" w14:textId="0E78A9B0" w:rsidR="00AD6E83" w:rsidRDefault="00000000" w:rsidP="0005670B">
      <w:pPr>
        <w:pStyle w:val="TableofFigures"/>
        <w:tabs>
          <w:tab w:val="right" w:leader="dot" w:pos="9350"/>
        </w:tabs>
        <w:jc w:val="both"/>
        <w:rPr>
          <w:rFonts w:cstheme="minorBidi"/>
          <w:noProof/>
          <w:szCs w:val="24"/>
        </w:rPr>
      </w:pPr>
      <w:hyperlink w:anchor="_Toc115118648" w:history="1">
        <w:r w:rsidR="00AD6E83" w:rsidRPr="00F04237">
          <w:rPr>
            <w:rStyle w:val="Hyperlink"/>
            <w:noProof/>
          </w:rPr>
          <w:t>Figure 3. 11 ThT analysis of albumin and individual peptides in different concentrations. Albumin only and peptide counterparts did not give any fluorescence increase respect to time due to non-fibrillar organization.</w:t>
        </w:r>
        <w:r w:rsidR="00AD6E83">
          <w:rPr>
            <w:noProof/>
            <w:webHidden/>
          </w:rPr>
          <w:tab/>
        </w:r>
        <w:r w:rsidR="00AD6E83">
          <w:rPr>
            <w:noProof/>
            <w:webHidden/>
          </w:rPr>
          <w:fldChar w:fldCharType="begin"/>
        </w:r>
        <w:r w:rsidR="00AD6E83">
          <w:rPr>
            <w:noProof/>
            <w:webHidden/>
          </w:rPr>
          <w:instrText xml:space="preserve"> PAGEREF _Toc115118648 \h </w:instrText>
        </w:r>
        <w:r w:rsidR="00AD6E83">
          <w:rPr>
            <w:noProof/>
            <w:webHidden/>
          </w:rPr>
        </w:r>
        <w:r w:rsidR="00AD6E83">
          <w:rPr>
            <w:noProof/>
            <w:webHidden/>
          </w:rPr>
          <w:fldChar w:fldCharType="separate"/>
        </w:r>
        <w:r w:rsidR="00785166">
          <w:rPr>
            <w:noProof/>
            <w:webHidden/>
          </w:rPr>
          <w:t>86</w:t>
        </w:r>
        <w:r w:rsidR="00AD6E83">
          <w:rPr>
            <w:noProof/>
            <w:webHidden/>
          </w:rPr>
          <w:fldChar w:fldCharType="end"/>
        </w:r>
      </w:hyperlink>
    </w:p>
    <w:p w14:paraId="106FA44B" w14:textId="4F6E377D" w:rsidR="00AD6E83" w:rsidRPr="00AD6E83" w:rsidRDefault="00000000" w:rsidP="0005670B">
      <w:pPr>
        <w:pStyle w:val="TableofFigures"/>
        <w:tabs>
          <w:tab w:val="right" w:leader="dot" w:pos="9350"/>
        </w:tabs>
        <w:jc w:val="both"/>
        <w:rPr>
          <w:rFonts w:cstheme="minorBidi"/>
          <w:noProof/>
          <w:szCs w:val="24"/>
        </w:rPr>
      </w:pPr>
      <w:hyperlink w:anchor="_Toc115118649" w:history="1">
        <w:r w:rsidR="00AD6E83" w:rsidRPr="00AD6E83">
          <w:rPr>
            <w:rStyle w:val="Hyperlink"/>
            <w:noProof/>
          </w:rPr>
          <w:t>Figure 3. 12 DPH analysis of albumin and albumin+[II] in different concentrations. Albumin intensity increased with increased concentration, however [II] disrupted albumin aggregation which leads to decrease in DPH intensity.</w:t>
        </w:r>
        <w:r w:rsidR="00AD6E83" w:rsidRPr="00AD6E83">
          <w:rPr>
            <w:noProof/>
            <w:webHidden/>
          </w:rPr>
          <w:tab/>
        </w:r>
        <w:r w:rsidR="00AD6E83" w:rsidRPr="00AD6E83">
          <w:rPr>
            <w:noProof/>
            <w:webHidden/>
          </w:rPr>
          <w:fldChar w:fldCharType="begin"/>
        </w:r>
        <w:r w:rsidR="00AD6E83" w:rsidRPr="00AD6E83">
          <w:rPr>
            <w:noProof/>
            <w:webHidden/>
          </w:rPr>
          <w:instrText xml:space="preserve"> PAGEREF _Toc115118649 \h </w:instrText>
        </w:r>
        <w:r w:rsidR="00AD6E83" w:rsidRPr="00AD6E83">
          <w:rPr>
            <w:noProof/>
            <w:webHidden/>
          </w:rPr>
        </w:r>
        <w:r w:rsidR="00AD6E83" w:rsidRPr="00AD6E83">
          <w:rPr>
            <w:noProof/>
            <w:webHidden/>
          </w:rPr>
          <w:fldChar w:fldCharType="separate"/>
        </w:r>
        <w:r w:rsidR="00785166">
          <w:rPr>
            <w:noProof/>
            <w:webHidden/>
          </w:rPr>
          <w:t>87</w:t>
        </w:r>
        <w:r w:rsidR="00AD6E83" w:rsidRPr="00AD6E83">
          <w:rPr>
            <w:noProof/>
            <w:webHidden/>
          </w:rPr>
          <w:fldChar w:fldCharType="end"/>
        </w:r>
      </w:hyperlink>
    </w:p>
    <w:p w14:paraId="25FE9DC0" w14:textId="69AC861C" w:rsidR="00AD6E83" w:rsidRDefault="00000000" w:rsidP="0005670B">
      <w:pPr>
        <w:pStyle w:val="TableofFigures"/>
        <w:tabs>
          <w:tab w:val="right" w:leader="dot" w:pos="9350"/>
        </w:tabs>
        <w:jc w:val="both"/>
        <w:rPr>
          <w:rFonts w:cstheme="minorBidi"/>
          <w:noProof/>
          <w:szCs w:val="24"/>
        </w:rPr>
      </w:pPr>
      <w:hyperlink w:anchor="_Toc115118650" w:history="1">
        <w:r w:rsidR="00AD6E83" w:rsidRPr="00F04237">
          <w:rPr>
            <w:rStyle w:val="Hyperlink"/>
            <w:noProof/>
          </w:rPr>
          <w:t>Figure 3. 13 DPH analysis of individual peptides in different albumin concentrations. Individual peptides did not form aggregation.</w:t>
        </w:r>
        <w:r w:rsidR="00AD6E83">
          <w:rPr>
            <w:noProof/>
            <w:webHidden/>
          </w:rPr>
          <w:tab/>
        </w:r>
        <w:r w:rsidR="00AD6E83">
          <w:rPr>
            <w:noProof/>
            <w:webHidden/>
          </w:rPr>
          <w:fldChar w:fldCharType="begin"/>
        </w:r>
        <w:r w:rsidR="00AD6E83">
          <w:rPr>
            <w:noProof/>
            <w:webHidden/>
          </w:rPr>
          <w:instrText xml:space="preserve"> PAGEREF _Toc115118650 \h </w:instrText>
        </w:r>
        <w:r w:rsidR="00AD6E83">
          <w:rPr>
            <w:noProof/>
            <w:webHidden/>
          </w:rPr>
        </w:r>
        <w:r w:rsidR="00AD6E83">
          <w:rPr>
            <w:noProof/>
            <w:webHidden/>
          </w:rPr>
          <w:fldChar w:fldCharType="separate"/>
        </w:r>
        <w:r w:rsidR="00785166">
          <w:rPr>
            <w:noProof/>
            <w:webHidden/>
          </w:rPr>
          <w:t>88</w:t>
        </w:r>
        <w:r w:rsidR="00AD6E83">
          <w:rPr>
            <w:noProof/>
            <w:webHidden/>
          </w:rPr>
          <w:fldChar w:fldCharType="end"/>
        </w:r>
      </w:hyperlink>
    </w:p>
    <w:p w14:paraId="33F693AF" w14:textId="4ED9182B" w:rsidR="00AD6E83" w:rsidRDefault="00000000" w:rsidP="0005670B">
      <w:pPr>
        <w:pStyle w:val="TableofFigures"/>
        <w:tabs>
          <w:tab w:val="right" w:leader="dot" w:pos="9350"/>
        </w:tabs>
        <w:jc w:val="both"/>
        <w:rPr>
          <w:rFonts w:cstheme="minorBidi"/>
          <w:noProof/>
          <w:szCs w:val="24"/>
        </w:rPr>
      </w:pPr>
      <w:hyperlink w:anchor="_Toc115118651" w:history="1">
        <w:r w:rsidR="00AD6E83" w:rsidRPr="00F04237">
          <w:rPr>
            <w:rStyle w:val="Hyperlink"/>
            <w:bCs/>
            <w:noProof/>
          </w:rPr>
          <w:t>Figure 3. 14 Delayed [II] aggregation increases its integration on the lipid membranes.</w:t>
        </w:r>
        <w:r w:rsidR="00AD6E83" w:rsidRPr="00F04237">
          <w:rPr>
            <w:rStyle w:val="Hyperlink"/>
            <w:noProof/>
          </w:rPr>
          <w:t xml:space="preserve"> (A) Liposomal membrane localization of 0.5 mM [II] in 0.2w% albumin; liposome = blue, EFFIIE = red, KFFIIK = green (Scale bar = 100 </w:t>
        </w:r>
        <w:r w:rsidR="00AD6E83" w:rsidRPr="00F04237">
          <w:rPr>
            <w:rStyle w:val="Hyperlink"/>
            <w:rFonts w:ascii="Symbol" w:hAnsi="Symbol"/>
            <w:noProof/>
          </w:rPr>
          <w:t></w:t>
        </w:r>
        <w:r w:rsidR="00AD6E83" w:rsidRPr="00F04237">
          <w:rPr>
            <w:rStyle w:val="Hyperlink"/>
            <w:noProof/>
          </w:rPr>
          <w:t>m). (B) Relative viability and (C) LDH release of EMT6 cells treated with individual and aggregates with 0.5 mM [II] in 0 and 0.2 w% of albumin in PBS.</w:t>
        </w:r>
        <w:r w:rsidR="00AD6E83">
          <w:rPr>
            <w:noProof/>
            <w:webHidden/>
          </w:rPr>
          <w:tab/>
        </w:r>
        <w:r w:rsidR="00AD6E83">
          <w:rPr>
            <w:noProof/>
            <w:webHidden/>
          </w:rPr>
          <w:fldChar w:fldCharType="begin"/>
        </w:r>
        <w:r w:rsidR="00AD6E83">
          <w:rPr>
            <w:noProof/>
            <w:webHidden/>
          </w:rPr>
          <w:instrText xml:space="preserve"> PAGEREF _Toc115118651 \h </w:instrText>
        </w:r>
        <w:r w:rsidR="00AD6E83">
          <w:rPr>
            <w:noProof/>
            <w:webHidden/>
          </w:rPr>
        </w:r>
        <w:r w:rsidR="00AD6E83">
          <w:rPr>
            <w:noProof/>
            <w:webHidden/>
          </w:rPr>
          <w:fldChar w:fldCharType="separate"/>
        </w:r>
        <w:r w:rsidR="00785166">
          <w:rPr>
            <w:noProof/>
            <w:webHidden/>
          </w:rPr>
          <w:t>90</w:t>
        </w:r>
        <w:r w:rsidR="00AD6E83">
          <w:rPr>
            <w:noProof/>
            <w:webHidden/>
          </w:rPr>
          <w:fldChar w:fldCharType="end"/>
        </w:r>
      </w:hyperlink>
    </w:p>
    <w:p w14:paraId="158C7E9D" w14:textId="6568D7CC" w:rsidR="00AD6E83" w:rsidRDefault="00000000" w:rsidP="0005670B">
      <w:pPr>
        <w:pStyle w:val="TableofFigures"/>
        <w:tabs>
          <w:tab w:val="right" w:leader="dot" w:pos="9350"/>
        </w:tabs>
        <w:jc w:val="both"/>
        <w:rPr>
          <w:rFonts w:cstheme="minorBidi"/>
          <w:noProof/>
          <w:szCs w:val="24"/>
        </w:rPr>
      </w:pPr>
      <w:hyperlink w:anchor="_Toc115118652" w:history="1">
        <w:r w:rsidR="00AD6E83" w:rsidRPr="00F04237">
          <w:rPr>
            <w:rStyle w:val="Hyperlink"/>
            <w:noProof/>
          </w:rPr>
          <w:t>Figure 3. 15 Individual peptide localization on the liposomal membrane. (A) EFFIIE and KFFIIK (B) localization on the liposomal membrane with and without 0.2w% albumin</w:t>
        </w:r>
        <w:r w:rsidR="00AD6E83">
          <w:rPr>
            <w:noProof/>
            <w:webHidden/>
          </w:rPr>
          <w:tab/>
        </w:r>
        <w:r w:rsidR="00AD6E83">
          <w:rPr>
            <w:noProof/>
            <w:webHidden/>
          </w:rPr>
          <w:fldChar w:fldCharType="begin"/>
        </w:r>
        <w:r w:rsidR="00AD6E83">
          <w:rPr>
            <w:noProof/>
            <w:webHidden/>
          </w:rPr>
          <w:instrText xml:space="preserve"> PAGEREF _Toc115118652 \h </w:instrText>
        </w:r>
        <w:r w:rsidR="00AD6E83">
          <w:rPr>
            <w:noProof/>
            <w:webHidden/>
          </w:rPr>
        </w:r>
        <w:r w:rsidR="00AD6E83">
          <w:rPr>
            <w:noProof/>
            <w:webHidden/>
          </w:rPr>
          <w:fldChar w:fldCharType="separate"/>
        </w:r>
        <w:r w:rsidR="00785166">
          <w:rPr>
            <w:noProof/>
            <w:webHidden/>
          </w:rPr>
          <w:t>92</w:t>
        </w:r>
        <w:r w:rsidR="00AD6E83">
          <w:rPr>
            <w:noProof/>
            <w:webHidden/>
          </w:rPr>
          <w:fldChar w:fldCharType="end"/>
        </w:r>
      </w:hyperlink>
    </w:p>
    <w:p w14:paraId="49E1FEF0" w14:textId="5C0FDC7F" w:rsidR="00AD6E83" w:rsidRDefault="00000000" w:rsidP="0005670B">
      <w:pPr>
        <w:pStyle w:val="TableofFigures"/>
        <w:tabs>
          <w:tab w:val="right" w:leader="dot" w:pos="9350"/>
        </w:tabs>
        <w:jc w:val="both"/>
        <w:rPr>
          <w:rFonts w:cstheme="minorBidi"/>
          <w:noProof/>
          <w:szCs w:val="24"/>
        </w:rPr>
      </w:pPr>
      <w:hyperlink w:anchor="_Toc115118653" w:history="1">
        <w:r w:rsidR="00AD6E83" w:rsidRPr="00F04237">
          <w:rPr>
            <w:rStyle w:val="Hyperlink"/>
            <w:bCs/>
            <w:noProof/>
          </w:rPr>
          <w:t xml:space="preserve">Figure 3. 16 Albumin and [II] interaction. </w:t>
        </w:r>
        <w:r w:rsidR="00AD6E83" w:rsidRPr="00F04237">
          <w:rPr>
            <w:rStyle w:val="Hyperlink"/>
            <w:noProof/>
          </w:rPr>
          <w:t xml:space="preserve">(A) The FRET analysis of the presence and absence of TRITC-albumin with FITC-KFFIIK and (B) with [II]. (C) Confocal analysis of cells treated with 0.5 mM [II] for 30 min, 1h, and 2h in the presence of 0.2 w% albumin. Membrane stained with WGA, gray; cells treated with Rhodamine B labelled EFFIIE, red; FITC labelled KFFIIK, green. (Scale bar = 10 </w:t>
        </w:r>
        <w:r w:rsidR="00AD6E83" w:rsidRPr="00F04237">
          <w:rPr>
            <w:rStyle w:val="Hyperlink"/>
            <w:rFonts w:ascii="Symbol" w:hAnsi="Symbol"/>
            <w:noProof/>
          </w:rPr>
          <w:t></w:t>
        </w:r>
        <w:r w:rsidR="00AD6E83" w:rsidRPr="00F04237">
          <w:rPr>
            <w:rStyle w:val="Hyperlink"/>
            <w:noProof/>
          </w:rPr>
          <w:t>m)</w:t>
        </w:r>
        <w:r w:rsidR="00AD6E83">
          <w:rPr>
            <w:noProof/>
            <w:webHidden/>
          </w:rPr>
          <w:tab/>
        </w:r>
        <w:r w:rsidR="00AD6E83">
          <w:rPr>
            <w:noProof/>
            <w:webHidden/>
          </w:rPr>
          <w:fldChar w:fldCharType="begin"/>
        </w:r>
        <w:r w:rsidR="00AD6E83">
          <w:rPr>
            <w:noProof/>
            <w:webHidden/>
          </w:rPr>
          <w:instrText xml:space="preserve"> PAGEREF _Toc115118653 \h </w:instrText>
        </w:r>
        <w:r w:rsidR="00AD6E83">
          <w:rPr>
            <w:noProof/>
            <w:webHidden/>
          </w:rPr>
        </w:r>
        <w:r w:rsidR="00AD6E83">
          <w:rPr>
            <w:noProof/>
            <w:webHidden/>
          </w:rPr>
          <w:fldChar w:fldCharType="separate"/>
        </w:r>
        <w:r w:rsidR="00785166">
          <w:rPr>
            <w:noProof/>
            <w:webHidden/>
          </w:rPr>
          <w:t>94</w:t>
        </w:r>
        <w:r w:rsidR="00AD6E83">
          <w:rPr>
            <w:noProof/>
            <w:webHidden/>
          </w:rPr>
          <w:fldChar w:fldCharType="end"/>
        </w:r>
      </w:hyperlink>
    </w:p>
    <w:p w14:paraId="7DFE15F9" w14:textId="57BE6270" w:rsidR="00AD6E83" w:rsidRDefault="00000000" w:rsidP="0005670B">
      <w:pPr>
        <w:pStyle w:val="TableofFigures"/>
        <w:tabs>
          <w:tab w:val="right" w:leader="dot" w:pos="9350"/>
        </w:tabs>
        <w:jc w:val="both"/>
        <w:rPr>
          <w:rFonts w:cstheme="minorBidi"/>
          <w:noProof/>
          <w:szCs w:val="24"/>
        </w:rPr>
      </w:pPr>
      <w:hyperlink w:anchor="_Toc115118654" w:history="1">
        <w:r w:rsidR="00AD6E83" w:rsidRPr="00F04237">
          <w:rPr>
            <w:rStyle w:val="Hyperlink"/>
            <w:noProof/>
          </w:rPr>
          <w:t>Figure 3. 17 The treatment of cells with preincubated [II] without albumin for 1h and 2h. [II] did not accumulate on the cell membrane due to fibrillar formation.</w:t>
        </w:r>
        <w:r w:rsidR="00AD6E83">
          <w:rPr>
            <w:noProof/>
            <w:webHidden/>
          </w:rPr>
          <w:tab/>
        </w:r>
        <w:r w:rsidR="00AD6E83">
          <w:rPr>
            <w:noProof/>
            <w:webHidden/>
          </w:rPr>
          <w:fldChar w:fldCharType="begin"/>
        </w:r>
        <w:r w:rsidR="00AD6E83">
          <w:rPr>
            <w:noProof/>
            <w:webHidden/>
          </w:rPr>
          <w:instrText xml:space="preserve"> PAGEREF _Toc115118654 \h </w:instrText>
        </w:r>
        <w:r w:rsidR="00AD6E83">
          <w:rPr>
            <w:noProof/>
            <w:webHidden/>
          </w:rPr>
        </w:r>
        <w:r w:rsidR="00AD6E83">
          <w:rPr>
            <w:noProof/>
            <w:webHidden/>
          </w:rPr>
          <w:fldChar w:fldCharType="separate"/>
        </w:r>
        <w:r w:rsidR="00785166">
          <w:rPr>
            <w:noProof/>
            <w:webHidden/>
          </w:rPr>
          <w:t>95</w:t>
        </w:r>
        <w:r w:rsidR="00AD6E83">
          <w:rPr>
            <w:noProof/>
            <w:webHidden/>
          </w:rPr>
          <w:fldChar w:fldCharType="end"/>
        </w:r>
      </w:hyperlink>
    </w:p>
    <w:p w14:paraId="179DFB07" w14:textId="6AE882AC" w:rsidR="00AD6E83" w:rsidRDefault="00000000" w:rsidP="0005670B">
      <w:pPr>
        <w:pStyle w:val="TableofFigures"/>
        <w:tabs>
          <w:tab w:val="right" w:leader="dot" w:pos="9350"/>
        </w:tabs>
        <w:jc w:val="both"/>
        <w:rPr>
          <w:rFonts w:cstheme="minorBidi"/>
          <w:noProof/>
          <w:szCs w:val="24"/>
        </w:rPr>
      </w:pPr>
      <w:hyperlink w:anchor="_Toc115118655" w:history="1">
        <w:r w:rsidR="00AD6E83" w:rsidRPr="00F04237">
          <w:rPr>
            <w:rStyle w:val="Hyperlink"/>
            <w:bCs/>
            <w:noProof/>
          </w:rPr>
          <w:t>Figure 3. 18 [II] aggregation on the cell membrane induces cell stress.</w:t>
        </w:r>
        <w:r w:rsidR="00AD6E83" w:rsidRPr="00F04237">
          <w:rPr>
            <w:rStyle w:val="Hyperlink"/>
            <w:noProof/>
          </w:rPr>
          <w:t xml:space="preserve"> (A) Immunocytochemistry of YAP localization (YAP = green, Actin = red, Nuclei = blue) (B) and phosphorylation based on aggregation (YAP-P = green). (C) Western blot analysis of YAP, YAP phosphorylation, eIF2</w:t>
        </w:r>
        <w:r w:rsidR="00AD6E83" w:rsidRPr="00F04237">
          <w:rPr>
            <w:rStyle w:val="Hyperlink"/>
            <w:rFonts w:ascii="Symbol" w:hAnsi="Symbol"/>
            <w:noProof/>
          </w:rPr>
          <w:t></w:t>
        </w:r>
        <w:r w:rsidR="00AD6E83" w:rsidRPr="00F04237">
          <w:rPr>
            <w:rStyle w:val="Hyperlink"/>
            <w:noProof/>
          </w:rPr>
          <w:t xml:space="preserve"> and eIF2</w:t>
        </w:r>
        <w:r w:rsidR="00AD6E83" w:rsidRPr="00F04237">
          <w:rPr>
            <w:rStyle w:val="Hyperlink"/>
            <w:rFonts w:ascii="Symbol" w:hAnsi="Symbol"/>
            <w:noProof/>
          </w:rPr>
          <w:t></w:t>
        </w:r>
        <w:r w:rsidR="00AD6E83" w:rsidRPr="00F04237">
          <w:rPr>
            <w:rStyle w:val="Hyperlink"/>
            <w:noProof/>
          </w:rPr>
          <w:t xml:space="preserve"> phosphorylation in different time points </w:t>
        </w:r>
        <w:r w:rsidR="00AD6E83" w:rsidRPr="00F04237">
          <w:rPr>
            <w:rStyle w:val="Hyperlink"/>
            <w:rFonts w:ascii="Symbol" w:hAnsi="Symbol"/>
            <w:noProof/>
          </w:rPr>
          <w:t></w:t>
        </w:r>
        <w:r w:rsidR="00AD6E83" w:rsidRPr="00F04237">
          <w:rPr>
            <w:rStyle w:val="Hyperlink"/>
            <w:noProof/>
          </w:rPr>
          <w:t xml:space="preserve">-actin was used as an internal loading control. (D) Immunocytochemistry of calreticulin cell surface localization (calreticulin = green, Actin = red, Nuclei = blue). (Scale bars = 20 </w:t>
        </w:r>
        <w:r w:rsidR="00AD6E83" w:rsidRPr="00F04237">
          <w:rPr>
            <w:rStyle w:val="Hyperlink"/>
            <w:rFonts w:ascii="Symbol" w:hAnsi="Symbol"/>
            <w:noProof/>
          </w:rPr>
          <w:t></w:t>
        </w:r>
        <w:r w:rsidR="00AD6E83" w:rsidRPr="00F04237">
          <w:rPr>
            <w:rStyle w:val="Hyperlink"/>
            <w:noProof/>
          </w:rPr>
          <w:t>m)</w:t>
        </w:r>
        <w:r w:rsidR="00AD6E83">
          <w:rPr>
            <w:noProof/>
            <w:webHidden/>
          </w:rPr>
          <w:tab/>
        </w:r>
        <w:r w:rsidR="00AD6E83">
          <w:rPr>
            <w:noProof/>
            <w:webHidden/>
          </w:rPr>
          <w:fldChar w:fldCharType="begin"/>
        </w:r>
        <w:r w:rsidR="00AD6E83">
          <w:rPr>
            <w:noProof/>
            <w:webHidden/>
          </w:rPr>
          <w:instrText xml:space="preserve"> PAGEREF _Toc115118655 \h </w:instrText>
        </w:r>
        <w:r w:rsidR="00AD6E83">
          <w:rPr>
            <w:noProof/>
            <w:webHidden/>
          </w:rPr>
        </w:r>
        <w:r w:rsidR="00AD6E83">
          <w:rPr>
            <w:noProof/>
            <w:webHidden/>
          </w:rPr>
          <w:fldChar w:fldCharType="separate"/>
        </w:r>
        <w:r w:rsidR="00785166">
          <w:rPr>
            <w:noProof/>
            <w:webHidden/>
          </w:rPr>
          <w:t>98</w:t>
        </w:r>
        <w:r w:rsidR="00AD6E83">
          <w:rPr>
            <w:noProof/>
            <w:webHidden/>
          </w:rPr>
          <w:fldChar w:fldCharType="end"/>
        </w:r>
      </w:hyperlink>
    </w:p>
    <w:p w14:paraId="143924C1" w14:textId="22B401E7" w:rsidR="004D522A" w:rsidRPr="00E90030" w:rsidRDefault="00DD2795" w:rsidP="0005670B">
      <w:pPr>
        <w:pStyle w:val="Heading1"/>
        <w:spacing w:before="0" w:after="0" w:line="240" w:lineRule="auto"/>
        <w:jc w:val="both"/>
      </w:pPr>
      <w:r w:rsidRPr="00E90030">
        <w:rPr>
          <w:rFonts w:cstheme="minorHAnsi"/>
          <w:spacing w:val="0"/>
          <w:sz w:val="20"/>
          <w:szCs w:val="20"/>
        </w:rPr>
        <w:fldChar w:fldCharType="end"/>
      </w:r>
    </w:p>
    <w:p w14:paraId="0675FD38" w14:textId="4BE7C2A0" w:rsidR="00575816" w:rsidRDefault="00575816">
      <w:pPr>
        <w:pStyle w:val="TableofFigures"/>
        <w:tabs>
          <w:tab w:val="right" w:leader="dot" w:pos="9350"/>
        </w:tabs>
        <w:rPr>
          <w:rFonts w:cstheme="minorBidi"/>
          <w:noProof/>
          <w:szCs w:val="24"/>
        </w:rPr>
      </w:pPr>
      <w:r>
        <w:rPr>
          <w:sz w:val="32"/>
          <w:szCs w:val="32"/>
        </w:rPr>
        <w:fldChar w:fldCharType="begin"/>
      </w:r>
      <w:r>
        <w:rPr>
          <w:sz w:val="32"/>
          <w:szCs w:val="32"/>
        </w:rPr>
        <w:instrText xml:space="preserve"> TOC \h \z \c "Figure 4." </w:instrText>
      </w:r>
      <w:r>
        <w:rPr>
          <w:sz w:val="32"/>
          <w:szCs w:val="32"/>
        </w:rPr>
        <w:fldChar w:fldCharType="separate"/>
      </w:r>
      <w:hyperlink w:anchor="_Toc121134659" w:history="1">
        <w:r w:rsidRPr="00BF4C20">
          <w:rPr>
            <w:rStyle w:val="Hyperlink"/>
            <w:noProof/>
          </w:rPr>
          <w:t>Figure 4. 1 The change of peptide aggregation kinetics affects the cellular viability. ThT measurement of [II] aggregation controlled through albumin concentration (A). Albumin modulates the [II] aggregation state (B). Relative viability of cells treated with 0.5 mM [II] peptide prepared in indicated albumin %w/v for 3, 6 and 24h (C).</w:t>
        </w:r>
        <w:r>
          <w:rPr>
            <w:noProof/>
            <w:webHidden/>
          </w:rPr>
          <w:tab/>
        </w:r>
        <w:r>
          <w:rPr>
            <w:noProof/>
            <w:webHidden/>
          </w:rPr>
          <w:fldChar w:fldCharType="begin"/>
        </w:r>
        <w:r>
          <w:rPr>
            <w:noProof/>
            <w:webHidden/>
          </w:rPr>
          <w:instrText xml:space="preserve"> PAGEREF _Toc121134659 \h </w:instrText>
        </w:r>
        <w:r>
          <w:rPr>
            <w:noProof/>
            <w:webHidden/>
          </w:rPr>
        </w:r>
        <w:r>
          <w:rPr>
            <w:noProof/>
            <w:webHidden/>
          </w:rPr>
          <w:fldChar w:fldCharType="separate"/>
        </w:r>
        <w:r w:rsidR="00785166">
          <w:rPr>
            <w:noProof/>
            <w:webHidden/>
          </w:rPr>
          <w:t>116</w:t>
        </w:r>
        <w:r>
          <w:rPr>
            <w:noProof/>
            <w:webHidden/>
          </w:rPr>
          <w:fldChar w:fldCharType="end"/>
        </w:r>
      </w:hyperlink>
    </w:p>
    <w:p w14:paraId="77800264" w14:textId="5E60E20F" w:rsidR="00575816" w:rsidRDefault="00000000">
      <w:pPr>
        <w:pStyle w:val="TableofFigures"/>
        <w:tabs>
          <w:tab w:val="right" w:leader="dot" w:pos="9350"/>
        </w:tabs>
        <w:rPr>
          <w:rFonts w:cstheme="minorBidi"/>
          <w:noProof/>
          <w:szCs w:val="24"/>
        </w:rPr>
      </w:pPr>
      <w:hyperlink w:anchor="_Toc121134660" w:history="1">
        <w:r w:rsidR="00575816" w:rsidRPr="00BF4C20">
          <w:rPr>
            <w:rStyle w:val="Hyperlink"/>
            <w:noProof/>
          </w:rPr>
          <w:t xml:space="preserve">Figure 4. 2 Cell membrane damage can be modulated through control of [II] peptide aggregation. LDH release of cells treated with 0.5 mM [II] peptide prepared in indicated albumin %w/v for 3, 6 and 24h (A). Schematic illustrating the effect of fibrillar networks and globular structures on the membrane damage (B). Propidium iodide staining of cells treated with 0.5 mM [II] peptide prepared in indicated albumin %w/v for 3, 6 and 24h, the scale bar is 50 </w:t>
        </w:r>
        <w:r w:rsidR="00575816" w:rsidRPr="00BF4C20">
          <w:rPr>
            <w:rStyle w:val="Hyperlink"/>
            <w:rFonts w:ascii="Symbol" w:hAnsi="Symbol"/>
            <w:noProof/>
          </w:rPr>
          <w:t></w:t>
        </w:r>
        <w:r w:rsidR="00575816" w:rsidRPr="00BF4C20">
          <w:rPr>
            <w:rStyle w:val="Hyperlink"/>
            <w:noProof/>
          </w:rPr>
          <w:t xml:space="preserve">m (C). SEM images of the cells (top row) and magnified images (bottom row) treated with 0.5mM peptide prepared in indicated albumin %w/v for 6h (D). The scale bars are 20 </w:t>
        </w:r>
        <w:r w:rsidR="00575816" w:rsidRPr="00BF4C20">
          <w:rPr>
            <w:rStyle w:val="Hyperlink"/>
            <w:noProof/>
          </w:rPr>
          <w:sym w:font="Symbol" w:char="F06D"/>
        </w:r>
        <w:r w:rsidR="00575816" w:rsidRPr="00BF4C20">
          <w:rPr>
            <w:rStyle w:val="Hyperlink"/>
            <w:noProof/>
          </w:rPr>
          <w:t xml:space="preserve">m and 5 </w:t>
        </w:r>
        <w:r w:rsidR="00575816" w:rsidRPr="00BF4C20">
          <w:rPr>
            <w:rStyle w:val="Hyperlink"/>
            <w:noProof/>
          </w:rPr>
          <w:sym w:font="Symbol" w:char="F06D"/>
        </w:r>
        <w:r w:rsidR="00575816" w:rsidRPr="00BF4C20">
          <w:rPr>
            <w:rStyle w:val="Hyperlink"/>
            <w:noProof/>
          </w:rPr>
          <w:t>m. (%w/v indicates weight/volume)</w:t>
        </w:r>
        <w:r w:rsidR="00575816">
          <w:rPr>
            <w:noProof/>
            <w:webHidden/>
          </w:rPr>
          <w:tab/>
        </w:r>
        <w:r w:rsidR="00575816">
          <w:rPr>
            <w:noProof/>
            <w:webHidden/>
          </w:rPr>
          <w:fldChar w:fldCharType="begin"/>
        </w:r>
        <w:r w:rsidR="00575816">
          <w:rPr>
            <w:noProof/>
            <w:webHidden/>
          </w:rPr>
          <w:instrText xml:space="preserve"> PAGEREF _Toc121134660 \h </w:instrText>
        </w:r>
        <w:r w:rsidR="00575816">
          <w:rPr>
            <w:noProof/>
            <w:webHidden/>
          </w:rPr>
        </w:r>
        <w:r w:rsidR="00575816">
          <w:rPr>
            <w:noProof/>
            <w:webHidden/>
          </w:rPr>
          <w:fldChar w:fldCharType="separate"/>
        </w:r>
        <w:r w:rsidR="00785166">
          <w:rPr>
            <w:noProof/>
            <w:webHidden/>
          </w:rPr>
          <w:t>118</w:t>
        </w:r>
        <w:r w:rsidR="00575816">
          <w:rPr>
            <w:noProof/>
            <w:webHidden/>
          </w:rPr>
          <w:fldChar w:fldCharType="end"/>
        </w:r>
      </w:hyperlink>
    </w:p>
    <w:p w14:paraId="04E8A740" w14:textId="6E071A9A" w:rsidR="00575816" w:rsidRDefault="00000000">
      <w:pPr>
        <w:pStyle w:val="TableofFigures"/>
        <w:tabs>
          <w:tab w:val="right" w:leader="dot" w:pos="9350"/>
        </w:tabs>
        <w:rPr>
          <w:rFonts w:cstheme="minorBidi"/>
          <w:noProof/>
          <w:szCs w:val="24"/>
        </w:rPr>
      </w:pPr>
      <w:hyperlink w:anchor="_Toc121134661" w:history="1">
        <w:r w:rsidR="00575816" w:rsidRPr="00BF4C20">
          <w:rPr>
            <w:rStyle w:val="Hyperlink"/>
            <w:noProof/>
          </w:rPr>
          <w:t>Figure 4. 3 DAMP release can be modulated through control of [II] peptide aggregation. Cells were treated with 0.5mM [II] peptide in indicated albumin w/v% for 1.5, 3 and 6h. Western blot images of HMGB-1 release (A) and HSP90 release (B) at 3 and 6h. Extracellular ATP (C) and dsDNA release (D) release at 1.5, 3 and 6h. Heat map of DAMP release at 3 and 6h (E).</w:t>
        </w:r>
        <w:r w:rsidR="00575816">
          <w:rPr>
            <w:noProof/>
            <w:webHidden/>
          </w:rPr>
          <w:tab/>
        </w:r>
        <w:r w:rsidR="00575816">
          <w:rPr>
            <w:noProof/>
            <w:webHidden/>
          </w:rPr>
          <w:fldChar w:fldCharType="begin"/>
        </w:r>
        <w:r w:rsidR="00575816">
          <w:rPr>
            <w:noProof/>
            <w:webHidden/>
          </w:rPr>
          <w:instrText xml:space="preserve"> PAGEREF _Toc121134661 \h </w:instrText>
        </w:r>
        <w:r w:rsidR="00575816">
          <w:rPr>
            <w:noProof/>
            <w:webHidden/>
          </w:rPr>
        </w:r>
        <w:r w:rsidR="00575816">
          <w:rPr>
            <w:noProof/>
            <w:webHidden/>
          </w:rPr>
          <w:fldChar w:fldCharType="separate"/>
        </w:r>
        <w:r w:rsidR="00785166">
          <w:rPr>
            <w:noProof/>
            <w:webHidden/>
          </w:rPr>
          <w:t>120</w:t>
        </w:r>
        <w:r w:rsidR="00575816">
          <w:rPr>
            <w:noProof/>
            <w:webHidden/>
          </w:rPr>
          <w:fldChar w:fldCharType="end"/>
        </w:r>
      </w:hyperlink>
    </w:p>
    <w:p w14:paraId="6C64EB88" w14:textId="5789CCF8" w:rsidR="00575816" w:rsidRDefault="00000000">
      <w:pPr>
        <w:pStyle w:val="TableofFigures"/>
        <w:tabs>
          <w:tab w:val="right" w:leader="dot" w:pos="9350"/>
        </w:tabs>
        <w:rPr>
          <w:rFonts w:cstheme="minorBidi"/>
          <w:noProof/>
          <w:szCs w:val="24"/>
        </w:rPr>
      </w:pPr>
      <w:hyperlink w:anchor="_Toc121134662" w:history="1">
        <w:r w:rsidR="00575816" w:rsidRPr="00BF4C20">
          <w:rPr>
            <w:rStyle w:val="Hyperlink"/>
            <w:noProof/>
          </w:rPr>
          <w:t>Figure 4. 4 OVA addition does not change aggregation and cell membrane damage. 10</w:t>
        </w:r>
        <w:r w:rsidR="00575816" w:rsidRPr="00BF4C20">
          <w:rPr>
            <w:rStyle w:val="Hyperlink"/>
            <w:noProof/>
          </w:rPr>
          <w:sym w:font="Symbol" w:char="F06D"/>
        </w:r>
        <w:r w:rsidR="00575816" w:rsidRPr="00BF4C20">
          <w:rPr>
            <w:rStyle w:val="Hyperlink"/>
            <w:noProof/>
          </w:rPr>
          <w:t xml:space="preserve">g of OVA was added into the [II] peptide mixture prepared in indicated albumin w/v% and ThT measurement was carried out (A). Viability measurement at 6h with 0.5mM [II] peptide prepared in indicated albumin w/v% with and without the addition of 10 </w:t>
        </w:r>
        <w:r w:rsidR="00575816" w:rsidRPr="00BF4C20">
          <w:rPr>
            <w:rStyle w:val="Hyperlink"/>
            <w:noProof/>
          </w:rPr>
          <w:sym w:font="Symbol" w:char="F06D"/>
        </w:r>
        <w:r w:rsidR="00575816" w:rsidRPr="00BF4C20">
          <w:rPr>
            <w:rStyle w:val="Hyperlink"/>
            <w:noProof/>
          </w:rPr>
          <w:t>g OVA. Statistical analysis was done by one-way analysis of variance (ANOVA) with Tukey’s multiple-comparison test, data are mean ± SD, ns, not significant.</w:t>
        </w:r>
        <w:r w:rsidR="00575816">
          <w:rPr>
            <w:noProof/>
            <w:webHidden/>
          </w:rPr>
          <w:tab/>
        </w:r>
        <w:r w:rsidR="00575816">
          <w:rPr>
            <w:noProof/>
            <w:webHidden/>
          </w:rPr>
          <w:fldChar w:fldCharType="begin"/>
        </w:r>
        <w:r w:rsidR="00575816">
          <w:rPr>
            <w:noProof/>
            <w:webHidden/>
          </w:rPr>
          <w:instrText xml:space="preserve"> PAGEREF _Toc121134662 \h </w:instrText>
        </w:r>
        <w:r w:rsidR="00575816">
          <w:rPr>
            <w:noProof/>
            <w:webHidden/>
          </w:rPr>
        </w:r>
        <w:r w:rsidR="00575816">
          <w:rPr>
            <w:noProof/>
            <w:webHidden/>
          </w:rPr>
          <w:fldChar w:fldCharType="separate"/>
        </w:r>
        <w:r w:rsidR="00785166">
          <w:rPr>
            <w:noProof/>
            <w:webHidden/>
          </w:rPr>
          <w:t>121</w:t>
        </w:r>
        <w:r w:rsidR="00575816">
          <w:rPr>
            <w:noProof/>
            <w:webHidden/>
          </w:rPr>
          <w:fldChar w:fldCharType="end"/>
        </w:r>
      </w:hyperlink>
    </w:p>
    <w:p w14:paraId="76ACC3D4" w14:textId="13478940" w:rsidR="00575816" w:rsidRDefault="00000000">
      <w:pPr>
        <w:pStyle w:val="TableofFigures"/>
        <w:tabs>
          <w:tab w:val="right" w:leader="dot" w:pos="9350"/>
        </w:tabs>
        <w:rPr>
          <w:rFonts w:cstheme="minorBidi"/>
          <w:noProof/>
          <w:szCs w:val="24"/>
        </w:rPr>
      </w:pPr>
      <w:hyperlink w:anchor="_Toc121134663" w:history="1">
        <w:r w:rsidR="00575816" w:rsidRPr="00BF4C20">
          <w:rPr>
            <w:rStyle w:val="Hyperlink"/>
            <w:noProof/>
          </w:rPr>
          <w:t xml:space="preserve">Figure 4. 5 Experimental planning of vaccination and antibody responses. Injection groups were control (only PBS), only OVA and 0.5mM [II] prepared in 0 w/v%, 0.02 w/v% and 0.2 w/v% MSA. Booster vaccinations were carried out at week 4 and 8, </w:t>
        </w:r>
        <w:r w:rsidR="00575816" w:rsidRPr="00BF4C20">
          <w:rPr>
            <w:rStyle w:val="Hyperlink"/>
            <w:noProof/>
          </w:rPr>
          <w:lastRenderedPageBreak/>
          <w:t>identical to first vaccination. Serum was collected to analyze antibody levels at week 3, 4, 6 and 10. Statistical analysis was done by one-way analysis of variance (ANOVA) with Tukey’s multiple-comparison test, data are mean ± SD, **** p&lt;0.0001, *** p&lt;0.001, ** p&lt;0.01.</w:t>
        </w:r>
        <w:r w:rsidR="00575816">
          <w:rPr>
            <w:noProof/>
            <w:webHidden/>
          </w:rPr>
          <w:tab/>
        </w:r>
        <w:r w:rsidR="00575816">
          <w:rPr>
            <w:noProof/>
            <w:webHidden/>
          </w:rPr>
          <w:fldChar w:fldCharType="begin"/>
        </w:r>
        <w:r w:rsidR="00575816">
          <w:rPr>
            <w:noProof/>
            <w:webHidden/>
          </w:rPr>
          <w:instrText xml:space="preserve"> PAGEREF _Toc121134663 \h </w:instrText>
        </w:r>
        <w:r w:rsidR="00575816">
          <w:rPr>
            <w:noProof/>
            <w:webHidden/>
          </w:rPr>
        </w:r>
        <w:r w:rsidR="00575816">
          <w:rPr>
            <w:noProof/>
            <w:webHidden/>
          </w:rPr>
          <w:fldChar w:fldCharType="separate"/>
        </w:r>
        <w:r w:rsidR="00785166">
          <w:rPr>
            <w:noProof/>
            <w:webHidden/>
          </w:rPr>
          <w:t>122</w:t>
        </w:r>
        <w:r w:rsidR="00575816">
          <w:rPr>
            <w:noProof/>
            <w:webHidden/>
          </w:rPr>
          <w:fldChar w:fldCharType="end"/>
        </w:r>
      </w:hyperlink>
    </w:p>
    <w:p w14:paraId="5CE18CEE" w14:textId="6C257D63" w:rsidR="00575816" w:rsidRDefault="00000000">
      <w:pPr>
        <w:pStyle w:val="TableofFigures"/>
        <w:tabs>
          <w:tab w:val="right" w:leader="dot" w:pos="9350"/>
        </w:tabs>
        <w:rPr>
          <w:rFonts w:cstheme="minorBidi"/>
          <w:noProof/>
          <w:szCs w:val="24"/>
        </w:rPr>
      </w:pPr>
      <w:hyperlink w:anchor="_Toc121134664" w:history="1">
        <w:r w:rsidR="00575816" w:rsidRPr="00BF4C20">
          <w:rPr>
            <w:rStyle w:val="Hyperlink"/>
            <w:noProof/>
          </w:rPr>
          <w:t>Figure 4. 6 Peptide aggregation induced cell death stages effect immunogenicity. Experimental design involving the treatment of EMT6 cells for 1.5 and 3h with 0.5 mM [II] peptide prepared in 0.02 w/v%, 0.2 w/v% and 2 w/v% albumin. Propidium iodide uptake (A) and ATP analysis (B) of dying cells prior to injection. Experimental design for prophylactic vaccination (C). Tumor-free mice survival graph (D). Statistical analysis was done by one-way analysis of variance (ANOVA) with Tukey’s multiple-comparison test, data are mean ± SD, **** p&lt;0.0001, ** p&lt;0.01, * p&lt;0.1.</w:t>
        </w:r>
        <w:r w:rsidR="00575816">
          <w:rPr>
            <w:noProof/>
            <w:webHidden/>
          </w:rPr>
          <w:tab/>
        </w:r>
        <w:r w:rsidR="00575816">
          <w:rPr>
            <w:noProof/>
            <w:webHidden/>
          </w:rPr>
          <w:fldChar w:fldCharType="begin"/>
        </w:r>
        <w:r w:rsidR="00575816">
          <w:rPr>
            <w:noProof/>
            <w:webHidden/>
          </w:rPr>
          <w:instrText xml:space="preserve"> PAGEREF _Toc121134664 \h </w:instrText>
        </w:r>
        <w:r w:rsidR="00575816">
          <w:rPr>
            <w:noProof/>
            <w:webHidden/>
          </w:rPr>
        </w:r>
        <w:r w:rsidR="00575816">
          <w:rPr>
            <w:noProof/>
            <w:webHidden/>
          </w:rPr>
          <w:fldChar w:fldCharType="separate"/>
        </w:r>
        <w:r w:rsidR="00785166">
          <w:rPr>
            <w:noProof/>
            <w:webHidden/>
          </w:rPr>
          <w:t>124</w:t>
        </w:r>
        <w:r w:rsidR="00575816">
          <w:rPr>
            <w:noProof/>
            <w:webHidden/>
          </w:rPr>
          <w:fldChar w:fldCharType="end"/>
        </w:r>
      </w:hyperlink>
    </w:p>
    <w:p w14:paraId="6C053B83" w14:textId="53E87C79" w:rsidR="003D77DC" w:rsidRDefault="00575816" w:rsidP="0005670B">
      <w:pPr>
        <w:pStyle w:val="NoSpacing"/>
        <w:rPr>
          <w:rFonts w:cs="Arial (Body)"/>
          <w:sz w:val="32"/>
          <w:szCs w:val="32"/>
        </w:rPr>
      </w:pPr>
      <w:r>
        <w:rPr>
          <w:rFonts w:cs="Arial (Body)"/>
          <w:sz w:val="32"/>
          <w:szCs w:val="32"/>
        </w:rPr>
        <w:fldChar w:fldCharType="end"/>
      </w:r>
    </w:p>
    <w:p w14:paraId="3ED3F82B" w14:textId="64E463D5" w:rsidR="00D4639D" w:rsidRDefault="00D4639D" w:rsidP="0005670B">
      <w:pPr>
        <w:pStyle w:val="NoSpacing"/>
        <w:rPr>
          <w:rFonts w:cs="Arial (Body)"/>
          <w:sz w:val="32"/>
          <w:szCs w:val="32"/>
        </w:rPr>
      </w:pPr>
    </w:p>
    <w:p w14:paraId="28D6D6E5" w14:textId="3DB230E1" w:rsidR="00D4639D" w:rsidRDefault="00D4639D" w:rsidP="0005670B">
      <w:pPr>
        <w:pStyle w:val="NoSpacing"/>
        <w:rPr>
          <w:rFonts w:cs="Arial (Body)"/>
          <w:sz w:val="32"/>
          <w:szCs w:val="32"/>
        </w:rPr>
      </w:pPr>
    </w:p>
    <w:p w14:paraId="7809FFC7" w14:textId="77777777" w:rsidR="00D4639D" w:rsidRPr="00E90030" w:rsidRDefault="00D4639D" w:rsidP="0005670B">
      <w:pPr>
        <w:pStyle w:val="NoSpacing"/>
        <w:rPr>
          <w:sz w:val="32"/>
          <w:szCs w:val="32"/>
        </w:rPr>
      </w:pPr>
    </w:p>
    <w:p w14:paraId="0C10680F" w14:textId="77777777" w:rsidR="00D4639D" w:rsidRDefault="00D4639D">
      <w:pPr>
        <w:pStyle w:val="TableofFigures"/>
        <w:tabs>
          <w:tab w:val="right" w:leader="dot" w:pos="9350"/>
        </w:tabs>
      </w:pPr>
      <w:bookmarkStart w:id="0" w:name="_Toc114946687"/>
    </w:p>
    <w:p w14:paraId="71F8DB4C" w14:textId="7F102A38" w:rsidR="00D4639D" w:rsidRPr="00D4639D" w:rsidRDefault="00D4639D" w:rsidP="00D4639D">
      <w:pPr>
        <w:pStyle w:val="TOCHeading"/>
        <w:spacing w:line="480" w:lineRule="auto"/>
        <w:jc w:val="both"/>
      </w:pPr>
      <w:r>
        <w:t>List of Tables</w:t>
      </w:r>
    </w:p>
    <w:p w14:paraId="76A6A7DB" w14:textId="6B9E7521" w:rsidR="00D4639D" w:rsidRPr="00D4639D" w:rsidRDefault="00D4639D">
      <w:pPr>
        <w:pStyle w:val="TableofFigures"/>
        <w:tabs>
          <w:tab w:val="right" w:leader="dot" w:pos="9350"/>
        </w:tabs>
        <w:rPr>
          <w:rFonts w:cstheme="minorBidi"/>
          <w:noProof/>
          <w:szCs w:val="24"/>
        </w:rPr>
      </w:pPr>
      <w:r w:rsidRPr="00D4639D">
        <w:fldChar w:fldCharType="begin"/>
      </w:r>
      <w:r w:rsidRPr="00D4639D">
        <w:instrText xml:space="preserve"> TOC \h \z \c "Table 2." </w:instrText>
      </w:r>
      <w:r w:rsidRPr="00D4639D">
        <w:fldChar w:fldCharType="separate"/>
      </w:r>
      <w:hyperlink w:anchor="_Toc120782131" w:history="1">
        <w:r w:rsidRPr="00D4639D">
          <w:rPr>
            <w:rStyle w:val="Hyperlink"/>
            <w:noProof/>
          </w:rPr>
          <w:t>Table 2. 1 Sequences of the CoOPs used in this study. Each CoOPs has negatively and positively charged counterparts.</w:t>
        </w:r>
        <w:r w:rsidRPr="00D4639D">
          <w:rPr>
            <w:noProof/>
            <w:webHidden/>
          </w:rPr>
          <w:tab/>
        </w:r>
        <w:r w:rsidRPr="00D4639D">
          <w:rPr>
            <w:noProof/>
            <w:webHidden/>
          </w:rPr>
          <w:fldChar w:fldCharType="begin"/>
        </w:r>
        <w:r w:rsidRPr="00D4639D">
          <w:rPr>
            <w:noProof/>
            <w:webHidden/>
          </w:rPr>
          <w:instrText xml:space="preserve"> PAGEREF _Toc120782131 \h </w:instrText>
        </w:r>
        <w:r w:rsidRPr="00D4639D">
          <w:rPr>
            <w:noProof/>
            <w:webHidden/>
          </w:rPr>
        </w:r>
        <w:r w:rsidRPr="00D4639D">
          <w:rPr>
            <w:noProof/>
            <w:webHidden/>
          </w:rPr>
          <w:fldChar w:fldCharType="separate"/>
        </w:r>
        <w:r w:rsidR="00785166">
          <w:rPr>
            <w:noProof/>
            <w:webHidden/>
          </w:rPr>
          <w:t>27</w:t>
        </w:r>
        <w:r w:rsidRPr="00D4639D">
          <w:rPr>
            <w:noProof/>
            <w:webHidden/>
          </w:rPr>
          <w:fldChar w:fldCharType="end"/>
        </w:r>
      </w:hyperlink>
    </w:p>
    <w:p w14:paraId="728273FE" w14:textId="5C53A9F8" w:rsidR="00D4639D" w:rsidRPr="00D4639D" w:rsidRDefault="00000000">
      <w:pPr>
        <w:pStyle w:val="TableofFigures"/>
        <w:tabs>
          <w:tab w:val="right" w:leader="dot" w:pos="9350"/>
        </w:tabs>
        <w:rPr>
          <w:rFonts w:cstheme="minorBidi"/>
          <w:noProof/>
          <w:szCs w:val="24"/>
        </w:rPr>
      </w:pPr>
      <w:hyperlink w:anchor="_Toc120782132" w:history="1">
        <w:r w:rsidR="00D4639D" w:rsidRPr="00D4639D">
          <w:rPr>
            <w:rStyle w:val="Hyperlink"/>
            <w:noProof/>
          </w:rPr>
          <w:t>Table 2. 2 Physical properties of CoOPs. The overall characterization of substitution domains and CAC of CoOP pairs. N/A: not available, Pho: hydrophobic, and Phi: hydrophilic</w:t>
        </w:r>
        <w:r w:rsidR="00D4639D" w:rsidRPr="00D4639D">
          <w:rPr>
            <w:noProof/>
            <w:webHidden/>
          </w:rPr>
          <w:tab/>
        </w:r>
        <w:r w:rsidR="00D4639D" w:rsidRPr="00D4639D">
          <w:rPr>
            <w:noProof/>
            <w:webHidden/>
          </w:rPr>
          <w:fldChar w:fldCharType="begin"/>
        </w:r>
        <w:r w:rsidR="00D4639D" w:rsidRPr="00D4639D">
          <w:rPr>
            <w:noProof/>
            <w:webHidden/>
          </w:rPr>
          <w:instrText xml:space="preserve"> PAGEREF _Toc120782132 \h </w:instrText>
        </w:r>
        <w:r w:rsidR="00D4639D" w:rsidRPr="00D4639D">
          <w:rPr>
            <w:noProof/>
            <w:webHidden/>
          </w:rPr>
        </w:r>
        <w:r w:rsidR="00D4639D" w:rsidRPr="00D4639D">
          <w:rPr>
            <w:noProof/>
            <w:webHidden/>
          </w:rPr>
          <w:fldChar w:fldCharType="separate"/>
        </w:r>
        <w:r w:rsidR="00785166">
          <w:rPr>
            <w:noProof/>
            <w:webHidden/>
          </w:rPr>
          <w:t>34</w:t>
        </w:r>
        <w:r w:rsidR="00D4639D" w:rsidRPr="00D4639D">
          <w:rPr>
            <w:noProof/>
            <w:webHidden/>
          </w:rPr>
          <w:fldChar w:fldCharType="end"/>
        </w:r>
      </w:hyperlink>
    </w:p>
    <w:p w14:paraId="18CC9DBC" w14:textId="11A8C5CC" w:rsidR="00C34323" w:rsidRDefault="00D4639D" w:rsidP="003039A3">
      <w:pPr>
        <w:pStyle w:val="Heading1"/>
      </w:pPr>
      <w:r w:rsidRPr="00D4639D">
        <w:fldChar w:fldCharType="end"/>
      </w:r>
    </w:p>
    <w:p w14:paraId="3865664E" w14:textId="0EA8441E" w:rsidR="00C34323" w:rsidRDefault="00C34323" w:rsidP="003039A3">
      <w:pPr>
        <w:pStyle w:val="Heading1"/>
      </w:pPr>
    </w:p>
    <w:p w14:paraId="6849DD3B" w14:textId="74B91252" w:rsidR="00D4639D" w:rsidRDefault="00D4639D" w:rsidP="00D4639D"/>
    <w:p w14:paraId="7B00D796" w14:textId="1FDDBA96" w:rsidR="00D4639D" w:rsidRDefault="00D4639D" w:rsidP="00D4639D"/>
    <w:p w14:paraId="184BD5C7" w14:textId="1201EEC4" w:rsidR="00D4639D" w:rsidRDefault="00D4639D" w:rsidP="00D4639D"/>
    <w:p w14:paraId="6F31A167" w14:textId="0E32403C" w:rsidR="00D4639D" w:rsidRDefault="00D4639D" w:rsidP="00D4639D"/>
    <w:p w14:paraId="38D6F133" w14:textId="544258B0" w:rsidR="00D4639D" w:rsidRDefault="00D4639D" w:rsidP="00D4639D"/>
    <w:p w14:paraId="10512917" w14:textId="747A88A6" w:rsidR="00D4639D" w:rsidRDefault="00D4639D" w:rsidP="00D4639D"/>
    <w:p w14:paraId="1BD94177" w14:textId="42C68C0E" w:rsidR="00D4639D" w:rsidRDefault="00D4639D" w:rsidP="00D4639D"/>
    <w:p w14:paraId="55F7D152" w14:textId="06D5413E" w:rsidR="00D4639D" w:rsidRDefault="00D4639D" w:rsidP="00D4639D"/>
    <w:p w14:paraId="3E34ACC2" w14:textId="16C04E97" w:rsidR="00D4639D" w:rsidRDefault="00D4639D" w:rsidP="00D4639D"/>
    <w:p w14:paraId="4228FAA3" w14:textId="251297E1" w:rsidR="00595BE7" w:rsidRDefault="00595BE7" w:rsidP="003039A3">
      <w:pPr>
        <w:pStyle w:val="Heading1"/>
      </w:pPr>
      <w:bookmarkStart w:id="1" w:name="_Toc121134608"/>
      <w:r w:rsidRPr="000D6853">
        <w:lastRenderedPageBreak/>
        <w:t>ABSTRACT</w:t>
      </w:r>
      <w:bookmarkEnd w:id="0"/>
      <w:bookmarkEnd w:id="1"/>
    </w:p>
    <w:p w14:paraId="39241AEE" w14:textId="77777777" w:rsidR="00595BE7" w:rsidRDefault="00595BE7" w:rsidP="00595BE7">
      <w:pPr>
        <w:pStyle w:val="NoSpacing"/>
        <w:rPr>
          <w:sz w:val="32"/>
          <w:szCs w:val="32"/>
        </w:rPr>
      </w:pPr>
    </w:p>
    <w:p w14:paraId="3929DC86" w14:textId="0C50725D" w:rsidR="00595BE7" w:rsidRPr="0084736C" w:rsidRDefault="00595BE7" w:rsidP="00595BE7">
      <w:pPr>
        <w:pStyle w:val="NoSpacing"/>
        <w:spacing w:line="480" w:lineRule="auto"/>
        <w:rPr>
          <w:sz w:val="24"/>
          <w:szCs w:val="24"/>
        </w:rPr>
      </w:pPr>
      <w:r w:rsidRPr="0084736C">
        <w:rPr>
          <w:sz w:val="24"/>
          <w:szCs w:val="24"/>
        </w:rPr>
        <w:t xml:space="preserve">Numerous technological and scientific advancements have been developed by the structural organization and functional capabilities of natural materials. A field known as "biomaterials" focuses on adapting engineering concepts found in biological models to create materials that can solve enduring issues in </w:t>
      </w:r>
      <w:r w:rsidR="00042DC2">
        <w:rPr>
          <w:sz w:val="24"/>
          <w:szCs w:val="24"/>
        </w:rPr>
        <w:t xml:space="preserve">the </w:t>
      </w:r>
      <w:r w:rsidRPr="0084736C">
        <w:rPr>
          <w:sz w:val="24"/>
          <w:szCs w:val="24"/>
        </w:rPr>
        <w:t xml:space="preserve">biomedical engineering field. The fundamental molecules in </w:t>
      </w:r>
      <w:r w:rsidR="00042DC2">
        <w:rPr>
          <w:sz w:val="24"/>
          <w:szCs w:val="24"/>
        </w:rPr>
        <w:t xml:space="preserve">a </w:t>
      </w:r>
      <w:r w:rsidRPr="0084736C">
        <w:rPr>
          <w:sz w:val="24"/>
          <w:szCs w:val="24"/>
        </w:rPr>
        <w:t>living organism are comprise</w:t>
      </w:r>
      <w:r w:rsidR="00042DC2">
        <w:rPr>
          <w:sz w:val="24"/>
          <w:szCs w:val="24"/>
        </w:rPr>
        <w:t>d</w:t>
      </w:r>
      <w:r w:rsidRPr="0084736C">
        <w:rPr>
          <w:sz w:val="24"/>
          <w:szCs w:val="24"/>
        </w:rPr>
        <w:t xml:space="preserve"> of proteins. Protein structures are guided by combined and complex intermolecular interactions of peptides which ultimately influence </w:t>
      </w:r>
      <w:r w:rsidR="00042DC2">
        <w:rPr>
          <w:sz w:val="24"/>
          <w:szCs w:val="24"/>
        </w:rPr>
        <w:t xml:space="preserve">the </w:t>
      </w:r>
      <w:r w:rsidRPr="0084736C">
        <w:rPr>
          <w:sz w:val="24"/>
          <w:szCs w:val="24"/>
        </w:rPr>
        <w:t xml:space="preserve">functionality of proteins. Synthetic engineering approaches of peptides can overcome the limitations of </w:t>
      </w:r>
      <w:r w:rsidR="00042DC2">
        <w:rPr>
          <w:sz w:val="24"/>
          <w:szCs w:val="24"/>
        </w:rPr>
        <w:t xml:space="preserve">the </w:t>
      </w:r>
      <w:r w:rsidRPr="0084736C">
        <w:rPr>
          <w:sz w:val="24"/>
          <w:szCs w:val="24"/>
        </w:rPr>
        <w:t xml:space="preserve">complexity of protein intermolecular interactions and provide scalable technological solutions. </w:t>
      </w:r>
    </w:p>
    <w:p w14:paraId="7CE673A0" w14:textId="4AC5516D" w:rsidR="00C575DF" w:rsidRPr="0084736C" w:rsidRDefault="00595BE7" w:rsidP="00595BE7">
      <w:pPr>
        <w:pStyle w:val="NoSpacing"/>
        <w:spacing w:line="480" w:lineRule="auto"/>
        <w:rPr>
          <w:rFonts w:cstheme="minorHAnsi"/>
          <w:sz w:val="24"/>
          <w:szCs w:val="24"/>
        </w:rPr>
      </w:pPr>
      <w:r w:rsidRPr="0084736C">
        <w:rPr>
          <w:sz w:val="24"/>
          <w:szCs w:val="24"/>
        </w:rPr>
        <w:t>In the current dissertation, an engineering platform called CoOP (co-assembled oppositely charged peptides) was introduced and studied to understand the complex intermolecular interactions of proteins. Inspired by naturally found amyloid-beta (A</w:t>
      </w:r>
      <w:r w:rsidRPr="0084736C">
        <w:rPr>
          <w:rFonts w:ascii="Symbol" w:hAnsi="Symbol"/>
          <w:sz w:val="24"/>
          <w:szCs w:val="24"/>
        </w:rPr>
        <w:t>b</w:t>
      </w:r>
      <w:r w:rsidRPr="0084736C">
        <w:rPr>
          <w:sz w:val="24"/>
          <w:szCs w:val="24"/>
        </w:rPr>
        <w:t>) protein, a hexapeptide framework was designed to determine the effect of</w:t>
      </w:r>
      <w:r w:rsidRPr="0084736C">
        <w:rPr>
          <w:rFonts w:ascii="Symbol" w:hAnsi="Symbol"/>
          <w:sz w:val="24"/>
          <w:szCs w:val="24"/>
        </w:rPr>
        <w:t xml:space="preserve"> p</w:t>
      </w:r>
      <w:r w:rsidRPr="0084736C">
        <w:rPr>
          <w:sz w:val="24"/>
          <w:szCs w:val="24"/>
        </w:rPr>
        <w:t xml:space="preserve">- stacking, hydrophobic and electrostatic interactions. By using computational and experimental approaches, this unique framework showed the importance of electrostatic interactions to initiate peptide assembly and enhanced stability </w:t>
      </w:r>
      <w:r w:rsidR="00042DC2">
        <w:rPr>
          <w:sz w:val="24"/>
          <w:szCs w:val="24"/>
        </w:rPr>
        <w:t>due to</w:t>
      </w:r>
      <w:r w:rsidRPr="0084736C">
        <w:rPr>
          <w:sz w:val="24"/>
          <w:szCs w:val="24"/>
        </w:rPr>
        <w:t xml:space="preserve"> hydrophobic interactions. </w:t>
      </w:r>
      <w:r w:rsidR="00042DC2">
        <w:rPr>
          <w:sz w:val="24"/>
          <w:szCs w:val="24"/>
        </w:rPr>
        <w:t>The</w:t>
      </w:r>
      <w:r w:rsidRPr="0084736C">
        <w:rPr>
          <w:sz w:val="24"/>
          <w:szCs w:val="24"/>
        </w:rPr>
        <w:t xml:space="preserve"> usability of this framework was first tested by changing the hydrophobic interactions. </w:t>
      </w:r>
      <w:r w:rsidR="00042DC2">
        <w:rPr>
          <w:sz w:val="24"/>
          <w:szCs w:val="24"/>
        </w:rPr>
        <w:t xml:space="preserve">Then, </w:t>
      </w:r>
      <w:r w:rsidRPr="0084736C">
        <w:rPr>
          <w:sz w:val="24"/>
          <w:szCs w:val="24"/>
        </w:rPr>
        <w:t>assembly kinetics and structural organizations were studied</w:t>
      </w:r>
      <w:r w:rsidR="00042DC2">
        <w:rPr>
          <w:sz w:val="24"/>
          <w:szCs w:val="24"/>
        </w:rPr>
        <w:t xml:space="preserve"> d</w:t>
      </w:r>
      <w:r w:rsidR="00042DC2" w:rsidRPr="0084736C">
        <w:rPr>
          <w:sz w:val="24"/>
          <w:szCs w:val="24"/>
        </w:rPr>
        <w:t>epending on hydrophobicity indexes of amino acids</w:t>
      </w:r>
      <w:r w:rsidR="00042DC2">
        <w:rPr>
          <w:sz w:val="24"/>
          <w:szCs w:val="24"/>
        </w:rPr>
        <w:t xml:space="preserve">. </w:t>
      </w:r>
      <w:r w:rsidRPr="0084736C">
        <w:rPr>
          <w:sz w:val="24"/>
          <w:szCs w:val="24"/>
        </w:rPr>
        <w:t xml:space="preserve">It was found that the highest hydrophobicity in the framework called [II], formed by co-assembly of KFFIIK and EFFIIE, resulted in </w:t>
      </w:r>
      <w:r w:rsidR="00042DC2">
        <w:rPr>
          <w:sz w:val="24"/>
          <w:szCs w:val="24"/>
        </w:rPr>
        <w:t xml:space="preserve">the </w:t>
      </w:r>
      <w:r w:rsidRPr="0084736C">
        <w:rPr>
          <w:sz w:val="24"/>
          <w:szCs w:val="24"/>
        </w:rPr>
        <w:t xml:space="preserve">fastest assembly kinetics, showed the most organized </w:t>
      </w:r>
      <w:r w:rsidRPr="0084736C">
        <w:rPr>
          <w:rFonts w:cstheme="minorHAnsi"/>
          <w:sz w:val="24"/>
          <w:szCs w:val="24"/>
        </w:rPr>
        <w:t>secondary</w:t>
      </w:r>
      <w:r w:rsidRPr="0084736C">
        <w:rPr>
          <w:sz w:val="24"/>
          <w:szCs w:val="24"/>
        </w:rPr>
        <w:t xml:space="preserve"> structure and similar physical properties as in A</w:t>
      </w:r>
      <w:r w:rsidRPr="0084736C">
        <w:rPr>
          <w:rFonts w:ascii="Symbol" w:hAnsi="Symbol"/>
          <w:sz w:val="24"/>
          <w:szCs w:val="24"/>
        </w:rPr>
        <w:t>b</w:t>
      </w:r>
      <w:r w:rsidRPr="0084736C">
        <w:rPr>
          <w:sz w:val="24"/>
          <w:szCs w:val="24"/>
        </w:rPr>
        <w:t xml:space="preserve"> protein. Given that there is a strong correlation </w:t>
      </w:r>
      <w:r w:rsidR="00042DC2">
        <w:rPr>
          <w:sz w:val="24"/>
          <w:szCs w:val="24"/>
        </w:rPr>
        <w:t xml:space="preserve">between </w:t>
      </w:r>
      <w:r w:rsidRPr="0084736C">
        <w:rPr>
          <w:sz w:val="24"/>
          <w:szCs w:val="24"/>
        </w:rPr>
        <w:t xml:space="preserve">different </w:t>
      </w:r>
      <w:r w:rsidRPr="0084736C">
        <w:rPr>
          <w:sz w:val="24"/>
          <w:szCs w:val="24"/>
        </w:rPr>
        <w:lastRenderedPageBreak/>
        <w:t xml:space="preserve">aggregated states (fibrillar or </w:t>
      </w:r>
      <w:r w:rsidR="0000533B">
        <w:rPr>
          <w:sz w:val="24"/>
          <w:szCs w:val="24"/>
        </w:rPr>
        <w:t>globular aggregates</w:t>
      </w:r>
      <w:r w:rsidRPr="0084736C">
        <w:rPr>
          <w:sz w:val="24"/>
          <w:szCs w:val="24"/>
        </w:rPr>
        <w:t>) and toxicity of A</w:t>
      </w:r>
      <w:r w:rsidRPr="0084736C">
        <w:rPr>
          <w:rFonts w:ascii="Symbol" w:hAnsi="Symbol"/>
          <w:sz w:val="24"/>
          <w:szCs w:val="24"/>
        </w:rPr>
        <w:t xml:space="preserve">b, </w:t>
      </w:r>
      <w:r w:rsidRPr="0084736C">
        <w:rPr>
          <w:rFonts w:cstheme="minorHAnsi"/>
          <w:sz w:val="24"/>
          <w:szCs w:val="24"/>
        </w:rPr>
        <w:t xml:space="preserve">[II] platform provided to study and model these aggregated states. Similar to </w:t>
      </w:r>
      <w:r w:rsidRPr="0084736C">
        <w:rPr>
          <w:sz w:val="24"/>
          <w:szCs w:val="24"/>
        </w:rPr>
        <w:t>A</w:t>
      </w:r>
      <w:r w:rsidRPr="0084736C">
        <w:rPr>
          <w:rFonts w:ascii="Symbol" w:hAnsi="Symbol"/>
          <w:sz w:val="24"/>
          <w:szCs w:val="24"/>
        </w:rPr>
        <w:t xml:space="preserve">b, </w:t>
      </w:r>
      <w:r w:rsidRPr="0084736C">
        <w:rPr>
          <w:rFonts w:cstheme="minorHAnsi"/>
          <w:sz w:val="24"/>
          <w:szCs w:val="24"/>
        </w:rPr>
        <w:t>oligomeric and fibrillar form</w:t>
      </w:r>
      <w:r w:rsidR="00042DC2">
        <w:rPr>
          <w:rFonts w:cstheme="minorHAnsi"/>
          <w:sz w:val="24"/>
          <w:szCs w:val="24"/>
        </w:rPr>
        <w:t xml:space="preserve">s </w:t>
      </w:r>
      <w:r w:rsidRPr="0084736C">
        <w:rPr>
          <w:rFonts w:cstheme="minorHAnsi"/>
          <w:sz w:val="24"/>
          <w:szCs w:val="24"/>
        </w:rPr>
        <w:t xml:space="preserve">of [II] resulted in </w:t>
      </w:r>
      <w:r w:rsidR="00042DC2">
        <w:rPr>
          <w:rFonts w:cstheme="minorHAnsi"/>
          <w:sz w:val="24"/>
          <w:szCs w:val="24"/>
        </w:rPr>
        <w:t xml:space="preserve">a </w:t>
      </w:r>
      <w:r w:rsidRPr="0084736C">
        <w:rPr>
          <w:rFonts w:cstheme="minorHAnsi"/>
          <w:sz w:val="24"/>
          <w:szCs w:val="24"/>
        </w:rPr>
        <w:t xml:space="preserve">difference </w:t>
      </w:r>
      <w:r w:rsidR="00042DC2">
        <w:rPr>
          <w:rFonts w:cstheme="minorHAnsi"/>
          <w:sz w:val="24"/>
          <w:szCs w:val="24"/>
        </w:rPr>
        <w:t>in</w:t>
      </w:r>
      <w:r w:rsidRPr="0084736C">
        <w:rPr>
          <w:rFonts w:cstheme="minorHAnsi"/>
          <w:sz w:val="24"/>
          <w:szCs w:val="24"/>
        </w:rPr>
        <w:t xml:space="preserve"> cell membrane damage. However, unlike </w:t>
      </w:r>
      <w:r w:rsidRPr="0084736C">
        <w:rPr>
          <w:sz w:val="24"/>
          <w:szCs w:val="24"/>
        </w:rPr>
        <w:t>A</w:t>
      </w:r>
      <w:r w:rsidRPr="0084736C">
        <w:rPr>
          <w:rFonts w:ascii="Symbol" w:hAnsi="Symbol"/>
          <w:sz w:val="24"/>
          <w:szCs w:val="24"/>
        </w:rPr>
        <w:t xml:space="preserve">b, </w:t>
      </w:r>
      <w:r w:rsidRPr="0084736C">
        <w:rPr>
          <w:rFonts w:cstheme="minorHAnsi"/>
          <w:sz w:val="24"/>
          <w:szCs w:val="24"/>
        </w:rPr>
        <w:t xml:space="preserve"> [II] platform was implemented to modulate the aggregation where each aggregated state provided different toxicity levels depending on biophysical features. A change in aggregation had a control over cell membrane damage</w:t>
      </w:r>
      <w:r w:rsidR="00042DC2">
        <w:rPr>
          <w:rFonts w:cstheme="minorHAnsi"/>
          <w:sz w:val="24"/>
          <w:szCs w:val="24"/>
        </w:rPr>
        <w:t>,</w:t>
      </w:r>
      <w:r w:rsidRPr="0084736C">
        <w:rPr>
          <w:rFonts w:cstheme="minorHAnsi"/>
          <w:sz w:val="24"/>
          <w:szCs w:val="24"/>
        </w:rPr>
        <w:t xml:space="preserve"> le</w:t>
      </w:r>
      <w:r w:rsidR="00042DC2">
        <w:rPr>
          <w:rFonts w:cstheme="minorHAnsi"/>
          <w:sz w:val="24"/>
          <w:szCs w:val="24"/>
        </w:rPr>
        <w:t>a</w:t>
      </w:r>
      <w:r w:rsidRPr="0084736C">
        <w:rPr>
          <w:rFonts w:cstheme="minorHAnsi"/>
          <w:sz w:val="24"/>
          <w:szCs w:val="24"/>
        </w:rPr>
        <w:t>d</w:t>
      </w:r>
      <w:r w:rsidR="00042DC2">
        <w:rPr>
          <w:rFonts w:cstheme="minorHAnsi"/>
          <w:sz w:val="24"/>
          <w:szCs w:val="24"/>
        </w:rPr>
        <w:t>ing</w:t>
      </w:r>
      <w:r w:rsidRPr="0084736C">
        <w:rPr>
          <w:rFonts w:cstheme="minorHAnsi"/>
          <w:sz w:val="24"/>
          <w:szCs w:val="24"/>
        </w:rPr>
        <w:t xml:space="preserve"> to differential and synergistic release of immune system</w:t>
      </w:r>
      <w:r w:rsidR="00042DC2">
        <w:rPr>
          <w:rFonts w:cstheme="minorHAnsi"/>
          <w:sz w:val="24"/>
          <w:szCs w:val="24"/>
        </w:rPr>
        <w:t>-</w:t>
      </w:r>
      <w:r w:rsidRPr="0084736C">
        <w:rPr>
          <w:rFonts w:cstheme="minorHAnsi"/>
          <w:sz w:val="24"/>
          <w:szCs w:val="24"/>
        </w:rPr>
        <w:t xml:space="preserve">related molecules. </w:t>
      </w:r>
      <w:r w:rsidR="00BE1273" w:rsidRPr="0084736C">
        <w:rPr>
          <w:rFonts w:cstheme="minorHAnsi"/>
          <w:sz w:val="24"/>
          <w:szCs w:val="24"/>
        </w:rPr>
        <w:t>This approach was tested with model antigen Ovalbumin</w:t>
      </w:r>
      <w:r w:rsidR="00B34001">
        <w:rPr>
          <w:rFonts w:cstheme="minorHAnsi"/>
          <w:sz w:val="24"/>
          <w:szCs w:val="24"/>
        </w:rPr>
        <w:t xml:space="preserve">, </w:t>
      </w:r>
      <w:r w:rsidR="00042DC2">
        <w:rPr>
          <w:rFonts w:cstheme="minorHAnsi"/>
          <w:sz w:val="24"/>
          <w:szCs w:val="24"/>
        </w:rPr>
        <w:t>and</w:t>
      </w:r>
      <w:r w:rsidR="00B16C6D" w:rsidRPr="0084736C">
        <w:rPr>
          <w:rFonts w:cstheme="minorHAnsi"/>
          <w:sz w:val="24"/>
          <w:szCs w:val="24"/>
        </w:rPr>
        <w:t xml:space="preserve"> antigen-specific antibody production was achieved</w:t>
      </w:r>
      <w:r w:rsidR="00344E47" w:rsidRPr="0084736C">
        <w:rPr>
          <w:rFonts w:cstheme="minorHAnsi"/>
          <w:sz w:val="24"/>
          <w:szCs w:val="24"/>
        </w:rPr>
        <w:t xml:space="preserve"> based on aggregation kinetics</w:t>
      </w:r>
      <w:r w:rsidR="00B34001">
        <w:rPr>
          <w:rFonts w:cstheme="minorHAnsi"/>
          <w:sz w:val="24"/>
          <w:szCs w:val="24"/>
        </w:rPr>
        <w:t xml:space="preserve">. Furthermore, </w:t>
      </w:r>
      <w:r w:rsidR="00042DC2">
        <w:rPr>
          <w:rFonts w:cstheme="minorHAnsi"/>
          <w:sz w:val="24"/>
          <w:szCs w:val="24"/>
        </w:rPr>
        <w:t xml:space="preserve">a </w:t>
      </w:r>
      <w:r w:rsidR="00B34001">
        <w:rPr>
          <w:rFonts w:cstheme="minorHAnsi"/>
          <w:sz w:val="24"/>
          <w:szCs w:val="24"/>
        </w:rPr>
        <w:t xml:space="preserve">change of aggregation of [II] was applied to </w:t>
      </w:r>
      <w:r w:rsidR="00042DC2">
        <w:rPr>
          <w:rFonts w:cstheme="minorHAnsi"/>
          <w:sz w:val="24"/>
          <w:szCs w:val="24"/>
        </w:rPr>
        <w:t xml:space="preserve">the </w:t>
      </w:r>
      <w:r w:rsidR="00B34001">
        <w:rPr>
          <w:rFonts w:cstheme="minorHAnsi"/>
          <w:sz w:val="24"/>
          <w:szCs w:val="24"/>
        </w:rPr>
        <w:t xml:space="preserve">prophylactic </w:t>
      </w:r>
      <w:r w:rsidR="00FB79E0">
        <w:rPr>
          <w:rFonts w:cstheme="minorHAnsi"/>
          <w:sz w:val="24"/>
          <w:szCs w:val="24"/>
        </w:rPr>
        <w:t xml:space="preserve">tumor </w:t>
      </w:r>
      <w:r w:rsidR="00B34001">
        <w:rPr>
          <w:rFonts w:cstheme="minorHAnsi"/>
          <w:sz w:val="24"/>
          <w:szCs w:val="24"/>
        </w:rPr>
        <w:t xml:space="preserve">vaccine application, </w:t>
      </w:r>
      <w:r w:rsidR="00344E47" w:rsidRPr="0084736C">
        <w:rPr>
          <w:rFonts w:cstheme="minorHAnsi"/>
          <w:sz w:val="24"/>
          <w:szCs w:val="24"/>
        </w:rPr>
        <w:t>which shows the potential of system for cancer</w:t>
      </w:r>
      <w:r w:rsidR="00042DC2">
        <w:rPr>
          <w:rFonts w:cstheme="minorHAnsi"/>
          <w:sz w:val="24"/>
          <w:szCs w:val="24"/>
        </w:rPr>
        <w:t>-</w:t>
      </w:r>
      <w:r w:rsidR="00344E47" w:rsidRPr="0084736C">
        <w:rPr>
          <w:rFonts w:cstheme="minorHAnsi"/>
          <w:sz w:val="24"/>
          <w:szCs w:val="24"/>
        </w:rPr>
        <w:t>related applications.</w:t>
      </w:r>
    </w:p>
    <w:p w14:paraId="15FDE623" w14:textId="745D1A2F" w:rsidR="00595BE7" w:rsidRPr="0084736C" w:rsidRDefault="00C575DF" w:rsidP="00595BE7">
      <w:pPr>
        <w:pStyle w:val="NoSpacing"/>
        <w:spacing w:line="480" w:lineRule="auto"/>
        <w:rPr>
          <w:rFonts w:cstheme="minorHAnsi"/>
          <w:sz w:val="24"/>
          <w:szCs w:val="24"/>
        </w:rPr>
      </w:pPr>
      <w:r w:rsidRPr="0084736C">
        <w:rPr>
          <w:rFonts w:cstheme="minorHAnsi"/>
          <w:sz w:val="24"/>
          <w:szCs w:val="24"/>
        </w:rPr>
        <w:t xml:space="preserve">Based on the aggregation kinetics, an engineering platform, CoOP, can be applied to correlate structural changes </w:t>
      </w:r>
      <w:r w:rsidR="000C24BC" w:rsidRPr="0084736C">
        <w:rPr>
          <w:rFonts w:cstheme="minorHAnsi"/>
          <w:sz w:val="24"/>
          <w:szCs w:val="24"/>
        </w:rPr>
        <w:t>with a</w:t>
      </w:r>
      <w:r w:rsidRPr="0084736C">
        <w:rPr>
          <w:rFonts w:cstheme="minorHAnsi"/>
          <w:sz w:val="24"/>
          <w:szCs w:val="24"/>
        </w:rPr>
        <w:t xml:space="preserve"> biological effect. In this thesis, biological effect is limited based on the applications related </w:t>
      </w:r>
      <w:r w:rsidR="00042DC2">
        <w:rPr>
          <w:rFonts w:cstheme="minorHAnsi"/>
          <w:sz w:val="24"/>
          <w:szCs w:val="24"/>
        </w:rPr>
        <w:t>to</w:t>
      </w:r>
      <w:r w:rsidRPr="0084736C">
        <w:rPr>
          <w:rFonts w:cstheme="minorHAnsi"/>
          <w:sz w:val="24"/>
          <w:szCs w:val="24"/>
        </w:rPr>
        <w:t xml:space="preserve"> cell membrane damage. However, </w:t>
      </w:r>
      <w:r w:rsidR="00344E47" w:rsidRPr="0084736C">
        <w:rPr>
          <w:rFonts w:cstheme="minorHAnsi"/>
          <w:sz w:val="24"/>
          <w:szCs w:val="24"/>
        </w:rPr>
        <w:t>Co</w:t>
      </w:r>
      <w:r w:rsidR="000C24BC" w:rsidRPr="0084736C">
        <w:rPr>
          <w:rFonts w:cstheme="minorHAnsi"/>
          <w:sz w:val="24"/>
          <w:szCs w:val="24"/>
        </w:rPr>
        <w:t xml:space="preserve">OP provides the discovery of new peptides and functionalities with an understanding of intermolecular interactions. </w:t>
      </w:r>
    </w:p>
    <w:p w14:paraId="19E10A1A" w14:textId="6BB68913" w:rsidR="00E351D0" w:rsidRDefault="00E351D0" w:rsidP="00E351D0"/>
    <w:p w14:paraId="54B59F61" w14:textId="56B02148" w:rsidR="003D77DC" w:rsidRDefault="003D77DC" w:rsidP="00E351D0"/>
    <w:p w14:paraId="566D2B82" w14:textId="580DA27E" w:rsidR="003D77DC" w:rsidRDefault="003D77DC" w:rsidP="00E351D0"/>
    <w:p w14:paraId="47A5AE04" w14:textId="0896328B" w:rsidR="003D77DC" w:rsidRDefault="003D77DC" w:rsidP="00E351D0"/>
    <w:p w14:paraId="051DB57F" w14:textId="1A09F6FF" w:rsidR="003D77DC" w:rsidRDefault="003D77DC" w:rsidP="00E351D0"/>
    <w:p w14:paraId="0B555454" w14:textId="14AC5D38" w:rsidR="003D77DC" w:rsidRDefault="003D77DC" w:rsidP="00E351D0"/>
    <w:p w14:paraId="3380FA85" w14:textId="17AB2541" w:rsidR="003D77DC" w:rsidRDefault="003D77DC" w:rsidP="00E351D0"/>
    <w:p w14:paraId="767B4DC3" w14:textId="77777777" w:rsidR="003D77DC" w:rsidRDefault="003D77DC" w:rsidP="00E351D0">
      <w:pPr>
        <w:sectPr w:rsidR="003D77DC" w:rsidSect="00382D73">
          <w:footerReference w:type="default" r:id="rId11"/>
          <w:footerReference w:type="first" r:id="rId12"/>
          <w:pgSz w:w="12240" w:h="15840"/>
          <w:pgMar w:top="1440" w:right="1440" w:bottom="1440" w:left="1440" w:header="720" w:footer="720" w:gutter="0"/>
          <w:pgNumType w:fmt="lowerRoman" w:start="4"/>
          <w:cols w:space="720"/>
          <w:docGrid w:linePitch="360"/>
        </w:sectPr>
      </w:pPr>
    </w:p>
    <w:p w14:paraId="5ACE5019" w14:textId="0530B3AA" w:rsidR="00F130FF" w:rsidRDefault="00F130FF" w:rsidP="00F130FF">
      <w:pPr>
        <w:pStyle w:val="Heading1"/>
        <w:rPr>
          <w:rFonts w:asciiTheme="majorHAnsi" w:hAnsiTheme="majorHAnsi" w:cstheme="majorHAnsi"/>
        </w:rPr>
      </w:pPr>
      <w:bookmarkStart w:id="2" w:name="_Toc114946688"/>
      <w:bookmarkStart w:id="3" w:name="_Toc121134609"/>
      <w:r w:rsidRPr="00701EBF">
        <w:rPr>
          <w:rFonts w:asciiTheme="majorHAnsi" w:hAnsiTheme="majorHAnsi" w:cstheme="majorHAnsi"/>
        </w:rPr>
        <w:lastRenderedPageBreak/>
        <w:t xml:space="preserve">CHAPTER </w:t>
      </w:r>
      <w:r>
        <w:rPr>
          <w:rFonts w:asciiTheme="majorHAnsi" w:hAnsiTheme="majorHAnsi" w:cstheme="majorHAnsi"/>
        </w:rPr>
        <w:t>1</w:t>
      </w:r>
      <w:r w:rsidRPr="00701EBF">
        <w:rPr>
          <w:rFonts w:asciiTheme="majorHAnsi" w:hAnsiTheme="majorHAnsi" w:cstheme="majorHAnsi"/>
        </w:rPr>
        <w:t xml:space="preserve">. </w:t>
      </w:r>
      <w:r>
        <w:rPr>
          <w:rFonts w:asciiTheme="majorHAnsi" w:hAnsiTheme="majorHAnsi" w:cstheme="majorHAnsi"/>
        </w:rPr>
        <w:t>INTRODUCTION</w:t>
      </w:r>
      <w:bookmarkEnd w:id="2"/>
      <w:bookmarkEnd w:id="3"/>
    </w:p>
    <w:p w14:paraId="1B936C1D" w14:textId="3320ECCD" w:rsidR="00DB70C5" w:rsidRPr="0084736C" w:rsidRDefault="003362BF" w:rsidP="00DB70C5">
      <w:pPr>
        <w:rPr>
          <w:sz w:val="24"/>
          <w:szCs w:val="24"/>
        </w:rPr>
      </w:pPr>
      <w:r w:rsidRPr="0084736C">
        <w:rPr>
          <w:sz w:val="24"/>
          <w:szCs w:val="24"/>
        </w:rPr>
        <w:t>Part of t</w:t>
      </w:r>
      <w:r w:rsidR="00DB70C5" w:rsidRPr="0084736C">
        <w:rPr>
          <w:sz w:val="24"/>
          <w:szCs w:val="24"/>
        </w:rPr>
        <w:t>his section is adapted from the following publication:</w:t>
      </w:r>
    </w:p>
    <w:p w14:paraId="4CA46318" w14:textId="27A61D75" w:rsidR="00620DF0" w:rsidRPr="0084736C" w:rsidRDefault="00DB70C5" w:rsidP="00620DF0">
      <w:pPr>
        <w:rPr>
          <w:rFonts w:ascii="Arial" w:eastAsia="Times New Roman" w:hAnsi="Arial" w:cs="Arial"/>
          <w:color w:val="000000" w:themeColor="text1"/>
          <w:sz w:val="24"/>
          <w:szCs w:val="24"/>
          <w:shd w:val="clear" w:color="auto" w:fill="FFFFFF"/>
        </w:rPr>
      </w:pPr>
      <w:r w:rsidRPr="0084736C">
        <w:rPr>
          <w:rFonts w:ascii="Arial" w:eastAsia="Times New Roman" w:hAnsi="Arial" w:cs="Arial"/>
          <w:color w:val="000000" w:themeColor="text1"/>
          <w:sz w:val="24"/>
          <w:szCs w:val="24"/>
          <w:shd w:val="clear" w:color="auto" w:fill="FFFFFF"/>
        </w:rPr>
        <w:t>Hamsici, S., Gunay, G., Kirit, H., Kamatar, A., Loving, K., &amp; Acar, H. (2020). Drug Delivery Applications of Peptide Materials. In </w:t>
      </w:r>
      <w:r w:rsidRPr="0084736C">
        <w:rPr>
          <w:rFonts w:ascii="Arial" w:eastAsia="Times New Roman" w:hAnsi="Arial" w:cs="Arial"/>
          <w:i/>
          <w:iCs/>
          <w:color w:val="000000" w:themeColor="text1"/>
          <w:sz w:val="24"/>
          <w:szCs w:val="24"/>
        </w:rPr>
        <w:t>Peptide-based Biomaterials</w:t>
      </w:r>
      <w:r w:rsidRPr="0084736C">
        <w:rPr>
          <w:rFonts w:ascii="Arial" w:eastAsia="Times New Roman" w:hAnsi="Arial" w:cs="Arial"/>
          <w:color w:val="000000" w:themeColor="text1"/>
          <w:sz w:val="24"/>
          <w:szCs w:val="24"/>
          <w:shd w:val="clear" w:color="auto" w:fill="FFFFFF"/>
        </w:rPr>
        <w:t> (pp. 291-334).</w:t>
      </w:r>
    </w:p>
    <w:p w14:paraId="16A5685D" w14:textId="75023564" w:rsidR="00B117DC" w:rsidRPr="0084736C" w:rsidRDefault="00D1509C" w:rsidP="00A40EB3">
      <w:pPr>
        <w:spacing w:line="480" w:lineRule="auto"/>
        <w:rPr>
          <w:sz w:val="24"/>
          <w:szCs w:val="24"/>
        </w:rPr>
      </w:pPr>
      <w:r>
        <w:rPr>
          <w:sz w:val="24"/>
          <w:szCs w:val="24"/>
        </w:rPr>
        <w:t>Bioinspired or biomimetic materials</w:t>
      </w:r>
      <w:r w:rsidR="00B117DC" w:rsidRPr="0084736C">
        <w:rPr>
          <w:sz w:val="24"/>
          <w:szCs w:val="24"/>
        </w:rPr>
        <w:t xml:space="preserve"> are on the cutting edge of biological and material science, chemistry, physics and biotechnology</w:t>
      </w:r>
      <w:r w:rsidR="00FC28F4">
        <w:rPr>
          <w:sz w:val="24"/>
          <w:szCs w:val="24"/>
        </w:rPr>
        <w:t>.</w:t>
      </w:r>
      <w:r w:rsidR="00FC28F4">
        <w:rPr>
          <w:sz w:val="24"/>
          <w:szCs w:val="24"/>
        </w:rPr>
        <w:fldChar w:fldCharType="begin"/>
      </w:r>
      <w:r w:rsidR="001F4ED3">
        <w:rPr>
          <w:sz w:val="24"/>
          <w:szCs w:val="24"/>
        </w:rPr>
        <w:instrText xml:space="preserve"> ADDIN ZOTERO_ITEM CSL_CITATION {"citationID":"ambqs86r72","properties":{"formattedCitation":"\\super 1,2\\nosupersub{}","plainCitation":"1,2","noteIndex":0},"citationItems":[{"id":2978,"uris":["http://zotero.org/groups/2667333/items/VMJETLG4"],"itemData":{"id":2978,"type":"article-journal","abstract":"Biomaterials are widely used in numerous medical applications. Chemical engineering has played a central role in this research and development. Polymers as biomaterials, materials and approaches used in drug and protein delivery systems, materials used as scaffolds in tissue engineering, and nanotechnology and microfabrication techniques applied to biomaterials are reviewed.","container-title":"AIChE Journal","DOI":"10.1002/aic.690491202","ISSN":"1547-5905","issue":"12","language":"en","license":"Copyright © 2003 American Institute of Chemical Engineers (AIChE)","page":"2990-3006","source":"Wiley Online Library","title":"Advances in biomaterials, drug delivery, and bionanotechnology","URL":"https://aiche.onlinelibrary.wiley.com/doi/abs/10.1002/aic.690491202","volume":"49","author":[{"family":"Langer","given":"Robert"},{"family":"Peppas","given":"Nicholas A."}],"accessed":{"date-parts":[["2019",10,9]]},"issued":{"date-parts":[["2003"]]},"citation-key":"langerAdvancesBiomaterialsDrug2003"}},{"id":493,"uris":["http://zotero.org/users/5797676/items/KD4GWP7N"],"itemData":{"id":493,"type":"article-journal","abstract":"Materials found in nature combine many inspiring properties such as sophistication, miniaturization, hierarchical organizations, hybridation, resistance and adaptability. Elucidating the basic components and building principles selected by evolution to propose more reliable, efficient and environment-respecting materials requires a multidisciplinary approach.","container-title":"Nature Materials","DOI":"10.1038/nmat1339","ISSN":"1476-4660","issue":"4","language":"en","license":"2005 Nature Publishing Group","page":"277-288","source":"www.nature.com","title":"Biomimetism and bioinspiration as tools for the design of innovative materials and systems","URL":"https://www.nature.com/articles/nmat1339","volume":"4","author":[{"family":"Sanchez","given":"Clément"},{"family":"Arribart","given":"Hervé"},{"family":"Giraud Guille","given":"Marie Madeleine"}],"accessed":{"date-parts":[["2019",10,9]]},"issued":{"date-parts":[["2005",4]]},"citation-key":"sanchezBiomimetismBioinspirationTools2005"}}],"schema":"https://github.com/citation-style-language/schema/raw/master/csl-citation.json"} </w:instrText>
      </w:r>
      <w:r w:rsidR="00FC28F4">
        <w:rPr>
          <w:sz w:val="24"/>
          <w:szCs w:val="24"/>
        </w:rPr>
        <w:fldChar w:fldCharType="separate"/>
      </w:r>
      <w:r w:rsidR="001F4ED3" w:rsidRPr="001F4ED3">
        <w:rPr>
          <w:rFonts w:ascii="Arial" w:cs="Arial"/>
          <w:sz w:val="24"/>
          <w:vertAlign w:val="superscript"/>
        </w:rPr>
        <w:t>1,2</w:t>
      </w:r>
      <w:r w:rsidR="00FC28F4">
        <w:rPr>
          <w:sz w:val="24"/>
          <w:szCs w:val="24"/>
        </w:rPr>
        <w:fldChar w:fldCharType="end"/>
      </w:r>
      <w:r w:rsidR="00FC28F4">
        <w:rPr>
          <w:sz w:val="24"/>
          <w:szCs w:val="24"/>
        </w:rPr>
        <w:t xml:space="preserve"> </w:t>
      </w:r>
      <w:r w:rsidR="00B117DC" w:rsidRPr="0084736C">
        <w:rPr>
          <w:sz w:val="24"/>
          <w:szCs w:val="24"/>
        </w:rPr>
        <w:t>The combination of design principles inherent to these fields enables the creation of materials capable of quickly diagnosing diseases, delivering a drug directly</w:t>
      </w:r>
      <w:r>
        <w:rPr>
          <w:sz w:val="24"/>
          <w:szCs w:val="24"/>
        </w:rPr>
        <w:t xml:space="preserve"> to</w:t>
      </w:r>
      <w:r w:rsidR="00B117DC" w:rsidRPr="0084736C">
        <w:rPr>
          <w:sz w:val="24"/>
          <w:szCs w:val="24"/>
        </w:rPr>
        <w:t xml:space="preserve"> its target organ, presenting bioactive signals for the development of cells,</w:t>
      </w:r>
      <w:r w:rsidR="00F32BFF" w:rsidRPr="0084736C">
        <w:rPr>
          <w:sz w:val="24"/>
          <w:szCs w:val="24"/>
        </w:rPr>
        <w:t xml:space="preserve"> regenerating</w:t>
      </w:r>
      <w:r w:rsidR="00B117DC" w:rsidRPr="0084736C">
        <w:rPr>
          <w:sz w:val="24"/>
          <w:szCs w:val="24"/>
        </w:rPr>
        <w:t xml:space="preserve"> tissues</w:t>
      </w:r>
      <w:r>
        <w:rPr>
          <w:sz w:val="24"/>
          <w:szCs w:val="24"/>
        </w:rPr>
        <w:t>,</w:t>
      </w:r>
      <w:r w:rsidR="00B117DC" w:rsidRPr="0084736C">
        <w:rPr>
          <w:sz w:val="24"/>
          <w:szCs w:val="24"/>
        </w:rPr>
        <w:t xml:space="preserve"> </w:t>
      </w:r>
      <w:r w:rsidR="00F32BFF" w:rsidRPr="0084736C">
        <w:rPr>
          <w:sz w:val="24"/>
          <w:szCs w:val="24"/>
        </w:rPr>
        <w:t>and providing a vaccine platform.</w:t>
      </w:r>
      <w:r w:rsidR="0086682E">
        <w:rPr>
          <w:sz w:val="24"/>
          <w:szCs w:val="24"/>
        </w:rPr>
        <w:fldChar w:fldCharType="begin"/>
      </w:r>
      <w:r w:rsidR="001F4ED3">
        <w:rPr>
          <w:sz w:val="24"/>
          <w:szCs w:val="24"/>
        </w:rPr>
        <w:instrText xml:space="preserve"> ADDIN ZOTERO_ITEM CSL_CITATION {"citationID":"asces539m7","properties":{"formattedCitation":"\\super 3\\uc0\\u8211{}5\\nosupersub{}","plainCitation":"3–5","noteIndex":0},"citationItems":[{"id":2401,"uris":["http://zotero.org/groups/2667333/items/2GWR8KKB"],"itemData":{"id":2401,"type":"article-journal","abstract":"Co-assembly of peptide mixtures can yield interesting materials, but predictive understanding of assembly pathways is lacking. Here the self- and co-assembly preferences of oppositely-charged peptides are systematically studied experimentally and by molecular dynamics simulations.","container-title":"Communications Chemistry","DOI":"10.1038/s42004-020-00414-w","ISSN":"2399-3669","issue":"1","language":"en","license":"2020 The Author(s)","note":"tex.ids: seroski_charge_2020-1\nnumber: 1\npublisher: Nature Publishing Group","page":"1-11","source":"www-nature-com.webproxy2.ouhsc.edu","title":"Charge guides pathway selection in β-sheet fibrillizing peptide co-assembly","URL":"https://www.nature.com/articles/s42004-020-00414-w","volume":"3","author":[{"family":"Seroski","given":"Dillon T."},{"family":"Dong","given":"Xin"},{"family":"Wong","given":"Kong M."},{"family":"Liu","given":"Renjie"},{"family":"Shao","given":"Qing"},{"family":"Paravastu","given":"Anant K."},{"family":"Hall","given":"Carol K."},{"family":"Hudalla","given":"Gregory A."}],"accessed":{"date-parts":[["2020",12,14]]},"issued":{"date-parts":[["2020",11,13]]},"citation-key":"seroskiChargeGuidesPathway2020"}},{"id":3858,"uris":["http://zotero.org/groups/2667333/items/E4LTWWX6"],"itemData":{"id":3858,"type":"article-journal","container-title":"Advanced healthcare materials","DOI":"10.1002/adhm.201200435","ISSN":"2192-2640","issue":"8","journalAbbreviation":"Adv Healthc Mater","note":"ZSCC: 0000066 \nPMID: 23436779\nPMCID: PMC3817840","source":"PubMed Central","title":"A self-adjuvanting supramolecular vaccine carrying a folded protein antigen","URL":"https://www.ncbi.nlm.nih.gov/pmc/articles/PMC3817840/","volume":"2","author":[{"family":"Hudalla","given":"Gregory A."},{"family":"Modica","given":"Justin A."},{"family":"Tian","given":"Ye F."},{"family":"Rudra","given":"Jai S."},{"family":"Chong","given":"Anita S."},{"family":"Sun","given":"Tao"},{"family":"Mrksich","given":"Milan"},{"family":"Collier","given":"Joel H."}],"accessed":{"date-parts":[["2020",8,2]]},"issued":{"date-parts":[["2013",8]]},"citation-key":"hudallaSelfadjuvantingSupramolecularVaccine2013"}},{"id":2399,"uris":["http://zotero.org/groups/2667333/items/PG366YUP"],"itemData":{"id":2399,"type":"article-journal","abstract":"Molecular self-assembly is a ubiquitous process in nature and central to bottom-up nanotechnology. In particular, the organization of peptide building blocks into ordered supramolecular structures has gained much interest due to the unique properties of the products, including biocompatibility, chemical and structural diversity, robustness and ease of large-scale synthesis. In addition, peptides, as short as dipeptides, contain all the molecular information needed to spontaneously form well-ordered structures at both the nano- and the micro-scale. Therefore, peptide supramolecular assembly has been effectively utilized to produce novel materials with tailored properties for various applications in the fields of material science, engineering, medicine, and biology. To further expand the conformational space of peptide assemblies in terms of structural and functional complexity, multicomponent (two or more) peptide supramolecular co-assembly has recently evolved as a promising extended approach, similar to the structural diversity of natural sequence-defined biopolymers (proteins) as well as of synthetic covalent co-polymers. The use of this methodology was recently demonstrated in various applications, such as nanostructure physical dimension control, the creation of non-canonical complex topologies, mechanical strength modulation, the design of light harvesting soft materials, fabrication of electrically conducting devices, induced fluorescence, enzymatic catalysis and tissue engineering. In light of these significant advancements in the field of peptide supramolecular co-assembly in the last few years, in this tutorial review, we provide an updated overview and future prospects of this emerging subject.","container-title":"Chemical Society Reviews","DOI":"10.1039/C7CS00827A","ISSN":"1460-4744","issue":"10","journalAbbreviation":"Chem. Soc. Rev.","language":"en","note":"ZSCC: 0000057\ntex.ids: makam_minimalistic_2018-1, makam_minimalistic_2018-2\npublisher: The Royal Society of Chemistry","page":"3406-3420","source":"pubs.rsc.org","title":"Minimalistic peptide supramolecular co-assembly: expanding the conformational space for nanotechnology","title-short":"Minimalistic peptide supramolecular co-assembly","URL":"https://pubs.rsc.org/en/content/articlelanding/2018/cs/c7cs00827a","volume":"47","author":[{"family":"Makam","given":"Pandeeswar"},{"family":"Gazit","given":"Ehud"}],"accessed":{"date-parts":[["2020",5,13]]},"issued":{"date-parts":[["2018",5,21]]},"citation-key":"makamMinimalisticPeptideSupramolecular2018"}}],"schema":"https://github.com/citation-style-language/schema/raw/master/csl-citation.json"} </w:instrText>
      </w:r>
      <w:r w:rsidR="0086682E">
        <w:rPr>
          <w:sz w:val="24"/>
          <w:szCs w:val="24"/>
        </w:rPr>
        <w:fldChar w:fldCharType="separate"/>
      </w:r>
      <w:r w:rsidR="001F4ED3" w:rsidRPr="001F4ED3">
        <w:rPr>
          <w:rFonts w:ascii="Arial" w:cs="Arial"/>
          <w:sz w:val="24"/>
          <w:vertAlign w:val="superscript"/>
        </w:rPr>
        <w:t>3–5</w:t>
      </w:r>
      <w:r w:rsidR="0086682E">
        <w:rPr>
          <w:sz w:val="24"/>
          <w:szCs w:val="24"/>
        </w:rPr>
        <w:fldChar w:fldCharType="end"/>
      </w:r>
      <w:r w:rsidR="00F32BFF" w:rsidRPr="0084736C">
        <w:rPr>
          <w:sz w:val="24"/>
          <w:szCs w:val="24"/>
        </w:rPr>
        <w:t xml:space="preserve"> The scope of these efforts has been significantly </w:t>
      </w:r>
      <w:r w:rsidR="00A40EB3" w:rsidRPr="0084736C">
        <w:rPr>
          <w:sz w:val="24"/>
          <w:szCs w:val="24"/>
        </w:rPr>
        <w:t>broadened</w:t>
      </w:r>
      <w:r w:rsidR="00F32BFF" w:rsidRPr="0084736C">
        <w:rPr>
          <w:sz w:val="24"/>
          <w:szCs w:val="24"/>
        </w:rPr>
        <w:t xml:space="preserve"> by recent developments in the synthesis of biomaterials, polymers</w:t>
      </w:r>
      <w:r>
        <w:rPr>
          <w:sz w:val="24"/>
          <w:szCs w:val="24"/>
        </w:rPr>
        <w:t>,</w:t>
      </w:r>
      <w:r w:rsidR="00F32BFF" w:rsidRPr="0084736C">
        <w:rPr>
          <w:sz w:val="24"/>
          <w:szCs w:val="24"/>
        </w:rPr>
        <w:t xml:space="preserve"> and natural or synthetic biomacromolecules, which enable the creation of multifunctional materials that induce desired biological effects due to </w:t>
      </w:r>
      <w:r w:rsidR="00A40EB3" w:rsidRPr="0084736C">
        <w:rPr>
          <w:sz w:val="24"/>
          <w:szCs w:val="24"/>
        </w:rPr>
        <w:t>surface chemistry, attached ligands, mechanical and physical properties.</w:t>
      </w:r>
      <w:r w:rsidR="00FC28F4">
        <w:rPr>
          <w:sz w:val="24"/>
          <w:szCs w:val="24"/>
        </w:rPr>
        <w:fldChar w:fldCharType="begin"/>
      </w:r>
      <w:r w:rsidR="001F4ED3">
        <w:rPr>
          <w:sz w:val="24"/>
          <w:szCs w:val="24"/>
        </w:rPr>
        <w:instrText xml:space="preserve"> ADDIN ZOTERO_ITEM CSL_CITATION {"citationID":"ani4h3jah3","properties":{"formattedCitation":"\\super 6,7\\nosupersub{}","plainCitation":"6,7","noteIndex":0},"citationItems":[{"id":12745,"uris":["http://zotero.org/groups/2667333/items/NTN7AGHG"],"itemData":{"id":12745,"type":"article-journal","container-title":"Biomaterials Science","DOI":"10.1039/C9BM01304K","issue":"1","language":"en","note":"publisher: Royal Society of Chemistry","page":"84-100","source":"pubs.rsc.org","title":"Short to ultrashort peptide-based hydrogels as a platform for biomedical applications","URL":"https://pubs.rsc.org/en/content/articlelanding/2020/bm/c9bm01304k","volume":"8","author":[{"family":"Yadav","given":"Nitin"},{"family":"K. Chauhan","given":"Meenakshi"},{"family":"S. Chauhan","given":"Virander"}],"accessed":{"date-parts":[["2022",9,22]]},"issued":{"date-parts":[["2020"]]},"citation-key":"yadav_short_2020"}},{"id":577,"uris":["http://zotero.org/users/5797676/items/EU7NP7MG"],"itemData":{"id":577,"type":"article-journal","abstract":"Aromatic peptide amphiphiles are gaining popularity as building blocks for the bottom-up fabrication of nanomaterials, including gels. These materials combine the simplicity of small molecules with the versatility of peptides, with a range of applications proposed in biomedicine, nanotechnology, food science, cosmetics, etc. Despite their simplicity, a wide range of self-assembly behaviours have been described. Due to varying conditions and protocols used, care should be taken when attempting to directly compare results from the literature. In this review, we rationalise the structural features which govern the self-assembly of aromatic peptide amphiphiles by focusing on four segments, (i) the N-terminal aromatic component, (ii) linker segment, (iii) peptide sequence, and (iv) C-terminus. It is clear that the molecular structure of these components significantly influences the self-assembly process and resultant supramolecular architectures. A number of modes of assembly have been proposed, including parallel, antiparallel, and interlocked antiparallel stacking conformations. In addition, the co-assembly arrangements of aromatic peptide amphiphiles are reviewed. Overall, this review elucidates the structural trends and design rules that underpin the field of aromatic peptide amphiphile assembly, paving the way to a more rational design of nanomaterials based on aromatic peptide amphiphiles.","container-title":"Chemical Society Reviews","DOI":"10.1039/C4CS00247D","ISSN":"1460-4744","issue":"23","journalAbbreviation":"Chem. Soc. Rev.","language":"en","page":"8150-8177","source":"pubs.rsc.org","title":"Design of nanostructures based on aromatic peptide amphiphiles","URL":"https://pubs.rsc.org/en/content/articlelanding/2014/cs/c4cs00247d","volume":"43","author":[{"family":"Fleming","given":"Scott"},{"family":"Ulijn","given":"Rein V."}],"accessed":{"date-parts":[["2019",8,31]]},"issued":{"date-parts":[["2014",11,3]]},"citation-key":"flemingDesignNanostructuresBased2014"}}],"schema":"https://github.com/citation-style-language/schema/raw/master/csl-citation.json"} </w:instrText>
      </w:r>
      <w:r w:rsidR="00FC28F4">
        <w:rPr>
          <w:sz w:val="24"/>
          <w:szCs w:val="24"/>
        </w:rPr>
        <w:fldChar w:fldCharType="separate"/>
      </w:r>
      <w:r w:rsidR="001F4ED3" w:rsidRPr="001F4ED3">
        <w:rPr>
          <w:rFonts w:ascii="Arial" w:cs="Arial"/>
          <w:sz w:val="24"/>
          <w:vertAlign w:val="superscript"/>
        </w:rPr>
        <w:t>6,7</w:t>
      </w:r>
      <w:r w:rsidR="00FC28F4">
        <w:rPr>
          <w:sz w:val="24"/>
          <w:szCs w:val="24"/>
        </w:rPr>
        <w:fldChar w:fldCharType="end"/>
      </w:r>
    </w:p>
    <w:p w14:paraId="4F233CA2" w14:textId="2736CB24" w:rsidR="002E38F6" w:rsidRPr="0084736C" w:rsidRDefault="00F668BD" w:rsidP="00FE1451">
      <w:pPr>
        <w:spacing w:line="480" w:lineRule="auto"/>
        <w:rPr>
          <w:rFonts w:ascii="Arial" w:eastAsia="Times New Roman" w:hAnsi="Arial" w:cs="Arial"/>
          <w:sz w:val="24"/>
          <w:szCs w:val="24"/>
        </w:rPr>
      </w:pPr>
      <w:r w:rsidRPr="0084736C">
        <w:rPr>
          <w:rFonts w:ascii="Arial" w:eastAsia="Times New Roman" w:hAnsi="Arial" w:cs="Arial"/>
          <w:sz w:val="24"/>
          <w:szCs w:val="24"/>
        </w:rPr>
        <w:t xml:space="preserve">For a wide range of biomedical applications, </w:t>
      </w:r>
      <w:r w:rsidR="00D1509C">
        <w:rPr>
          <w:rFonts w:ascii="Arial" w:eastAsia="Times New Roman" w:hAnsi="Arial" w:cs="Arial"/>
          <w:sz w:val="24"/>
          <w:szCs w:val="24"/>
        </w:rPr>
        <w:t>material synthesis</w:t>
      </w:r>
      <w:r w:rsidRPr="0084736C">
        <w:rPr>
          <w:rFonts w:ascii="Arial" w:eastAsia="Times New Roman" w:hAnsi="Arial" w:cs="Arial"/>
          <w:sz w:val="24"/>
          <w:szCs w:val="24"/>
        </w:rPr>
        <w:t xml:space="preserve"> should be low-cost, high-yield</w:t>
      </w:r>
      <w:r w:rsidR="00D1509C">
        <w:rPr>
          <w:rFonts w:ascii="Arial" w:eastAsia="Times New Roman" w:hAnsi="Arial" w:cs="Arial"/>
          <w:sz w:val="24"/>
          <w:szCs w:val="24"/>
        </w:rPr>
        <w:t xml:space="preserve">, </w:t>
      </w:r>
      <w:r w:rsidRPr="0084736C">
        <w:rPr>
          <w:rFonts w:ascii="Arial" w:eastAsia="Times New Roman" w:hAnsi="Arial" w:cs="Arial"/>
          <w:sz w:val="24"/>
          <w:szCs w:val="24"/>
        </w:rPr>
        <w:t>and impurity-free</w:t>
      </w:r>
      <w:r w:rsidR="00D1509C">
        <w:rPr>
          <w:rFonts w:ascii="Arial" w:eastAsia="Times New Roman" w:hAnsi="Arial" w:cs="Arial"/>
          <w:sz w:val="24"/>
          <w:szCs w:val="24"/>
        </w:rPr>
        <w:t>.</w:t>
      </w:r>
      <w:r w:rsidRPr="0084736C">
        <w:rPr>
          <w:rFonts w:ascii="Arial" w:eastAsia="Times New Roman" w:hAnsi="Arial" w:cs="Arial"/>
          <w:sz w:val="24"/>
          <w:szCs w:val="24"/>
        </w:rPr>
        <w:t xml:space="preserve"> </w:t>
      </w:r>
      <w:r w:rsidR="00D1509C">
        <w:rPr>
          <w:rFonts w:ascii="Arial" w:eastAsia="Times New Roman" w:hAnsi="Arial" w:cs="Arial"/>
          <w:sz w:val="24"/>
          <w:szCs w:val="24"/>
        </w:rPr>
        <w:t>N</w:t>
      </w:r>
      <w:r w:rsidRPr="0084736C">
        <w:rPr>
          <w:rFonts w:ascii="Arial" w:eastAsia="Times New Roman" w:hAnsi="Arial" w:cs="Arial"/>
          <w:sz w:val="24"/>
          <w:szCs w:val="24"/>
        </w:rPr>
        <w:t xml:space="preserve">umerous </w:t>
      </w:r>
      <w:r w:rsidR="0098345A" w:rsidRPr="0084736C">
        <w:rPr>
          <w:rFonts w:ascii="Arial" w:eastAsia="Times New Roman" w:hAnsi="Arial" w:cs="Arial"/>
          <w:sz w:val="24"/>
          <w:szCs w:val="24"/>
        </w:rPr>
        <w:t>bottom</w:t>
      </w:r>
      <w:r w:rsidRPr="0084736C">
        <w:rPr>
          <w:rFonts w:ascii="Arial" w:eastAsia="Times New Roman" w:hAnsi="Arial" w:cs="Arial"/>
          <w:sz w:val="24"/>
          <w:szCs w:val="24"/>
        </w:rPr>
        <w:t>-up and top-down methodologies are available to accomplish this.</w:t>
      </w:r>
      <w:r w:rsidR="005308E3" w:rsidRPr="0084736C">
        <w:rPr>
          <w:rFonts w:ascii="Arial" w:eastAsia="Times New Roman" w:hAnsi="Arial" w:cs="Arial"/>
          <w:sz w:val="24"/>
          <w:szCs w:val="24"/>
        </w:rPr>
        <w:fldChar w:fldCharType="begin"/>
      </w:r>
      <w:r w:rsidR="001F4ED3">
        <w:rPr>
          <w:rFonts w:ascii="Arial" w:eastAsia="Times New Roman" w:hAnsi="Arial" w:cs="Arial"/>
          <w:sz w:val="24"/>
          <w:szCs w:val="24"/>
        </w:rPr>
        <w:instrText xml:space="preserve"> ADDIN ZOTERO_ITEM CSL_CITATION {"citationID":"a1qrf0m8ov8","properties":{"formattedCitation":"\\super 8\\nosupersub{}","plainCitation":"8","noteIndex":0},"citationItems":[{"id":3441,"uris":["http://zotero.org/groups/2667333/items/5UZIQFEY"],"itemData":{"id":3441,"type":"article-journal","abstract":"Two complementary strategies can be used in the fabrication of molecular biomaterials. In the 'top-down' approach, biomaterials are generated by stripping down a complex entity into its component parts (for example, paring a virus particle down to its capsid to form a viral cage). This contrasts with the 'bottom-up' approach, in which materials are assembled molecule by molecule (and in some cases even atom by atom) to produce novel supramolecular architectures. The latter approach is likely to become an integral part of nanomaterials manufacture and requires a deep understanding of individual molecular building blocks and their structures, assembly properties and dynamic behaviors. Two key elements in molecular fabrication are chemical complementarity and structural compatibility, both of which confer the weak and noncovalent interactions that bind building blocks together during self-assembly. Using natural processes as a guide, substantial advances have been achieved at the interface of nanomaterials and biology, including the fabrication of nanofiber materials for three-dimensional cell culture and tissue engineering, the assembly of peptide or protein nanotubes and helical ribbons, the creation of living microlenses, the synthesis of metal nanowires on DNA templates, the fabrication of peptide, protein and lipid scaffolds, the assembly of electronic materials by bacterial phage selection, and the use of radiofrequency to regulate molecular behaviors.","container-title":"Nature Biotechnology","DOI":"10.1038/nbt874","ISSN":"1546-1696","issue":"10","language":"en","license":"2003 Nature Publishing Group","note":"ZSCC: 0003238 \nnumber: 10\npublisher: Nature Publishing Group","page":"1171-1178","source":"www.nature.com","title":"Fabrication of novel biomaterials through molecular self-assembly","URL":"https://www.nature.com/articles/nbt874","volume":"21","author":[{"family":"Zhang","given":"Shuguang"}],"accessed":{"date-parts":[["2020",8,2]]},"issued":{"date-parts":[["2003",10]]},"citation-key":"zhangFabricationNovelBiomaterials2003"}}],"schema":"https://github.com/citation-style-language/schema/raw/master/csl-citation.json"} </w:instrText>
      </w:r>
      <w:r w:rsidR="005308E3" w:rsidRPr="0084736C">
        <w:rPr>
          <w:rFonts w:ascii="Arial" w:eastAsia="Times New Roman" w:hAnsi="Arial" w:cs="Arial"/>
          <w:sz w:val="24"/>
          <w:szCs w:val="24"/>
        </w:rPr>
        <w:fldChar w:fldCharType="separate"/>
      </w:r>
      <w:r w:rsidR="001F4ED3" w:rsidRPr="001F4ED3">
        <w:rPr>
          <w:rFonts w:ascii="Arial" w:hAnsi="Arial" w:cs="Arial"/>
          <w:sz w:val="24"/>
          <w:vertAlign w:val="superscript"/>
        </w:rPr>
        <w:t>8</w:t>
      </w:r>
      <w:r w:rsidR="005308E3" w:rsidRPr="0084736C">
        <w:rPr>
          <w:rFonts w:ascii="Arial" w:eastAsia="Times New Roman" w:hAnsi="Arial" w:cs="Arial"/>
          <w:sz w:val="24"/>
          <w:szCs w:val="24"/>
        </w:rPr>
        <w:fldChar w:fldCharType="end"/>
      </w:r>
      <w:r w:rsidRPr="0084736C">
        <w:rPr>
          <w:rFonts w:ascii="Arial" w:eastAsia="Times New Roman" w:hAnsi="Arial" w:cs="Arial"/>
          <w:sz w:val="24"/>
          <w:szCs w:val="24"/>
        </w:rPr>
        <w:t xml:space="preserve"> </w:t>
      </w:r>
      <w:r w:rsidR="00E86D64" w:rsidRPr="0084736C">
        <w:rPr>
          <w:rFonts w:ascii="Arial" w:eastAsia="Times New Roman" w:hAnsi="Arial" w:cs="Arial"/>
          <w:sz w:val="24"/>
          <w:szCs w:val="24"/>
        </w:rPr>
        <w:t xml:space="preserve">Top-down approaches scale </w:t>
      </w:r>
      <w:r w:rsidR="00D1509C">
        <w:rPr>
          <w:rFonts w:ascii="Arial" w:eastAsia="Times New Roman" w:hAnsi="Arial" w:cs="Arial"/>
          <w:sz w:val="24"/>
          <w:szCs w:val="24"/>
        </w:rPr>
        <w:t xml:space="preserve">down </w:t>
      </w:r>
      <w:r w:rsidR="00E86D64" w:rsidRPr="0084736C">
        <w:rPr>
          <w:rFonts w:ascii="Arial" w:eastAsia="Times New Roman" w:hAnsi="Arial" w:cs="Arial"/>
          <w:sz w:val="24"/>
          <w:szCs w:val="24"/>
        </w:rPr>
        <w:t>the bulk material into its component parts, whereas b</w:t>
      </w:r>
      <w:r w:rsidR="0098345A" w:rsidRPr="0084736C">
        <w:rPr>
          <w:rFonts w:ascii="Arial" w:eastAsia="Times New Roman" w:hAnsi="Arial" w:cs="Arial"/>
          <w:sz w:val="24"/>
          <w:szCs w:val="24"/>
        </w:rPr>
        <w:t>ottom</w:t>
      </w:r>
      <w:r w:rsidRPr="0084736C">
        <w:rPr>
          <w:rFonts w:ascii="Arial" w:eastAsia="Times New Roman" w:hAnsi="Arial" w:cs="Arial"/>
          <w:sz w:val="24"/>
          <w:szCs w:val="24"/>
        </w:rPr>
        <w:t>-up approaches assemble supramolecular structures from fundamental consti</w:t>
      </w:r>
      <w:r w:rsidR="00FE1451" w:rsidRPr="0084736C">
        <w:rPr>
          <w:rFonts w:ascii="Arial" w:eastAsia="Times New Roman" w:hAnsi="Arial" w:cs="Arial"/>
          <w:sz w:val="24"/>
          <w:szCs w:val="24"/>
        </w:rPr>
        <w:t>tuents like atoms and molecules</w:t>
      </w:r>
      <w:r w:rsidR="00823E6D">
        <w:rPr>
          <w:rFonts w:ascii="Arial" w:eastAsia="Times New Roman" w:hAnsi="Arial" w:cs="Arial"/>
          <w:sz w:val="24"/>
          <w:szCs w:val="24"/>
        </w:rPr>
        <w:t>.</w:t>
      </w:r>
      <w:r w:rsidR="005308E3" w:rsidRPr="0084736C">
        <w:rPr>
          <w:rFonts w:ascii="Arial" w:eastAsia="Times New Roman" w:hAnsi="Arial" w:cs="Arial"/>
          <w:sz w:val="24"/>
          <w:szCs w:val="24"/>
        </w:rPr>
        <w:fldChar w:fldCharType="begin"/>
      </w:r>
      <w:r w:rsidR="001F4ED3">
        <w:rPr>
          <w:rFonts w:ascii="Arial" w:eastAsia="Times New Roman" w:hAnsi="Arial" w:cs="Arial"/>
          <w:sz w:val="24"/>
          <w:szCs w:val="24"/>
        </w:rPr>
        <w:instrText xml:space="preserve"> ADDIN ZOTERO_ITEM CSL_CITATION {"citationID":"a2n9ukfkhhp","properties":{"formattedCitation":"\\super 9\\nosupersub{}","plainCitation":"9","noteIndex":0},"citationItems":[{"id":12433,"uris":["http://zotero.org/groups/2667333/items/RDE4KIQE"],"itemData":{"id":12433,"type":"article-journal","abstract":"Nanotechnology is one of the emerging fields of the 21st Century. Many new devices and patentable technology is based on nanomaterials (NMs). One of the dominant factors in the use of nanomaterials and their applications in various fields is the synthesis and growth mechanism of nanostructures and nanomaterials. A nanostructured material may have been a good candidate in one application but could be more useful in a different application if synthesized by a different mechanism and technique. Similarly, the structure and morphology of a nanomaterial also depend upon the method of growth and synthesis. For example, it is easy to grow and synthesize amorphous nanostructured thin film using the plasma magnetron sputtering technique, but it may be difficult to obtain a similar structure using the thermal evaporation process due to the nature of the technique itself. In this study, the Top-down and Bottom-up methods and techniques of synthesizing nanostructured materials are reviewed, compared, and analyzed. Both approaches are critically analyzed, and the influencing factors on the synthesis of different nanomaterials, the advantages, and disadvantages of each technique are reported. This review also provides a step-by-step analysis of the choice of method for the synthesis of namomaterials for specific applications.","container-title":"Advances in Colloid and Interface Science","DOI":"10.1016/j.cis.2021.102597","ISSN":"0001-8686","journalAbbreviation":"Advances in Colloid and Interface Science","language":"en","page":"102597","source":"ScienceDirect","title":"Synthesis of nanomaterials using various top-down and bottom-up approaches, influencing factors, advantages, and disadvantages: A review","title-short":"Synthesis of nanomaterials using various top-down and bottom-up approaches, influencing factors, advantages, and disadvantages","URL":"https://www.sciencedirect.com/science/article/pii/S0001868621002384","volume":"300","author":[{"family":"Abid","given":"Namra"},{"family":"Khan","given":"Aqib Muhammad"},{"family":"Shujait","given":"Sara"},{"family":"Chaudhary","given":"Kainat"},{"family":"Ikram","given":"Muhammad"},{"family":"Imran","given":"Muhammad"},{"family":"Haider","given":"Junaid"},{"family":"Khan","given":"Maaz"},{"family":"Khan","given":"Qasim"},{"family":"Maqbool","given":"Muhammad"}],"accessed":{"date-parts":[["2022",9,13]]},"issued":{"date-parts":[["2022",2,1]]},"citation-key":"abid_synthesis_2022"}}],"schema":"https://github.com/citation-style-language/schema/raw/master/csl-citation.json"} </w:instrText>
      </w:r>
      <w:r w:rsidR="005308E3" w:rsidRPr="0084736C">
        <w:rPr>
          <w:rFonts w:ascii="Arial" w:eastAsia="Times New Roman" w:hAnsi="Arial" w:cs="Arial"/>
          <w:sz w:val="24"/>
          <w:szCs w:val="24"/>
        </w:rPr>
        <w:fldChar w:fldCharType="separate"/>
      </w:r>
      <w:r w:rsidR="001F4ED3" w:rsidRPr="001F4ED3">
        <w:rPr>
          <w:rFonts w:ascii="Arial" w:hAnsi="Arial" w:cs="Arial"/>
          <w:sz w:val="24"/>
          <w:vertAlign w:val="superscript"/>
        </w:rPr>
        <w:t>9</w:t>
      </w:r>
      <w:r w:rsidR="005308E3" w:rsidRPr="0084736C">
        <w:rPr>
          <w:rFonts w:ascii="Arial" w:eastAsia="Times New Roman" w:hAnsi="Arial" w:cs="Arial"/>
          <w:sz w:val="24"/>
          <w:szCs w:val="24"/>
        </w:rPr>
        <w:fldChar w:fldCharType="end"/>
      </w:r>
      <w:r w:rsidR="005308E3" w:rsidRPr="0084736C">
        <w:rPr>
          <w:rFonts w:ascii="Arial" w:eastAsia="Times New Roman" w:hAnsi="Arial" w:cs="Arial"/>
          <w:sz w:val="24"/>
          <w:szCs w:val="24"/>
        </w:rPr>
        <w:t xml:space="preserve"> </w:t>
      </w:r>
      <w:r w:rsidR="002E38F6" w:rsidRPr="0084736C">
        <w:rPr>
          <w:rFonts w:ascii="Arial" w:eastAsia="Times New Roman" w:hAnsi="Arial" w:cs="Arial"/>
          <w:sz w:val="24"/>
          <w:szCs w:val="24"/>
        </w:rPr>
        <w:t>Specifically,</w:t>
      </w:r>
      <w:r w:rsidR="00E86D64" w:rsidRPr="0084736C">
        <w:rPr>
          <w:rFonts w:ascii="Arial" w:eastAsia="Times New Roman" w:hAnsi="Arial" w:cs="Arial"/>
          <w:sz w:val="24"/>
          <w:szCs w:val="24"/>
        </w:rPr>
        <w:t xml:space="preserve"> t</w:t>
      </w:r>
      <w:r w:rsidR="00493CB4" w:rsidRPr="0084736C">
        <w:rPr>
          <w:rFonts w:ascii="Arial" w:eastAsia="Times New Roman" w:hAnsi="Arial" w:cs="Arial"/>
          <w:sz w:val="24"/>
          <w:szCs w:val="24"/>
        </w:rPr>
        <w:t>op-down strategies</w:t>
      </w:r>
      <w:r w:rsidR="007D07A1" w:rsidRPr="0084736C">
        <w:rPr>
          <w:rFonts w:ascii="Arial" w:eastAsia="Times New Roman" w:hAnsi="Arial" w:cs="Arial"/>
          <w:sz w:val="24"/>
          <w:szCs w:val="24"/>
        </w:rPr>
        <w:t xml:space="preserve"> involve </w:t>
      </w:r>
      <w:r w:rsidR="00345971" w:rsidRPr="0084736C">
        <w:rPr>
          <w:rFonts w:ascii="Arial" w:eastAsia="Times New Roman" w:hAnsi="Arial" w:cs="Arial"/>
          <w:sz w:val="24"/>
          <w:szCs w:val="24"/>
        </w:rPr>
        <w:t xml:space="preserve">a </w:t>
      </w:r>
      <w:r w:rsidR="00207E11" w:rsidRPr="0084736C">
        <w:rPr>
          <w:rFonts w:ascii="Arial" w:eastAsia="Times New Roman" w:hAnsi="Arial" w:cs="Arial"/>
          <w:sz w:val="24"/>
          <w:szCs w:val="24"/>
        </w:rPr>
        <w:t>miniaturization</w:t>
      </w:r>
      <w:r w:rsidR="00345971" w:rsidRPr="0084736C">
        <w:rPr>
          <w:rFonts w:ascii="Arial" w:eastAsia="Times New Roman" w:hAnsi="Arial" w:cs="Arial"/>
          <w:sz w:val="24"/>
          <w:szCs w:val="24"/>
        </w:rPr>
        <w:t xml:space="preserve"> of the bulk material</w:t>
      </w:r>
      <w:r w:rsidR="00207E11" w:rsidRPr="0084736C">
        <w:rPr>
          <w:rFonts w:ascii="Arial" w:eastAsia="Times New Roman" w:hAnsi="Arial" w:cs="Arial"/>
          <w:sz w:val="24"/>
          <w:szCs w:val="24"/>
        </w:rPr>
        <w:t xml:space="preserve"> </w:t>
      </w:r>
      <w:r w:rsidR="00345971" w:rsidRPr="0084736C">
        <w:rPr>
          <w:rFonts w:ascii="Arial" w:eastAsia="Times New Roman" w:hAnsi="Arial" w:cs="Arial"/>
          <w:sz w:val="24"/>
          <w:szCs w:val="24"/>
        </w:rPr>
        <w:t xml:space="preserve">and </w:t>
      </w:r>
      <w:r w:rsidR="00207E11" w:rsidRPr="0084736C">
        <w:rPr>
          <w:rFonts w:ascii="Arial" w:eastAsia="Times New Roman" w:hAnsi="Arial" w:cs="Arial"/>
          <w:sz w:val="24"/>
          <w:szCs w:val="24"/>
        </w:rPr>
        <w:t xml:space="preserve">require an external force such as </w:t>
      </w:r>
      <w:r w:rsidR="00345971" w:rsidRPr="0084736C">
        <w:rPr>
          <w:rFonts w:ascii="Arial" w:eastAsia="Times New Roman" w:hAnsi="Arial" w:cs="Arial"/>
          <w:sz w:val="24"/>
          <w:szCs w:val="24"/>
        </w:rPr>
        <w:t>UV light and</w:t>
      </w:r>
      <w:r w:rsidR="00207E11" w:rsidRPr="0084736C">
        <w:rPr>
          <w:rFonts w:ascii="Arial" w:eastAsia="Times New Roman" w:hAnsi="Arial" w:cs="Arial"/>
          <w:sz w:val="24"/>
          <w:szCs w:val="24"/>
        </w:rPr>
        <w:t xml:space="preserve"> </w:t>
      </w:r>
      <w:r w:rsidR="00345971" w:rsidRPr="0084736C">
        <w:rPr>
          <w:rFonts w:ascii="Arial" w:eastAsia="Times New Roman" w:hAnsi="Arial" w:cs="Arial"/>
          <w:sz w:val="24"/>
          <w:szCs w:val="24"/>
        </w:rPr>
        <w:t>electron beam</w:t>
      </w:r>
      <w:r w:rsidR="00413D71" w:rsidRPr="0084736C">
        <w:rPr>
          <w:rFonts w:ascii="Arial" w:eastAsia="Times New Roman" w:hAnsi="Arial" w:cs="Arial"/>
          <w:sz w:val="24"/>
          <w:szCs w:val="24"/>
        </w:rPr>
        <w:t xml:space="preserve">, which can be limited because of </w:t>
      </w:r>
      <w:r w:rsidR="00D1509C">
        <w:rPr>
          <w:rFonts w:ascii="Arial" w:eastAsia="Times New Roman" w:hAnsi="Arial" w:cs="Arial"/>
          <w:sz w:val="24"/>
          <w:szCs w:val="24"/>
        </w:rPr>
        <w:t xml:space="preserve">the </w:t>
      </w:r>
      <w:r w:rsidR="00413D71" w:rsidRPr="0084736C">
        <w:rPr>
          <w:rFonts w:ascii="Arial" w:eastAsia="Times New Roman" w:hAnsi="Arial" w:cs="Arial"/>
          <w:sz w:val="24"/>
          <w:szCs w:val="24"/>
        </w:rPr>
        <w:t>high cost of equipment, fabrication facilities</w:t>
      </w:r>
      <w:r w:rsidR="00D1509C">
        <w:rPr>
          <w:rFonts w:ascii="Arial" w:eastAsia="Times New Roman" w:hAnsi="Arial" w:cs="Arial"/>
          <w:sz w:val="24"/>
          <w:szCs w:val="24"/>
        </w:rPr>
        <w:t>,</w:t>
      </w:r>
      <w:r w:rsidR="00413D71" w:rsidRPr="0084736C">
        <w:rPr>
          <w:rFonts w:ascii="Arial" w:eastAsia="Times New Roman" w:hAnsi="Arial" w:cs="Arial"/>
          <w:sz w:val="24"/>
          <w:szCs w:val="24"/>
        </w:rPr>
        <w:t xml:space="preserve"> and </w:t>
      </w:r>
      <w:r w:rsidR="002818E6" w:rsidRPr="0084736C">
        <w:rPr>
          <w:rFonts w:ascii="Arial" w:eastAsia="Times New Roman" w:hAnsi="Arial" w:cs="Arial"/>
          <w:sz w:val="24"/>
          <w:szCs w:val="24"/>
        </w:rPr>
        <w:t>control of physical parameters such as homogeneity.</w:t>
      </w:r>
      <w:r w:rsidR="00A53163" w:rsidRPr="0084736C">
        <w:rPr>
          <w:rFonts w:ascii="Arial" w:eastAsia="Times New Roman" w:hAnsi="Arial" w:cs="Arial"/>
          <w:sz w:val="24"/>
          <w:szCs w:val="24"/>
        </w:rPr>
        <w:fldChar w:fldCharType="begin"/>
      </w:r>
      <w:r w:rsidR="001F4ED3">
        <w:rPr>
          <w:rFonts w:ascii="Arial" w:eastAsia="Times New Roman" w:hAnsi="Arial" w:cs="Arial"/>
          <w:sz w:val="24"/>
          <w:szCs w:val="24"/>
        </w:rPr>
        <w:instrText xml:space="preserve"> ADDIN ZOTERO_ITEM CSL_CITATION {"citationID":"a1prkik19c7","properties":{"formattedCitation":"\\super 10\\nosupersub{}","plainCitation":"10","noteIndex":0},"citationItems":[{"id":12514,"uris":["http://zotero.org/groups/2667333/items/BR3XCX6M"],"itemData":{"id":12514,"type":"article-journal","abstract":"The capacity to create an increasing variety of bioactive molecules that are designed to assemble in specific configurations has opened up tremendous possibilities in the design of materials with an unprecedented level of control and functionality. A particular challenge involves guiding such self-assembling interactions across scales, thus precisely positioning individual molecules within well-organized, highly-ordered structures. Such hierarchical control is essential if peptides and proteins are to serve as both structural and functional building blocks of biomedical materials. To achieve this goal, top-down techniques are increasingly being used in combination with self-assembling systems to reproducibly manipulate, localize, orient and assemble peptides and proteins to form organized structures. In this tutorial review we provide insight into how both standard and novel top-down techniques are being used in combination with peptide or protein self-assembly to create a new generation of functional materials.","container-title":"Chemical Society Reviews","DOI":"10.1039/C1CS15064B","ISSN":"1460-4744","issue":"9","journalAbbreviation":"Chem. Soc. Rev.","language":"en","note":"publisher: The Royal Society of Chemistry","page":"4563-4577","source":"pubs.rsc.org","title":"Integrating top-down and self-assembly in the fabrication of peptide and protein-based biomedical materials","URL":"https://pubs.rsc.org/en/content/articlelanding/2011/cs/c1cs15064b","volume":"40","author":[{"family":"Smith","given":"Katherine H."},{"family":"Tejeda-Montes","given":"Esther"},{"family":"Poch","given":"Marta"},{"family":"Mata","given":"Alvaro"}],"accessed":{"date-parts":[["2022",9,14]]},"issued":{"date-parts":[["2011",8,15]]},"citation-key":"smith_integrating_2011"}}],"schema":"https://github.com/citation-style-language/schema/raw/master/csl-citation.json"} </w:instrText>
      </w:r>
      <w:r w:rsidR="00A53163" w:rsidRPr="0084736C">
        <w:rPr>
          <w:rFonts w:ascii="Arial" w:eastAsia="Times New Roman" w:hAnsi="Arial" w:cs="Arial"/>
          <w:sz w:val="24"/>
          <w:szCs w:val="24"/>
        </w:rPr>
        <w:fldChar w:fldCharType="separate"/>
      </w:r>
      <w:r w:rsidR="001F4ED3" w:rsidRPr="001F4ED3">
        <w:rPr>
          <w:rFonts w:ascii="Arial" w:hAnsi="Arial" w:cs="Arial"/>
          <w:sz w:val="24"/>
          <w:vertAlign w:val="superscript"/>
        </w:rPr>
        <w:t>10</w:t>
      </w:r>
      <w:r w:rsidR="00A53163" w:rsidRPr="0084736C">
        <w:rPr>
          <w:rFonts w:ascii="Arial" w:eastAsia="Times New Roman" w:hAnsi="Arial" w:cs="Arial"/>
          <w:sz w:val="24"/>
          <w:szCs w:val="24"/>
        </w:rPr>
        <w:fldChar w:fldCharType="end"/>
      </w:r>
      <w:r w:rsidR="00413D71" w:rsidRPr="0084736C">
        <w:rPr>
          <w:rFonts w:ascii="Arial" w:eastAsia="Times New Roman" w:hAnsi="Arial" w:cs="Arial"/>
          <w:sz w:val="24"/>
          <w:szCs w:val="24"/>
        </w:rPr>
        <w:t xml:space="preserve"> </w:t>
      </w:r>
      <w:r w:rsidR="00E86D64" w:rsidRPr="0084736C">
        <w:rPr>
          <w:rFonts w:ascii="Arial" w:eastAsia="Times New Roman" w:hAnsi="Arial" w:cs="Arial"/>
          <w:sz w:val="24"/>
          <w:szCs w:val="24"/>
        </w:rPr>
        <w:t xml:space="preserve">However, </w:t>
      </w:r>
      <w:r w:rsidR="00D1509C">
        <w:rPr>
          <w:rFonts w:ascii="Arial" w:eastAsia="Times New Roman" w:hAnsi="Arial" w:cs="Arial"/>
          <w:sz w:val="24"/>
          <w:szCs w:val="24"/>
        </w:rPr>
        <w:t xml:space="preserve">the </w:t>
      </w:r>
      <w:r w:rsidR="00E86D64" w:rsidRPr="0084736C">
        <w:rPr>
          <w:rFonts w:ascii="Arial" w:eastAsia="Times New Roman" w:hAnsi="Arial" w:cs="Arial"/>
          <w:sz w:val="24"/>
          <w:szCs w:val="24"/>
        </w:rPr>
        <w:t>bottom-up strategy allows to engineer</w:t>
      </w:r>
      <w:r w:rsidR="00D1509C">
        <w:rPr>
          <w:rFonts w:ascii="Arial" w:eastAsia="Times New Roman" w:hAnsi="Arial" w:cs="Arial"/>
          <w:sz w:val="24"/>
          <w:szCs w:val="24"/>
        </w:rPr>
        <w:t xml:space="preserve"> of</w:t>
      </w:r>
      <w:r w:rsidR="00E86D64" w:rsidRPr="0084736C">
        <w:rPr>
          <w:rFonts w:ascii="Arial" w:eastAsia="Times New Roman" w:hAnsi="Arial" w:cs="Arial"/>
          <w:sz w:val="24"/>
          <w:szCs w:val="24"/>
        </w:rPr>
        <w:t xml:space="preserve"> a nanomaterial in which the final structure </w:t>
      </w:r>
      <w:r w:rsidR="00D1509C">
        <w:rPr>
          <w:rFonts w:ascii="Arial" w:eastAsia="Times New Roman" w:hAnsi="Arial" w:cs="Arial"/>
          <w:sz w:val="24"/>
          <w:szCs w:val="24"/>
        </w:rPr>
        <w:t xml:space="preserve">is </w:t>
      </w:r>
      <w:r w:rsidR="00E86D64" w:rsidRPr="0084736C">
        <w:rPr>
          <w:rFonts w:ascii="Arial" w:eastAsia="Times New Roman" w:hAnsi="Arial" w:cs="Arial"/>
          <w:sz w:val="24"/>
          <w:szCs w:val="24"/>
        </w:rPr>
        <w:t xml:space="preserve">formed by the self-assembly of precursor molecules, so that control over material properties can be achieved by modifications of precursor molecules </w:t>
      </w:r>
      <w:r w:rsidR="00E86D64" w:rsidRPr="0084736C">
        <w:rPr>
          <w:rFonts w:ascii="Arial" w:eastAsia="Times New Roman" w:hAnsi="Arial" w:cs="Arial"/>
          <w:sz w:val="24"/>
          <w:szCs w:val="24"/>
        </w:rPr>
        <w:lastRenderedPageBreak/>
        <w:t>or processing conditions.</w:t>
      </w:r>
      <w:r w:rsidR="00E86D64" w:rsidRPr="0084736C">
        <w:rPr>
          <w:rFonts w:ascii="Arial" w:eastAsia="Times New Roman" w:hAnsi="Arial" w:cs="Arial"/>
          <w:sz w:val="24"/>
          <w:szCs w:val="24"/>
        </w:rPr>
        <w:fldChar w:fldCharType="begin"/>
      </w:r>
      <w:r w:rsidR="001F4ED3">
        <w:rPr>
          <w:rFonts w:ascii="Arial" w:eastAsia="Times New Roman" w:hAnsi="Arial" w:cs="Arial"/>
          <w:sz w:val="24"/>
          <w:szCs w:val="24"/>
        </w:rPr>
        <w:instrText xml:space="preserve"> ADDIN ZOTERO_ITEM CSL_CITATION {"citationID":"as6mb8jsm5","properties":{"formattedCitation":"\\super 11\\nosupersub{}","plainCitation":"11","noteIndex":0},"citationItems":[{"id":12489,"uris":["http://zotero.org/groups/2667333/items/VAB87X5Q"],"itemData":{"id":12489,"type":"article-journal","abstract":"The size and shape of polymer materials is becoming an increasingly important property in accessing new functions and applications of nano-/microparticles in many scientific fields. New synthetic methods have allowed unprecedented capability for the facile fabrication of anisotropic and shape-defined nanomaterials. Bottom-up approaches including: emulsion polymerization techniques, amphiphile self-assembly, and polymerization-induced self-assembly, can lead to polymer particles with precise dimensions in the nanoscale. Top-down methods such as lithographic templating, and 3D printing, have increased the access to unique particle shapes. In this review, these recent developments are appraised and contrasted, with future research directions providing that focus on biomedical applications. Finally, the opportunity available for synergistic combinations of top-down and bottom-up fabrication approaches in realizing previously unattainable architectures and material properties is highlighted.","container-title":"Advanced NanoBiomed Research","DOI":"10.1002/anbr.202100087","ISSN":"2699-9307","issue":"1","language":"en","note":"_eprint: https://onlinelibrary.wiley.com/doi/pdf/10.1002/anbr.202100087","page":"2100087","source":"Wiley Online Library","title":"Bottom-Up versus Top-Down Strategies for Morphology Control in Polymer-Based Biomedical Materials","URL":"https://onlinelibrary.wiley.com/doi/abs/10.1002/anbr.202100087","volume":"2","author":[{"family":"Cook","given":"Alexander B."},{"family":"Clemons","given":"Tristan D."}],"accessed":{"date-parts":[["2022",9,14]]},"issued":{"date-parts":[["2022"]]},"citation-key":"cook_bottom-up_2022"}}],"schema":"https://github.com/citation-style-language/schema/raw/master/csl-citation.json"} </w:instrText>
      </w:r>
      <w:r w:rsidR="00E86D64" w:rsidRPr="0084736C">
        <w:rPr>
          <w:rFonts w:ascii="Arial" w:eastAsia="Times New Roman" w:hAnsi="Arial" w:cs="Arial"/>
          <w:sz w:val="24"/>
          <w:szCs w:val="24"/>
        </w:rPr>
        <w:fldChar w:fldCharType="separate"/>
      </w:r>
      <w:r w:rsidR="001F4ED3" w:rsidRPr="001F4ED3">
        <w:rPr>
          <w:rFonts w:ascii="Arial" w:hAnsi="Arial" w:cs="Arial"/>
          <w:sz w:val="24"/>
          <w:vertAlign w:val="superscript"/>
        </w:rPr>
        <w:t>11</w:t>
      </w:r>
      <w:r w:rsidR="00E86D64" w:rsidRPr="0084736C">
        <w:rPr>
          <w:rFonts w:ascii="Arial" w:eastAsia="Times New Roman" w:hAnsi="Arial" w:cs="Arial"/>
          <w:sz w:val="24"/>
          <w:szCs w:val="24"/>
        </w:rPr>
        <w:fldChar w:fldCharType="end"/>
      </w:r>
      <w:r w:rsidR="00E86D64" w:rsidRPr="0084736C">
        <w:rPr>
          <w:rFonts w:ascii="Arial" w:eastAsia="Times New Roman" w:hAnsi="Arial" w:cs="Arial"/>
          <w:sz w:val="24"/>
          <w:szCs w:val="24"/>
        </w:rPr>
        <w:t xml:space="preserve"> </w:t>
      </w:r>
      <w:r w:rsidR="0001450A" w:rsidRPr="0084736C">
        <w:rPr>
          <w:rFonts w:ascii="Arial" w:eastAsia="Times New Roman" w:hAnsi="Arial" w:cs="Arial"/>
          <w:sz w:val="24"/>
          <w:szCs w:val="24"/>
        </w:rPr>
        <w:t>There are many examples taking advantage of self-assembly in biological systems</w:t>
      </w:r>
      <w:r w:rsidR="00D1509C">
        <w:rPr>
          <w:rFonts w:ascii="Arial" w:eastAsia="Times New Roman" w:hAnsi="Arial" w:cs="Arial"/>
          <w:sz w:val="24"/>
          <w:szCs w:val="24"/>
        </w:rPr>
        <w:t>,</w:t>
      </w:r>
      <w:r w:rsidR="0001450A" w:rsidRPr="0084736C">
        <w:rPr>
          <w:rFonts w:ascii="Arial" w:eastAsia="Times New Roman" w:hAnsi="Arial" w:cs="Arial"/>
          <w:sz w:val="24"/>
          <w:szCs w:val="24"/>
        </w:rPr>
        <w:t xml:space="preserve"> including the formation of cell membranes, DNA double helix formation</w:t>
      </w:r>
      <w:r w:rsidR="00D1509C">
        <w:rPr>
          <w:rFonts w:ascii="Arial" w:eastAsia="Times New Roman" w:hAnsi="Arial" w:cs="Arial"/>
          <w:sz w:val="24"/>
          <w:szCs w:val="24"/>
        </w:rPr>
        <w:t>,</w:t>
      </w:r>
      <w:r w:rsidR="0001450A" w:rsidRPr="0084736C">
        <w:rPr>
          <w:rFonts w:ascii="Arial" w:eastAsia="Times New Roman" w:hAnsi="Arial" w:cs="Arial"/>
          <w:sz w:val="24"/>
          <w:szCs w:val="24"/>
        </w:rPr>
        <w:t xml:space="preserve"> and the protein folding from a polypeptide chain into tertiary and quaternary structures.</w:t>
      </w:r>
      <w:r w:rsidR="0001450A" w:rsidRPr="0084736C">
        <w:rPr>
          <w:rFonts w:ascii="Arial" w:eastAsia="Times New Roman" w:hAnsi="Arial" w:cs="Arial"/>
          <w:sz w:val="24"/>
          <w:szCs w:val="24"/>
        </w:rPr>
        <w:fldChar w:fldCharType="begin"/>
      </w:r>
      <w:r w:rsidR="00D84D0E" w:rsidRPr="0084736C">
        <w:rPr>
          <w:rFonts w:ascii="Arial" w:eastAsia="Times New Roman" w:hAnsi="Arial" w:cs="Arial"/>
          <w:sz w:val="24"/>
          <w:szCs w:val="24"/>
        </w:rPr>
        <w:instrText xml:space="preserve"> ADDIN ZOTERO_ITEM CSL_CITATION {"citationID":"a1fu1frqfal","properties":{"formattedCitation":"\\super 5\\nosupersub{}","plainCitation":"5","noteIndex":0},"citationItems":[{"id":2399,"uris":["http://zotero.org/groups/2667333/items/PG366YUP"],"itemData":{"id":2399,"type":"article-journal","abstract":"Molecular self-assembly is a ubiquitous process in nature and central to bottom-up nanotechnology. In particular, the organization of peptide building blocks into ordered supramolecular structures has gained much interest due to the unique properties of the products, including biocompatibility, chemical and structural diversity, robustness and ease of large-scale synthesis. In addition, peptides, as short as dipeptides, contain all the molecular information needed to spontaneously form well-ordered structures at both the nano- and the micro-scale. Therefore, peptide supramolecular assembly has been effectively utilized to produce novel materials with tailored properties for various applications in the fields of material science, engineering, medicine, and biology. To further expand the conformational space of peptide assemblies in terms of structural and functional complexity, multicomponent (two or more) peptide supramolecular co-assembly has recently evolved as a promising extended approach, similar to the structural diversity of natural sequence-defined biopolymers (proteins) as well as of synthetic covalent co-polymers. The use of this methodology was recently demonstrated in various applications, such as nanostructure physical dimension control, the creation of non-canonical complex topologies, mechanical strength modulation, the design of light harvesting soft materials, fabrication of electrically conducting devices, induced fluorescence, enzymatic catalysis and tissue engineering. In light of these significant advancements in the field of peptide supramolecular co-assembly in the last few years, in this tutorial review, we provide an updated overview and future prospects of this emerging subject.","container-title":"Chemical Society Reviews","DOI":"10.1039/C7CS00827A","ISSN":"1460-4744","issue":"10","journalAbbreviation":"Chem. Soc. Rev.","language":"en","note":"ZSCC: 0000057\ntex.ids: makam_minimalistic_2018-1, makam_minimalistic_2018-2\npublisher: The Royal Society of Chemistry","page":"3406-3420","source":"pubs.rsc.org","title":"Minimalistic peptide supramolecular co-assembly: expanding the conformational space for nanotechnology","title-short":"Minimalistic peptide supramolecular co-assembly","URL":"https://pubs.rsc.org/en/content/articlelanding/2018/cs/c7cs00827a","volume":"47","author":[{"family":"Makam","given":"Pandeeswar"},{"family":"Gazit","given":"Ehud"}],"accessed":{"date-parts":[["2020",5,13]]},"issued":{"date-parts":[["2018",5,21]]},"citation-key":"makamMinimalisticPeptideSupramolecular2018"}}],"schema":"https://github.com/citation-style-language/schema/raw/master/csl-citation.json"} </w:instrText>
      </w:r>
      <w:r w:rsidR="0001450A" w:rsidRPr="0084736C">
        <w:rPr>
          <w:rFonts w:ascii="Arial" w:eastAsia="Times New Roman" w:hAnsi="Arial" w:cs="Arial"/>
          <w:sz w:val="24"/>
          <w:szCs w:val="24"/>
        </w:rPr>
        <w:fldChar w:fldCharType="separate"/>
      </w:r>
      <w:r w:rsidR="000D6853" w:rsidRPr="0084736C">
        <w:rPr>
          <w:rFonts w:ascii="Arial" w:hAnsi="Arial" w:cs="Arial"/>
          <w:sz w:val="24"/>
          <w:szCs w:val="24"/>
          <w:vertAlign w:val="superscript"/>
        </w:rPr>
        <w:t>5</w:t>
      </w:r>
      <w:r w:rsidR="0001450A" w:rsidRPr="0084736C">
        <w:rPr>
          <w:rFonts w:ascii="Arial" w:eastAsia="Times New Roman" w:hAnsi="Arial" w:cs="Arial"/>
          <w:sz w:val="24"/>
          <w:szCs w:val="24"/>
        </w:rPr>
        <w:fldChar w:fldCharType="end"/>
      </w:r>
      <w:r w:rsidR="000264DD" w:rsidRPr="0084736C">
        <w:rPr>
          <w:rFonts w:ascii="Arial" w:eastAsia="Times New Roman" w:hAnsi="Arial" w:cs="Arial"/>
          <w:sz w:val="24"/>
          <w:szCs w:val="24"/>
        </w:rPr>
        <w:t xml:space="preserve"> </w:t>
      </w:r>
      <w:r w:rsidR="00D1509C">
        <w:rPr>
          <w:rFonts w:ascii="Arial" w:eastAsia="Times New Roman" w:hAnsi="Arial" w:cs="Arial"/>
          <w:sz w:val="24"/>
          <w:szCs w:val="24"/>
        </w:rPr>
        <w:t>S</w:t>
      </w:r>
      <w:r w:rsidR="000264DD" w:rsidRPr="0084736C">
        <w:rPr>
          <w:rFonts w:ascii="Arial" w:eastAsia="Times New Roman" w:hAnsi="Arial" w:cs="Arial"/>
          <w:sz w:val="24"/>
          <w:szCs w:val="24"/>
        </w:rPr>
        <w:t xml:space="preserve">ynthetic nanomaterials have been produced using nature as an inspiration by small molecular building blocks. </w:t>
      </w:r>
    </w:p>
    <w:p w14:paraId="1F1DD04B" w14:textId="5F06133B" w:rsidR="00625130" w:rsidRPr="0084736C" w:rsidRDefault="00A40EB3" w:rsidP="00A40EB3">
      <w:pPr>
        <w:spacing w:line="480" w:lineRule="auto"/>
        <w:rPr>
          <w:sz w:val="24"/>
          <w:szCs w:val="24"/>
        </w:rPr>
      </w:pPr>
      <w:r w:rsidRPr="0084736C">
        <w:rPr>
          <w:sz w:val="24"/>
          <w:szCs w:val="24"/>
        </w:rPr>
        <w:t xml:space="preserve">Peptides and peptide derivatives are particularly inspiring building blocks for the design of self-assembled materials due to the potential </w:t>
      </w:r>
      <w:r w:rsidR="00D1509C">
        <w:rPr>
          <w:sz w:val="24"/>
          <w:szCs w:val="24"/>
        </w:rPr>
        <w:t>of</w:t>
      </w:r>
      <w:r w:rsidRPr="0084736C">
        <w:rPr>
          <w:sz w:val="24"/>
          <w:szCs w:val="24"/>
        </w:rPr>
        <w:t xml:space="preserve"> exploit</w:t>
      </w:r>
      <w:r w:rsidR="00D1509C">
        <w:rPr>
          <w:sz w:val="24"/>
          <w:szCs w:val="24"/>
        </w:rPr>
        <w:t>ing</w:t>
      </w:r>
      <w:r w:rsidRPr="0084736C">
        <w:rPr>
          <w:sz w:val="24"/>
          <w:szCs w:val="24"/>
        </w:rPr>
        <w:t xml:space="preserve"> of self-assembly processes in laboratory conditions</w:t>
      </w:r>
      <w:r w:rsidR="00823E6D">
        <w:rPr>
          <w:sz w:val="24"/>
          <w:szCs w:val="24"/>
        </w:rPr>
        <w:t>.</w:t>
      </w:r>
      <w:r w:rsidR="00042DC2">
        <w:rPr>
          <w:sz w:val="24"/>
          <w:szCs w:val="24"/>
        </w:rPr>
        <w:fldChar w:fldCharType="begin"/>
      </w:r>
      <w:r w:rsidR="00D6592B">
        <w:rPr>
          <w:sz w:val="24"/>
          <w:szCs w:val="24"/>
        </w:rPr>
        <w:instrText xml:space="preserve"> ADDIN ZOTERO_ITEM CSL_CITATION {"citationID":"a2n14tlbrjn","properties":{"formattedCitation":"\\super 7\\nosupersub{}","plainCitation":"7","noteIndex":0},"citationItems":[{"id":577,"uris":["http://zotero.org/users/5797676/items/EU7NP7MG"],"itemData":{"id":577,"type":"article-journal","abstract":"Aromatic peptide amphiphiles are gaining popularity as building blocks for the bottom-up fabrication of nanomaterials, including gels. These materials combine the simplicity of small molecules with the versatility of peptides, with a range of applications proposed in biomedicine, nanotechnology, food science, cosmetics, etc. Despite their simplicity, a wide range of self-assembly behaviours have been described. Due to varying conditions and protocols used, care should be taken when attempting to directly compare results from the literature. In this review, we rationalise the structural features which govern the self-assembly of aromatic peptide amphiphiles by focusing on four segments, (i) the N-terminal aromatic component, (ii) linker segment, (iii) peptide sequence, and (iv) C-terminus. It is clear that the molecular structure of these components significantly influences the self-assembly process and resultant supramolecular architectures. A number of modes of assembly have been proposed, including parallel, antiparallel, and interlocked antiparallel stacking conformations. In addition, the co-assembly arrangements of aromatic peptide amphiphiles are reviewed. Overall, this review elucidates the structural trends and design rules that underpin the field of aromatic peptide amphiphile assembly, paving the way to a more rational design of nanomaterials based on aromatic peptide amphiphiles.","container-title":"Chemical Society Reviews","DOI":"10.1039/C4CS00247D","ISSN":"1460-4744","issue":"23","journalAbbreviation":"Chem. Soc. Rev.","language":"en","page":"8150-8177","source":"pubs.rsc.org","title":"Design of nanostructures based on aromatic peptide amphiphiles","URL":"https://pubs.rsc.org/en/content/articlelanding/2014/cs/c4cs00247d","volume":"43","author":[{"family":"Fleming","given":"Scott"},{"family":"Ulijn","given":"Rein V."}],"accessed":{"date-parts":[["2019",8,31]]},"issued":{"date-parts":[["2014",11,3]]},"citation-key":"flemingDesignNanostructuresBased2014"}}],"schema":"https://github.com/citation-style-language/schema/raw/master/csl-citation.json"} </w:instrText>
      </w:r>
      <w:r w:rsidR="00042DC2">
        <w:rPr>
          <w:sz w:val="24"/>
          <w:szCs w:val="24"/>
        </w:rPr>
        <w:fldChar w:fldCharType="separate"/>
      </w:r>
      <w:r w:rsidR="00D6592B" w:rsidRPr="00D6592B">
        <w:rPr>
          <w:rFonts w:ascii="Arial" w:cs="Arial"/>
          <w:sz w:val="24"/>
          <w:vertAlign w:val="superscript"/>
        </w:rPr>
        <w:t>7</w:t>
      </w:r>
      <w:r w:rsidR="00042DC2">
        <w:rPr>
          <w:sz w:val="24"/>
          <w:szCs w:val="24"/>
        </w:rPr>
        <w:fldChar w:fldCharType="end"/>
      </w:r>
      <w:r w:rsidR="00823E6D">
        <w:rPr>
          <w:sz w:val="24"/>
          <w:szCs w:val="24"/>
        </w:rPr>
        <w:t xml:space="preserve"> </w:t>
      </w:r>
      <w:r w:rsidRPr="0084736C">
        <w:rPr>
          <w:sz w:val="24"/>
          <w:szCs w:val="24"/>
        </w:rPr>
        <w:t xml:space="preserve">A specific advantage of synthetic peptides is that they can be generated as exact copies of protein fragments as well as in </w:t>
      </w:r>
      <w:r w:rsidR="00D1509C">
        <w:rPr>
          <w:sz w:val="24"/>
          <w:szCs w:val="24"/>
        </w:rPr>
        <w:t>various</w:t>
      </w:r>
      <w:r w:rsidRPr="0084736C">
        <w:rPr>
          <w:sz w:val="24"/>
          <w:szCs w:val="24"/>
        </w:rPr>
        <w:t xml:space="preserve"> chemical modifications, which can include the incorporation of a</w:t>
      </w:r>
      <w:r w:rsidR="00D1509C">
        <w:rPr>
          <w:sz w:val="24"/>
          <w:szCs w:val="24"/>
        </w:rPr>
        <w:t>n</w:t>
      </w:r>
      <w:r w:rsidRPr="0084736C">
        <w:rPr>
          <w:sz w:val="24"/>
          <w:szCs w:val="24"/>
        </w:rPr>
        <w:t xml:space="preserve"> </w:t>
      </w:r>
      <w:r w:rsidR="00D1509C">
        <w:rPr>
          <w:sz w:val="24"/>
          <w:szCs w:val="24"/>
        </w:rPr>
        <w:t>extensive</w:t>
      </w:r>
      <w:r w:rsidRPr="0084736C">
        <w:rPr>
          <w:sz w:val="24"/>
          <w:szCs w:val="24"/>
        </w:rPr>
        <w:t xml:space="preserve"> range of non-proteinogenic amino acids, as well as the modification of the peptide backbone.</w:t>
      </w:r>
      <w:r w:rsidR="00D1509C">
        <w:rPr>
          <w:sz w:val="24"/>
          <w:szCs w:val="24"/>
        </w:rPr>
        <w:t xml:space="preserve"> </w:t>
      </w:r>
      <w:r w:rsidRPr="0084736C">
        <w:rPr>
          <w:sz w:val="24"/>
          <w:szCs w:val="24"/>
        </w:rPr>
        <w:t xml:space="preserve">Furthermore, peptide-based materials offer a variety of </w:t>
      </w:r>
      <w:r w:rsidR="00625130" w:rsidRPr="0084736C">
        <w:rPr>
          <w:sz w:val="24"/>
          <w:szCs w:val="24"/>
        </w:rPr>
        <w:t xml:space="preserve">amino acid </w:t>
      </w:r>
      <w:r w:rsidRPr="0084736C">
        <w:rPr>
          <w:sz w:val="24"/>
          <w:szCs w:val="24"/>
        </w:rPr>
        <w:t xml:space="preserve">side chains (unlike what is currently possible with synthetic polymers) </w:t>
      </w:r>
      <w:r w:rsidR="00625130" w:rsidRPr="0084736C">
        <w:rPr>
          <w:sz w:val="24"/>
          <w:szCs w:val="24"/>
        </w:rPr>
        <w:t xml:space="preserve">which are responsible for determining the structure, physicochemical </w:t>
      </w:r>
      <w:r w:rsidR="00E47C3A" w:rsidRPr="0084736C">
        <w:rPr>
          <w:sz w:val="24"/>
          <w:szCs w:val="24"/>
        </w:rPr>
        <w:t>characteristics,</w:t>
      </w:r>
      <w:r w:rsidR="00625130" w:rsidRPr="0084736C">
        <w:rPr>
          <w:sz w:val="24"/>
          <w:szCs w:val="24"/>
        </w:rPr>
        <w:t xml:space="preserve"> and biological functions</w:t>
      </w:r>
      <w:r w:rsidR="00042DC2">
        <w:rPr>
          <w:sz w:val="24"/>
          <w:szCs w:val="24"/>
        </w:rPr>
        <w:t>.</w:t>
      </w:r>
    </w:p>
    <w:p w14:paraId="5730C4B0" w14:textId="621E968C" w:rsidR="00FB6D75" w:rsidRPr="0084736C" w:rsidRDefault="00FB6D75">
      <w:pPr>
        <w:pStyle w:val="Heading2"/>
        <w:numPr>
          <w:ilvl w:val="1"/>
          <w:numId w:val="1"/>
        </w:numPr>
        <w:rPr>
          <w:sz w:val="24"/>
          <w:szCs w:val="24"/>
        </w:rPr>
      </w:pPr>
      <w:bookmarkStart w:id="4" w:name="_Toc114946689"/>
      <w:bookmarkStart w:id="5" w:name="_Toc121134610"/>
      <w:r w:rsidRPr="0084736C">
        <w:rPr>
          <w:sz w:val="24"/>
          <w:szCs w:val="24"/>
        </w:rPr>
        <w:t>Protein Mim</w:t>
      </w:r>
      <w:r w:rsidR="00981E22" w:rsidRPr="0084736C">
        <w:rPr>
          <w:sz w:val="24"/>
          <w:szCs w:val="24"/>
        </w:rPr>
        <w:t xml:space="preserve">etic </w:t>
      </w:r>
      <w:r w:rsidR="00F130FF" w:rsidRPr="0084736C">
        <w:rPr>
          <w:sz w:val="24"/>
          <w:szCs w:val="24"/>
        </w:rPr>
        <w:t>P</w:t>
      </w:r>
      <w:r w:rsidR="00981E22" w:rsidRPr="0084736C">
        <w:rPr>
          <w:sz w:val="24"/>
          <w:szCs w:val="24"/>
        </w:rPr>
        <w:t>eptides</w:t>
      </w:r>
      <w:r w:rsidRPr="0084736C">
        <w:rPr>
          <w:sz w:val="24"/>
          <w:szCs w:val="24"/>
        </w:rPr>
        <w:t xml:space="preserve"> for Bio-material Design</w:t>
      </w:r>
      <w:bookmarkEnd w:id="4"/>
      <w:bookmarkEnd w:id="5"/>
    </w:p>
    <w:p w14:paraId="04F68695" w14:textId="77777777" w:rsidR="00FB6D75" w:rsidRPr="0084736C" w:rsidRDefault="00FB6D75" w:rsidP="00FB6D75">
      <w:pPr>
        <w:rPr>
          <w:sz w:val="24"/>
          <w:szCs w:val="24"/>
        </w:rPr>
      </w:pPr>
    </w:p>
    <w:p w14:paraId="0095B22A" w14:textId="00110BA9" w:rsidR="00FB6D75" w:rsidRPr="0084736C" w:rsidRDefault="00FB6D75" w:rsidP="00FB6D75">
      <w:pPr>
        <w:spacing w:line="480" w:lineRule="auto"/>
        <w:rPr>
          <w:rFonts w:ascii="Arial" w:hAnsi="Arial" w:cs="Arial"/>
          <w:sz w:val="24"/>
          <w:szCs w:val="24"/>
        </w:rPr>
      </w:pPr>
      <w:r w:rsidRPr="0084736C">
        <w:rPr>
          <w:rFonts w:ascii="Arial" w:hAnsi="Arial" w:cs="Arial"/>
          <w:sz w:val="24"/>
          <w:szCs w:val="24"/>
        </w:rPr>
        <w:t xml:space="preserve">Proteins are the primary functional molecules in </w:t>
      </w:r>
      <w:r w:rsidR="003618C9" w:rsidRPr="0084736C">
        <w:rPr>
          <w:rFonts w:ascii="Arial" w:hAnsi="Arial" w:cs="Arial"/>
          <w:sz w:val="24"/>
          <w:szCs w:val="24"/>
        </w:rPr>
        <w:t>organism</w:t>
      </w:r>
      <w:r w:rsidR="00D1509C">
        <w:rPr>
          <w:rFonts w:ascii="Arial" w:hAnsi="Arial" w:cs="Arial"/>
          <w:sz w:val="24"/>
          <w:szCs w:val="24"/>
        </w:rPr>
        <w:t>s</w:t>
      </w:r>
      <w:r w:rsidRPr="0084736C">
        <w:rPr>
          <w:rFonts w:ascii="Arial" w:hAnsi="Arial" w:cs="Arial"/>
          <w:sz w:val="24"/>
          <w:szCs w:val="24"/>
        </w:rPr>
        <w:t>. They carry out a variety of tasks, such as acting as enzymes, hormones, membrane channels, extracellular matrix (ECM), and participating in cell signaling mechanisms.</w:t>
      </w:r>
      <w:r w:rsidRPr="0084736C">
        <w:rPr>
          <w:rFonts w:ascii="Arial" w:hAnsi="Arial" w:cs="Arial"/>
          <w:sz w:val="24"/>
          <w:szCs w:val="24"/>
        </w:rPr>
        <w:fldChar w:fldCharType="begin"/>
      </w:r>
      <w:r w:rsidR="001F4ED3">
        <w:rPr>
          <w:rFonts w:ascii="Arial" w:hAnsi="Arial" w:cs="Arial"/>
          <w:sz w:val="24"/>
          <w:szCs w:val="24"/>
        </w:rPr>
        <w:instrText xml:space="preserve"> ADDIN ZOTERO_ITEM CSL_CITATION {"citationID":"KZqW653A","properties":{"formattedCitation":"\\super 12\\nosupersub{}","plainCitation":"12","noteIndex":0},"citationItems":[{"id":516,"uris":["http://zotero.org/users/5797676/items/VF3PEYDH"],"itemData":{"id":516,"type":"article-journal","abstract":"The design and generation of molecules capable of mimicking the binding and/or functional sites of proteins represents a promising strategy for the exploration and modulation of protein function through controlled interference with the underlying molecular interactions. Synthetic peptides have proven an excellent type of molecule for the mimicry of protein sites because such peptides can be generated as exact copies of protein fragments, as well as in diverse chemical modifications, which includes the incorporation of a large range of non-proteinogenic amino acids as well as the modification of the peptide backbone. Apart from extending the chemical and structural diversity presented by peptides, such modifications also increase the proteolytic stability of the molecules, enhancing their utility for biological applications. This article reviews recent advances by this and other laboratories in the use of synthetic protein mimics to modulate protein function, as well as to provide building blocks for synthetic biology.","container-title":"Frontiers in Bioengineering and Biotechnology","DOI":"10.3389/fbioe.2015.00211","ISSN":"2296-4185","journalAbbreviation":"Front Bioeng Biotechnol","note":"PMID: 26835447\nPMCID: PMC4717299","source":"PubMed Central","title":"Synthetic Peptides as Protein Mimics","URL":"https://www.ncbi.nlm.nih.gov/pmc/articles/PMC4717299/","volume":"3","author":[{"family":"Groß","given":"Andrea"},{"family":"Hashimoto","given":"Chie"},{"family":"Sticht","given":"Heinrich"},{"family":"Eichler","given":"Jutta"}],"accessed":{"date-parts":[["2019",10,4]]},"issued":{"date-parts":[["2016",1,19]]},"citation-key":"grossSyntheticPeptidesProtein2016"}}],"schema":"https://github.com/citation-style-language/schema/raw/master/csl-citation.json"} </w:instrText>
      </w:r>
      <w:r w:rsidRPr="0084736C">
        <w:rPr>
          <w:rFonts w:ascii="Arial" w:hAnsi="Arial" w:cs="Arial"/>
          <w:sz w:val="24"/>
          <w:szCs w:val="24"/>
        </w:rPr>
        <w:fldChar w:fldCharType="separate"/>
      </w:r>
      <w:r w:rsidR="001F4ED3" w:rsidRPr="001F4ED3">
        <w:rPr>
          <w:rFonts w:ascii="Arial" w:hAnsi="Arial" w:cs="Arial"/>
          <w:sz w:val="24"/>
          <w:vertAlign w:val="superscript"/>
        </w:rPr>
        <w:t>12</w:t>
      </w:r>
      <w:r w:rsidRPr="0084736C">
        <w:rPr>
          <w:rFonts w:ascii="Arial" w:hAnsi="Arial" w:cs="Arial"/>
          <w:sz w:val="24"/>
          <w:szCs w:val="24"/>
        </w:rPr>
        <w:fldChar w:fldCharType="end"/>
      </w:r>
      <w:r w:rsidRPr="0084736C">
        <w:rPr>
          <w:rFonts w:ascii="Arial" w:hAnsi="Arial" w:cs="Arial"/>
          <w:sz w:val="24"/>
          <w:szCs w:val="24"/>
        </w:rPr>
        <w:t xml:space="preserve"> </w:t>
      </w:r>
      <w:r w:rsidRPr="0084736C">
        <w:rPr>
          <w:sz w:val="24"/>
          <w:szCs w:val="24"/>
        </w:rPr>
        <w:t>ECM acts as structural support and includes a wide range of polysaccharide chains and fibrous proteins such as laminin, fibronectin, elastin and collagen</w:t>
      </w:r>
      <w:r w:rsidR="00D1509C">
        <w:rPr>
          <w:sz w:val="24"/>
          <w:szCs w:val="24"/>
        </w:rPr>
        <w:t>,</w:t>
      </w:r>
      <w:r w:rsidRPr="0084736C">
        <w:rPr>
          <w:sz w:val="24"/>
          <w:szCs w:val="24"/>
        </w:rPr>
        <w:t xml:space="preserve"> offering the biochemical and biomechanical cues for cells to proliferate, differentiate and migrate.</w:t>
      </w:r>
      <w:r w:rsidRPr="0084736C">
        <w:rPr>
          <w:sz w:val="24"/>
          <w:szCs w:val="24"/>
        </w:rPr>
        <w:fldChar w:fldCharType="begin"/>
      </w:r>
      <w:r w:rsidR="001F4ED3">
        <w:rPr>
          <w:sz w:val="24"/>
          <w:szCs w:val="24"/>
        </w:rPr>
        <w:instrText xml:space="preserve"> ADDIN ZOTERO_ITEM CSL_CITATION {"citationID":"kLeab5W4","properties":{"formattedCitation":"\\super 13\\nosupersub{}","plainCitation":"13","noteIndex":0},"citationItems":[{"id":468,"uris":["http://zotero.org/users/5797676/items/LKTB2KQG"],"itemData":{"id":468,"type":"article-journal","abstract":"![Figure][1]&lt;/img&gt;\n\nThe extracellular matrix (ECM) is the non-cellular component present within all tissues and organs, and provides not only essential physical scaffolding for the cellular constituents but also initiates crucial biochemical and biomechanical cues that are required for tissue","container-title":"Journal of Cell Science","DOI":"10.1242/jcs.023820","ISSN":"0021-9533, 1477-9137","issue":"24","journalAbbreviation":"J Cell Sci","language":"en","license":"© 2010.","note":"PMID: 21123617","page":"4195-4200","source":"jcs.biologists.org","title":"The extracellular matrix at a glance","URL":"https://jcs.biologists.org/content/123/24/4195","volume":"123","author":[{"family":"Frantz","given":"Christian"},{"family":"Stewart","given":"Kathleen M."},{"family":"Weaver","given":"Valerie M."}],"accessed":{"date-parts":[["2019",10,10]]},"issued":{"date-parts":[["2010",12,15]]},"citation-key":"frantzExtracellularMatrixGlance2010"}}],"schema":"https://github.com/citation-style-language/schema/raw/master/csl-citation.json"} </w:instrText>
      </w:r>
      <w:r w:rsidRPr="0084736C">
        <w:rPr>
          <w:sz w:val="24"/>
          <w:szCs w:val="24"/>
        </w:rPr>
        <w:fldChar w:fldCharType="separate"/>
      </w:r>
      <w:r w:rsidR="001F4ED3" w:rsidRPr="001F4ED3">
        <w:rPr>
          <w:rFonts w:ascii="Arial" w:cs="Arial"/>
          <w:sz w:val="24"/>
          <w:vertAlign w:val="superscript"/>
        </w:rPr>
        <w:t>13</w:t>
      </w:r>
      <w:r w:rsidRPr="0084736C">
        <w:rPr>
          <w:sz w:val="24"/>
          <w:szCs w:val="24"/>
        </w:rPr>
        <w:fldChar w:fldCharType="end"/>
      </w:r>
      <w:r w:rsidRPr="0084736C">
        <w:rPr>
          <w:sz w:val="24"/>
          <w:szCs w:val="24"/>
        </w:rPr>
        <w:t xml:space="preserve"> </w:t>
      </w:r>
      <w:r w:rsidRPr="0084736C">
        <w:rPr>
          <w:rFonts w:ascii="Arial" w:hAnsi="Arial" w:cs="Arial"/>
          <w:sz w:val="24"/>
          <w:szCs w:val="24"/>
        </w:rPr>
        <w:t xml:space="preserve">The fundamental concept that allowed evolution to use this class of molecules for a diverse range of functions is that proteins </w:t>
      </w:r>
      <w:r w:rsidRPr="0084736C">
        <w:rPr>
          <w:rFonts w:ascii="Arial" w:hAnsi="Arial" w:cs="Arial"/>
          <w:sz w:val="24"/>
          <w:szCs w:val="24"/>
        </w:rPr>
        <w:lastRenderedPageBreak/>
        <w:t>are biopolymers made from an infinite number of different building blocks, amino acids.</w:t>
      </w:r>
      <w:r w:rsidRPr="0084736C">
        <w:rPr>
          <w:rFonts w:ascii="Arial" w:hAnsi="Arial" w:cs="Arial"/>
          <w:sz w:val="24"/>
          <w:szCs w:val="24"/>
        </w:rPr>
        <w:fldChar w:fldCharType="begin"/>
      </w:r>
      <w:r w:rsidR="001F4ED3">
        <w:rPr>
          <w:rFonts w:ascii="Arial" w:hAnsi="Arial" w:cs="Arial"/>
          <w:sz w:val="24"/>
          <w:szCs w:val="24"/>
        </w:rPr>
        <w:instrText xml:space="preserve"> ADDIN ZOTERO_ITEM CSL_CITATION {"citationID":"mIFElJIH","properties":{"formattedCitation":"\\super 14\\nosupersub{}","plainCitation":"14","noteIndex":0},"citationItems":[{"id":3572,"uris":["http://zotero.org/groups/2667333/items/47XN9NFH"],"itemData":{"id":3572,"type":"article-journal","abstract":"The formation of ordered nanostructures by molecular self-assembly of proteins and peptides represents one of the principal directions in nanotechnology. Indeed, polyamides provide superior features as materials with diverse physical properties. A reductionist approach allowed the identiﬁcation of extremely short peptide sequences, as short as dipeptides, which could form well-ordered amyloid-like β-sheet-rich assemblies comparable to supramolecular structures made of much larger proteins. Some of the peptide assemblies show remarkable mechanical, optical, and electrical characteristics. Another direction of reductionism utilized a natural noncoded amino acid, α-aminoisobutryic acid, to form short superhelical assemblies. The use of this exceptional helix inducer motif allowed the fabrication of single heptad repeats used in various biointerfaces, including their use as surfactants and DNA-binding agents. Two additional directions of the reductionist approach include the use of peptide nucleic acids (PNAs) and coassembly techniques. The diversiﬁed accomplishments of the reductionist approach, as well as the exciting future advances it bears, are discussed.","container-title":"Annual Review of Biochemistry","DOI":"10.1146/annurev-biochem-062917-012541","ISSN":"0066-4154, 1545-4509","issue":"1","journalAbbreviation":"Annu. Rev. Biochem.","language":"en","page":"533-553","source":"DOI.org (Crossref)","title":"Reductionist Approach in Peptide-Based Nanotechnology","URL":"https://www.annualreviews.org/doi/10.1146/annurev-biochem-062917-012541","volume":"87","author":[{"family":"Gazit","given":"Ehud"}],"accessed":{"date-parts":[["2020",12,23]]},"issued":{"date-parts":[["2018",6,20]]},"citation-key":"gazitReductionistApproachPeptideBased2018"}}],"schema":"https://github.com/citation-style-language/schema/raw/master/csl-citation.json"} </w:instrText>
      </w:r>
      <w:r w:rsidRPr="0084736C">
        <w:rPr>
          <w:rFonts w:ascii="Arial" w:hAnsi="Arial" w:cs="Arial"/>
          <w:sz w:val="24"/>
          <w:szCs w:val="24"/>
        </w:rPr>
        <w:fldChar w:fldCharType="separate"/>
      </w:r>
      <w:r w:rsidR="001F4ED3" w:rsidRPr="001F4ED3">
        <w:rPr>
          <w:rFonts w:ascii="Arial" w:hAnsi="Arial" w:cs="Arial"/>
          <w:sz w:val="24"/>
          <w:vertAlign w:val="superscript"/>
        </w:rPr>
        <w:t>14</w:t>
      </w:r>
      <w:r w:rsidRPr="0084736C">
        <w:rPr>
          <w:rFonts w:ascii="Arial" w:hAnsi="Arial" w:cs="Arial"/>
          <w:sz w:val="24"/>
          <w:szCs w:val="24"/>
        </w:rPr>
        <w:fldChar w:fldCharType="end"/>
      </w:r>
      <w:r w:rsidRPr="0084736C">
        <w:rPr>
          <w:rFonts w:ascii="Arial" w:hAnsi="Arial" w:cs="Arial"/>
          <w:sz w:val="24"/>
          <w:szCs w:val="24"/>
        </w:rPr>
        <w:t xml:space="preserve"> The linear arrangement of the amino acids determines all the protein's characteristics</w:t>
      </w:r>
      <w:r w:rsidR="00D1509C">
        <w:rPr>
          <w:rFonts w:ascii="Arial" w:hAnsi="Arial" w:cs="Arial"/>
          <w:sz w:val="24"/>
          <w:szCs w:val="24"/>
        </w:rPr>
        <w:t xml:space="preserve">. Still, </w:t>
      </w:r>
      <w:r w:rsidRPr="0084736C">
        <w:rPr>
          <w:rFonts w:ascii="Arial" w:hAnsi="Arial" w:cs="Arial"/>
          <w:sz w:val="24"/>
          <w:szCs w:val="24"/>
        </w:rPr>
        <w:t>most proteins must fold into a highly specific three-dimensional to carry out their intended function in the organism, limit</w:t>
      </w:r>
      <w:r w:rsidR="00D1509C">
        <w:rPr>
          <w:rFonts w:ascii="Arial" w:hAnsi="Arial" w:cs="Arial"/>
          <w:sz w:val="24"/>
          <w:szCs w:val="24"/>
        </w:rPr>
        <w:t>ing</w:t>
      </w:r>
      <w:r w:rsidRPr="0084736C">
        <w:rPr>
          <w:rFonts w:ascii="Arial" w:hAnsi="Arial" w:cs="Arial"/>
          <w:sz w:val="24"/>
          <w:szCs w:val="24"/>
        </w:rPr>
        <w:t xml:space="preserve"> the use of proteins as a biomaterial. The other factors </w:t>
      </w:r>
      <w:r w:rsidR="00D1509C">
        <w:rPr>
          <w:rFonts w:ascii="Arial" w:hAnsi="Arial" w:cs="Arial"/>
          <w:sz w:val="24"/>
          <w:szCs w:val="24"/>
        </w:rPr>
        <w:t>limiting</w:t>
      </w:r>
      <w:r w:rsidRPr="0084736C">
        <w:rPr>
          <w:rFonts w:ascii="Arial" w:hAnsi="Arial" w:cs="Arial"/>
          <w:sz w:val="24"/>
          <w:szCs w:val="24"/>
        </w:rPr>
        <w:t xml:space="preserve"> the usefulness of protein as a biomaterial design </w:t>
      </w:r>
      <w:r w:rsidR="00D1509C">
        <w:rPr>
          <w:rFonts w:ascii="Arial" w:hAnsi="Arial" w:cs="Arial"/>
          <w:sz w:val="24"/>
          <w:szCs w:val="24"/>
        </w:rPr>
        <w:t xml:space="preserve">are the </w:t>
      </w:r>
      <w:r w:rsidRPr="0084736C">
        <w:rPr>
          <w:rFonts w:ascii="Arial" w:hAnsi="Arial" w:cs="Arial"/>
          <w:sz w:val="24"/>
          <w:szCs w:val="24"/>
        </w:rPr>
        <w:t xml:space="preserve">complexity </w:t>
      </w:r>
      <w:r w:rsidR="00D1509C">
        <w:rPr>
          <w:rFonts w:ascii="Arial" w:hAnsi="Arial" w:cs="Arial"/>
          <w:sz w:val="24"/>
          <w:szCs w:val="24"/>
        </w:rPr>
        <w:t>of</w:t>
      </w:r>
      <w:r w:rsidRPr="0084736C">
        <w:rPr>
          <w:rFonts w:ascii="Arial" w:hAnsi="Arial" w:cs="Arial"/>
          <w:sz w:val="24"/>
          <w:szCs w:val="24"/>
        </w:rPr>
        <w:t xml:space="preserve"> preparation, instability, cost</w:t>
      </w:r>
      <w:r w:rsidR="00D1509C">
        <w:rPr>
          <w:rFonts w:ascii="Arial" w:hAnsi="Arial" w:cs="Arial"/>
          <w:sz w:val="24"/>
          <w:szCs w:val="24"/>
        </w:rPr>
        <w:t xml:space="preserve">, </w:t>
      </w:r>
      <w:r w:rsidRPr="0084736C">
        <w:rPr>
          <w:rFonts w:ascii="Arial" w:hAnsi="Arial" w:cs="Arial"/>
          <w:sz w:val="24"/>
          <w:szCs w:val="24"/>
        </w:rPr>
        <w:t>and batch</w:t>
      </w:r>
      <w:r w:rsidR="00D1509C">
        <w:rPr>
          <w:rFonts w:ascii="Arial" w:hAnsi="Arial" w:cs="Arial"/>
          <w:sz w:val="24"/>
          <w:szCs w:val="24"/>
        </w:rPr>
        <w:t>-t</w:t>
      </w:r>
      <w:r w:rsidRPr="0084736C">
        <w:rPr>
          <w:rFonts w:ascii="Arial" w:hAnsi="Arial" w:cs="Arial"/>
          <w:sz w:val="24"/>
          <w:szCs w:val="24"/>
        </w:rPr>
        <w:t>o</w:t>
      </w:r>
      <w:r w:rsidR="00D1509C">
        <w:rPr>
          <w:rFonts w:ascii="Arial" w:hAnsi="Arial" w:cs="Arial"/>
          <w:sz w:val="24"/>
          <w:szCs w:val="24"/>
        </w:rPr>
        <w:t>-</w:t>
      </w:r>
      <w:r w:rsidRPr="0084736C">
        <w:rPr>
          <w:rFonts w:ascii="Arial" w:hAnsi="Arial" w:cs="Arial"/>
          <w:sz w:val="24"/>
          <w:szCs w:val="24"/>
        </w:rPr>
        <w:t>batch variation.</w:t>
      </w:r>
      <w:r w:rsidRPr="0084736C">
        <w:rPr>
          <w:rFonts w:ascii="Arial" w:hAnsi="Arial" w:cs="Arial"/>
          <w:sz w:val="24"/>
          <w:szCs w:val="24"/>
        </w:rPr>
        <w:fldChar w:fldCharType="begin"/>
      </w:r>
      <w:r w:rsidR="001F4ED3">
        <w:rPr>
          <w:rFonts w:ascii="Arial" w:hAnsi="Arial" w:cs="Arial"/>
          <w:sz w:val="24"/>
          <w:szCs w:val="24"/>
        </w:rPr>
        <w:instrText xml:space="preserve"> ADDIN ZOTERO_ITEM CSL_CITATION {"citationID":"a2h9v8ms1d9","properties":{"formattedCitation":"\\super 14\\nosupersub{}","plainCitation":"14","noteIndex":0},"citationItems":[{"id":3572,"uris":["http://zotero.org/groups/2667333/items/47XN9NFH"],"itemData":{"id":3572,"type":"article-journal","abstract":"The formation of ordered nanostructures by molecular self-assembly of proteins and peptides represents one of the principal directions in nanotechnology. Indeed, polyamides provide superior features as materials with diverse physical properties. A reductionist approach allowed the identiﬁcation of extremely short peptide sequences, as short as dipeptides, which could form well-ordered amyloid-like β-sheet-rich assemblies comparable to supramolecular structures made of much larger proteins. Some of the peptide assemblies show remarkable mechanical, optical, and electrical characteristics. Another direction of reductionism utilized a natural noncoded amino acid, α-aminoisobutryic acid, to form short superhelical assemblies. The use of this exceptional helix inducer motif allowed the fabrication of single heptad repeats used in various biointerfaces, including their use as surfactants and DNA-binding agents. Two additional directions of the reductionist approach include the use of peptide nucleic acids (PNAs) and coassembly techniques. The diversiﬁed accomplishments of the reductionist approach, as well as the exciting future advances it bears, are discussed.","container-title":"Annual Review of Biochemistry","DOI":"10.1146/annurev-biochem-062917-012541","ISSN":"0066-4154, 1545-4509","issue":"1","journalAbbreviation":"Annu. Rev. Biochem.","language":"en","page":"533-553","source":"DOI.org (Crossref)","title":"Reductionist Approach in Peptide-Based Nanotechnology","URL":"https://www.annualreviews.org/doi/10.1146/annurev-biochem-062917-012541","volume":"87","author":[{"family":"Gazit","given":"Ehud"}],"accessed":{"date-parts":[["2020",12,23]]},"issued":{"date-parts":[["2018",6,20]]},"citation-key":"gazitReductionistApproachPeptideBased2018"}}],"schema":"https://github.com/citation-style-language/schema/raw/master/csl-citation.json"} </w:instrText>
      </w:r>
      <w:r w:rsidRPr="0084736C">
        <w:rPr>
          <w:rFonts w:ascii="Arial" w:hAnsi="Arial" w:cs="Arial"/>
          <w:sz w:val="24"/>
          <w:szCs w:val="24"/>
        </w:rPr>
        <w:fldChar w:fldCharType="separate"/>
      </w:r>
      <w:r w:rsidR="001F4ED3" w:rsidRPr="001F4ED3">
        <w:rPr>
          <w:rFonts w:ascii="Arial" w:hAnsi="Arial" w:cs="Arial"/>
          <w:sz w:val="24"/>
          <w:vertAlign w:val="superscript"/>
        </w:rPr>
        <w:t>14</w:t>
      </w:r>
      <w:r w:rsidRPr="0084736C">
        <w:rPr>
          <w:rFonts w:ascii="Arial" w:hAnsi="Arial" w:cs="Arial"/>
          <w:sz w:val="24"/>
          <w:szCs w:val="24"/>
        </w:rPr>
        <w:fldChar w:fldCharType="end"/>
      </w:r>
      <w:r w:rsidRPr="0084736C">
        <w:rPr>
          <w:rFonts w:ascii="Arial" w:hAnsi="Arial" w:cs="Arial"/>
          <w:sz w:val="24"/>
          <w:szCs w:val="24"/>
        </w:rPr>
        <w:t xml:space="preserve"> Therefore, instead of using a large protein, a reductionist approach known as a minimalistic design enables the identification of short peptide sequences that can organize themselves into well-ordered assemble</w:t>
      </w:r>
      <w:r w:rsidR="00D1509C">
        <w:rPr>
          <w:rFonts w:ascii="Arial" w:hAnsi="Arial" w:cs="Arial"/>
          <w:sz w:val="24"/>
          <w:szCs w:val="24"/>
        </w:rPr>
        <w:t>s</w:t>
      </w:r>
      <w:r w:rsidRPr="0084736C">
        <w:rPr>
          <w:rFonts w:ascii="Arial" w:hAnsi="Arial" w:cs="Arial"/>
          <w:sz w:val="24"/>
          <w:szCs w:val="24"/>
        </w:rPr>
        <w:t xml:space="preserve"> similar to those found in larger proteins. </w:t>
      </w:r>
    </w:p>
    <w:p w14:paraId="79B6EF9E" w14:textId="61BF7063" w:rsidR="00981E22" w:rsidRPr="0084736C" w:rsidRDefault="00981E22">
      <w:pPr>
        <w:pStyle w:val="Heading3"/>
        <w:numPr>
          <w:ilvl w:val="2"/>
          <w:numId w:val="2"/>
        </w:numPr>
        <w:rPr>
          <w:rFonts w:eastAsia="Times New Roman"/>
        </w:rPr>
      </w:pPr>
      <w:bookmarkStart w:id="6" w:name="_Toc114946690"/>
      <w:bookmarkStart w:id="7" w:name="_Toc121134611"/>
      <w:r w:rsidRPr="0084736C">
        <w:rPr>
          <w:rFonts w:eastAsia="Times New Roman"/>
        </w:rPr>
        <w:t xml:space="preserve">Peptides are </w:t>
      </w:r>
      <w:r w:rsidR="004367B3">
        <w:rPr>
          <w:rFonts w:eastAsia="Times New Roman"/>
        </w:rPr>
        <w:t>C</w:t>
      </w:r>
      <w:r w:rsidRPr="0084736C">
        <w:rPr>
          <w:rFonts w:eastAsia="Times New Roman"/>
        </w:rPr>
        <w:t xml:space="preserve">omposed of </w:t>
      </w:r>
      <w:r w:rsidR="004367B3">
        <w:rPr>
          <w:rFonts w:eastAsia="Times New Roman"/>
        </w:rPr>
        <w:t>A</w:t>
      </w:r>
      <w:r w:rsidRPr="0084736C">
        <w:rPr>
          <w:rFonts w:eastAsia="Times New Roman"/>
        </w:rPr>
        <w:t xml:space="preserve">mino </w:t>
      </w:r>
      <w:r w:rsidR="004367B3">
        <w:rPr>
          <w:rFonts w:eastAsia="Times New Roman"/>
        </w:rPr>
        <w:t>A</w:t>
      </w:r>
      <w:r w:rsidRPr="0084736C">
        <w:rPr>
          <w:rFonts w:eastAsia="Times New Roman"/>
        </w:rPr>
        <w:t>cids</w:t>
      </w:r>
      <w:bookmarkEnd w:id="6"/>
      <w:bookmarkEnd w:id="7"/>
    </w:p>
    <w:p w14:paraId="5A9ADC0F" w14:textId="77777777" w:rsidR="00981E22" w:rsidRPr="0084736C" w:rsidRDefault="00981E22" w:rsidP="00981E22">
      <w:pPr>
        <w:rPr>
          <w:sz w:val="24"/>
          <w:szCs w:val="24"/>
        </w:rPr>
      </w:pPr>
    </w:p>
    <w:p w14:paraId="0924499D" w14:textId="4D55FB6F" w:rsidR="00FB6D75" w:rsidRPr="0084736C" w:rsidRDefault="00981E22" w:rsidP="00A40EB3">
      <w:pPr>
        <w:spacing w:line="480" w:lineRule="auto"/>
        <w:rPr>
          <w:rFonts w:cstheme="minorHAnsi"/>
          <w:color w:val="000000" w:themeColor="text1"/>
          <w:sz w:val="24"/>
          <w:szCs w:val="24"/>
        </w:rPr>
      </w:pPr>
      <w:r w:rsidRPr="0084736C">
        <w:rPr>
          <w:rFonts w:cstheme="minorHAnsi"/>
          <w:color w:val="000000" w:themeColor="text1"/>
          <w:sz w:val="24"/>
          <w:szCs w:val="24"/>
          <w:shd w:val="clear" w:color="auto" w:fill="FFFFFF"/>
        </w:rPr>
        <w:t xml:space="preserve">Peptides are composed of amino acids, which </w:t>
      </w:r>
      <w:r w:rsidR="00AC29A2">
        <w:rPr>
          <w:rFonts w:cstheme="minorHAnsi"/>
          <w:color w:val="000000" w:themeColor="text1"/>
          <w:sz w:val="24"/>
          <w:szCs w:val="24"/>
          <w:shd w:val="clear" w:color="auto" w:fill="FFFFFF"/>
        </w:rPr>
        <w:t>is</w:t>
      </w:r>
      <w:r w:rsidRPr="0084736C">
        <w:rPr>
          <w:rFonts w:cstheme="minorHAnsi"/>
          <w:color w:val="000000" w:themeColor="text1"/>
          <w:sz w:val="24"/>
          <w:szCs w:val="24"/>
          <w:shd w:val="clear" w:color="auto" w:fill="FFFFFF"/>
        </w:rPr>
        <w:t xml:space="preserve"> consist of an alpha carbon atom, an amino group (</w:t>
      </w:r>
      <w:r w:rsidR="00AC29A2">
        <w:rPr>
          <w:rFonts w:cstheme="minorHAnsi"/>
          <w:color w:val="000000" w:themeColor="text1"/>
          <w:sz w:val="24"/>
          <w:szCs w:val="24"/>
          <w:shd w:val="clear" w:color="auto" w:fill="FFFFFF"/>
        </w:rPr>
        <w:t>-</w:t>
      </w:r>
      <w:r w:rsidRPr="0084736C">
        <w:rPr>
          <w:rFonts w:cstheme="minorHAnsi"/>
          <w:color w:val="000000" w:themeColor="text1"/>
          <w:sz w:val="24"/>
          <w:szCs w:val="24"/>
          <w:shd w:val="clear" w:color="auto" w:fill="FFFFFF"/>
        </w:rPr>
        <w:t>NH</w:t>
      </w:r>
      <w:r w:rsidRPr="009B08B1">
        <w:rPr>
          <w:rFonts w:cstheme="minorHAnsi"/>
          <w:color w:val="000000" w:themeColor="text1"/>
          <w:sz w:val="24"/>
          <w:szCs w:val="24"/>
          <w:shd w:val="clear" w:color="auto" w:fill="FFFFFF"/>
          <w:vertAlign w:val="subscript"/>
        </w:rPr>
        <w:t>2</w:t>
      </w:r>
      <w:r w:rsidRPr="0084736C">
        <w:rPr>
          <w:rFonts w:cstheme="minorHAnsi"/>
          <w:color w:val="000000" w:themeColor="text1"/>
          <w:sz w:val="24"/>
          <w:szCs w:val="24"/>
          <w:shd w:val="clear" w:color="auto" w:fill="FFFFFF"/>
        </w:rPr>
        <w:t>), a hydrogen atom (H), a carboxy group (</w:t>
      </w:r>
      <w:r w:rsidR="00AC29A2">
        <w:rPr>
          <w:rFonts w:cstheme="minorHAnsi"/>
          <w:color w:val="000000" w:themeColor="text1"/>
          <w:sz w:val="24"/>
          <w:szCs w:val="24"/>
          <w:shd w:val="clear" w:color="auto" w:fill="FFFFFF"/>
        </w:rPr>
        <w:t>-</w:t>
      </w:r>
      <w:r w:rsidRPr="0084736C">
        <w:rPr>
          <w:rFonts w:cstheme="minorHAnsi"/>
          <w:color w:val="000000" w:themeColor="text1"/>
          <w:sz w:val="24"/>
          <w:szCs w:val="24"/>
          <w:shd w:val="clear" w:color="auto" w:fill="FFFFFF"/>
        </w:rPr>
        <w:t>COOH)</w:t>
      </w:r>
      <w:r w:rsidR="00D1509C">
        <w:rPr>
          <w:rFonts w:cstheme="minorHAnsi"/>
          <w:color w:val="000000" w:themeColor="text1"/>
          <w:sz w:val="24"/>
          <w:szCs w:val="24"/>
          <w:shd w:val="clear" w:color="auto" w:fill="FFFFFF"/>
        </w:rPr>
        <w:t xml:space="preserve">, </w:t>
      </w:r>
      <w:r w:rsidRPr="0084736C">
        <w:rPr>
          <w:rFonts w:cstheme="minorHAnsi"/>
          <w:color w:val="000000" w:themeColor="text1"/>
          <w:sz w:val="24"/>
          <w:szCs w:val="24"/>
          <w:shd w:val="clear" w:color="auto" w:fill="FFFFFF"/>
        </w:rPr>
        <w:t>and a side chain.</w:t>
      </w:r>
      <w:r w:rsidR="00B048FB" w:rsidRPr="0084736C">
        <w:rPr>
          <w:rFonts w:cstheme="minorHAnsi"/>
          <w:color w:val="000000" w:themeColor="text1"/>
          <w:sz w:val="24"/>
          <w:szCs w:val="24"/>
          <w:shd w:val="clear" w:color="auto" w:fill="FFFFFF"/>
        </w:rPr>
        <w:t xml:space="preserve"> Based on their side chains, amino acids can be categorized into four groups: hydrophobic, aromatic, charged (positive and negative) and hydrophilic (polar) (Figure 1.1)</w:t>
      </w:r>
    </w:p>
    <w:p w14:paraId="2625938B" w14:textId="01AC7A2A" w:rsidR="00E909D3" w:rsidRDefault="00FA1EFB" w:rsidP="00E909D3">
      <w:pPr>
        <w:keepNext/>
      </w:pPr>
      <w:r>
        <w:rPr>
          <w:noProof/>
        </w:rPr>
        <w:lastRenderedPageBreak/>
        <w:drawing>
          <wp:inline distT="0" distB="0" distL="0" distR="0" wp14:anchorId="6AB22DA6" wp14:editId="6D482B32">
            <wp:extent cx="5943600" cy="300799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3">
                      <a:extLst>
                        <a:ext uri="{28A0092B-C50C-407E-A947-70E740481C1C}">
                          <a14:useLocalDpi xmlns:a14="http://schemas.microsoft.com/office/drawing/2010/main" val="0"/>
                        </a:ext>
                      </a:extLst>
                    </a:blip>
                    <a:stretch>
                      <a:fillRect/>
                    </a:stretch>
                  </pic:blipFill>
                  <pic:spPr>
                    <a:xfrm>
                      <a:off x="0" y="0"/>
                      <a:ext cx="5943600" cy="3007995"/>
                    </a:xfrm>
                    <a:prstGeom prst="rect">
                      <a:avLst/>
                    </a:prstGeom>
                  </pic:spPr>
                </pic:pic>
              </a:graphicData>
            </a:graphic>
          </wp:inline>
        </w:drawing>
      </w:r>
    </w:p>
    <w:p w14:paraId="282AF1DC" w14:textId="5236DEFB" w:rsidR="004A2AA8" w:rsidRPr="004A2AA8" w:rsidRDefault="00E909D3" w:rsidP="00FE781B">
      <w:pPr>
        <w:pStyle w:val="Caption"/>
      </w:pPr>
      <w:bookmarkStart w:id="8" w:name="_Toc114946647"/>
      <w:bookmarkStart w:id="9" w:name="_Toc114947243"/>
      <w:r w:rsidRPr="00D4639D">
        <w:t xml:space="preserve">Figure 1. </w:t>
      </w:r>
      <w:fldSimple w:instr=" SEQ Figure_1. \* ARABIC ">
        <w:r w:rsidR="00785166">
          <w:rPr>
            <w:noProof/>
          </w:rPr>
          <w:t>1</w:t>
        </w:r>
      </w:fldSimple>
      <w:r w:rsidRPr="00D4639D">
        <w:t xml:space="preserve"> Twenty natural amino acids. Classifications with their name and one</w:t>
      </w:r>
      <w:r w:rsidR="00D1509C" w:rsidRPr="00D4639D">
        <w:t>-l</w:t>
      </w:r>
      <w:r w:rsidRPr="00D4639D">
        <w:t xml:space="preserve">etter abbreviations.  </w:t>
      </w:r>
      <w:bookmarkEnd w:id="8"/>
      <w:bookmarkEnd w:id="9"/>
      <w:r w:rsidR="00FE781B">
        <w:t>Generated by BioRender.</w:t>
      </w:r>
    </w:p>
    <w:p w14:paraId="79400C5C" w14:textId="5EDA67A2" w:rsidR="00DB70C5" w:rsidRPr="0084736C" w:rsidRDefault="00B048FB" w:rsidP="008F40D1">
      <w:pPr>
        <w:spacing w:line="480" w:lineRule="auto"/>
        <w:rPr>
          <w:rFonts w:ascii="Arial" w:eastAsia="Times New Roman" w:hAnsi="Arial" w:cs="Arial"/>
          <w:sz w:val="24"/>
          <w:szCs w:val="24"/>
        </w:rPr>
      </w:pPr>
      <w:r w:rsidRPr="0084736C">
        <w:rPr>
          <w:sz w:val="24"/>
          <w:szCs w:val="24"/>
        </w:rPr>
        <w:t>Charged</w:t>
      </w:r>
      <w:r w:rsidR="008F40D1" w:rsidRPr="0084736C">
        <w:rPr>
          <w:rFonts w:cstheme="minorHAnsi"/>
          <w:sz w:val="24"/>
          <w:szCs w:val="24"/>
        </w:rPr>
        <w:t xml:space="preserve"> side chains of amino acids (positively charged (histidine (H), lysine (K), arginine (R)) or negatively charged (aspartic acid (D) and glutamic acid (E)) can be used to modify the self-assembly to promote the aggregation by adding oppositely charged amino acids through electrostatic interactions which resulted in </w:t>
      </w:r>
      <w:r w:rsidR="00D1509C">
        <w:rPr>
          <w:rFonts w:cstheme="minorHAnsi"/>
          <w:sz w:val="24"/>
          <w:szCs w:val="24"/>
        </w:rPr>
        <w:t xml:space="preserve">the </w:t>
      </w:r>
      <w:r w:rsidR="008F40D1" w:rsidRPr="0084736C">
        <w:rPr>
          <w:rFonts w:cstheme="minorHAnsi"/>
          <w:sz w:val="24"/>
          <w:szCs w:val="24"/>
        </w:rPr>
        <w:t>salt-bridge formation, or to halt the self-assembly by introducing similar charges th</w:t>
      </w:r>
      <w:r w:rsidR="00497EBB">
        <w:rPr>
          <w:rFonts w:cstheme="minorHAnsi"/>
          <w:sz w:val="24"/>
          <w:szCs w:val="24"/>
        </w:rPr>
        <w:t>r</w:t>
      </w:r>
      <w:r w:rsidR="008F40D1" w:rsidRPr="0084736C">
        <w:rPr>
          <w:rFonts w:cstheme="minorHAnsi"/>
          <w:sz w:val="24"/>
          <w:szCs w:val="24"/>
        </w:rPr>
        <w:t xml:space="preserve">ough repelling forces. </w:t>
      </w:r>
      <w:r w:rsidR="00D1509C">
        <w:rPr>
          <w:rFonts w:ascii="Arial" w:eastAsia="Times New Roman" w:hAnsi="Arial" w:cs="Arial"/>
          <w:sz w:val="24"/>
          <w:szCs w:val="24"/>
        </w:rPr>
        <w:t>Another significant</w:t>
      </w:r>
      <w:r w:rsidR="008F40D1" w:rsidRPr="0084736C">
        <w:rPr>
          <w:rFonts w:ascii="Arial" w:eastAsia="Times New Roman" w:hAnsi="Arial" w:cs="Arial"/>
          <w:sz w:val="24"/>
          <w:szCs w:val="24"/>
        </w:rPr>
        <w:t xml:space="preserve"> driving force for </w:t>
      </w:r>
      <w:r w:rsidR="00D1509C">
        <w:rPr>
          <w:rFonts w:ascii="Arial" w:eastAsia="Times New Roman" w:hAnsi="Arial" w:cs="Arial"/>
          <w:sz w:val="24"/>
          <w:szCs w:val="24"/>
        </w:rPr>
        <w:t xml:space="preserve">a </w:t>
      </w:r>
      <w:r w:rsidR="008F40D1" w:rsidRPr="0084736C">
        <w:rPr>
          <w:rFonts w:ascii="Arial" w:eastAsia="Times New Roman" w:hAnsi="Arial" w:cs="Arial"/>
          <w:sz w:val="24"/>
          <w:szCs w:val="24"/>
        </w:rPr>
        <w:t>structural organization is hydrogen bonding</w:t>
      </w:r>
      <w:r w:rsidR="00BB59CE">
        <w:rPr>
          <w:rFonts w:ascii="Arial" w:eastAsia="Times New Roman" w:hAnsi="Arial" w:cs="Arial"/>
          <w:sz w:val="24"/>
          <w:szCs w:val="24"/>
        </w:rPr>
        <w:t>,</w:t>
      </w:r>
      <w:r w:rsidR="008F40D1" w:rsidRPr="0084736C">
        <w:rPr>
          <w:rFonts w:ascii="Arial" w:eastAsia="Times New Roman" w:hAnsi="Arial" w:cs="Arial"/>
          <w:sz w:val="24"/>
          <w:szCs w:val="24"/>
        </w:rPr>
        <w:t xml:space="preserve"> </w:t>
      </w:r>
      <w:r w:rsidR="00AC29A2">
        <w:rPr>
          <w:rFonts w:ascii="Arial" w:eastAsia="Times New Roman" w:hAnsi="Arial" w:cs="Arial"/>
          <w:sz w:val="24"/>
          <w:szCs w:val="24"/>
        </w:rPr>
        <w:t xml:space="preserve">form throughout the peptide backbone between </w:t>
      </w:r>
      <w:r w:rsidR="008F40D1" w:rsidRPr="0084736C">
        <w:rPr>
          <w:rFonts w:ascii="Arial" w:eastAsia="Times New Roman" w:hAnsi="Arial" w:cs="Arial"/>
          <w:sz w:val="24"/>
          <w:szCs w:val="24"/>
        </w:rPr>
        <w:t>amide and carboxylate groups.</w:t>
      </w:r>
      <w:r w:rsidR="00BB59CE">
        <w:rPr>
          <w:rFonts w:ascii="Arial" w:eastAsia="Times New Roman" w:hAnsi="Arial" w:cs="Arial"/>
          <w:sz w:val="24"/>
          <w:szCs w:val="24"/>
        </w:rPr>
        <w:t xml:space="preserve"> </w:t>
      </w:r>
      <w:r w:rsidR="008F40D1" w:rsidRPr="0084736C">
        <w:rPr>
          <w:rFonts w:ascii="Arial" w:eastAsia="Times New Roman" w:hAnsi="Arial" w:cs="Arial"/>
          <w:sz w:val="24"/>
          <w:szCs w:val="24"/>
        </w:rPr>
        <w:t xml:space="preserve">Also, </w:t>
      </w:r>
      <w:r w:rsidR="008F40D1" w:rsidRPr="0084736C">
        <w:rPr>
          <w:rFonts w:cstheme="minorHAnsi"/>
          <w:sz w:val="24"/>
          <w:szCs w:val="24"/>
        </w:rPr>
        <w:t xml:space="preserve">polar (hydrophilic) amino acids are mainly part of hydrogen bonding interactions with their </w:t>
      </w:r>
      <w:r w:rsidR="00497EBB">
        <w:rPr>
          <w:rFonts w:cstheme="minorHAnsi"/>
          <w:sz w:val="24"/>
          <w:szCs w:val="24"/>
        </w:rPr>
        <w:t>backbone carbonyl and amide</w:t>
      </w:r>
      <w:r w:rsidR="008F40D1" w:rsidRPr="0084736C">
        <w:rPr>
          <w:rFonts w:cstheme="minorHAnsi"/>
          <w:sz w:val="24"/>
          <w:szCs w:val="24"/>
        </w:rPr>
        <w:t xml:space="preserve"> groups.</w:t>
      </w:r>
      <w:r w:rsidR="00497EBB">
        <w:rPr>
          <w:rFonts w:cstheme="minorHAnsi"/>
          <w:sz w:val="24"/>
          <w:szCs w:val="24"/>
        </w:rPr>
        <w:fldChar w:fldCharType="begin"/>
      </w:r>
      <w:r w:rsidR="008678B2">
        <w:rPr>
          <w:rFonts w:cstheme="minorHAnsi"/>
          <w:sz w:val="24"/>
          <w:szCs w:val="24"/>
        </w:rPr>
        <w:instrText xml:space="preserve"> ADDIN ZOTERO_ITEM CSL_CITATION {"citationID":"a1in914rhsl","properties":{"formattedCitation":"\\super 15\\nosupersub{}","plainCitation":"15","noteIndex":0},"citationItems":[{"id":13008,"uris":["http://zotero.org/groups/2667333/items/SDTD5X9E"],"itemData":{"id":13008,"type":"article-journal","abstract":"A survey of 322 proteins showed that the short polar (SP) side chains of four residues, Thr, Ser, Asp, and Asn, have a very strong tendency to form hydrogen bonds with neighboring backbone amides. Specifically, 32% of Thr, 29% of Ser, 26% of Asp, and 19% of Asn engage in such hydrogen bonds. When an SP residue caps the N terminal of a helix, the contribution to helix stability by a hydrogen bond with the amide of the N3 or N2 residue is well established. When an SP residue is in the middle of a helix, the side chain is unlikely to form hydrogen bonds with neighboring backbone amides for steric and geometric reasons. In essence the SP side chain competes with the backbone carbonyl for the same hydrogen-bonding partner (i.e., the backbone amide) and thus SP residues tend to break backbone carbonyl-amide hydrogen bonds. The proposition that this is the origin for the low propensities of SP residues in the middle of α helices (relative to those of nonpolar residues) was tested. The combined effects of restricting side-chain rotamer conformations (documented by Creamer and Rose, Proc Acad Sci USA, 1992;89:5937–5941; Proteins, 1994;19:85–97) and excluding side- chain to backbone hydrogen bonds by the helix were quantitatively analyzed. These were found to correlate strongly with four experimentally determined scales of helix-forming propensities. The correlation coefficients ranged from 0.72 to 0.87, which are comparable to those found for nonpolar residues (for which only the loss of side-chain conformational entropy needs to be considered). Proteins 1999;34:497–507. © 1999 Wiley-Liss, Inc.","container-title":"Proteins: Structure, Function, and Bioinformatics","DOI":"10.1002/(SICI)1097-0134(19990301)34:4&lt;497::AID-PROT9&gt;3.0.CO;2-G","ISSN":"1097-0134","issue":"4","language":"en","note":"_eprint: https://onlinelibrary.wiley.com/doi/pdf/10.1002/%28SICI%291097-0134%2819990301%2934%3A4%3C497%3A%3AAID-PROT9%3E3.0.CO%3B2-G","page":"497-507","source":"Wiley Online Library","title":"Hydrogen bonds between short polar side chains and peptide backbone: Prevalence in proteins and effects on helix-forming propensities","title-short":"Hydrogen bonds between short polar side chains and peptide backbone","URL":"https://onlinelibrary.wiley.com/doi/abs/10.1002/%28SICI%291097-0134%2819990301%2934%3A4%3C497%3A%3AAID-PROT9%3E3.0.CO%3B2-G","volume":"34","author":[{"family":"Vijayakumar","given":"M."},{"family":"Qian","given":"Hong"},{"family":"Zhou","given":"Huan-Xiang"}],"accessed":{"date-parts":[["2022",10,6]]},"issued":{"date-parts":[["1999"]]},"citation-key":"vijayakumar_hydrogen_1999"}}],"schema":"https://github.com/citation-style-language/schema/raw/master/csl-citation.json"} </w:instrText>
      </w:r>
      <w:r w:rsidR="00497EBB">
        <w:rPr>
          <w:rFonts w:cstheme="minorHAnsi"/>
          <w:sz w:val="24"/>
          <w:szCs w:val="24"/>
        </w:rPr>
        <w:fldChar w:fldCharType="separate"/>
      </w:r>
      <w:r w:rsidR="008678B2" w:rsidRPr="008678B2">
        <w:rPr>
          <w:rFonts w:ascii="Arial" w:cs="Arial"/>
          <w:sz w:val="24"/>
          <w:vertAlign w:val="superscript"/>
        </w:rPr>
        <w:t>15</w:t>
      </w:r>
      <w:r w:rsidR="00497EBB">
        <w:rPr>
          <w:rFonts w:cstheme="minorHAnsi"/>
          <w:sz w:val="24"/>
          <w:szCs w:val="24"/>
        </w:rPr>
        <w:fldChar w:fldCharType="end"/>
      </w:r>
      <w:r w:rsidR="00BB59CE">
        <w:rPr>
          <w:rFonts w:cstheme="minorHAnsi"/>
          <w:sz w:val="24"/>
          <w:szCs w:val="24"/>
        </w:rPr>
        <w:t xml:space="preserve"> </w:t>
      </w:r>
      <w:r w:rsidR="008F40D1" w:rsidRPr="0084736C">
        <w:rPr>
          <w:rFonts w:cstheme="minorHAnsi"/>
          <w:sz w:val="24"/>
          <w:szCs w:val="24"/>
        </w:rPr>
        <w:t>The amino acids containing hydrophilic side chains are cysteine (C), serine (S), asparagine (N), threonine (T) and glutamine (Q). Hydrophobic amino acids are divided into two categories aliphatic and aromatic. Aliphatic amino acids (alanine (A), proline (P), isoleucine (I), glycine (G), leucine (L), methionine (M)</w:t>
      </w:r>
      <w:r w:rsidR="00BB59CE">
        <w:rPr>
          <w:rFonts w:cstheme="minorHAnsi"/>
          <w:sz w:val="24"/>
          <w:szCs w:val="24"/>
        </w:rPr>
        <w:t>,</w:t>
      </w:r>
      <w:r w:rsidR="008F40D1" w:rsidRPr="0084736C">
        <w:rPr>
          <w:rFonts w:cstheme="minorHAnsi"/>
          <w:sz w:val="24"/>
          <w:szCs w:val="24"/>
        </w:rPr>
        <w:t xml:space="preserve"> and valine (V)) are those amino acids that are non-polar and create a hydrophobic environment around them. </w:t>
      </w:r>
      <w:r w:rsidR="008F40D1" w:rsidRPr="0084736C">
        <w:rPr>
          <w:rFonts w:ascii="Arial" w:eastAsia="Times New Roman" w:hAnsi="Arial" w:cs="Arial"/>
          <w:sz w:val="24"/>
          <w:szCs w:val="24"/>
        </w:rPr>
        <w:lastRenderedPageBreak/>
        <w:t>Hydrophobic</w:t>
      </w:r>
      <w:r w:rsidR="00AC29A2">
        <w:rPr>
          <w:rFonts w:ascii="Arial" w:eastAsia="Times New Roman" w:hAnsi="Arial" w:cs="Arial"/>
          <w:sz w:val="24"/>
          <w:szCs w:val="24"/>
        </w:rPr>
        <w:t xml:space="preserve">ity </w:t>
      </w:r>
      <w:r w:rsidR="008F40D1" w:rsidRPr="0084736C">
        <w:rPr>
          <w:rFonts w:ascii="Arial" w:eastAsia="Times New Roman" w:hAnsi="Arial" w:cs="Arial"/>
          <w:sz w:val="24"/>
          <w:szCs w:val="24"/>
        </w:rPr>
        <w:t>contribute</w:t>
      </w:r>
      <w:r w:rsidR="00BB59CE">
        <w:rPr>
          <w:rFonts w:ascii="Arial" w:eastAsia="Times New Roman" w:hAnsi="Arial" w:cs="Arial"/>
          <w:sz w:val="24"/>
          <w:szCs w:val="24"/>
        </w:rPr>
        <w:t>s</w:t>
      </w:r>
      <w:r w:rsidR="008F40D1" w:rsidRPr="0084736C">
        <w:rPr>
          <w:rFonts w:ascii="Arial" w:eastAsia="Times New Roman" w:hAnsi="Arial" w:cs="Arial"/>
          <w:sz w:val="24"/>
          <w:szCs w:val="24"/>
        </w:rPr>
        <w:t xml:space="preserve"> to the stabilization of the ordered peptide assemblies, and supports the growth of fibrillar formation.</w:t>
      </w:r>
      <w:r w:rsidR="008F40D1"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{"citationID":"wHt1XeQ4","properties":{"formattedCitation":"\\super 16\\nosupersub{}","plainCitation":"16","noteIndex":0},"citationItems":[{"id":62,"uris":["http://zotero.org/users/5797676/items/TIZGMJDE"],"itemData":{"id":62,"type":"article-journal","abstract":"Stable and ordered self-assembled peptide nanostructures are formed as a result of cooperative effects of various relatively weak intermolecular interactions. We systematically studied the influence of hydrophobic interaction strength and temperature on the self-assembly of peptides with a coarse-grained model by Monte Carlo simulations. The simulation results show a rich phase behavior of peptide self-assembly, indicating that the formation and morphology of peptide assemblies may be tuned by varying the temperature and the strength of hydrophobic interactions. There exist optimal combinations of temperature and hydrophobic interaction strength where ordered fibrillar nanostructures are readily formed. Our simulation results not only facilitate the understanding of the self-assembly behavior of peptides at the molecular level, but also provide useful insights into the development of fabrication strategies for high-quality peptide fibrils.","container-title":"Soft Matter","DOI":"10.1039/C4SM00378K","ISSN":"1744-6848","issue":"27","journalAbbreviation":"Soft Matter","language":"en","note":"publisher: The Royal Society of Chemistry","page":"4956-4965","source":"pubs.rsc.org","title":"Effects of hydrophobic interaction strength on the self-assembled structures of model peptides","URL":"https://pubs.rsc.org/en/content/articlelanding/2014/sm/c4sm00378k","volume":"10","author":[{"family":"Mu","given":"Yan"},{"family":"Yu","given":"Meng"}],"accessed":{"date-parts":[["2020",9,17]]},"issued":{"date-parts":[["2014",6,18]]},"citation-key":"muEffectsHydrophobicInteraction2014"}}],"schema":"https://github.com/citation-style-language/schema/raw/master/csl-citation.json"} </w:instrText>
      </w:r>
      <w:r w:rsidR="008F40D1" w:rsidRPr="0084736C">
        <w:rPr>
          <w:rFonts w:ascii="Arial" w:eastAsia="Times New Roman" w:hAnsi="Arial" w:cs="Arial"/>
          <w:sz w:val="24"/>
          <w:szCs w:val="24"/>
        </w:rPr>
        <w:fldChar w:fldCharType="separate"/>
      </w:r>
      <w:r w:rsidR="008678B2" w:rsidRPr="008678B2">
        <w:rPr>
          <w:rFonts w:ascii="Arial" w:hAnsi="Arial" w:cs="Arial"/>
          <w:sz w:val="24"/>
          <w:vertAlign w:val="superscript"/>
        </w:rPr>
        <w:t>16</w:t>
      </w:r>
      <w:r w:rsidR="008F40D1" w:rsidRPr="0084736C">
        <w:rPr>
          <w:rFonts w:ascii="Arial" w:eastAsia="Times New Roman" w:hAnsi="Arial" w:cs="Arial"/>
          <w:sz w:val="24"/>
          <w:szCs w:val="24"/>
        </w:rPr>
        <w:fldChar w:fldCharType="end"/>
      </w:r>
      <w:r w:rsidR="008F40D1" w:rsidRPr="0084736C">
        <w:rPr>
          <w:rFonts w:ascii="Arial" w:eastAsia="Times New Roman" w:hAnsi="Arial" w:cs="Arial"/>
          <w:sz w:val="24"/>
          <w:szCs w:val="24"/>
        </w:rPr>
        <w:t xml:space="preserve"> </w:t>
      </w:r>
      <w:r w:rsidR="008F40D1" w:rsidRPr="0084736C">
        <w:rPr>
          <w:rFonts w:ascii="Symbol" w:eastAsia="Times New Roman" w:hAnsi="Symbol" w:cs="Arial"/>
          <w:sz w:val="24"/>
          <w:szCs w:val="24"/>
        </w:rPr>
        <w:t>p-p</w:t>
      </w:r>
      <w:r w:rsidR="008F40D1" w:rsidRPr="0084736C">
        <w:rPr>
          <w:rFonts w:ascii="Arial" w:eastAsia="Times New Roman" w:hAnsi="Arial" w:cs="Arial"/>
          <w:sz w:val="24"/>
          <w:szCs w:val="24"/>
        </w:rPr>
        <w:t xml:space="preserve"> interactions are another type of non-covalent interaction that define</w:t>
      </w:r>
      <w:r w:rsidR="00BB59CE">
        <w:rPr>
          <w:rFonts w:ascii="Arial" w:eastAsia="Times New Roman" w:hAnsi="Arial" w:cs="Arial"/>
          <w:sz w:val="24"/>
          <w:szCs w:val="24"/>
        </w:rPr>
        <w:t>s</w:t>
      </w:r>
      <w:r w:rsidR="008F40D1" w:rsidRPr="0084736C">
        <w:rPr>
          <w:rFonts w:ascii="Arial" w:eastAsia="Times New Roman" w:hAnsi="Arial" w:cs="Arial"/>
          <w:sz w:val="24"/>
          <w:szCs w:val="24"/>
        </w:rPr>
        <w:t xml:space="preserve"> and rule the self-assembly processes leading to the formation of supramolecular structures. </w:t>
      </w:r>
      <w:r w:rsidR="008F40D1" w:rsidRPr="0084736C">
        <w:rPr>
          <w:rFonts w:ascii="Symbol" w:eastAsia="Times New Roman" w:hAnsi="Symbol" w:cs="Arial"/>
          <w:sz w:val="24"/>
          <w:szCs w:val="24"/>
        </w:rPr>
        <w:t>p</w:t>
      </w:r>
      <w:r w:rsidR="008F40D1" w:rsidRPr="0084736C">
        <w:rPr>
          <w:rFonts w:ascii="Arial" w:eastAsia="Times New Roman" w:hAnsi="Arial" w:cs="Arial"/>
          <w:sz w:val="24"/>
          <w:szCs w:val="24"/>
        </w:rPr>
        <w:t xml:space="preserve">- stacking takes place between a </w:t>
      </w:r>
      <w:r w:rsidR="008F40D1" w:rsidRPr="0084736C">
        <w:rPr>
          <w:rFonts w:ascii="Symbol" w:eastAsia="Times New Roman" w:hAnsi="Symbol" w:cs="Arial"/>
          <w:sz w:val="24"/>
          <w:szCs w:val="24"/>
        </w:rPr>
        <w:t>p-</w:t>
      </w:r>
      <w:r w:rsidR="008F40D1" w:rsidRPr="0084736C">
        <w:rPr>
          <w:rFonts w:ascii="Arial" w:eastAsia="Times New Roman" w:hAnsi="Arial" w:cs="Arial"/>
          <w:sz w:val="24"/>
          <w:szCs w:val="24"/>
        </w:rPr>
        <w:t>electron deficient</w:t>
      </w:r>
      <w:r w:rsidR="00BB59CE">
        <w:rPr>
          <w:rFonts w:ascii="Arial" w:eastAsia="Times New Roman" w:hAnsi="Arial" w:cs="Arial"/>
          <w:sz w:val="24"/>
          <w:szCs w:val="24"/>
        </w:rPr>
        <w:t>-</w:t>
      </w:r>
      <w:r w:rsidR="008F40D1" w:rsidRPr="0084736C">
        <w:rPr>
          <w:rFonts w:ascii="Arial" w:eastAsia="Times New Roman" w:hAnsi="Arial" w:cs="Arial"/>
          <w:sz w:val="24"/>
          <w:szCs w:val="24"/>
        </w:rPr>
        <w:t xml:space="preserve">unit and a </w:t>
      </w:r>
      <w:r w:rsidR="008F40D1" w:rsidRPr="0084736C">
        <w:rPr>
          <w:rFonts w:ascii="Symbol" w:eastAsia="Times New Roman" w:hAnsi="Symbol" w:cs="Arial"/>
          <w:sz w:val="24"/>
          <w:szCs w:val="24"/>
        </w:rPr>
        <w:t>p</w:t>
      </w:r>
      <w:r w:rsidR="008F40D1" w:rsidRPr="0084736C">
        <w:rPr>
          <w:rFonts w:ascii="Arial" w:eastAsia="Times New Roman" w:hAnsi="Arial" w:cs="Arial"/>
          <w:sz w:val="24"/>
          <w:szCs w:val="24"/>
        </w:rPr>
        <w:t xml:space="preserve"> -electron</w:t>
      </w:r>
      <w:r w:rsidR="00BB59CE">
        <w:rPr>
          <w:rFonts w:ascii="Arial" w:eastAsia="Times New Roman" w:hAnsi="Arial" w:cs="Arial"/>
          <w:sz w:val="24"/>
          <w:szCs w:val="24"/>
        </w:rPr>
        <w:t>-</w:t>
      </w:r>
      <w:r w:rsidR="008F40D1" w:rsidRPr="0084736C">
        <w:rPr>
          <w:rFonts w:ascii="Arial" w:eastAsia="Times New Roman" w:hAnsi="Arial" w:cs="Arial"/>
          <w:sz w:val="24"/>
          <w:szCs w:val="24"/>
        </w:rPr>
        <w:t>rich unit, which can occur between aromatic peptides (</w:t>
      </w:r>
      <w:r w:rsidR="00DB70C5" w:rsidRPr="0084736C">
        <w:rPr>
          <w:rFonts w:cstheme="minorHAnsi"/>
          <w:sz w:val="24"/>
          <w:szCs w:val="24"/>
        </w:rPr>
        <w:t>phenylalanine (F), tyrosine (Y)</w:t>
      </w:r>
      <w:r w:rsidR="00BB59CE">
        <w:rPr>
          <w:rFonts w:cstheme="minorHAnsi"/>
          <w:sz w:val="24"/>
          <w:szCs w:val="24"/>
        </w:rPr>
        <w:t xml:space="preserve">, </w:t>
      </w:r>
      <w:r w:rsidR="00DB70C5" w:rsidRPr="0084736C">
        <w:rPr>
          <w:rFonts w:cstheme="minorHAnsi"/>
          <w:sz w:val="24"/>
          <w:szCs w:val="24"/>
        </w:rPr>
        <w:t>and tryptophan (W)</w:t>
      </w:r>
      <w:r w:rsidR="008F40D1" w:rsidRPr="0084736C">
        <w:rPr>
          <w:rFonts w:ascii="Arial" w:eastAsia="Times New Roman" w:hAnsi="Arial" w:cs="Arial"/>
          <w:sz w:val="24"/>
          <w:szCs w:val="24"/>
        </w:rPr>
        <w:t>).</w:t>
      </w:r>
      <w:r w:rsidR="008F40D1"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{"citationID":"Z4ETI8Q6","properties":{"formattedCitation":"\\super 17\\nosupersub{}","plainCitation":"17","noteIndex":0},"citationItems":[{"id":4275,"uris":["http://zotero.org/groups/2667333/items/IE8U3TAY"],"itemData":{"id":4275,"type":"article-journal","container-title":"The FASEB Journal","DOI":"10.1096/fj.01-0442hyp","ISSN":"0892-6638, 1530-6860","issue":"1","journalAbbreviation":"The FASEB Journal","language":"en","page":"77-83","source":"DOI.org (Crossref)","title":"A possible role for π-stacking in the self-assembly of amyloid fibrils","URL":"http://www.fasebj.org/doi/10.1096/fj.01-0442hyp","volume":"16","author":[{"family":"Gazit","given":"Ehud"}],"accessed":{"date-parts":[["2019",8,15]]},"issued":{"date-parts":[["2002",1]]},"citation-key":"gazitPossibleRolePstacking2002"}}],"schema":"https://github.com/citation-style-language/schema/raw/master/csl-citation.json"} </w:instrText>
      </w:r>
      <w:r w:rsidR="008F40D1" w:rsidRPr="0084736C">
        <w:rPr>
          <w:rFonts w:ascii="Arial" w:eastAsia="Times New Roman" w:hAnsi="Arial" w:cs="Arial"/>
          <w:sz w:val="24"/>
          <w:szCs w:val="24"/>
        </w:rPr>
        <w:fldChar w:fldCharType="separate"/>
      </w:r>
      <w:r w:rsidR="008678B2" w:rsidRPr="008678B2">
        <w:rPr>
          <w:rFonts w:ascii="Arial" w:hAnsi="Arial" w:cs="Arial"/>
          <w:sz w:val="24"/>
          <w:vertAlign w:val="superscript"/>
        </w:rPr>
        <w:t>17</w:t>
      </w:r>
      <w:r w:rsidR="008F40D1" w:rsidRPr="0084736C">
        <w:rPr>
          <w:rFonts w:ascii="Arial" w:eastAsia="Times New Roman" w:hAnsi="Arial" w:cs="Arial"/>
          <w:sz w:val="24"/>
          <w:szCs w:val="24"/>
        </w:rPr>
        <w:fldChar w:fldCharType="end"/>
      </w:r>
    </w:p>
    <w:p w14:paraId="332F4A18" w14:textId="77777777" w:rsidR="00DB70C5" w:rsidRDefault="00DB70C5" w:rsidP="00DB70C5">
      <w:pPr>
        <w:keepNext/>
        <w:spacing w:line="480" w:lineRule="auto"/>
        <w:jc w:val="center"/>
      </w:pPr>
      <w:r w:rsidRPr="00707329">
        <w:rPr>
          <w:rFonts w:ascii="Arial" w:hAnsi="Arial" w:cs="Arial"/>
          <w:noProof/>
          <w:sz w:val="22"/>
          <w:szCs w:val="22"/>
        </w:rPr>
        <w:drawing>
          <wp:inline distT="0" distB="0" distL="0" distR="0" wp14:anchorId="3088A699" wp14:editId="2D357019">
            <wp:extent cx="2685327" cy="2841118"/>
            <wp:effectExtent l="0" t="0" r="0" b="381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14" cstate="print">
                      <a:extLst>
                        <a:ext uri="{28A0092B-C50C-407E-A947-70E740481C1C}">
                          <a14:useLocalDpi xmlns:a14="http://schemas.microsoft.com/office/drawing/2010/main" val="0"/>
                        </a:ext>
                      </a:extLst>
                    </a:blip>
                    <a:srcRect r="49833"/>
                    <a:stretch/>
                  </pic:blipFill>
                  <pic:spPr bwMode="auto">
                    <a:xfrm>
                      <a:off x="0" y="0"/>
                      <a:ext cx="2822991" cy="2986769"/>
                    </a:xfrm>
                    <a:prstGeom prst="rect">
                      <a:avLst/>
                    </a:prstGeom>
                    <a:ln>
                      <a:noFill/>
                    </a:ln>
                    <a:extLst>
                      <a:ext uri="{53640926-AAD7-44D8-BBD7-CCE9431645EC}">
                        <a14:shadowObscured xmlns:a14="http://schemas.microsoft.com/office/drawing/2010/main"/>
                      </a:ext>
                    </a:extLst>
                  </pic:spPr>
                </pic:pic>
              </a:graphicData>
            </a:graphic>
          </wp:inline>
        </w:drawing>
      </w:r>
    </w:p>
    <w:p w14:paraId="383A52D6" w14:textId="7543F4C6" w:rsidR="00DB70C5" w:rsidRPr="00D4639D" w:rsidRDefault="00DB70C5" w:rsidP="008A3EF7">
      <w:pPr>
        <w:pStyle w:val="Caption"/>
        <w:rPr>
          <w:b/>
        </w:rPr>
      </w:pPr>
      <w:bookmarkStart w:id="10" w:name="_Toc114946648"/>
      <w:bookmarkStart w:id="11" w:name="_Toc114947244"/>
      <w:r w:rsidRPr="00D4639D">
        <w:t xml:space="preserve">Figure 1. </w:t>
      </w:r>
      <w:fldSimple w:instr=" SEQ Figure_1. \* ARABIC ">
        <w:r w:rsidR="00785166">
          <w:rPr>
            <w:noProof/>
          </w:rPr>
          <w:t>2</w:t>
        </w:r>
      </w:fldSimple>
      <w:r w:rsidRPr="00D4639D">
        <w:t xml:space="preserve"> Non-covalent interactions during the assembly process. Electrostatic and hydrophobic interactions, hydrogen bonding</w:t>
      </w:r>
      <w:r w:rsidR="00BB59CE" w:rsidRPr="00D4639D">
        <w:t xml:space="preserve">, </w:t>
      </w:r>
      <w:r w:rsidRPr="00D4639D">
        <w:t xml:space="preserve">and </w:t>
      </w:r>
      <w:r w:rsidR="00BB59CE" w:rsidRPr="00D4639D">
        <w:rPr>
          <w:rFonts w:ascii="Symbol" w:eastAsia="Times New Roman" w:hAnsi="Symbol" w:cs="Arial"/>
        </w:rPr>
        <w:t>p</w:t>
      </w:r>
      <w:r w:rsidR="00BB59CE" w:rsidRPr="00D4639D">
        <w:t xml:space="preserve"> </w:t>
      </w:r>
      <w:r w:rsidRPr="00D4639D">
        <w:t>-stacking were illustrated.</w:t>
      </w:r>
      <w:bookmarkEnd w:id="10"/>
      <w:bookmarkEnd w:id="11"/>
    </w:p>
    <w:p w14:paraId="72823E9A" w14:textId="19956633" w:rsidR="00DB70C5" w:rsidRPr="0084736C" w:rsidRDefault="00AC29A2" w:rsidP="00DB70C5">
      <w:pPr>
        <w:spacing w:line="480" w:lineRule="auto"/>
        <w:rPr>
          <w:rFonts w:cstheme="minorHAnsi"/>
          <w:sz w:val="24"/>
          <w:szCs w:val="24"/>
        </w:rPr>
      </w:pPr>
      <w:r>
        <w:rPr>
          <w:rFonts w:cstheme="minorHAnsi"/>
          <w:sz w:val="24"/>
          <w:szCs w:val="24"/>
        </w:rPr>
        <w:t>The</w:t>
      </w:r>
      <w:r w:rsidR="00DB70C5" w:rsidRPr="0084736C">
        <w:rPr>
          <w:rFonts w:cstheme="minorHAnsi"/>
          <w:sz w:val="24"/>
          <w:szCs w:val="24"/>
        </w:rPr>
        <w:t xml:space="preserve"> residues impact how peptides and protein</w:t>
      </w:r>
      <w:r w:rsidR="00BB59CE">
        <w:rPr>
          <w:rFonts w:cstheme="minorHAnsi"/>
          <w:sz w:val="24"/>
          <w:szCs w:val="24"/>
        </w:rPr>
        <w:t>s</w:t>
      </w:r>
      <w:r w:rsidR="00DB70C5" w:rsidRPr="0084736C">
        <w:rPr>
          <w:rFonts w:cstheme="minorHAnsi"/>
          <w:sz w:val="24"/>
          <w:szCs w:val="24"/>
        </w:rPr>
        <w:t xml:space="preserve"> self-assemble, influenc</w:t>
      </w:r>
      <w:r w:rsidR="00BB59CE">
        <w:rPr>
          <w:rFonts w:cstheme="minorHAnsi"/>
          <w:sz w:val="24"/>
          <w:szCs w:val="24"/>
        </w:rPr>
        <w:t>ing</w:t>
      </w:r>
      <w:r w:rsidR="00DB70C5" w:rsidRPr="0084736C">
        <w:rPr>
          <w:rFonts w:cstheme="minorHAnsi"/>
          <w:sz w:val="24"/>
          <w:szCs w:val="24"/>
        </w:rPr>
        <w:t xml:space="preserve"> how these molecules are structured at the higher ordered organization levels. Also, </w:t>
      </w:r>
      <w:r w:rsidR="00DB70C5" w:rsidRPr="0084736C">
        <w:rPr>
          <w:rFonts w:ascii="Arial" w:eastAsia="Times New Roman" w:hAnsi="Arial" w:cs="Arial"/>
          <w:sz w:val="24"/>
          <w:szCs w:val="24"/>
        </w:rPr>
        <w:t>these non-covalent interactions (Figure 1.2) work together to create a synergistic effect that determines the thermodynamic stability and the minimum energy state of the final nanostructures.</w:t>
      </w:r>
      <w:r w:rsidR="00DB70C5"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{"citationID":"f0fABxTD","properties":{"formattedCitation":"\\super 18\\nosupersub{}","plainCitation":"18","noteIndex":0},"citationItems":[{"id":380,"uris":["http://zotero.org/users/5797676/items/WVHE8QIG"],"itemData":{"id":380,"type":"webpage","title":"Peptide self-assembly: thermodynamics and kinetics - Chemical Society Reviews (RSC Publishing)","URL":"https://pubs.rsc.org/ko/content/articlelanding/2016/cs/c6cs00176a/unauth#!divAbstract","accessed":{"date-parts":[["2020",3,19]]},"citation-key":"PeptideSelfassemblyThermodynamics"}}],"schema":"https://github.com/citation-style-language/schema/raw/master/csl-citation.json"} </w:instrText>
      </w:r>
      <w:r w:rsidR="00DB70C5" w:rsidRPr="0084736C">
        <w:rPr>
          <w:rFonts w:ascii="Arial" w:eastAsia="Times New Roman" w:hAnsi="Arial" w:cs="Arial"/>
          <w:sz w:val="24"/>
          <w:szCs w:val="24"/>
        </w:rPr>
        <w:fldChar w:fldCharType="separate"/>
      </w:r>
      <w:r w:rsidR="008678B2" w:rsidRPr="008678B2">
        <w:rPr>
          <w:rFonts w:ascii="Arial" w:hAnsi="Arial" w:cs="Arial"/>
          <w:sz w:val="24"/>
          <w:vertAlign w:val="superscript"/>
        </w:rPr>
        <w:t>18</w:t>
      </w:r>
      <w:r w:rsidR="00DB70C5" w:rsidRPr="0084736C">
        <w:rPr>
          <w:rFonts w:ascii="Arial" w:eastAsia="Times New Roman" w:hAnsi="Arial" w:cs="Arial"/>
          <w:sz w:val="24"/>
          <w:szCs w:val="24"/>
        </w:rPr>
        <w:fldChar w:fldCharType="end"/>
      </w:r>
      <w:r w:rsidR="00DB70C5" w:rsidRPr="0084736C">
        <w:rPr>
          <w:rFonts w:ascii="Arial" w:eastAsia="Times New Roman" w:hAnsi="Arial" w:cs="Arial"/>
          <w:sz w:val="24"/>
          <w:szCs w:val="24"/>
        </w:rPr>
        <w:t xml:space="preserve"> As a result, </w:t>
      </w:r>
      <w:r w:rsidR="00DB70C5" w:rsidRPr="0084736C">
        <w:rPr>
          <w:sz w:val="24"/>
          <w:szCs w:val="24"/>
        </w:rPr>
        <w:t>material properties (e.g.</w:t>
      </w:r>
      <w:r w:rsidR="00BB59CE">
        <w:rPr>
          <w:sz w:val="24"/>
          <w:szCs w:val="24"/>
        </w:rPr>
        <w:t>,</w:t>
      </w:r>
      <w:r w:rsidR="00DB70C5" w:rsidRPr="0084736C">
        <w:rPr>
          <w:sz w:val="24"/>
          <w:szCs w:val="24"/>
        </w:rPr>
        <w:t xml:space="preserve"> stiffness) and functionality (e.g</w:t>
      </w:r>
      <w:r w:rsidR="00BB59CE">
        <w:rPr>
          <w:sz w:val="24"/>
          <w:szCs w:val="24"/>
        </w:rPr>
        <w:t>.,</w:t>
      </w:r>
      <w:r w:rsidR="00DB70C5" w:rsidRPr="0084736C">
        <w:rPr>
          <w:sz w:val="24"/>
          <w:szCs w:val="24"/>
        </w:rPr>
        <w:t xml:space="preserve"> bioactivity) can be modulated and result in tunable characteristics. </w:t>
      </w:r>
    </w:p>
    <w:p w14:paraId="6C3B2A51" w14:textId="712C2A58" w:rsidR="008B7EF3" w:rsidRPr="0084736C" w:rsidRDefault="00701EBF" w:rsidP="00542522">
      <w:pPr>
        <w:spacing w:line="480" w:lineRule="auto"/>
        <w:rPr>
          <w:rFonts w:ascii="Arial" w:eastAsia="Times New Roman" w:hAnsi="Arial" w:cs="Arial"/>
          <w:sz w:val="24"/>
          <w:szCs w:val="24"/>
        </w:rPr>
      </w:pPr>
      <w:r w:rsidRPr="0084736C">
        <w:rPr>
          <w:rFonts w:ascii="Arial" w:eastAsia="Times New Roman" w:hAnsi="Arial" w:cs="Arial"/>
          <w:sz w:val="24"/>
          <w:szCs w:val="24"/>
        </w:rPr>
        <w:lastRenderedPageBreak/>
        <w:t>Unlike proteins, peptides do not fold into complex tertiary structures; instead, they may form α-helices and β-sheets</w:t>
      </w:r>
      <w:r w:rsidR="00BB59CE">
        <w:rPr>
          <w:rFonts w:ascii="Arial" w:eastAsia="Times New Roman" w:hAnsi="Arial" w:cs="Arial"/>
          <w:sz w:val="24"/>
          <w:szCs w:val="24"/>
        </w:rPr>
        <w:t>,</w:t>
      </w:r>
      <w:r w:rsidR="00B21E63">
        <w:rPr>
          <w:rFonts w:ascii="Arial" w:eastAsia="Times New Roman" w:hAnsi="Arial" w:cs="Arial"/>
          <w:sz w:val="24"/>
          <w:szCs w:val="24"/>
        </w:rPr>
        <w:t xml:space="preserve"> </w:t>
      </w:r>
      <w:r w:rsidR="00542522" w:rsidRPr="0084736C">
        <w:rPr>
          <w:rFonts w:ascii="Arial" w:eastAsia="Times New Roman" w:hAnsi="Arial" w:cs="Arial"/>
          <w:sz w:val="24"/>
          <w:szCs w:val="24"/>
        </w:rPr>
        <w:t xml:space="preserve">which </w:t>
      </w:r>
      <w:r w:rsidR="008B7EF3" w:rsidRPr="0084736C">
        <w:rPr>
          <w:rFonts w:ascii="Arial" w:eastAsia="Times New Roman" w:hAnsi="Arial" w:cs="Arial"/>
          <w:sz w:val="24"/>
          <w:szCs w:val="24"/>
        </w:rPr>
        <w:t>are two main secondary structure motifs</w:t>
      </w:r>
      <w:r w:rsidR="00542522" w:rsidRPr="0084736C">
        <w:rPr>
          <w:rFonts w:ascii="Arial" w:eastAsia="Times New Roman" w:hAnsi="Arial" w:cs="Arial"/>
          <w:sz w:val="24"/>
          <w:szCs w:val="24"/>
        </w:rPr>
        <w:t xml:space="preserve"> </w:t>
      </w:r>
      <w:r w:rsidR="008B7EF3" w:rsidRPr="0084736C">
        <w:rPr>
          <w:rFonts w:ascii="Arial" w:eastAsia="Times New Roman" w:hAnsi="Arial" w:cs="Arial"/>
          <w:sz w:val="24"/>
          <w:szCs w:val="24"/>
        </w:rPr>
        <w:t>originat</w:t>
      </w:r>
      <w:r w:rsidR="00542522" w:rsidRPr="0084736C">
        <w:rPr>
          <w:rFonts w:ascii="Arial" w:eastAsia="Times New Roman" w:hAnsi="Arial" w:cs="Arial"/>
          <w:sz w:val="24"/>
          <w:szCs w:val="24"/>
        </w:rPr>
        <w:t>ing</w:t>
      </w:r>
      <w:r w:rsidR="008B7EF3" w:rsidRPr="0084736C">
        <w:rPr>
          <w:rFonts w:ascii="Arial" w:eastAsia="Times New Roman" w:hAnsi="Arial" w:cs="Arial"/>
          <w:sz w:val="24"/>
          <w:szCs w:val="24"/>
        </w:rPr>
        <w:t xml:space="preserve"> from intramolecular hydrogen bonding in localized regions of the sequence, producing specific arrangements of the peptide “backbone”.</w:t>
      </w:r>
      <w:r w:rsidR="008B7EF3"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{"citationID":"2RM6m5xh","properties":{"formattedCitation":"\\super 19\\nosupersub{}","plainCitation":"19","noteIndex":0},"citationItems":[{"id":181,"uris":["http://zotero.org/users/5797676/items/BAKTU5VJ"],"itemData":{"id":181,"type":"article-journal","abstract":"Peptide self-assembled nanostructures are very popular in many biomedical applications. Drug delivery is one of the most promising applications among them. The tremendous advantages for peptide self-assembled nanostructures include good biocompatibility, low cost, tunable bioactivity, high drug loading capacities, chemical diversity, specific targeting, and stimuli responsive drug delivery at disease sites. Peptide self-assembled nanostructures such as nanoparticles, nanotubes, nanofibers, and hydrogels have been investigated by many researchers for drug delivery applications. In this review, the underlying mechanisms for the self-assembled nanostructures based on peptides with different types and structures are introduced and discussed. Peptide self-assembled nanostructures associated promising drug delivery applications such as anticancer drug and gene drug delivery are highlighted. Furthermore, peptide self-assembled nanostructures for targeted and stimuli responsive drug delivery applications are also reviewed and discussed.","container-title":"Journal of Nanomaterials","DOI":"10.1155/2017/4562474","page":"1-16","title":"Peptide Self-Assembled Nanostructures for Drug Delivery Applications","volume":"2017","author":[{"family":"Fan","given":"Taotao"},{"family":"Yu","given":"Xiaoyan"},{"family":"Shen","given":"Bing"},{"family":"Sun","given":"Leming"}],"issued":{"date-parts":[["2017"]]},"citation-key":"fanPeptideSelfAssembledNanostructures2017"}}],"schema":"https://github.com/citation-style-language/schema/raw/master/csl-citation.json"} </w:instrText>
      </w:r>
      <w:r w:rsidR="008B7EF3" w:rsidRPr="0084736C">
        <w:rPr>
          <w:rFonts w:ascii="Arial" w:eastAsia="Times New Roman" w:hAnsi="Arial" w:cs="Arial"/>
          <w:sz w:val="24"/>
          <w:szCs w:val="24"/>
        </w:rPr>
        <w:fldChar w:fldCharType="separate"/>
      </w:r>
      <w:r w:rsidR="008678B2" w:rsidRPr="008678B2">
        <w:rPr>
          <w:rFonts w:ascii="Arial" w:hAnsi="Arial" w:cs="Arial"/>
          <w:sz w:val="24"/>
          <w:vertAlign w:val="superscript"/>
        </w:rPr>
        <w:t>19</w:t>
      </w:r>
      <w:r w:rsidR="008B7EF3" w:rsidRPr="0084736C">
        <w:rPr>
          <w:rFonts w:ascii="Arial" w:eastAsia="Times New Roman" w:hAnsi="Arial" w:cs="Arial"/>
          <w:sz w:val="24"/>
          <w:szCs w:val="24"/>
        </w:rPr>
        <w:fldChar w:fldCharType="end"/>
      </w:r>
      <w:r w:rsidR="008B7EF3" w:rsidRPr="0084736C">
        <w:rPr>
          <w:rFonts w:ascii="Arial" w:eastAsia="Times New Roman" w:hAnsi="Arial" w:cs="Arial"/>
          <w:sz w:val="24"/>
          <w:szCs w:val="24"/>
        </w:rPr>
        <w:t xml:space="preserve"> α-helices are formed as repeating helical structures involving a hydrogen bond between the carbonyl group of one amino acid and the amide group of the fourth amino acid ahead in the sequence.</w:t>
      </w:r>
      <w:r w:rsidR="008B7EF3"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{"citationID":"MBEuwo60","properties":{"formattedCitation":"\\super 20\\nosupersub{}","plainCitation":"20","noteIndex":0},"citationItems":[{"id":177,"uris":["http://zotero.org/users/5797676/items/4CX4LGBB"],"itemData":{"id":177,"type":"article-journal","container-title":"Protein &amp; Peptide Letters","DOI":"10.2174/0929866525666180917163142","ISSN":"0929866525666","issue":"2","page":"88-97","title":"Self-assembly of Functional Nanostructures by Short Helical Peptide Building Blocks","volume":"26","author":[{"family":"Bera","given":"Santu"},{"family":"Gazit","given":"Ehud"}],"issued":{"date-parts":[["2018"]]},"citation-key":"beraSelfassemblyFunctionalNanostructures2018"}}],"schema":"https://github.com/citation-style-language/schema/raw/master/csl-citation.json"} </w:instrText>
      </w:r>
      <w:r w:rsidR="008B7EF3" w:rsidRPr="0084736C">
        <w:rPr>
          <w:rFonts w:ascii="Arial" w:eastAsia="Times New Roman" w:hAnsi="Arial" w:cs="Arial"/>
          <w:sz w:val="24"/>
          <w:szCs w:val="24"/>
        </w:rPr>
        <w:fldChar w:fldCharType="separate"/>
      </w:r>
      <w:r w:rsidR="008678B2" w:rsidRPr="008678B2">
        <w:rPr>
          <w:rFonts w:ascii="Arial" w:hAnsi="Arial" w:cs="Arial"/>
          <w:sz w:val="24"/>
          <w:vertAlign w:val="superscript"/>
        </w:rPr>
        <w:t>20</w:t>
      </w:r>
      <w:r w:rsidR="008B7EF3" w:rsidRPr="0084736C">
        <w:rPr>
          <w:rFonts w:ascii="Arial" w:eastAsia="Times New Roman" w:hAnsi="Arial" w:cs="Arial"/>
          <w:sz w:val="24"/>
          <w:szCs w:val="24"/>
        </w:rPr>
        <w:fldChar w:fldCharType="end"/>
      </w:r>
      <w:r w:rsidR="008B7EF3" w:rsidRPr="0084736C">
        <w:rPr>
          <w:rFonts w:ascii="Arial" w:eastAsia="Times New Roman" w:hAnsi="Arial" w:cs="Arial"/>
          <w:sz w:val="24"/>
          <w:szCs w:val="24"/>
        </w:rPr>
        <w:t xml:space="preserve"> As a result, </w:t>
      </w:r>
      <w:r w:rsidR="00BB59CE">
        <w:rPr>
          <w:rFonts w:ascii="Arial" w:eastAsia="Times New Roman" w:hAnsi="Arial" w:cs="Arial"/>
          <w:sz w:val="24"/>
          <w:szCs w:val="24"/>
        </w:rPr>
        <w:t xml:space="preserve">amino acid </w:t>
      </w:r>
      <w:r w:rsidR="008B7EF3" w:rsidRPr="0084736C">
        <w:rPr>
          <w:rFonts w:ascii="Arial" w:eastAsia="Times New Roman" w:hAnsi="Arial" w:cs="Arial"/>
          <w:sz w:val="24"/>
          <w:szCs w:val="24"/>
        </w:rPr>
        <w:t>side chains become exposed on each helix</w:t>
      </w:r>
      <w:r w:rsidR="00BB59CE">
        <w:rPr>
          <w:rFonts w:ascii="Arial" w:eastAsia="Times New Roman" w:hAnsi="Arial" w:cs="Arial"/>
          <w:sz w:val="24"/>
          <w:szCs w:val="24"/>
        </w:rPr>
        <w:t>’s surface</w:t>
      </w:r>
      <w:r w:rsidR="008B7EF3" w:rsidRPr="0084736C">
        <w:rPr>
          <w:rFonts w:ascii="Arial" w:eastAsia="Times New Roman" w:hAnsi="Arial" w:cs="Arial"/>
          <w:sz w:val="24"/>
          <w:szCs w:val="24"/>
        </w:rPr>
        <w:t>. Two or more α-helices can bundle together and form coiled-coil structures.</w:t>
      </w:r>
      <w:r w:rsidR="008B7EF3"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{"citationID":"Qu5KqzFC","properties":{"formattedCitation":"\\super 21\\nosupersub{}","plainCitation":"21","noteIndex":0},"citationItems":[{"id":178,"uris":["http://zotero.org/users/5797676/items/NZLY6WQR"],"itemData":{"id":178,"type":"article-journal","abstract":"alpha-Helical coiled coils are versatile protein domains, supporting a wide range of biological functions. Their fold is probably better understood than that of any other protein; indeed, uniquely among folds, their structure can be computed from a set of parametric equations. Here, we review the principles of coiled-coil structure, the determinants of their folding and stability, and the diversity of structural forms they assume.","container-title":"Advances in Protein Chemistry","DOI":"10.1016/S0065-3233(04)70003-0","ISSN":"9780120342709","issue":"04","page":"37-78","title":"The structure of alpha-helical coiled coils","URL":"http://www.ncbi.nlm.nih.gov/entrez/query.fcgi?cmd=Retrieve&amp;db=PubMed&amp;dopt=Citation&amp;list_uids=15837513","volume":"70","author":[{"family":"Lupas","given":"By Andrei N"},{"family":"Gruber","given":"Markus"}],"issued":{"date-parts":[["2005"]]},"citation-key":"lupasStructureAlphahelicalCoiled2005"}}],"schema":"https://github.com/citation-style-language/schema/raw/master/csl-citation.json"} </w:instrText>
      </w:r>
      <w:r w:rsidR="008B7EF3" w:rsidRPr="0084736C">
        <w:rPr>
          <w:rFonts w:ascii="Arial" w:eastAsia="Times New Roman" w:hAnsi="Arial" w:cs="Arial"/>
          <w:sz w:val="24"/>
          <w:szCs w:val="24"/>
        </w:rPr>
        <w:fldChar w:fldCharType="separate"/>
      </w:r>
      <w:r w:rsidR="008678B2" w:rsidRPr="008678B2">
        <w:rPr>
          <w:rFonts w:ascii="Arial" w:hAnsi="Arial" w:cs="Arial"/>
          <w:sz w:val="24"/>
          <w:vertAlign w:val="superscript"/>
        </w:rPr>
        <w:t>21</w:t>
      </w:r>
      <w:r w:rsidR="008B7EF3" w:rsidRPr="0084736C">
        <w:rPr>
          <w:rFonts w:ascii="Arial" w:eastAsia="Times New Roman" w:hAnsi="Arial" w:cs="Arial"/>
          <w:sz w:val="24"/>
          <w:szCs w:val="24"/>
        </w:rPr>
        <w:fldChar w:fldCharType="end"/>
      </w:r>
      <w:r w:rsidR="008B7EF3" w:rsidRPr="0084736C">
        <w:rPr>
          <w:rFonts w:ascii="Arial" w:eastAsia="Times New Roman" w:hAnsi="Arial" w:cs="Arial"/>
          <w:sz w:val="24"/>
          <w:szCs w:val="24"/>
        </w:rPr>
        <w:t xml:space="preserve"> On the other hand, in β-sheet structures, two or more polypeptide chains line up with each other</w:t>
      </w:r>
      <w:r w:rsidR="00BB59CE">
        <w:rPr>
          <w:rFonts w:ascii="Arial" w:eastAsia="Times New Roman" w:hAnsi="Arial" w:cs="Arial"/>
          <w:sz w:val="24"/>
          <w:szCs w:val="24"/>
        </w:rPr>
        <w:t>,</w:t>
      </w:r>
      <w:r w:rsidR="008B7EF3" w:rsidRPr="0084736C">
        <w:rPr>
          <w:rFonts w:ascii="Arial" w:eastAsia="Times New Roman" w:hAnsi="Arial" w:cs="Arial"/>
          <w:sz w:val="24"/>
          <w:szCs w:val="24"/>
        </w:rPr>
        <w:t xml:space="preserve"> and hydrogen bonding occurs between carbonyl and amide groups of the peptide backbone.</w:t>
      </w:r>
      <w:r w:rsidR="008B7EF3"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{"citationID":"nN4QLC5u","properties":{"formattedCitation":"\\super 22\\nosupersub{}","plainCitation":"22","noteIndex":0},"citationItems":[{"id":179,"uris":["http://zotero.org/users/5797676/items/VTUIZKYG"],"itemData":{"id":179,"type":"article-journal","container-title":"Accounts of Chemical Research","DOI":"10.1016/j.cgh.2008.07.016.Cytokeratin","issue":"10","page":"1319-1330","title":"Exploring β-Sheet Structure and Interactions with Chemical Model Systems","volume":"41","author":[{"family":"Nowick","given":"James S."}],"issued":{"date-parts":[["2008"]]},"citation-key":"nowickExploringVSheetStructure2008"}}],"schema":"https://github.com/citation-style-language/schema/raw/master/csl-citation.json"} </w:instrText>
      </w:r>
      <w:r w:rsidR="008B7EF3" w:rsidRPr="0084736C">
        <w:rPr>
          <w:rFonts w:ascii="Arial" w:eastAsia="Times New Roman" w:hAnsi="Arial" w:cs="Arial"/>
          <w:sz w:val="24"/>
          <w:szCs w:val="24"/>
        </w:rPr>
        <w:fldChar w:fldCharType="separate"/>
      </w:r>
      <w:r w:rsidR="008678B2" w:rsidRPr="008678B2">
        <w:rPr>
          <w:rFonts w:ascii="Arial" w:hAnsi="Arial" w:cs="Arial"/>
          <w:sz w:val="24"/>
          <w:vertAlign w:val="superscript"/>
        </w:rPr>
        <w:t>22</w:t>
      </w:r>
      <w:r w:rsidR="008B7EF3" w:rsidRPr="0084736C">
        <w:rPr>
          <w:rFonts w:ascii="Arial" w:eastAsia="Times New Roman" w:hAnsi="Arial" w:cs="Arial"/>
          <w:sz w:val="24"/>
          <w:szCs w:val="24"/>
        </w:rPr>
        <w:fldChar w:fldCharType="end"/>
      </w:r>
      <w:r w:rsidR="008B7EF3" w:rsidRPr="0084736C">
        <w:rPr>
          <w:rFonts w:ascii="Arial" w:eastAsia="Times New Roman" w:hAnsi="Arial" w:cs="Arial"/>
          <w:sz w:val="24"/>
          <w:szCs w:val="24"/>
        </w:rPr>
        <w:t xml:space="preserve"> This arrangement forms either in parallel arrays (where strands point in the same direction) or in antiparallel arrays (where strands point in the opposite directions). A β-sheet-forming peptide is generally designed by using hydrophobic and hydrophilic domains. While hydrophobic segments hide themselves from the aqueous environment within the core of the self-assembled structure, the hydrophilic parts expose themselves to the aqueous environment.</w:t>
      </w:r>
      <w:r w:rsidR="008B7EF3" w:rsidRPr="0084736C">
        <w:rPr>
          <w:rFonts w:ascii="Arial" w:eastAsia="Times New Roman" w:hAnsi="Arial" w:cs="Arial"/>
          <w:sz w:val="24"/>
          <w:szCs w:val="24"/>
        </w:rPr>
        <w:fldChar w:fldCharType="begin"/>
      </w:r>
      <w:r w:rsidR="008678B2">
        <w:rPr>
          <w:rFonts w:ascii="Arial" w:eastAsia="Times New Roman" w:hAnsi="Arial" w:cs="Arial"/>
          <w:sz w:val="24"/>
          <w:szCs w:val="24"/>
        </w:rPr>
        <w:instrText xml:space="preserve"> ADDIN ZOTERO_ITEM CSL_CITATION {"citationID":"c6iJenR1","properties":{"formattedCitation":"\\super 23\\nosupersub{}","plainCitation":"23","noteIndex":0},"citationItems":[{"id":180,"uris":["http://zotero.org/users/5797676/items/45USG5DF"],"itemData":{"id":180,"type":"article-journal","abstract":"The use of self-assembly for the construction of functional biomaterials is a highly promising and exciting area of research, with great potential for the treatment of injury or disease. By using multiple noncovalent interactions, coded into the molecular design of the constituent components, self-assembly allows for the construction of complex, adaptable, and highly tunable materials with potent biological effects. This review describes some of the seminal advances in the use of self-assembly to make novel systems for regenerative medicine and biology. Materials based on peptides, proteins, DNA, or hybrids thereof have found application in the treatment of a wide range of injuries and diseases, and this review outlines the design principles and practical applications of these systems. Most of the examples covered focus on the synthesis of hydrogels for the scaffolding or transplantation of cells, with an emphasis on the biological, mechanical, and structural properties of the resulting materials. In addition, we will discuss the distinct advantages conferred by self-assembly (compared with traditional covalent materials), and present some of the challenges and opportunities for the next generation of self-assembled biomaterials. © 2012 Acta Materialia Inc. Published by Elsevier Ltd. All rights reserved.","container-title":"Acta Materialia","DOI":"10.1016/j.actamat.2012.10.046","issue":"3","page":"912-930","title":"Self-assembly for the synthesis of functional biomaterials","URL":"http://dx.doi.org/10.1016/j.actamat.2012.10.046","volume":"61","author":[{"family":"Stephanopoulos","given":"Nicholas"},{"family":"Ortony","given":"Julia H."},{"family":"Stupp","given":"Samuel I."}],"issued":{"date-parts":[["2013"]]},"citation-key":"stephanopoulosSelfassemblySynthesisFunctional2013"}}],"schema":"https://github.com/citation-style-language/schema/raw/master/csl-citation.json"} </w:instrText>
      </w:r>
      <w:r w:rsidR="008B7EF3" w:rsidRPr="0084736C">
        <w:rPr>
          <w:rFonts w:ascii="Arial" w:eastAsia="Times New Roman" w:hAnsi="Arial" w:cs="Arial"/>
          <w:sz w:val="24"/>
          <w:szCs w:val="24"/>
        </w:rPr>
        <w:fldChar w:fldCharType="separate"/>
      </w:r>
      <w:r w:rsidR="008678B2" w:rsidRPr="008678B2">
        <w:rPr>
          <w:rFonts w:ascii="Arial" w:hAnsi="Arial" w:cs="Arial"/>
          <w:sz w:val="24"/>
          <w:vertAlign w:val="superscript"/>
        </w:rPr>
        <w:t>23</w:t>
      </w:r>
      <w:r w:rsidR="008B7EF3" w:rsidRPr="0084736C">
        <w:rPr>
          <w:rFonts w:ascii="Arial" w:eastAsia="Times New Roman" w:hAnsi="Arial" w:cs="Arial"/>
          <w:sz w:val="24"/>
          <w:szCs w:val="24"/>
        </w:rPr>
        <w:fldChar w:fldCharType="end"/>
      </w:r>
      <w:r w:rsidR="008B7EF3" w:rsidRPr="0084736C">
        <w:rPr>
          <w:rFonts w:ascii="Arial" w:eastAsia="Times New Roman" w:hAnsi="Arial" w:cs="Arial"/>
          <w:sz w:val="24"/>
          <w:szCs w:val="24"/>
        </w:rPr>
        <w:t xml:space="preserve"> By designing hydrophilic domains with amino acids of specific functionalities, the surface of the structure can be modified for specificity to particular tasks in certain types of cell.</w:t>
      </w:r>
    </w:p>
    <w:p w14:paraId="42E50EE0" w14:textId="2AB0F8B4" w:rsidR="00447709" w:rsidRPr="0084736C" w:rsidRDefault="008B7EF3" w:rsidP="00A36FE8">
      <w:pPr>
        <w:spacing w:after="0" w:line="480" w:lineRule="auto"/>
        <w:rPr>
          <w:rFonts w:ascii="Arial" w:eastAsia="Times New Roman" w:hAnsi="Arial" w:cs="Arial"/>
          <w:sz w:val="24"/>
          <w:szCs w:val="24"/>
        </w:rPr>
      </w:pPr>
      <w:r w:rsidRPr="0084736C">
        <w:rPr>
          <w:rFonts w:ascii="Arial" w:eastAsia="Times New Roman" w:hAnsi="Arial" w:cs="Arial"/>
          <w:sz w:val="24"/>
          <w:szCs w:val="24"/>
        </w:rPr>
        <w:t xml:space="preserve">The success of </w:t>
      </w:r>
      <w:r w:rsidR="00EB7774" w:rsidRPr="0084736C">
        <w:rPr>
          <w:rFonts w:ascii="Arial" w:eastAsia="Times New Roman" w:hAnsi="Arial" w:cs="Arial"/>
          <w:sz w:val="24"/>
          <w:szCs w:val="24"/>
        </w:rPr>
        <w:t xml:space="preserve">designing peptide structures inspires scientists to mimic the behavior of the proteins which can be complex </w:t>
      </w:r>
      <w:r w:rsidR="002E6DCB" w:rsidRPr="0084736C">
        <w:rPr>
          <w:rFonts w:ascii="Arial" w:eastAsia="Times New Roman" w:hAnsi="Arial" w:cs="Arial"/>
          <w:sz w:val="24"/>
          <w:szCs w:val="24"/>
        </w:rPr>
        <w:t>to provide scalable technological solutions. Therefore, minimalistic versions like peptides can give rise to new technologies with tunable properties and functions</w:t>
      </w:r>
      <w:r w:rsidR="00BB59CE" w:rsidRPr="00BB59CE">
        <w:rPr>
          <w:rFonts w:ascii="Arial" w:eastAsia="Times New Roman" w:hAnsi="Arial" w:cs="Arial"/>
          <w:sz w:val="24"/>
          <w:szCs w:val="24"/>
        </w:rPr>
        <w:t xml:space="preserve"> </w:t>
      </w:r>
      <w:r w:rsidR="00BB59CE" w:rsidRPr="0084736C">
        <w:rPr>
          <w:rFonts w:ascii="Arial" w:eastAsia="Times New Roman" w:hAnsi="Arial" w:cs="Arial"/>
          <w:sz w:val="24"/>
          <w:szCs w:val="24"/>
        </w:rPr>
        <w:t>instead of studying and using a whole protein</w:t>
      </w:r>
      <w:r w:rsidR="002E6DCB" w:rsidRPr="0084736C">
        <w:rPr>
          <w:rFonts w:ascii="Arial" w:eastAsia="Times New Roman" w:hAnsi="Arial" w:cs="Arial"/>
          <w:sz w:val="24"/>
          <w:szCs w:val="24"/>
        </w:rPr>
        <w:t xml:space="preserve">. </w:t>
      </w:r>
    </w:p>
    <w:p w14:paraId="1009B70E" w14:textId="2EA85C95" w:rsidR="00020C30" w:rsidRPr="0084736C" w:rsidRDefault="00637B38">
      <w:pPr>
        <w:pStyle w:val="Heading3"/>
        <w:numPr>
          <w:ilvl w:val="2"/>
          <w:numId w:val="3"/>
        </w:numPr>
        <w:spacing w:line="480" w:lineRule="auto"/>
      </w:pPr>
      <w:bookmarkStart w:id="12" w:name="_Toc114946691"/>
      <w:bookmarkStart w:id="13" w:name="_Toc121134612"/>
      <w:r w:rsidRPr="0084736C">
        <w:t>Amyloid-</w:t>
      </w:r>
      <w:r w:rsidR="00205A65" w:rsidRPr="0084736C">
        <w:t xml:space="preserve">like </w:t>
      </w:r>
      <w:r w:rsidR="009B6EE0" w:rsidRPr="0084736C">
        <w:t>P</w:t>
      </w:r>
      <w:r w:rsidR="00205A65" w:rsidRPr="0084736C">
        <w:t>eptides</w:t>
      </w:r>
      <w:bookmarkEnd w:id="12"/>
      <w:bookmarkEnd w:id="13"/>
      <w:r w:rsidRPr="0084736C">
        <w:t xml:space="preserve"> </w:t>
      </w:r>
    </w:p>
    <w:p w14:paraId="74CDE21D" w14:textId="0EACBD13" w:rsidR="0084192D" w:rsidRPr="0084736C" w:rsidRDefault="008B7EF3" w:rsidP="00A36FE8">
      <w:pPr>
        <w:spacing w:after="0" w:line="480" w:lineRule="auto"/>
        <w:rPr>
          <w:rFonts w:ascii="Arial" w:hAnsi="Arial" w:cs="Arial"/>
          <w:sz w:val="24"/>
          <w:szCs w:val="24"/>
        </w:rPr>
      </w:pPr>
      <w:r w:rsidRPr="0084736C">
        <w:rPr>
          <w:rFonts w:ascii="Arial" w:hAnsi="Arial" w:cs="Arial"/>
          <w:sz w:val="24"/>
          <w:szCs w:val="24"/>
        </w:rPr>
        <w:lastRenderedPageBreak/>
        <w:t>In more recent years, it has become apparent that a class of diseases with late onset and slow progression are caused by a gain in function brought on by a protein that has been folded abnormally.</w:t>
      </w:r>
      <w:r w:rsidRPr="0084736C">
        <w:rPr>
          <w:rFonts w:ascii="Arial" w:hAnsi="Arial" w:cs="Arial"/>
          <w:sz w:val="24"/>
          <w:szCs w:val="24"/>
        </w:rPr>
        <w:fldChar w:fldCharType="begin"/>
      </w:r>
      <w:r w:rsidR="008678B2">
        <w:rPr>
          <w:rFonts w:ascii="Arial" w:hAnsi="Arial" w:cs="Arial"/>
          <w:sz w:val="24"/>
          <w:szCs w:val="24"/>
        </w:rPr>
        <w:instrText xml:space="preserve"> ADDIN ZOTERO_ITEM CSL_CITATION {"citationID":"OLAmdENI","properties":{"formattedCitation":"\\super 24\\nosupersub{}","plainCitation":"24","noteIndex":0},"citationItems":[{"id":12286,"uris":["http://zotero.org/groups/2667333/items/49KVHM4X"],"itemData":{"id":12286,"type":"article-journal","abstract":"Molecular evolution has not always kept pace with our aspirations for a longer and better life.","container-title":"Nature","DOI":"10.1038/418729a","ISSN":"1476-4687","issue":"6899","language":"en","license":"2002 Nature Publishing Group","note":"number: 6899\npublisher: Nature Publishing Group","page":"729-730","source":"www.nature.com","title":"Protein-misfolding diseases: Getting out of shape","title-short":"Protein-misfolding diseases","URL":"https://www.nature.com/articles/418729a","volume":"418","author":[{"family":"Dobson","given":"Christopher M."}],"accessed":{"date-parts":[["2022",9,8]]},"issued":{"date-parts":[["2002",8]]},"citation-key":"dobson_protein-misfolding_2002"}}],"schema":"https://github.com/citation-style-language/schema/raw/master/csl-citation.json"} </w:instrText>
      </w:r>
      <w:r w:rsidRPr="0084736C">
        <w:rPr>
          <w:rFonts w:ascii="Arial" w:hAnsi="Arial" w:cs="Arial"/>
          <w:sz w:val="24"/>
          <w:szCs w:val="24"/>
        </w:rPr>
        <w:fldChar w:fldCharType="separate"/>
      </w:r>
      <w:r w:rsidR="008678B2" w:rsidRPr="008678B2">
        <w:rPr>
          <w:rFonts w:ascii="Arial" w:hAnsi="Arial" w:cs="Arial"/>
          <w:sz w:val="24"/>
          <w:vertAlign w:val="superscript"/>
        </w:rPr>
        <w:t>24</w:t>
      </w:r>
      <w:r w:rsidRPr="0084736C">
        <w:rPr>
          <w:rFonts w:ascii="Arial" w:hAnsi="Arial" w:cs="Arial"/>
          <w:sz w:val="24"/>
          <w:szCs w:val="24"/>
        </w:rPr>
        <w:fldChar w:fldCharType="end"/>
      </w:r>
      <w:r w:rsidRPr="0084736C">
        <w:rPr>
          <w:rFonts w:ascii="Arial" w:hAnsi="Arial" w:cs="Arial"/>
          <w:sz w:val="24"/>
          <w:szCs w:val="24"/>
        </w:rPr>
        <w:t xml:space="preserve"> Common neurodegenerative pathologies like Alzheimer's (AD) and Parkinson's disease (PD) are among these conditions, which are characterized by ordered, fibrillar protein aggregates known as amyloid fibrils.</w:t>
      </w:r>
      <w:r w:rsidR="00020C30" w:rsidRPr="0084736C">
        <w:rPr>
          <w:rFonts w:ascii="Arial" w:hAnsi="Arial" w:cs="Arial"/>
          <w:sz w:val="24"/>
          <w:szCs w:val="24"/>
        </w:rPr>
        <w:fldChar w:fldCharType="begin"/>
      </w:r>
      <w:r w:rsidR="008678B2">
        <w:rPr>
          <w:rFonts w:ascii="Arial" w:hAnsi="Arial" w:cs="Arial"/>
          <w:sz w:val="24"/>
          <w:szCs w:val="24"/>
        </w:rPr>
        <w:instrText xml:space="preserve"> ADDIN ZOTERO_ITEM CSL_CITATION {"citationID":"a22ol960n7b","properties":{"formattedCitation":"\\super 25\\nosupersub{}","plainCitation":"25","noteIndex":0},"citationItems":[{"id":5028,"uris":["http://zotero.org/groups/2667333/items/Z7YEBGKR"],"itemData":{"id":5028,"type":"article-journal","abstract":"Extracellular matrices (ECM) play an enormous role in any living system, controlling various factors and eventually fates of cells. ECM regulates cell fate by providing constant exogenous signals altering intracellular signal transduction for diverse pathways including proliferation, migration, differentiation, and apoptosis. Biomaterial scaffolds are designed to mimic the natural extracellular matrix such that the cells could recapitulate natural events alike their natural niche. Therefore, the success of tissue engineering is largely dependent on how one can engineer the natural matrix properties at nanoscale precision. In this aspect, several recent studies have suggested that, as long as amyloid fibrils are not toxic, they can be utilized for cell adhesion and tissue engineering applications due to its ECM mimetic surface topography and ability to mediate active cell adhesion via focal adhesions. Although historically associated with human diseases, amyloids have presently emerged as one of the excellent biomaterials evolved in nature. In this review, we focus on the recent advances of amyloid-based biomaterials for cell adhesion and tissue engineering applications.","container-title":"Biomacromolecules","DOI":"10.1021/acs.biomac.8b00279","ISSN":"1525-7797","issue":"6","journalAbbreviation":"Biomacromolecules","note":"publisher: American Chemical Society","page":"1826-1839","source":"ACS Publications","title":"Amyloid Fibrils: Versatile Biomaterials for Cell Adhesion and Tissue Engineering Applications","title-short":"Amyloid Fibrils","URL":"https://doi.org/10.1021/acs.biomac.8b00279","volume":"19","author":[{"family":"Das","given":"Subhadeep"},{"family":"Jacob","given":"Reeba S."},{"family":"Patel","given":"Komal"},{"family":"Singh","given":"Namrata"},{"family":"Maji","given":"Samir K."}],"accessed":{"date-parts":[["2021",2,3]]},"issued":{"date-parts":[["2018",6,11]]},"citation-key":"dasAmyloidFibrilsVersatile2018"}}],"schema":"https://github.com/citation-style-language/schema/raw/master/csl-citation.json"} </w:instrText>
      </w:r>
      <w:r w:rsidR="00020C30" w:rsidRPr="0084736C">
        <w:rPr>
          <w:rFonts w:ascii="Arial" w:hAnsi="Arial" w:cs="Arial"/>
          <w:sz w:val="24"/>
          <w:szCs w:val="24"/>
        </w:rPr>
        <w:fldChar w:fldCharType="separate"/>
      </w:r>
      <w:r w:rsidR="008678B2" w:rsidRPr="008678B2">
        <w:rPr>
          <w:rFonts w:ascii="Arial" w:hAnsi="Arial" w:cs="Arial"/>
          <w:sz w:val="24"/>
          <w:vertAlign w:val="superscript"/>
        </w:rPr>
        <w:t>25</w:t>
      </w:r>
      <w:r w:rsidR="00020C30" w:rsidRPr="0084736C">
        <w:rPr>
          <w:rFonts w:ascii="Arial" w:hAnsi="Arial" w:cs="Arial"/>
          <w:sz w:val="24"/>
          <w:szCs w:val="24"/>
        </w:rPr>
        <w:fldChar w:fldCharType="end"/>
      </w:r>
      <w:r w:rsidR="00B26245" w:rsidRPr="0084736C">
        <w:rPr>
          <w:rFonts w:ascii="Arial" w:hAnsi="Arial" w:cs="Arial"/>
          <w:sz w:val="24"/>
          <w:szCs w:val="24"/>
        </w:rPr>
        <w:t xml:space="preserve"> </w:t>
      </w:r>
      <w:r w:rsidR="00C10777" w:rsidRPr="0084736C">
        <w:rPr>
          <w:rFonts w:ascii="Symbol" w:hAnsi="Symbol" w:cs="Arial"/>
          <w:sz w:val="24"/>
          <w:szCs w:val="24"/>
        </w:rPr>
        <w:t>b</w:t>
      </w:r>
      <w:r w:rsidR="00C10777" w:rsidRPr="0084736C">
        <w:rPr>
          <w:rFonts w:ascii="Arial" w:hAnsi="Arial" w:cs="Arial"/>
          <w:sz w:val="24"/>
          <w:szCs w:val="24"/>
        </w:rPr>
        <w:t xml:space="preserve">-sheet motif, which demonstrates distinct morphological and mechanical properties, is the structural hallmark of self-assembly into amyloid fibrils. </w:t>
      </w:r>
    </w:p>
    <w:p w14:paraId="52BAC5C0" w14:textId="77777777" w:rsidR="004050A6" w:rsidRPr="0084736C" w:rsidRDefault="004050A6">
      <w:pPr>
        <w:pStyle w:val="Heading4"/>
        <w:numPr>
          <w:ilvl w:val="3"/>
          <w:numId w:val="3"/>
        </w:numPr>
        <w:spacing w:line="480" w:lineRule="auto"/>
        <w:rPr>
          <w:sz w:val="24"/>
          <w:szCs w:val="24"/>
        </w:rPr>
      </w:pPr>
      <w:bookmarkStart w:id="14" w:name="_Toc114946692"/>
      <w:bookmarkStart w:id="15" w:name="_Toc121134613"/>
      <w:r w:rsidRPr="0084736C">
        <w:rPr>
          <w:sz w:val="24"/>
          <w:szCs w:val="24"/>
        </w:rPr>
        <w:t>Kinetics of Amyloid Fibril Formation</w:t>
      </w:r>
      <w:bookmarkEnd w:id="14"/>
      <w:bookmarkEnd w:id="15"/>
    </w:p>
    <w:p w14:paraId="0DDFD811" w14:textId="13518A1E" w:rsidR="00EE7824" w:rsidRPr="0084736C" w:rsidRDefault="00EE7824" w:rsidP="00EE7824">
      <w:pPr>
        <w:spacing w:line="480" w:lineRule="auto"/>
        <w:rPr>
          <w:sz w:val="24"/>
          <w:szCs w:val="24"/>
        </w:rPr>
      </w:pPr>
      <w:r w:rsidRPr="0084736C">
        <w:rPr>
          <w:rFonts w:ascii="Arial" w:eastAsia="Times New Roman" w:hAnsi="Arial" w:cs="Arial"/>
          <w:sz w:val="24"/>
          <w:szCs w:val="24"/>
        </w:rPr>
        <w:t>The kinetics of amyloid fibril formation suggest</w:t>
      </w:r>
      <w:r w:rsidR="00BB59CE">
        <w:rPr>
          <w:rFonts w:ascii="Arial" w:eastAsia="Times New Roman" w:hAnsi="Arial" w:cs="Arial"/>
          <w:sz w:val="24"/>
          <w:szCs w:val="24"/>
        </w:rPr>
        <w:t>s</w:t>
      </w:r>
      <w:r w:rsidRPr="0084736C">
        <w:rPr>
          <w:rFonts w:ascii="Arial" w:eastAsia="Times New Roman" w:hAnsi="Arial" w:cs="Arial"/>
          <w:sz w:val="24"/>
          <w:szCs w:val="24"/>
        </w:rPr>
        <w:t xml:space="preserve"> a nucleation</w:t>
      </w:r>
      <w:r w:rsidR="00BB59CE">
        <w:rPr>
          <w:rFonts w:ascii="Arial" w:eastAsia="Times New Roman" w:hAnsi="Arial" w:cs="Arial"/>
          <w:sz w:val="24"/>
          <w:szCs w:val="24"/>
        </w:rPr>
        <w:t>-</w:t>
      </w:r>
      <w:r w:rsidRPr="0084736C">
        <w:rPr>
          <w:rFonts w:ascii="Arial" w:eastAsia="Times New Roman" w:hAnsi="Arial" w:cs="Arial"/>
          <w:sz w:val="24"/>
          <w:szCs w:val="24"/>
        </w:rPr>
        <w:t xml:space="preserve">dependent polymerization process </w:t>
      </w:r>
      <w:r w:rsidR="00BB59CE">
        <w:rPr>
          <w:rFonts w:ascii="Arial" w:eastAsia="Times New Roman" w:hAnsi="Arial" w:cs="Arial"/>
          <w:sz w:val="24"/>
          <w:szCs w:val="24"/>
        </w:rPr>
        <w:t>that</w:t>
      </w:r>
      <w:r w:rsidRPr="0084736C">
        <w:rPr>
          <w:rFonts w:ascii="Arial" w:eastAsia="Times New Roman" w:hAnsi="Arial" w:cs="Arial"/>
          <w:sz w:val="24"/>
          <w:szCs w:val="24"/>
        </w:rPr>
        <w:t xml:space="preserve"> converts soluble monomeric forms of protein fragment</w:t>
      </w:r>
      <w:r w:rsidR="00BB59CE">
        <w:rPr>
          <w:rFonts w:ascii="Arial" w:eastAsia="Times New Roman" w:hAnsi="Arial" w:cs="Arial"/>
          <w:sz w:val="24"/>
          <w:szCs w:val="24"/>
        </w:rPr>
        <w:t>s</w:t>
      </w:r>
      <w:r w:rsidRPr="0084736C">
        <w:rPr>
          <w:rFonts w:ascii="Arial" w:eastAsia="Times New Roman" w:hAnsi="Arial" w:cs="Arial"/>
          <w:sz w:val="24"/>
          <w:szCs w:val="24"/>
        </w:rPr>
        <w:t xml:space="preserve"> (amyloid</w:t>
      </w:r>
      <w:r w:rsidR="00BB59CE">
        <w:rPr>
          <w:rFonts w:ascii="Arial" w:eastAsia="Times New Roman" w:hAnsi="Arial" w:cs="Arial"/>
          <w:sz w:val="24"/>
          <w:szCs w:val="24"/>
        </w:rPr>
        <w:t>-</w:t>
      </w:r>
      <w:r w:rsidRPr="0084736C">
        <w:rPr>
          <w:rFonts w:ascii="Arial" w:eastAsia="Times New Roman" w:hAnsi="Arial" w:cs="Arial"/>
          <w:sz w:val="24"/>
          <w:szCs w:val="24"/>
        </w:rPr>
        <w:t>forming peptides) into amyloid fibrils.</w:t>
      </w:r>
      <w:r w:rsidRPr="0084736C">
        <w:rPr>
          <w:rFonts w:ascii="Arial" w:hAnsi="Arial" w:cs="Arial"/>
          <w:sz w:val="24"/>
          <w:szCs w:val="24"/>
        </w:rPr>
        <w:fldChar w:fldCharType="begin"/>
      </w:r>
      <w:r w:rsidR="008678B2">
        <w:rPr>
          <w:rFonts w:ascii="Arial" w:hAnsi="Arial" w:cs="Arial"/>
          <w:sz w:val="24"/>
          <w:szCs w:val="24"/>
        </w:rPr>
        <w:instrText xml:space="preserve"> ADDIN ZOTERO_ITEM CSL_CITATION {"citationID":"arfsu3fktf","properties":{"formattedCitation":"\\super 26\\nosupersub{}","plainCitation":"26","noteIndex":0},"citationItems":[{"id":12663,"uris":["http://zotero.org/groups/2667333/items/P2C6K2V5"],"itemData":{"id":12663,"type":"article-journal","abstract":"Interest in amyloidogenesis has exploded in recent years, as scientists recognize the role of amyloid protein aggregates in degenerative diseases such as Alzheimer's and Parkinson's disease. Assembly of proteins or peptides into mature amyloid fibrils is a multistep process initiated by conformational changes, during which intermediate aggregation states such as oligomers, protofibrils, and filaments are sampled. Although once it was assumed that the mature fibril was the biologically toxic species, more recently it has been widely speculated that soluble intermediates are the most damaging. Because of its relevance to mechanism of disease, the paths traversed during fibrillogenesis, and the kinetics of the process, are of considerable interest. In this review we discuss various kinetic models used to describe amyloidogenesis. Although significant advances have been made, construction of rigorous, detailed, and experimentally validated quantitative models remains a work in progress. We briefly review recent literature that illustrates the interplay between kinetics and amyloid–membrane interactions: how do different intermediates interact with lipid bilayers, and how does the lipid bilayer affect kinetics of amyloidogenesis?","collection-title":"Amyloidogenic Protein–Membrane Interaction","container-title":"Biochimica et Biophysica Acta (BBA) - Biomembranes","DOI":"10.1016/j.bbamem.2006.12.014","ISSN":"0005-2736","issue":"8","journalAbbreviation":"Biochimica et Biophysica Acta (BBA) - Biomembranes","language":"en","page":"1923-1934","source":"ScienceDirect","title":"Kinetics of amyloid formation and membrane interaction with amyloidogenic proteins","URL":"https://www.sciencedirect.com/science/article/pii/S0005273606004913","volume":"1768","author":[{"family":"Murphy","given":"Regina M."}],"accessed":{"date-parts":[["2022",9,21]]},"issued":{"date-parts":[["2007",8,1]]},"citation-key":"murphy_kinetics_2007"}}],"schema":"https://github.com/citation-style-language/schema/raw/master/csl-citation.json"} </w:instrText>
      </w:r>
      <w:r w:rsidRPr="0084736C">
        <w:rPr>
          <w:rFonts w:ascii="Arial" w:hAnsi="Arial" w:cs="Arial"/>
          <w:sz w:val="24"/>
          <w:szCs w:val="24"/>
        </w:rPr>
        <w:fldChar w:fldCharType="separate"/>
      </w:r>
      <w:r w:rsidR="008678B2" w:rsidRPr="008678B2">
        <w:rPr>
          <w:rFonts w:ascii="Arial" w:hAnsi="Arial" w:cs="Arial"/>
          <w:sz w:val="24"/>
          <w:vertAlign w:val="superscript"/>
        </w:rPr>
        <w:t>26</w:t>
      </w:r>
      <w:r w:rsidRPr="0084736C">
        <w:rPr>
          <w:rFonts w:ascii="Arial" w:hAnsi="Arial" w:cs="Arial"/>
          <w:sz w:val="24"/>
          <w:szCs w:val="24"/>
        </w:rPr>
        <w:fldChar w:fldCharType="end"/>
      </w:r>
      <w:r w:rsidRPr="0084736C">
        <w:rPr>
          <w:rFonts w:ascii="Arial" w:hAnsi="Arial" w:cs="Arial"/>
          <w:sz w:val="24"/>
          <w:szCs w:val="24"/>
        </w:rPr>
        <w:t xml:space="preserve"> Overall process is explained by a funnel-like landscape</w:t>
      </w:r>
      <w:r w:rsidR="00115264">
        <w:rPr>
          <w:rFonts w:ascii="Arial" w:hAnsi="Arial" w:cs="Arial"/>
          <w:sz w:val="24"/>
          <w:szCs w:val="24"/>
        </w:rPr>
        <w:t xml:space="preserve"> </w:t>
      </w:r>
      <w:r w:rsidR="00497EBB">
        <w:rPr>
          <w:rFonts w:ascii="Arial" w:hAnsi="Arial" w:cs="Arial"/>
          <w:sz w:val="24"/>
          <w:szCs w:val="24"/>
        </w:rPr>
        <w:t xml:space="preserve">kinetic energy </w:t>
      </w:r>
      <w:r w:rsidR="00115264">
        <w:rPr>
          <w:rFonts w:ascii="Arial" w:hAnsi="Arial" w:cs="Arial"/>
          <w:sz w:val="24"/>
          <w:szCs w:val="24"/>
        </w:rPr>
        <w:t>model</w:t>
      </w:r>
      <w:r w:rsidRPr="0084736C">
        <w:rPr>
          <w:rFonts w:ascii="Arial" w:hAnsi="Arial" w:cs="Arial"/>
          <w:sz w:val="24"/>
          <w:szCs w:val="24"/>
        </w:rPr>
        <w:t>, in which p</w:t>
      </w:r>
      <w:r w:rsidRPr="0084736C">
        <w:rPr>
          <w:sz w:val="24"/>
          <w:szCs w:val="24"/>
        </w:rPr>
        <w:t xml:space="preserve">rotein folding (purple part) and amyloid fibril formation (pink part) can be seen with </w:t>
      </w:r>
      <w:r w:rsidR="00BB59CE">
        <w:rPr>
          <w:sz w:val="24"/>
          <w:szCs w:val="24"/>
        </w:rPr>
        <w:t xml:space="preserve">an </w:t>
      </w:r>
      <w:r w:rsidRPr="0084736C">
        <w:rPr>
          <w:sz w:val="24"/>
          <w:szCs w:val="24"/>
        </w:rPr>
        <w:t>energy landscape (Figure 1</w:t>
      </w:r>
      <w:r w:rsidR="00497EBB">
        <w:rPr>
          <w:sz w:val="24"/>
          <w:szCs w:val="24"/>
        </w:rPr>
        <w:t>.3</w:t>
      </w:r>
      <w:r w:rsidRPr="0084736C">
        <w:rPr>
          <w:sz w:val="24"/>
          <w:szCs w:val="24"/>
        </w:rPr>
        <w:t>).</w:t>
      </w:r>
      <w:r w:rsidR="007526FE">
        <w:rPr>
          <w:sz w:val="24"/>
          <w:szCs w:val="24"/>
        </w:rPr>
        <w:fldChar w:fldCharType="begin"/>
      </w:r>
      <w:r w:rsidR="008678B2">
        <w:rPr>
          <w:sz w:val="24"/>
          <w:szCs w:val="24"/>
        </w:rPr>
        <w:instrText xml:space="preserve"> ADDIN ZOTERO_ITEM CSL_CITATION {"citationID":"a29gn2k7a6f","properties":{"formattedCitation":"\\super 27\\nosupersub{}","plainCitation":"27","noteIndex":0},"citationItems":[{"id":12701,"uris":["http://zotero.org/groups/2667333/items/LQD9255K"],"itemData":{"id":12701,"type":"article-journal","abstract":"Intrinsically disordered protein (IDP) conformers occupy large regions of conformational space and display relatively flat energy surfaces. Amyloid-forming IDPs, unlike natively folded proteins, have folding trajectories that frequently involve movements up shallow energy gradients prior to the “downhill” folding leading to fibril formation. We suggest that structural perturbations caused by chiral inversions of amino acid side-chains may be especially valuable in elucidating these pathways of IDP folding. Chiral inversions are subtle in that they do not change side-chain size, flexibility, hydropathy, charge, or polarizability. They allow focus to be placed solely on the question of how changes in amino acid side-chain orientation, and the resultant alterations in peptide backbone structure, affect a peptide’s conformational landscape (Ramachandran space). If specific inversions affect folding and assembly, then the sites involved likely are important in mediating these processes. We suggest here a “focused chiral mutant library” approach for the unbiased study of amyloid-forming IDPs.","container-title":"Scientific Reports","DOI":"10.1038/s41598-017-10525-5","ISSN":"2045-2322","issue":"1","journalAbbreviation":"Sci Rep","language":"en","license":"2017 The Author(s)","note":"number: 1\npublisher: Nature Publishing Group","page":"12433","source":"www.nature.com","title":"Using chirality to probe the conformational dynamics and assembly of intrinsically disordered amyloid proteins","URL":"https://www.nature.com/articles/s41598-017-10525-5","volume":"7","author":[{"family":"Raskatov","given":"Jevgenij A."},{"family":"Teplow","given":"David B."}],"accessed":{"date-parts":[["2022",9,21]]},"issued":{"date-parts":[["2017",10,2]]},"citation-key":"raskatov_using_2017"}}],"schema":"https://github.com/citation-style-language/schema/raw/master/csl-citation.json"} </w:instrText>
      </w:r>
      <w:r w:rsidR="007526FE">
        <w:rPr>
          <w:sz w:val="24"/>
          <w:szCs w:val="24"/>
        </w:rPr>
        <w:fldChar w:fldCharType="separate"/>
      </w:r>
      <w:r w:rsidR="008678B2" w:rsidRPr="008678B2">
        <w:rPr>
          <w:rFonts w:ascii="Arial" w:cs="Arial"/>
          <w:sz w:val="24"/>
          <w:vertAlign w:val="superscript"/>
        </w:rPr>
        <w:t>27</w:t>
      </w:r>
      <w:r w:rsidR="007526FE">
        <w:rPr>
          <w:sz w:val="24"/>
          <w:szCs w:val="24"/>
        </w:rPr>
        <w:fldChar w:fldCharType="end"/>
      </w:r>
      <w:r w:rsidRPr="0084736C">
        <w:rPr>
          <w:sz w:val="24"/>
          <w:szCs w:val="24"/>
        </w:rPr>
        <w:t xml:space="preserve"> In this </w:t>
      </w:r>
      <w:r w:rsidR="00497EBB">
        <w:rPr>
          <w:sz w:val="24"/>
          <w:szCs w:val="24"/>
        </w:rPr>
        <w:t>energy landscape</w:t>
      </w:r>
      <w:r w:rsidRPr="0084736C">
        <w:rPr>
          <w:sz w:val="24"/>
          <w:szCs w:val="24"/>
        </w:rPr>
        <w:t>, there are two pathways</w:t>
      </w:r>
      <w:r w:rsidR="00BB59CE">
        <w:rPr>
          <w:sz w:val="24"/>
          <w:szCs w:val="24"/>
        </w:rPr>
        <w:t xml:space="preserve">: </w:t>
      </w:r>
      <w:r w:rsidRPr="0084736C">
        <w:rPr>
          <w:sz w:val="24"/>
          <w:szCs w:val="24"/>
        </w:rPr>
        <w:t>on- and off-pathway folding.</w:t>
      </w:r>
      <w:r w:rsidR="00537A6E">
        <w:rPr>
          <w:sz w:val="24"/>
          <w:szCs w:val="24"/>
        </w:rPr>
        <w:fldChar w:fldCharType="begin"/>
      </w:r>
      <w:r w:rsidR="008678B2">
        <w:rPr>
          <w:sz w:val="24"/>
          <w:szCs w:val="24"/>
        </w:rPr>
        <w:instrText xml:space="preserve"> ADDIN ZOTERO_ITEM CSL_CITATION {"citationID":"QQRMjG32","properties":{"formattedCitation":"\\super 27\\nosupersub{}","plainCitation":"27","noteIndex":0},"citationItems":[{"id":12701,"uris":["http://zotero.org/groups/2667333/items/LQD9255K"],"itemData":{"id":12701,"type":"article-journal","abstract":"Intrinsically disordered protein (IDP) conformers occupy large regions of conformational space and display relatively flat energy surfaces. Amyloid-forming IDPs, unlike natively folded proteins, have folding trajectories that frequently involve movements up shallow energy gradients prior to the “downhill” folding leading to fibril formation. We suggest that structural perturbations caused by chiral inversions of amino acid side-chains may be especially valuable in elucidating these pathways of IDP folding. Chiral inversions are subtle in that they do not change side-chain size, flexibility, hydropathy, charge, or polarizability. They allow focus to be placed solely on the question of how changes in amino acid side-chain orientation, and the resultant alterations in peptide backbone structure, affect a peptide’s conformational landscape (Ramachandran space). If specific inversions affect folding and assembly, then the sites involved likely are important in mediating these processes. We suggest here a “focused chiral mutant library” approach for the unbiased study of amyloid-forming IDPs.","container-title":"Scientific Reports","DOI":"10.1038/s41598-017-10525-5","ISSN":"2045-2322","issue":"1","journalAbbreviation":"Sci Rep","language":"en","license":"2017 The Author(s)","note":"number: 1\npublisher: Nature Publishing Group","page":"12433","source":"www.nature.com","title":"Using chirality to probe the conformational dynamics and assembly of intrinsically disordered amyloid proteins","URL":"https://www.nature.com/articles/s41598-017-10525-5","volume":"7","author":[{"family":"Raskatov","given":"Jevgenij A."},{"family":"Teplow","given":"David B."}],"accessed":{"date-parts":[["2022",9,21]]},"issued":{"date-parts":[["2017",10,2]]},"citation-key":"raskatov_using_2017"}}],"schema":"https://github.com/citation-style-language/schema/raw/master/csl-citation.json"} </w:instrText>
      </w:r>
      <w:r w:rsidR="00537A6E">
        <w:rPr>
          <w:sz w:val="24"/>
          <w:szCs w:val="24"/>
        </w:rPr>
        <w:fldChar w:fldCharType="separate"/>
      </w:r>
      <w:r w:rsidR="008678B2" w:rsidRPr="008678B2">
        <w:rPr>
          <w:rFonts w:ascii="Arial" w:cs="Arial"/>
          <w:sz w:val="24"/>
          <w:vertAlign w:val="superscript"/>
        </w:rPr>
        <w:t>27</w:t>
      </w:r>
      <w:r w:rsidR="00537A6E">
        <w:rPr>
          <w:sz w:val="24"/>
          <w:szCs w:val="24"/>
        </w:rPr>
        <w:fldChar w:fldCharType="end"/>
      </w:r>
      <w:r w:rsidRPr="0084736C">
        <w:rPr>
          <w:sz w:val="24"/>
          <w:szCs w:val="24"/>
        </w:rPr>
        <w:t xml:space="preserve"> During on-pathway folding, unfolded polypeptide chains run through several folding intermediates to reach the native folded state (purple part).</w:t>
      </w:r>
      <w:r w:rsidR="00537A6E">
        <w:rPr>
          <w:sz w:val="24"/>
          <w:szCs w:val="24"/>
        </w:rPr>
        <w:fldChar w:fldCharType="begin"/>
      </w:r>
      <w:r w:rsidR="008678B2">
        <w:rPr>
          <w:sz w:val="24"/>
          <w:szCs w:val="24"/>
        </w:rPr>
        <w:instrText xml:space="preserve"> ADDIN ZOTERO_ITEM CSL_CITATION {"citationID":"sJOyCVVz","properties":{"formattedCitation":"\\super 27\\nosupersub{}","plainCitation":"27","noteIndex":0},"citationItems":[{"id":12701,"uris":["http://zotero.org/groups/2667333/items/LQD9255K"],"itemData":{"id":12701,"type":"article-journal","abstract":"Intrinsically disordered protein (IDP) conformers occupy large regions of conformational space and display relatively flat energy surfaces. Amyloid-forming IDPs, unlike natively folded proteins, have folding trajectories that frequently involve movements up shallow energy gradients prior to the “downhill” folding leading to fibril formation. We suggest that structural perturbations caused by chiral inversions of amino acid side-chains may be especially valuable in elucidating these pathways of IDP folding. Chiral inversions are subtle in that they do not change side-chain size, flexibility, hydropathy, charge, or polarizability. They allow focus to be placed solely on the question of how changes in amino acid side-chain orientation, and the resultant alterations in peptide backbone structure, affect a peptide’s conformational landscape (Ramachandran space). If specific inversions affect folding and assembly, then the sites involved likely are important in mediating these processes. We suggest here a “focused chiral mutant library” approach for the unbiased study of amyloid-forming IDPs.","container-title":"Scientific Reports","DOI":"10.1038/s41598-017-10525-5","ISSN":"2045-2322","issue":"1","journalAbbreviation":"Sci Rep","language":"en","license":"2017 The Author(s)","note":"number: 1\npublisher: Nature Publishing Group","page":"12433","source":"www.nature.com","title":"Using chirality to probe the conformational dynamics and assembly of intrinsically disordered amyloid proteins","URL":"https://www.nature.com/articles/s41598-017-10525-5","volume":"7","author":[{"family":"Raskatov","given":"Jevgenij A."},{"family":"Teplow","given":"David B."}],"accessed":{"date-parts":[["2022",9,21]]},"issued":{"date-parts":[["2017",10,2]]},"citation-key":"raskatov_using_2017"}}],"schema":"https://github.com/citation-style-language/schema/raw/master/csl-citation.json"} </w:instrText>
      </w:r>
      <w:r w:rsidR="00537A6E">
        <w:rPr>
          <w:sz w:val="24"/>
          <w:szCs w:val="24"/>
        </w:rPr>
        <w:fldChar w:fldCharType="separate"/>
      </w:r>
      <w:r w:rsidR="008678B2" w:rsidRPr="008678B2">
        <w:rPr>
          <w:rFonts w:ascii="Arial" w:cs="Arial"/>
          <w:sz w:val="24"/>
          <w:vertAlign w:val="superscript"/>
        </w:rPr>
        <w:t>27</w:t>
      </w:r>
      <w:r w:rsidR="00537A6E">
        <w:rPr>
          <w:sz w:val="24"/>
          <w:szCs w:val="24"/>
        </w:rPr>
        <w:fldChar w:fldCharType="end"/>
      </w:r>
      <w:r w:rsidRPr="0084736C">
        <w:rPr>
          <w:sz w:val="24"/>
          <w:szCs w:val="24"/>
        </w:rPr>
        <w:t xml:space="preserve"> </w:t>
      </w:r>
      <w:r w:rsidRPr="0084736C">
        <w:rPr>
          <w:rFonts w:ascii="Arial" w:hAnsi="Arial" w:cs="Arial"/>
          <w:sz w:val="24"/>
          <w:szCs w:val="24"/>
        </w:rPr>
        <w:t xml:space="preserve">The energy landscape toward the thermodynamically advantageous native state is difficult, </w:t>
      </w:r>
      <w:r w:rsidR="00BB59CE">
        <w:rPr>
          <w:rFonts w:ascii="Arial" w:hAnsi="Arial" w:cs="Arial"/>
          <w:sz w:val="24"/>
          <w:szCs w:val="24"/>
        </w:rPr>
        <w:t>so</w:t>
      </w:r>
      <w:r w:rsidRPr="0084736C">
        <w:rPr>
          <w:rFonts w:ascii="Arial" w:hAnsi="Arial" w:cs="Arial"/>
          <w:sz w:val="24"/>
          <w:szCs w:val="24"/>
        </w:rPr>
        <w:t xml:space="preserve"> molecules must overcome kinetic energy barriers to reach </w:t>
      </w:r>
      <w:r w:rsidR="00BB59CE">
        <w:rPr>
          <w:rFonts w:ascii="Arial" w:hAnsi="Arial" w:cs="Arial"/>
          <w:sz w:val="24"/>
          <w:szCs w:val="24"/>
        </w:rPr>
        <w:t xml:space="preserve">the </w:t>
      </w:r>
      <w:r w:rsidRPr="0084736C">
        <w:rPr>
          <w:rFonts w:ascii="Arial" w:hAnsi="Arial" w:cs="Arial"/>
          <w:sz w:val="24"/>
          <w:szCs w:val="24"/>
        </w:rPr>
        <w:t xml:space="preserve">native state. </w:t>
      </w:r>
      <w:r w:rsidR="00BB59CE">
        <w:rPr>
          <w:rFonts w:ascii="Arial" w:hAnsi="Arial" w:cs="Arial"/>
          <w:sz w:val="24"/>
          <w:szCs w:val="24"/>
        </w:rPr>
        <w:t>In</w:t>
      </w:r>
      <w:r w:rsidRPr="0084736C">
        <w:rPr>
          <w:rFonts w:ascii="Arial" w:hAnsi="Arial" w:cs="Arial"/>
          <w:sz w:val="24"/>
          <w:szCs w:val="24"/>
        </w:rPr>
        <w:t xml:space="preserve"> the end, </w:t>
      </w:r>
      <w:r w:rsidR="00BB59CE">
        <w:rPr>
          <w:rFonts w:ascii="Arial" w:hAnsi="Arial" w:cs="Arial"/>
          <w:sz w:val="24"/>
          <w:szCs w:val="24"/>
        </w:rPr>
        <w:t xml:space="preserve">the </w:t>
      </w:r>
      <w:r w:rsidRPr="0084736C">
        <w:rPr>
          <w:sz w:val="24"/>
          <w:szCs w:val="24"/>
        </w:rPr>
        <w:t>highest energy states are occupied by on- or off-pathway intermediates (folding intermediates or partially folded states).</w:t>
      </w:r>
      <w:r w:rsidR="00537A6E">
        <w:rPr>
          <w:sz w:val="24"/>
          <w:szCs w:val="24"/>
        </w:rPr>
        <w:fldChar w:fldCharType="begin"/>
      </w:r>
      <w:r w:rsidR="008678B2">
        <w:rPr>
          <w:sz w:val="24"/>
          <w:szCs w:val="24"/>
        </w:rPr>
        <w:instrText xml:space="preserve"> ADDIN ZOTERO_ITEM CSL_CITATION {"citationID":"qoF257t1","properties":{"formattedCitation":"\\super 27\\nosupersub{}","plainCitation":"27","noteIndex":0},"citationItems":[{"id":12701,"uris":["http://zotero.org/groups/2667333/items/LQD9255K"],"itemData":{"id":12701,"type":"article-journal","abstract":"Intrinsically disordered protein (IDP) conformers occupy large regions of conformational space and display relatively flat energy surfaces. Amyloid-forming IDPs, unlike natively folded proteins, have folding trajectories that frequently involve movements up shallow energy gradients prior to the “downhill” folding leading to fibril formation. We suggest that structural perturbations caused by chiral inversions of amino acid side-chains may be especially valuable in elucidating these pathways of IDP folding. Chiral inversions are subtle in that they do not change side-chain size, flexibility, hydropathy, charge, or polarizability. They allow focus to be placed solely on the question of how changes in amino acid side-chain orientation, and the resultant alterations in peptide backbone structure, affect a peptide’s conformational landscape (Ramachandran space). If specific inversions affect folding and assembly, then the sites involved likely are important in mediating these processes. We suggest here a “focused chiral mutant library” approach for the unbiased study of amyloid-forming IDPs.","container-title":"Scientific Reports","DOI":"10.1038/s41598-017-10525-5","ISSN":"2045-2322","issue":"1","journalAbbreviation":"Sci Rep","language":"en","license":"2017 The Author(s)","note":"number: 1\npublisher: Nature Publishing Group","page":"12433","source":"www.nature.com","title":"Using chirality to probe the conformational dynamics and assembly of intrinsically disordered amyloid proteins","URL":"https://www.nature.com/articles/s41598-017-10525-5","volume":"7","author":[{"family":"Raskatov","given":"Jevgenij A."},{"family":"Teplow","given":"David B."}],"accessed":{"date-parts":[["2022",9,21]]},"issued":{"date-parts":[["2017",10,2]]},"citation-key":"raskatov_using_2017"}}],"schema":"https://github.com/citation-style-language/schema/raw/master/csl-citation.json"} </w:instrText>
      </w:r>
      <w:r w:rsidR="00537A6E">
        <w:rPr>
          <w:sz w:val="24"/>
          <w:szCs w:val="24"/>
        </w:rPr>
        <w:fldChar w:fldCharType="separate"/>
      </w:r>
      <w:r w:rsidR="008678B2" w:rsidRPr="008678B2">
        <w:rPr>
          <w:rFonts w:ascii="Arial" w:cs="Arial"/>
          <w:sz w:val="24"/>
          <w:vertAlign w:val="superscript"/>
        </w:rPr>
        <w:t>27</w:t>
      </w:r>
      <w:r w:rsidR="00537A6E">
        <w:rPr>
          <w:sz w:val="24"/>
          <w:szCs w:val="24"/>
        </w:rPr>
        <w:fldChar w:fldCharType="end"/>
      </w:r>
    </w:p>
    <w:p w14:paraId="0CB11FC2" w14:textId="77777777" w:rsidR="00EE7824" w:rsidRDefault="00EE7824" w:rsidP="00EE7824">
      <w:pPr>
        <w:spacing w:line="480" w:lineRule="auto"/>
        <w:rPr>
          <w:sz w:val="22"/>
          <w:szCs w:val="24"/>
        </w:rPr>
      </w:pPr>
    </w:p>
    <w:p w14:paraId="5E4EAE21" w14:textId="77777777" w:rsidR="00EE7824" w:rsidRDefault="00EE7824" w:rsidP="00EE7824">
      <w:pPr>
        <w:keepNext/>
        <w:spacing w:line="480" w:lineRule="auto"/>
        <w:jc w:val="center"/>
      </w:pPr>
      <w:r>
        <w:lastRenderedPageBreak/>
        <w:fldChar w:fldCharType="begin"/>
      </w:r>
      <w:r>
        <w:instrText xml:space="preserve"> INCLUDEPICTURE "https://media.springernature.com/lw685/springer-static/image/art%3A10.1038%2Fs41598-017-10525-5/MediaObjects/41598_2017_10525_Fig1_HTML.jpg?as=webp" \* MERGEFORMATINET </w:instrText>
      </w:r>
      <w:r>
        <w:fldChar w:fldCharType="separate"/>
      </w:r>
      <w:r>
        <w:rPr>
          <w:noProof/>
        </w:rPr>
        <w:drawing>
          <wp:inline distT="0" distB="0" distL="0" distR="0" wp14:anchorId="09F088F5" wp14:editId="6BC2D540">
            <wp:extent cx="3866613" cy="2789498"/>
            <wp:effectExtent l="0" t="0" r="0" b="508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b="7334"/>
                    <a:stretch/>
                  </pic:blipFill>
                  <pic:spPr bwMode="auto">
                    <a:xfrm>
                      <a:off x="0" y="0"/>
                      <a:ext cx="3959362" cy="285641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0B7B080D" w14:textId="5042CA55" w:rsidR="00EE7824" w:rsidRPr="00D4639D" w:rsidRDefault="00EE7824" w:rsidP="008A3EF7">
      <w:pPr>
        <w:pStyle w:val="Caption"/>
        <w:rPr>
          <w:b/>
          <w:caps/>
        </w:rPr>
      </w:pPr>
      <w:bookmarkStart w:id="16" w:name="_Toc114946649"/>
      <w:bookmarkStart w:id="17" w:name="_Toc114947245"/>
      <w:r w:rsidRPr="00D4639D">
        <w:t xml:space="preserve">Figure 1. </w:t>
      </w:r>
      <w:fldSimple w:instr=" SEQ Figure_1. \* ARABIC ">
        <w:r w:rsidR="00785166">
          <w:rPr>
            <w:noProof/>
          </w:rPr>
          <w:t>3</w:t>
        </w:r>
      </w:fldSimple>
      <w:r w:rsidRPr="00D4639D">
        <w:t xml:space="preserve"> A schematic of </w:t>
      </w:r>
      <w:r w:rsidR="00BB59CE" w:rsidRPr="00D4639D">
        <w:t xml:space="preserve">the </w:t>
      </w:r>
      <w:r w:rsidRPr="00D4639D">
        <w:t xml:space="preserve">energy landscape of amyloid folding (purple) and fibril formation (pink). </w:t>
      </w:r>
      <w:r w:rsidR="00BB59CE" w:rsidRPr="00D4639D">
        <w:t>The t</w:t>
      </w:r>
      <w:r w:rsidRPr="00D4639D">
        <w:t>op part of the funnel represent the highest free energy. During folding process (purple part), free energy decreases and results in native state of folded protein. In the case of off-pathway folding (pink part), the lowest free energy observed in fibrillar form of amyloid, which yields the most stable thermodynamic state. Reproduced with permission from</w:t>
      </w:r>
      <w:r w:rsidRPr="00D4639D">
        <w:rPr>
          <w:b/>
          <w:caps/>
        </w:rPr>
        <w:fldChar w:fldCharType="begin"/>
      </w:r>
      <w:r w:rsidR="008678B2" w:rsidRPr="00D4639D">
        <w:instrText xml:space="preserve"> ADDIN ZOTERO_ITEM CSL_CITATION {"citationID":"atq38uii4p","properties":{"formattedCitation":"\\super 27\\nosupersub{}","plainCitation":"27","noteIndex":0},"citationItems":[{"id":12701,"uris":["http://zotero.org/groups/2667333/items/LQD9255K"],"itemData":{"id":12701,"type":"article-journal","abstract":"Intrinsically disordered protein (IDP) conformers occupy large regions of conformational space and display relatively flat energy surfaces. Amyloid-forming IDPs, unlike natively folded proteins, have folding trajectories that frequently involve movements up shallow energy gradients prior to the “downhill” folding leading to fibril formation. We suggest that structural perturbations caused by chiral inversions of amino acid side-chains may be especially valuable in elucidating these pathways of IDP folding. Chiral inversions are subtle in that they do not change side-chain size, flexibility, hydropathy, charge, or polarizability. They allow focus to be placed solely on the question of how changes in amino acid side-chain orientation, and the resultant alterations in peptide backbone structure, affect a peptide’s conformational landscape (Ramachandran space). If specific inversions affect folding and assembly, then the sites involved likely are important in mediating these processes. We suggest here a “focused chiral mutant library” approach for the unbiased study of amyloid-forming IDPs.","container-title":"Scientific Reports","DOI":"10.1038/s41598-017-10525-5","ISSN":"2045-2322","issue":"1","journalAbbreviation":"Sci Rep","language":"en","license":"2017 The Author(s)","note":"number: 1\npublisher: Nature Publishing Group","page":"12433","source":"www.nature.com","title":"Using chirality to probe the conformational dynamics and assembly of intrinsically disordered amyloid proteins","URL":"https://www.nature.com/articles/s41598-017-10525-5","volume":"7","author":[{"family":"Raskatov","given":"Jevgenij A."},{"family":"Teplow","given":"David B."}],"accessed":{"date-parts":[["2022",9,21]]},"issued":{"date-parts":[["2017",10,2]]},"citation-key":"raskatov_using_2017"}}],"schema":"https://github.com/citation-style-language/schema/raw/master/csl-citation.json"} </w:instrText>
      </w:r>
      <w:r w:rsidRPr="00D4639D">
        <w:rPr>
          <w:b/>
          <w:caps/>
        </w:rPr>
        <w:fldChar w:fldCharType="separate"/>
      </w:r>
      <w:bookmarkEnd w:id="16"/>
      <w:bookmarkEnd w:id="17"/>
      <w:r w:rsidR="008678B2" w:rsidRPr="00D4639D">
        <w:rPr>
          <w:rFonts w:ascii="Arial" w:cs="Arial"/>
          <w:vertAlign w:val="superscript"/>
        </w:rPr>
        <w:t>27</w:t>
      </w:r>
      <w:r w:rsidRPr="00D4639D">
        <w:rPr>
          <w:b/>
          <w:caps/>
        </w:rPr>
        <w:fldChar w:fldCharType="end"/>
      </w:r>
    </w:p>
    <w:p w14:paraId="778AF689" w14:textId="43060734" w:rsidR="00EE7824" w:rsidRPr="0084736C" w:rsidRDefault="00EE7824" w:rsidP="00EE7824">
      <w:pPr>
        <w:spacing w:line="480" w:lineRule="auto"/>
        <w:rPr>
          <w:rFonts w:ascii="Arial" w:eastAsia="Times New Roman" w:hAnsi="Arial" w:cs="Arial"/>
          <w:sz w:val="24"/>
          <w:szCs w:val="24"/>
        </w:rPr>
      </w:pPr>
      <w:r w:rsidRPr="0084736C">
        <w:rPr>
          <w:sz w:val="24"/>
          <w:szCs w:val="24"/>
        </w:rPr>
        <w:t xml:space="preserve">In the case of amyloid fibril formation, intermolecular interactions (mainly hydrophobic forces) initiate off-pathway folding (pink part). This step begins with </w:t>
      </w:r>
      <w:r w:rsidR="00BB59CE">
        <w:rPr>
          <w:sz w:val="24"/>
          <w:szCs w:val="24"/>
        </w:rPr>
        <w:t>forming</w:t>
      </w:r>
      <w:r w:rsidRPr="0084736C">
        <w:rPr>
          <w:sz w:val="24"/>
          <w:szCs w:val="24"/>
        </w:rPr>
        <w:t xml:space="preserve"> “nuclei</w:t>
      </w:r>
      <w:r w:rsidR="00956EB0" w:rsidRPr="0084736C">
        <w:rPr>
          <w:sz w:val="24"/>
          <w:szCs w:val="24"/>
        </w:rPr>
        <w:t xml:space="preserve">, </w:t>
      </w:r>
      <w:r w:rsidR="00956EB0" w:rsidRPr="0084736C">
        <w:rPr>
          <w:i/>
          <w:iCs/>
          <w:sz w:val="24"/>
          <w:szCs w:val="24"/>
        </w:rPr>
        <w:t>N</w:t>
      </w:r>
      <w:r w:rsidRPr="0084736C">
        <w:rPr>
          <w:sz w:val="24"/>
          <w:szCs w:val="24"/>
        </w:rPr>
        <w:t>” from misfolded or unfolded proteins</w:t>
      </w:r>
      <w:r w:rsidR="00AC5BC2" w:rsidRPr="0084736C">
        <w:rPr>
          <w:sz w:val="24"/>
          <w:szCs w:val="24"/>
        </w:rPr>
        <w:t xml:space="preserve"> during the lag phase (Figure 1.4)</w:t>
      </w:r>
      <w:r w:rsidR="00BB59CE">
        <w:rPr>
          <w:sz w:val="24"/>
          <w:szCs w:val="24"/>
        </w:rPr>
        <w:t>. Then, it</w:t>
      </w:r>
      <w:r w:rsidR="00AC5BC2" w:rsidRPr="0084736C">
        <w:rPr>
          <w:sz w:val="24"/>
          <w:szCs w:val="24"/>
        </w:rPr>
        <w:t xml:space="preserve"> proceeds with the formation of oligomers whose size is concentration dependent. </w:t>
      </w:r>
      <w:r w:rsidR="00AC5BC2" w:rsidRPr="0084736C">
        <w:rPr>
          <w:rFonts w:ascii="Arial" w:eastAsia="Times New Roman" w:hAnsi="Arial" w:cs="Arial"/>
          <w:sz w:val="24"/>
          <w:szCs w:val="24"/>
        </w:rPr>
        <w:t xml:space="preserve">Hence, nucleation is rate-limiting for amyloid fibril formation; the </w:t>
      </w:r>
      <w:r w:rsidR="00BB59CE">
        <w:rPr>
          <w:rFonts w:ascii="Arial" w:eastAsia="Times New Roman" w:hAnsi="Arial" w:cs="Arial"/>
          <w:sz w:val="24"/>
          <w:szCs w:val="24"/>
        </w:rPr>
        <w:t>aggregation rate</w:t>
      </w:r>
      <w:r w:rsidR="00AC5BC2" w:rsidRPr="0084736C">
        <w:rPr>
          <w:rFonts w:ascii="Arial" w:eastAsia="Times New Roman" w:hAnsi="Arial" w:cs="Arial"/>
          <w:sz w:val="24"/>
          <w:szCs w:val="24"/>
        </w:rPr>
        <w:t xml:space="preserve"> is expected to have a high-order dependence (the order is related to </w:t>
      </w:r>
      <w:r w:rsidR="00AC5BC2" w:rsidRPr="0084736C">
        <w:rPr>
          <w:rFonts w:ascii="Arial" w:eastAsia="Times New Roman" w:hAnsi="Arial" w:cs="Arial"/>
          <w:i/>
          <w:iCs/>
          <w:sz w:val="24"/>
          <w:szCs w:val="24"/>
        </w:rPr>
        <w:t>N</w:t>
      </w:r>
      <w:r w:rsidR="00AC5BC2" w:rsidRPr="0084736C">
        <w:rPr>
          <w:rFonts w:ascii="Arial" w:eastAsia="Times New Roman" w:hAnsi="Arial" w:cs="Arial"/>
          <w:sz w:val="24"/>
          <w:szCs w:val="24"/>
        </w:rPr>
        <w:t>) on protein or peptide monomer</w:t>
      </w:r>
      <w:r w:rsidR="00BB59CE">
        <w:rPr>
          <w:rFonts w:ascii="Arial" w:eastAsia="Times New Roman" w:hAnsi="Arial" w:cs="Arial"/>
          <w:sz w:val="24"/>
          <w:szCs w:val="24"/>
        </w:rPr>
        <w:t xml:space="preserve"> concentration</w:t>
      </w:r>
      <w:r w:rsidR="00AC5BC2" w:rsidRPr="0084736C">
        <w:rPr>
          <w:rFonts w:ascii="Arial" w:eastAsia="Times New Roman" w:hAnsi="Arial" w:cs="Arial"/>
          <w:sz w:val="24"/>
          <w:szCs w:val="24"/>
        </w:rPr>
        <w:t xml:space="preserve">. Following the lag phase, the growth phase occurs where larger aggregates of oligomers called protofibrils form. Then, </w:t>
      </w:r>
      <w:r w:rsidR="00E1512E" w:rsidRPr="0084736C">
        <w:rPr>
          <w:rFonts w:ascii="Arial" w:eastAsia="Times New Roman" w:hAnsi="Arial" w:cs="Arial"/>
          <w:sz w:val="24"/>
          <w:szCs w:val="24"/>
        </w:rPr>
        <w:t>protofibrils proceed</w:t>
      </w:r>
      <w:r w:rsidR="00BB59CE">
        <w:rPr>
          <w:rFonts w:ascii="Arial" w:eastAsia="Times New Roman" w:hAnsi="Arial" w:cs="Arial"/>
          <w:sz w:val="24"/>
          <w:szCs w:val="24"/>
        </w:rPr>
        <w:t xml:space="preserve"> with</w:t>
      </w:r>
      <w:r w:rsidR="00E1512E" w:rsidRPr="0084736C">
        <w:rPr>
          <w:rFonts w:ascii="Arial" w:eastAsia="Times New Roman" w:hAnsi="Arial" w:cs="Arial"/>
          <w:sz w:val="24"/>
          <w:szCs w:val="24"/>
        </w:rPr>
        <w:t xml:space="preserve"> the formation of mature fibrils in the saturation phase. </w:t>
      </w:r>
      <w:r w:rsidR="00A76B94">
        <w:rPr>
          <w:rFonts w:ascii="Arial" w:eastAsia="Times New Roman" w:hAnsi="Arial" w:cs="Arial"/>
          <w:sz w:val="24"/>
          <w:szCs w:val="24"/>
        </w:rPr>
        <w:t>In addition, a</w:t>
      </w:r>
      <w:r w:rsidR="00E1512E" w:rsidRPr="0084736C">
        <w:rPr>
          <w:rFonts w:ascii="Arial" w:eastAsia="Times New Roman" w:hAnsi="Arial" w:cs="Arial"/>
          <w:sz w:val="24"/>
          <w:szCs w:val="24"/>
        </w:rPr>
        <w:t xml:space="preserve">myloid assemblies can bind specific amyloid dyes like Thioflavin T (explained </w:t>
      </w:r>
      <w:r w:rsidR="00A76B94">
        <w:rPr>
          <w:rFonts w:ascii="Arial" w:eastAsia="Times New Roman" w:hAnsi="Arial" w:cs="Arial"/>
          <w:sz w:val="24"/>
          <w:szCs w:val="24"/>
        </w:rPr>
        <w:t>in</w:t>
      </w:r>
      <w:r w:rsidR="00E1512E" w:rsidRPr="0084736C">
        <w:rPr>
          <w:rFonts w:ascii="Arial" w:eastAsia="Times New Roman" w:hAnsi="Arial" w:cs="Arial"/>
          <w:sz w:val="24"/>
          <w:szCs w:val="24"/>
        </w:rPr>
        <w:t xml:space="preserve"> Section 1.3 in detail)</w:t>
      </w:r>
      <w:r w:rsidR="00A76B94">
        <w:rPr>
          <w:rFonts w:ascii="Arial" w:eastAsia="Times New Roman" w:hAnsi="Arial" w:cs="Arial"/>
          <w:sz w:val="24"/>
          <w:szCs w:val="24"/>
        </w:rPr>
        <w:t>,</w:t>
      </w:r>
      <w:r w:rsidR="00E1512E" w:rsidRPr="0084736C">
        <w:rPr>
          <w:rFonts w:ascii="Arial" w:eastAsia="Times New Roman" w:hAnsi="Arial" w:cs="Arial"/>
          <w:sz w:val="24"/>
          <w:szCs w:val="24"/>
        </w:rPr>
        <w:t xml:space="preserve"> which</w:t>
      </w:r>
      <w:r w:rsidR="00956EB0" w:rsidRPr="0084736C">
        <w:rPr>
          <w:rFonts w:ascii="Arial" w:eastAsia="Times New Roman" w:hAnsi="Arial" w:cs="Arial"/>
          <w:sz w:val="24"/>
          <w:szCs w:val="24"/>
        </w:rPr>
        <w:t xml:space="preserve"> helps to observe </w:t>
      </w:r>
      <w:r w:rsidR="00A76B94">
        <w:rPr>
          <w:rFonts w:ascii="Arial" w:eastAsia="Times New Roman" w:hAnsi="Arial" w:cs="Arial"/>
          <w:sz w:val="24"/>
          <w:szCs w:val="24"/>
        </w:rPr>
        <w:t xml:space="preserve">the </w:t>
      </w:r>
      <w:r w:rsidR="00956EB0" w:rsidRPr="0084736C">
        <w:rPr>
          <w:rFonts w:ascii="Arial" w:eastAsia="Times New Roman" w:hAnsi="Arial" w:cs="Arial"/>
          <w:sz w:val="24"/>
          <w:szCs w:val="24"/>
        </w:rPr>
        <w:t>kinetics of amyloid fibril assembly</w:t>
      </w:r>
      <w:r w:rsidR="00402E30" w:rsidRPr="0084736C">
        <w:rPr>
          <w:rFonts w:ascii="Arial" w:eastAsia="Times New Roman" w:hAnsi="Arial" w:cs="Arial"/>
          <w:sz w:val="24"/>
          <w:szCs w:val="24"/>
        </w:rPr>
        <w:t>.</w:t>
      </w:r>
    </w:p>
    <w:p w14:paraId="02C1A92E" w14:textId="5A83FFE2" w:rsidR="004050A6" w:rsidRDefault="004050A6" w:rsidP="004050A6">
      <w:pPr>
        <w:spacing w:line="480" w:lineRule="auto"/>
        <w:rPr>
          <w:rFonts w:ascii="Arial" w:hAnsi="Arial" w:cs="Arial"/>
          <w:sz w:val="22"/>
          <w:szCs w:val="22"/>
        </w:rPr>
      </w:pPr>
    </w:p>
    <w:p w14:paraId="1A929E76" w14:textId="61E3BD8B" w:rsidR="00AC5BC2" w:rsidRDefault="008F09C1" w:rsidP="007446C9">
      <w:pPr>
        <w:keepNext/>
        <w:spacing w:line="480" w:lineRule="auto"/>
        <w:jc w:val="center"/>
      </w:pPr>
      <w:r>
        <w:fldChar w:fldCharType="begin"/>
      </w:r>
      <w:r>
        <w:instrText xml:space="preserve"> INCLUDEPICTURE "https://onlinelibrary.wiley.com/cms/asset/25fd77af-76a3-4dc3-b288-d95430090379/anie202007924-fig-0001-m.jpg" \* MERGEFORMATINET </w:instrText>
      </w:r>
      <w:r>
        <w:fldChar w:fldCharType="separate"/>
      </w:r>
      <w:r>
        <w:rPr>
          <w:noProof/>
        </w:rPr>
        <w:drawing>
          <wp:inline distT="0" distB="0" distL="0" distR="0" wp14:anchorId="3C8912E4" wp14:editId="45A4E4A1">
            <wp:extent cx="5943600" cy="3973830"/>
            <wp:effectExtent l="0" t="0" r="0" b="1270"/>
            <wp:docPr id="42" name="Picture 42" descr="Details are in the caption following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ails are in the caption following th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973830"/>
                    </a:xfrm>
                    <a:prstGeom prst="rect">
                      <a:avLst/>
                    </a:prstGeom>
                    <a:noFill/>
                    <a:ln>
                      <a:noFill/>
                    </a:ln>
                  </pic:spPr>
                </pic:pic>
              </a:graphicData>
            </a:graphic>
          </wp:inline>
        </w:drawing>
      </w:r>
      <w:r>
        <w:fldChar w:fldCharType="end"/>
      </w:r>
    </w:p>
    <w:p w14:paraId="6F70BACA" w14:textId="4F660571" w:rsidR="004050A6" w:rsidRPr="00D4639D" w:rsidRDefault="00AC5BC2" w:rsidP="008A3EF7">
      <w:pPr>
        <w:pStyle w:val="Caption"/>
        <w:rPr>
          <w:b/>
          <w:caps/>
        </w:rPr>
      </w:pPr>
      <w:bookmarkStart w:id="18" w:name="_Toc114946650"/>
      <w:bookmarkStart w:id="19" w:name="_Toc114947246"/>
      <w:r w:rsidRPr="00D4639D">
        <w:t xml:space="preserve">Figure 1. </w:t>
      </w:r>
      <w:fldSimple w:instr=" SEQ Figure_1. \* ARABIC ">
        <w:r w:rsidR="00785166">
          <w:rPr>
            <w:noProof/>
          </w:rPr>
          <w:t>4</w:t>
        </w:r>
      </w:fldSimple>
      <w:r w:rsidR="00402E30" w:rsidRPr="00D4639D">
        <w:t xml:space="preserve"> The kinetics of amyloid fibrillization follows a sigmoidal kinetic curve. There are three steps involv</w:t>
      </w:r>
      <w:r w:rsidR="00A76B94" w:rsidRPr="00D4639D">
        <w:t>ed</w:t>
      </w:r>
      <w:r w:rsidR="00402E30" w:rsidRPr="00D4639D">
        <w:t xml:space="preserve"> in kinetics which are lag phase, growth phase and saturation phase. Reproduced with permission from</w:t>
      </w:r>
      <w:bookmarkEnd w:id="18"/>
      <w:bookmarkEnd w:id="19"/>
      <w:r w:rsidR="008F09C1">
        <w:fldChar w:fldCharType="begin"/>
      </w:r>
      <w:r w:rsidR="008F09C1">
        <w:instrText xml:space="preserve"> ADDIN ZOTERO_ITEM CSL_CITATION {"citationID":"a2hv1chgjuu","properties":{"formattedCitation":"\\super 28\\nosupersub{}","plainCitation":"28","noteIndex":0},"citationItems":[{"id":13556,"uris":["http://zotero.org/groups/2667333/items/HVKHFQHQ"],"itemData":{"id":13556,"type":"article-journal","abstract":"The generation of highly organized amyloid fibrils is associated with a wide range of conformational pathologies, including primarily neurodegenerative diseases. Such disorders are characterized by misfolded proteins that lose their normal physiological roles and acquire toxicity. Recent findings suggest that proteostasis network impairment may be one of the causes leading to the accumulation and spread of amyloids. These observations are certainly contributing to a new focus in anti-amyloid drug design, whose efforts are so far being centered on single-target approaches aimed at inhibiting amyloid aggregation. Chaperones, known to maintain proteostasis, hence represent interesting targets for the development of novel therapeutics owing to their potential protective role against protein misfolding diseases. In this minireview, research on nanoparticles that can either emulate or help molecular chaperones in recognizing and/or correcting protein misfolding is discussed. The nascent concept of “nanochaperone” may indeed set future directions towards the development of cost-effective, disease-modifying drugs to treat several currently fatal disorders.","container-title":"Angewandte Chemie","DOI":"10.1002/ange.202007924","ISSN":"1521-3757","issue":"1","language":"en","note":"_eprint: https://onlinelibrary.wiley.com/doi/pdf/10.1002/ange.202007924","page":"41-52","source":"Wiley Online Library","title":"Nanochaperone-Based Strategies to Control Protein Aggregation Linked to Conformational Diseases","URL":"https://onlinelibrary.wiley.com/doi/abs/10.1002/ange.202007924","volume":"133","author":[{"family":"Caballero","given":"Ana B."},{"family":"Gamez","given":"Patrick"}],"accessed":{"date-parts":[["2022",12,5]]},"issued":{"date-parts":[["2021"]]},"citation-key":"caballero_nanochaperone-based_2021"}}],"schema":"https://github.com/citation-style-language/schema/raw/master/csl-citation.json"} </w:instrText>
      </w:r>
      <w:r w:rsidR="008F09C1">
        <w:fldChar w:fldCharType="separate"/>
      </w:r>
      <w:r w:rsidR="008F09C1" w:rsidRPr="008F09C1">
        <w:rPr>
          <w:rFonts w:ascii="Arial" w:cs="Arial"/>
          <w:vertAlign w:val="superscript"/>
        </w:rPr>
        <w:t>28</w:t>
      </w:r>
      <w:r w:rsidR="008F09C1">
        <w:fldChar w:fldCharType="end"/>
      </w:r>
    </w:p>
    <w:p w14:paraId="2351F090" w14:textId="346B98BB" w:rsidR="002F4C31" w:rsidRPr="0084736C" w:rsidRDefault="0084192D">
      <w:pPr>
        <w:pStyle w:val="Heading4"/>
        <w:numPr>
          <w:ilvl w:val="3"/>
          <w:numId w:val="3"/>
        </w:numPr>
        <w:spacing w:line="480" w:lineRule="auto"/>
        <w:rPr>
          <w:sz w:val="24"/>
          <w:szCs w:val="24"/>
        </w:rPr>
      </w:pPr>
      <w:bookmarkStart w:id="20" w:name="_Toc114946693"/>
      <w:bookmarkStart w:id="21" w:name="_Toc121134614"/>
      <w:r w:rsidRPr="0084736C">
        <w:rPr>
          <w:sz w:val="24"/>
          <w:szCs w:val="24"/>
        </w:rPr>
        <w:t xml:space="preserve">Design </w:t>
      </w:r>
      <w:r w:rsidR="002F4C31" w:rsidRPr="0084736C">
        <w:rPr>
          <w:sz w:val="24"/>
          <w:szCs w:val="24"/>
        </w:rPr>
        <w:t>C</w:t>
      </w:r>
      <w:r w:rsidRPr="0084736C">
        <w:rPr>
          <w:sz w:val="24"/>
          <w:szCs w:val="24"/>
        </w:rPr>
        <w:t xml:space="preserve">onsiderations of </w:t>
      </w:r>
      <w:r w:rsidR="002F4C31" w:rsidRPr="0084736C">
        <w:rPr>
          <w:sz w:val="24"/>
          <w:szCs w:val="24"/>
        </w:rPr>
        <w:t>A</w:t>
      </w:r>
      <w:r w:rsidRPr="0084736C">
        <w:rPr>
          <w:sz w:val="24"/>
          <w:szCs w:val="24"/>
        </w:rPr>
        <w:t>myloid</w:t>
      </w:r>
      <w:r w:rsidR="009B6EE0" w:rsidRPr="0084736C">
        <w:rPr>
          <w:sz w:val="24"/>
          <w:szCs w:val="24"/>
        </w:rPr>
        <w:t>-</w:t>
      </w:r>
      <w:r w:rsidRPr="0084736C">
        <w:rPr>
          <w:sz w:val="24"/>
          <w:szCs w:val="24"/>
        </w:rPr>
        <w:t xml:space="preserve">like </w:t>
      </w:r>
      <w:r w:rsidR="002F4C31" w:rsidRPr="0084736C">
        <w:rPr>
          <w:sz w:val="24"/>
          <w:szCs w:val="24"/>
        </w:rPr>
        <w:t>P</w:t>
      </w:r>
      <w:r w:rsidRPr="0084736C">
        <w:rPr>
          <w:sz w:val="24"/>
          <w:szCs w:val="24"/>
        </w:rPr>
        <w:t>eptides</w:t>
      </w:r>
      <w:bookmarkEnd w:id="20"/>
      <w:bookmarkEnd w:id="21"/>
      <w:r w:rsidRPr="0084736C">
        <w:rPr>
          <w:sz w:val="24"/>
          <w:szCs w:val="24"/>
        </w:rPr>
        <w:t xml:space="preserve"> </w:t>
      </w:r>
    </w:p>
    <w:p w14:paraId="3D4F06D6" w14:textId="73FB4331" w:rsidR="00CD1261" w:rsidRPr="0084736C" w:rsidRDefault="00776C62" w:rsidP="00A36FE8">
      <w:pPr>
        <w:spacing w:after="0" w:line="480" w:lineRule="auto"/>
        <w:rPr>
          <w:rFonts w:cstheme="minorHAnsi"/>
          <w:color w:val="000000"/>
          <w:sz w:val="24"/>
          <w:szCs w:val="24"/>
          <w:shd w:val="clear" w:color="auto" w:fill="FFFFFF"/>
        </w:rPr>
      </w:pPr>
      <w:r w:rsidRPr="0084736C">
        <w:rPr>
          <w:rFonts w:cstheme="minorHAnsi"/>
          <w:sz w:val="24"/>
          <w:szCs w:val="24"/>
        </w:rPr>
        <w:t xml:space="preserve">In </w:t>
      </w:r>
      <w:r w:rsidRPr="0084736C">
        <w:rPr>
          <w:rFonts w:cstheme="minorHAnsi"/>
          <w:color w:val="000000"/>
          <w:sz w:val="24"/>
          <w:szCs w:val="24"/>
          <w:shd w:val="clear" w:color="auto" w:fill="FFFFFF"/>
        </w:rPr>
        <w:t xml:space="preserve">amyloid </w:t>
      </w:r>
      <w:r w:rsidRPr="0084736C">
        <w:rPr>
          <w:rFonts w:ascii="Symbol" w:hAnsi="Symbol" w:cstheme="minorHAnsi"/>
          <w:color w:val="000000"/>
          <w:sz w:val="24"/>
          <w:szCs w:val="24"/>
          <w:shd w:val="clear" w:color="auto" w:fill="FFFFFF"/>
        </w:rPr>
        <w:t>b</w:t>
      </w:r>
      <w:r w:rsidRPr="0084736C">
        <w:rPr>
          <w:rFonts w:cstheme="minorHAnsi"/>
          <w:color w:val="000000"/>
          <w:sz w:val="24"/>
          <w:szCs w:val="24"/>
          <w:shd w:val="clear" w:color="auto" w:fill="FFFFFF"/>
        </w:rPr>
        <w:t>- peptide</w:t>
      </w:r>
      <w:r w:rsidR="00A76B94">
        <w:rPr>
          <w:rFonts w:cstheme="minorHAnsi"/>
          <w:color w:val="000000"/>
          <w:sz w:val="24"/>
          <w:szCs w:val="24"/>
          <w:shd w:val="clear" w:color="auto" w:fill="FFFFFF"/>
        </w:rPr>
        <w:t>s</w:t>
      </w:r>
      <w:r w:rsidRPr="0084736C">
        <w:rPr>
          <w:rFonts w:cstheme="minorHAnsi"/>
          <w:color w:val="000000"/>
          <w:sz w:val="24"/>
          <w:szCs w:val="24"/>
          <w:shd w:val="clear" w:color="auto" w:fill="FFFFFF"/>
        </w:rPr>
        <w:t>,</w:t>
      </w:r>
      <w:r w:rsidRPr="0084736C">
        <w:rPr>
          <w:rFonts w:cstheme="minorHAnsi"/>
          <w:sz w:val="24"/>
          <w:szCs w:val="24"/>
        </w:rPr>
        <w:t xml:space="preserve"> the central hydrophobic domain (</w:t>
      </w:r>
      <w:r w:rsidRPr="0084736C">
        <w:rPr>
          <w:rFonts w:cstheme="minorHAnsi"/>
          <w:color w:val="000000"/>
          <w:sz w:val="24"/>
          <w:szCs w:val="24"/>
          <w:shd w:val="clear" w:color="auto" w:fill="FFFFFF"/>
        </w:rPr>
        <w:t>LVFFA) has been involved in fibril formation.</w:t>
      </w:r>
      <w:r w:rsidRPr="0084736C">
        <w:rPr>
          <w:rFonts w:cstheme="minorHAnsi"/>
          <w:color w:val="000000"/>
          <w:sz w:val="24"/>
          <w:szCs w:val="24"/>
          <w:shd w:val="clear" w:color="auto" w:fill="FFFFFF"/>
        </w:rPr>
        <w:fldChar w:fldCharType="begin"/>
      </w:r>
      <w:r w:rsidR="008F09C1">
        <w:rPr>
          <w:rFonts w:cstheme="minorHAnsi"/>
          <w:color w:val="000000"/>
          <w:sz w:val="24"/>
          <w:szCs w:val="24"/>
          <w:shd w:val="clear" w:color="auto" w:fill="FFFFFF"/>
        </w:rPr>
        <w:instrText xml:space="preserve"> ADDIN ZOTERO_ITEM CSL_CITATION {"citationID":"mO5GsdBE","properties":{"formattedCitation":"\\super 29\\nosupersub{}","plainCitation":"29","noteIndex":0},"citationItems":[{"id":71,"uris":["http://zotero.org/users/5797676/items/35GWI7RQ"],"itemData":{"id":71,"type":"article-journal","abstract":"The molecular structure of the amyloid fibril has remained elusive because of the difficulty of growing well diffracting crystals. By using a sequence-designed polypeptide, we have produced crystals of an amyloid fiber. These crystals diffract to high resolution (1 Å) by electron and x-ray diffraction, enabling us to determine a detailed structure for amyloid. The structure reveals that the polypeptides form fibrous crystals composed of antiparallel β-sheets in a cross-β arrangement, characteristic of all amyloid fibers, and allows us to determine the side-chain packing within an amyloid fiber. The antiparallel β-sheets are zipped together by means of π-bonding between adjacent phenylalanine rings and salt-bridges between charge pairs (glutamic acid–lysine), thus controlling and stabilizing the structure. These interactions are likely to be important in the formation and stability of other amyloid fibrils.","container-title":"Proceedings of the National Academy of Sciences","DOI":"10.1073/pnas.0406847102","ISSN":"0027-8424, 1091-6490","issue":"2","journalAbbreviation":"PNAS","language":"en","license":"Copyright © 2005, The National Academy of Sciences","note":"publisher: National Academy of Sciences\nsection: Biological Sciences\nPMID: 15630094","page":"315-320","source":"www.pnas.org","title":"Molecular basis for amyloid fibril formation and stability","URL":"https://www.pnas.org/content/102/2/315","volume":"102","author":[{"family":"Makin","given":"O. Sumner"},{"family":"Atkins","given":"Edward"},{"family":"Sikorski","given":"Pawel"},{"family":"Johansson","given":"Jan"},{"family":"Serpell","given":"Louise C."}],"accessed":{"date-parts":[["2020",9,7]]},"issued":{"date-parts":[["2005",1,11]]},"citation-key":"makinMolecularBasisAmyloid2005"}}],"schema":"https://github.com/citation-style-language/schema/raw/master/csl-citation.json"} </w:instrText>
      </w:r>
      <w:r w:rsidRPr="0084736C">
        <w:rPr>
          <w:rFonts w:cstheme="minorHAnsi"/>
          <w:color w:val="000000"/>
          <w:sz w:val="24"/>
          <w:szCs w:val="24"/>
          <w:shd w:val="clear" w:color="auto" w:fill="FFFFFF"/>
        </w:rPr>
        <w:fldChar w:fldCharType="separate"/>
      </w:r>
      <w:r w:rsidR="008F09C1" w:rsidRPr="008F09C1">
        <w:rPr>
          <w:rFonts w:ascii="Arial" w:cs="Arial"/>
          <w:color w:val="000000"/>
          <w:sz w:val="24"/>
          <w:vertAlign w:val="superscript"/>
        </w:rPr>
        <w:t>29</w:t>
      </w:r>
      <w:r w:rsidRPr="0084736C">
        <w:rPr>
          <w:rFonts w:cstheme="minorHAnsi"/>
          <w:color w:val="000000"/>
          <w:sz w:val="24"/>
          <w:szCs w:val="24"/>
          <w:shd w:val="clear" w:color="auto" w:fill="FFFFFF"/>
        </w:rPr>
        <w:fldChar w:fldCharType="end"/>
      </w:r>
      <w:r w:rsidRPr="0084736C">
        <w:rPr>
          <w:rFonts w:cstheme="minorHAnsi"/>
          <w:color w:val="000000"/>
          <w:sz w:val="24"/>
          <w:szCs w:val="24"/>
          <w:shd w:val="clear" w:color="auto" w:fill="FFFFFF"/>
        </w:rPr>
        <w:t xml:space="preserve"> Particularly, </w:t>
      </w:r>
      <w:r w:rsidR="00A76B94">
        <w:rPr>
          <w:rFonts w:cstheme="minorHAnsi"/>
          <w:color w:val="000000"/>
          <w:sz w:val="24"/>
          <w:szCs w:val="24"/>
          <w:shd w:val="clear" w:color="auto" w:fill="FFFFFF"/>
        </w:rPr>
        <w:t xml:space="preserve">the </w:t>
      </w:r>
      <w:r w:rsidRPr="0084736C">
        <w:rPr>
          <w:rFonts w:cstheme="minorHAnsi"/>
          <w:color w:val="000000"/>
          <w:sz w:val="24"/>
          <w:szCs w:val="24"/>
          <w:shd w:val="clear" w:color="auto" w:fill="FFFFFF"/>
        </w:rPr>
        <w:t>simplest peptide building block,</w:t>
      </w:r>
      <w:r w:rsidR="0015133B">
        <w:rPr>
          <w:rFonts w:cstheme="minorHAnsi"/>
          <w:color w:val="000000"/>
          <w:sz w:val="24"/>
          <w:szCs w:val="24"/>
          <w:shd w:val="clear" w:color="auto" w:fill="FFFFFF"/>
        </w:rPr>
        <w:t xml:space="preserve"> </w:t>
      </w:r>
      <w:r w:rsidRPr="0084736C">
        <w:rPr>
          <w:rFonts w:cstheme="minorHAnsi"/>
          <w:color w:val="000000"/>
          <w:sz w:val="24"/>
          <w:szCs w:val="24"/>
          <w:shd w:val="clear" w:color="auto" w:fill="FFFFFF"/>
        </w:rPr>
        <w:t xml:space="preserve">FF, </w:t>
      </w:r>
      <w:r w:rsidR="00A76B94">
        <w:rPr>
          <w:rFonts w:cstheme="minorHAnsi"/>
          <w:color w:val="000000"/>
          <w:sz w:val="24"/>
          <w:szCs w:val="24"/>
          <w:shd w:val="clear" w:color="auto" w:fill="FFFFFF"/>
        </w:rPr>
        <w:t xml:space="preserve">was </w:t>
      </w:r>
      <w:r w:rsidRPr="0084736C">
        <w:rPr>
          <w:rFonts w:cstheme="minorHAnsi"/>
          <w:color w:val="000000"/>
          <w:sz w:val="24"/>
          <w:szCs w:val="24"/>
          <w:shd w:val="clear" w:color="auto" w:fill="FFFFFF"/>
        </w:rPr>
        <w:t xml:space="preserve">found to be a core recognition motif of </w:t>
      </w:r>
      <w:r w:rsidRPr="0084736C">
        <w:rPr>
          <w:rFonts w:ascii="Symbol" w:hAnsi="Symbol" w:cstheme="minorHAnsi"/>
          <w:color w:val="000000"/>
          <w:sz w:val="24"/>
          <w:szCs w:val="24"/>
          <w:shd w:val="clear" w:color="auto" w:fill="FFFFFF"/>
        </w:rPr>
        <w:t>b</w:t>
      </w:r>
      <w:r w:rsidRPr="0084736C">
        <w:rPr>
          <w:rFonts w:cstheme="minorHAnsi"/>
          <w:color w:val="000000"/>
          <w:sz w:val="24"/>
          <w:szCs w:val="24"/>
          <w:shd w:val="clear" w:color="auto" w:fill="FFFFFF"/>
        </w:rPr>
        <w:t>- amyloid peptide.</w:t>
      </w:r>
      <w:r w:rsidR="00373A80"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{"citationID":"a2jmqf3st3s","properties":{"formattedCitation":"\\super 30\\nosupersub{}","plainCitation":"30","noteIndex":0},"citationItems":[{"id":2452,"uris":["http://zotero.org/groups/2667333/items/IMYIMHA2"],"itemData":{"id":2452,"type":"article-journal","container-title":"Chemical Society Reviews","DOI":"10.1039/b915765b","ISSN":"0306-0012, 1460-4744","issue":"6","journalAbbreviation":"Chem. Soc. Rev.","language":"en","page":"1877-1890","source":"DOI.org (Crossref)","title":"Self-assembly and application of diphenylalanine-based nanostructures","URL":"http://xlink.rsc.org/?DOI=b915765b","volume":"39","author":[{"family":"Yan","given":"Xuehai"},{"family":"Zhu","given":"Pengli"},{"family":"Li","given":"Junbai"}],"accessed":{"date-parts":[["2020",12,23]]},"issued":{"date-parts":[["2010"]]},"citation-key":"yanSelfassemblyApplicationDiphenylalaninebased2010"}}],"schema":"https://github.com/citation-style-language/schema/raw/master/csl-citation.json"} </w:instrText>
      </w:r>
      <w:r w:rsidR="00373A80" w:rsidRPr="0084736C">
        <w:rPr>
          <w:rFonts w:ascii="Arial" w:hAnsi="Arial" w:cs="Arial"/>
          <w:sz w:val="24"/>
          <w:szCs w:val="24"/>
        </w:rPr>
        <w:fldChar w:fldCharType="separate"/>
      </w:r>
      <w:r w:rsidR="008F09C1" w:rsidRPr="008F09C1">
        <w:rPr>
          <w:rFonts w:ascii="Arial" w:hAnsi="Arial" w:cs="Arial"/>
          <w:sz w:val="24"/>
          <w:vertAlign w:val="superscript"/>
        </w:rPr>
        <w:t>30</w:t>
      </w:r>
      <w:r w:rsidR="00373A80" w:rsidRPr="0084736C">
        <w:rPr>
          <w:rFonts w:ascii="Arial" w:hAnsi="Arial" w:cs="Arial"/>
          <w:sz w:val="24"/>
          <w:szCs w:val="24"/>
        </w:rPr>
        <w:fldChar w:fldCharType="end"/>
      </w:r>
      <w:r w:rsidR="00373A80" w:rsidRPr="0084736C">
        <w:rPr>
          <w:rFonts w:ascii="Arial" w:hAnsi="Arial" w:cs="Arial"/>
          <w:sz w:val="24"/>
          <w:szCs w:val="24"/>
        </w:rPr>
        <w:t xml:space="preserve"> </w:t>
      </w:r>
      <w:r w:rsidRPr="0084736C">
        <w:rPr>
          <w:rFonts w:cstheme="minorHAnsi"/>
          <w:color w:val="000000"/>
          <w:sz w:val="24"/>
          <w:szCs w:val="24"/>
          <w:shd w:val="clear" w:color="auto" w:fill="FFFFFF"/>
        </w:rPr>
        <w:t xml:space="preserve">Furthermore, in the case of type-II diabetes, it was found that while FGAIL </w:t>
      </w:r>
      <w:r w:rsidR="00A76B94">
        <w:rPr>
          <w:rFonts w:cstheme="minorHAnsi"/>
          <w:color w:val="000000"/>
          <w:sz w:val="24"/>
          <w:szCs w:val="24"/>
          <w:shd w:val="clear" w:color="auto" w:fill="FFFFFF"/>
        </w:rPr>
        <w:t xml:space="preserve">is </w:t>
      </w:r>
      <w:r w:rsidRPr="0084736C">
        <w:rPr>
          <w:rFonts w:cstheme="minorHAnsi"/>
          <w:color w:val="000000"/>
          <w:sz w:val="24"/>
          <w:szCs w:val="24"/>
          <w:shd w:val="clear" w:color="auto" w:fill="FFFFFF"/>
        </w:rPr>
        <w:t>involved in forming fibrillar structures similar to</w:t>
      </w:r>
      <w:r w:rsidR="00A76B94">
        <w:rPr>
          <w:rFonts w:cstheme="minorHAnsi"/>
          <w:color w:val="000000"/>
          <w:sz w:val="24"/>
          <w:szCs w:val="24"/>
          <w:shd w:val="clear" w:color="auto" w:fill="FFFFFF"/>
        </w:rPr>
        <w:t xml:space="preserve"> a</w:t>
      </w:r>
      <w:r w:rsidRPr="0084736C">
        <w:rPr>
          <w:rFonts w:cstheme="minorHAnsi"/>
          <w:color w:val="000000"/>
          <w:sz w:val="24"/>
          <w:szCs w:val="24"/>
          <w:shd w:val="clear" w:color="auto" w:fill="FFFFFF"/>
        </w:rPr>
        <w:t xml:space="preserve"> natural polypeptide, GAIL did not form any fibrils.</w:t>
      </w:r>
      <w:r w:rsidRPr="0084736C">
        <w:rPr>
          <w:rFonts w:cstheme="minorHAnsi"/>
          <w:color w:val="000000"/>
          <w:sz w:val="24"/>
          <w:szCs w:val="24"/>
          <w:shd w:val="clear" w:color="auto" w:fill="FFFFFF"/>
        </w:rPr>
        <w:fldChar w:fldCharType="begin"/>
      </w:r>
      <w:r w:rsidR="008F09C1">
        <w:rPr>
          <w:rFonts w:cstheme="minorHAnsi"/>
          <w:color w:val="000000"/>
          <w:sz w:val="24"/>
          <w:szCs w:val="24"/>
          <w:shd w:val="clear" w:color="auto" w:fill="FFFFFF"/>
        </w:rPr>
        <w:instrText xml:space="preserve"> ADDIN ZOTERO_ITEM CSL_CITATION {"citationID":"frhduYZD","properties":{"formattedCitation":"\\super 31\\nosupersub{}","plainCitation":"31","noteIndex":0},"citationItems":[{"id":70,"uris":["http://zotero.org/users/5797676/items/572XWXMX"],"itemData":{"id":70,"type":"article-journal","abstract":"Pancreatic amyloid is found in more than 95 % of type II diabetes patients. Pancreatic amyloid is formed by the aggregation of islet amyloid polypeptide (hIAPP or amylin), which is a 37-residue peptide. Because pancreatic amyloid is cytotoxic, it is believed that its formation is directly associated with the development of the disease. We recently showed that hIAPP amyloid formation follows the nucleation-dependent polymerization mechanism and proceeds via a conformational transition of soluble hIAPP into aggregated β-sheets. Here, we report that the penta- and hexapeptide sequences, hIAPP(23–27) (FGAIL) and hIAPP(22–27) (NFGAIL) of hIAPP are sufficient for the formation of β-sheet-containing amyloid fibrils. Although these two peptides differ by only one amino acid residue, they aggregate into completely different fibrillar assemblies. hIAPP(23–27) (FGAIL) fibrils self-assemble laterally into unusually broad ribbons, whereas hIAPP(22–27) (NFGAIL) fibrils coil around each other in a typical amyloid fibril morphology. hIAPP(20–27) (SNNFGAIL) also aggregates into β-sheet-containing fibrils, whereas no amyloidogenicity is found for hIAPP(24–27) (GAIL), indicating that hIAPP(23–27) (FGAIL) is the shortest fibrillogenic sequence of hIAPP. Insoluble amyloid formation by the partial hIAPP sequences followed kinetics that were consistent with a nucleation-dependent polymerization mechanism. hIAPP(22–27) (NFGAIL), hIAPP(20–27) (SNNFGAIL), and also the known fibrillogenic sequence, hIAPP(20–29) (SNNFGAILSS) exhibited significantly lower kinetic and thermodynamic solubilities than the pentapeptide hIAPP(23–27) (FGAIL). Fibrils formed by all short peptide sequences and also by hIAPP(20–29) were cytotoxic towards the pancreatic cell line RIN5fm, whereas no cytotoxicity was observed for the soluble form of the peptides, a notion that is consistent with hIAPP cytotoxicity. Our results suggest that a penta- and hexapeptide sequence of an appropriate amino acid composition can be sufficient for β-sheet and amyloid fibril formation and cytotoxicity and may assist in the rational design of inhibitors of pancreatic amyloid formation or other amyloidosis-related diseases.","container-title":"Journal of Molecular Biology","DOI":"10.1006/jmbi.1999.3422","ISSN":"0022-2836","issue":"4","journalAbbreviation":"Journal of Molecular Biology","language":"en","page":"1055-1071","source":"ScienceDirect","title":"Identification of a penta- and hexapeptide of islet amyloid polypeptide (IAPP) with amyloidogenic and cytotoxic properties1 1Edited by R. Huber","URL":"http://www.sciencedirect.com/science/article/pii/S0022283699934228","volume":"295","author":[{"family":"Tenidis","given":"Konstantinos"},{"family":"Waldner","given":"Michaela"},{"family":"Bernhagen","given":"Jürgen"},{"family":"Fischle","given":"Wolfgang"},{"family":"Bergmann","given":"Michael"},{"family":"Weber","given":"Marco"},{"family":"Merkle","given":"Marie-Luise"},{"family":"Voelter","given":"Wolfgang"},{"family":"Brunner","given":"Herwig"},{"family":"Kapurniotu","given":"Aphrodite"}],"accessed":{"date-parts":[["2020",9,7]]},"issued":{"date-parts":[["2000",1,28]]},"citation-key":"tenidisIdentificationPentaHexapeptide2000"}}],"schema":"https://github.com/citation-style-language/schema/raw/master/csl-citation.json"} </w:instrText>
      </w:r>
      <w:r w:rsidRPr="0084736C">
        <w:rPr>
          <w:rFonts w:cstheme="minorHAnsi"/>
          <w:color w:val="000000"/>
          <w:sz w:val="24"/>
          <w:szCs w:val="24"/>
          <w:shd w:val="clear" w:color="auto" w:fill="FFFFFF"/>
        </w:rPr>
        <w:fldChar w:fldCharType="separate"/>
      </w:r>
      <w:r w:rsidR="008F09C1" w:rsidRPr="008F09C1">
        <w:rPr>
          <w:rFonts w:ascii="Arial" w:cs="Arial"/>
          <w:color w:val="000000"/>
          <w:sz w:val="24"/>
          <w:vertAlign w:val="superscript"/>
        </w:rPr>
        <w:t>31</w:t>
      </w:r>
      <w:r w:rsidRPr="0084736C">
        <w:rPr>
          <w:rFonts w:cstheme="minorHAnsi"/>
          <w:color w:val="000000"/>
          <w:sz w:val="24"/>
          <w:szCs w:val="24"/>
          <w:shd w:val="clear" w:color="auto" w:fill="FFFFFF"/>
        </w:rPr>
        <w:fldChar w:fldCharType="end"/>
      </w:r>
      <w:r w:rsidRPr="0084736C">
        <w:rPr>
          <w:rFonts w:cstheme="minorHAnsi"/>
          <w:color w:val="000000"/>
          <w:sz w:val="24"/>
          <w:szCs w:val="24"/>
          <w:shd w:val="clear" w:color="auto" w:fill="FFFFFF"/>
        </w:rPr>
        <w:t xml:space="preserve"> Those two examples highlighted the importance of </w:t>
      </w:r>
      <w:r w:rsidR="00A76B94">
        <w:rPr>
          <w:rFonts w:cstheme="minorHAnsi"/>
          <w:color w:val="000000"/>
          <w:sz w:val="24"/>
          <w:szCs w:val="24"/>
          <w:shd w:val="clear" w:color="auto" w:fill="FFFFFF"/>
        </w:rPr>
        <w:t xml:space="preserve">the </w:t>
      </w:r>
      <w:r w:rsidR="00537A6E">
        <w:rPr>
          <w:rFonts w:cstheme="minorHAnsi"/>
          <w:color w:val="000000"/>
          <w:sz w:val="24"/>
          <w:szCs w:val="24"/>
          <w:shd w:val="clear" w:color="auto" w:fill="FFFFFF"/>
        </w:rPr>
        <w:t>F</w:t>
      </w:r>
      <w:r w:rsidRPr="0084736C">
        <w:rPr>
          <w:rFonts w:cstheme="minorHAnsi"/>
          <w:color w:val="000000"/>
          <w:sz w:val="24"/>
          <w:szCs w:val="24"/>
          <w:shd w:val="clear" w:color="auto" w:fill="FFFFFF"/>
        </w:rPr>
        <w:t xml:space="preserve"> side chain (</w:t>
      </w:r>
      <w:r w:rsidRPr="0084736C">
        <w:rPr>
          <w:rFonts w:cstheme="minorHAnsi"/>
          <w:sz w:val="24"/>
          <w:szCs w:val="24"/>
        </w:rPr>
        <w:t>common in both sequences)</w:t>
      </w:r>
      <w:r w:rsidRPr="0084736C">
        <w:rPr>
          <w:rFonts w:cstheme="minorHAnsi"/>
          <w:color w:val="000000"/>
          <w:sz w:val="24"/>
          <w:szCs w:val="24"/>
          <w:shd w:val="clear" w:color="auto" w:fill="FFFFFF"/>
        </w:rPr>
        <w:t xml:space="preserve"> which contributes to </w:t>
      </w:r>
      <w:r w:rsidR="00373A80" w:rsidRPr="0084736C">
        <w:rPr>
          <w:rFonts w:ascii="Symbol" w:hAnsi="Symbol" w:cstheme="minorHAnsi"/>
          <w:sz w:val="24"/>
          <w:szCs w:val="24"/>
        </w:rPr>
        <w:t>p-p</w:t>
      </w:r>
      <w:r w:rsidRPr="0084736C">
        <w:rPr>
          <w:rFonts w:cstheme="minorHAnsi"/>
          <w:sz w:val="24"/>
          <w:szCs w:val="24"/>
        </w:rPr>
        <w:t xml:space="preserve"> interaction.</w:t>
      </w:r>
      <w:r w:rsidRPr="0084736C">
        <w:rPr>
          <w:rFonts w:cstheme="minorHAnsi"/>
          <w:color w:val="000000"/>
          <w:sz w:val="24"/>
          <w:szCs w:val="24"/>
          <w:shd w:val="clear" w:color="auto" w:fill="FFFFFF"/>
        </w:rPr>
        <w:t xml:space="preserve"> </w:t>
      </w:r>
    </w:p>
    <w:p w14:paraId="7EEDAE9F" w14:textId="3AADEDA5" w:rsidR="00364BDC" w:rsidRPr="0084736C" w:rsidRDefault="00776C62" w:rsidP="00373A80">
      <w:pPr>
        <w:spacing w:after="0" w:line="480" w:lineRule="auto"/>
        <w:rPr>
          <w:rFonts w:cstheme="minorHAnsi"/>
          <w:color w:val="000000"/>
          <w:sz w:val="24"/>
          <w:szCs w:val="24"/>
          <w:shd w:val="clear" w:color="auto" w:fill="FFFFFF"/>
        </w:rPr>
      </w:pPr>
      <w:r w:rsidRPr="0084736C">
        <w:rPr>
          <w:rFonts w:cstheme="minorHAnsi"/>
          <w:color w:val="000000"/>
          <w:sz w:val="24"/>
          <w:szCs w:val="24"/>
          <w:shd w:val="clear" w:color="auto" w:fill="FFFFFF"/>
        </w:rPr>
        <w:lastRenderedPageBreak/>
        <w:t xml:space="preserve">Besides </w:t>
      </w:r>
      <w:r w:rsidR="00373A80" w:rsidRPr="0084736C">
        <w:rPr>
          <w:rFonts w:ascii="Symbol" w:hAnsi="Symbol" w:cstheme="minorHAnsi"/>
          <w:sz w:val="24"/>
          <w:szCs w:val="24"/>
        </w:rPr>
        <w:t>p-p</w:t>
      </w:r>
      <w:r w:rsidRPr="0084736C">
        <w:rPr>
          <w:rFonts w:cstheme="minorHAnsi"/>
          <w:sz w:val="24"/>
          <w:szCs w:val="24"/>
        </w:rPr>
        <w:t xml:space="preserve"> interaction, other non-covalent interactions such as hydrogen bonding, hydrophobic and electrostatic (ionic bonds) interactions can be coordinated to promote self-assembly into one-dimensional (1D) nanofibers</w:t>
      </w:r>
      <w:r w:rsidR="00CD1261" w:rsidRPr="0084736C">
        <w:rPr>
          <w:rFonts w:cstheme="minorHAnsi"/>
          <w:sz w:val="24"/>
          <w:szCs w:val="24"/>
        </w:rPr>
        <w:t>.</w:t>
      </w:r>
      <w:r w:rsidRPr="0084736C">
        <w:rPr>
          <w:rFonts w:cstheme="minorHAnsi"/>
          <w:sz w:val="24"/>
          <w:szCs w:val="24"/>
        </w:rPr>
        <w:fldChar w:fldCharType="begin"/>
      </w:r>
      <w:r w:rsidR="008F09C1">
        <w:rPr>
          <w:rFonts w:cstheme="minorHAnsi"/>
          <w:sz w:val="24"/>
          <w:szCs w:val="24"/>
        </w:rPr>
        <w:instrText xml:space="preserve"> ADDIN ZOTERO_ITEM CSL_CITATION {"citationID":"qpmOLHGm","properties":{"formattedCitation":"\\super 32\\nosupersub{}","plainCitation":"32","noteIndex":0},"citationItems":[{"id":69,"uris":["http://zotero.org/users/5797676/items/2HFMH7EV"],"itemData":{"id":69,"type":"article-journal","abstract":"Peptides are a promising class of gelators, due to their structural simplicity, biocompatibility and versatility. Peptides were synthesized based on four amino acids: leucine, phenylalanine, tyrosine and tryptophan. These peptide gelators, with systematic structural variances in side chain structure and chain length, were investigated using Hansen solubility parameters to clarify molecular features that promote gelation in a wide array of solvents. It is of utmost importance to combine both changes to structural motifs and solvent in simultaneous studies to obtain a global perspective of molecular gelation. It was found that cyclization of symmetric dipeptides, into 2,5-diketopiperazines, drastically altered the gelation ability of the dipeptides. C-L-LL and C-L-YY, which are among the smallest peptide LMOGs reported to date, are robust gelators with a large radius of gelation (13.44 MPa1/2 and 13.90 MPa1/2, respectively), and even outperformed L-FF (5.61 MPa1/2). Interestingly, both linear dipeptides (L-FF and L-LL) gelled similar solvents, yet when cyclized only cyclo-dityrosine was a robust gelator, while cyclo-diphenylalanine was not. Changes in the side chains drastically affected the crystal morphology of the resultant gels. Symmetric cyclo dipeptides of leucine and tyrosine were capable of forming extremely high aspect ratio fibers in numerous solvents, which represent new molecular motifs capable of driving self-assembly.","container-title":"Soft Matter","DOI":"10.1039/C9SM01793C","ISSN":"1744-6848","issue":"45","journalAbbreviation":"Soft Matter","language":"en","note":"publisher: The Royal Society of Chemistry","page":"9205-9214","source":"pubs.rsc.org","title":"Molecular motifs encoding self-assembly of peptide fibers into molecular gels","URL":"https://pubs.rsc.org/en/content/articlelanding/2019/sm/c9sm01793c","volume":"15","author":[{"family":"Lan","given":"Yaqi"},{"family":"Lv","given":"Muwen"},{"family":"Guo","given":"Shenglan"},{"family":"Nasr","given":"Pedram"},{"family":"Ladizhansky","given":"Vladimir"},{"family":"Vaz","given":"Raoul"},{"family":"Corradini","given":"Maria G."},{"family":"Hou","given":"Tao"},{"family":"Ghazani","given":"Saeed M."},{"family":"Marnangoni","given":"Alejandro"},{"family":"Rogers","given":"Michael A."}],"accessed":{"date-parts":[["2020",9,7]]},"issued":{"date-parts":[["2019",11,20]]},"citation-key":"lanMolecularMotifsEncoding2019"}}],"schema":"https://github.com/citation-style-language/schema/raw/master/csl-citation.json"}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32</w:t>
      </w:r>
      <w:r w:rsidRPr="0084736C">
        <w:rPr>
          <w:rFonts w:cstheme="minorHAnsi"/>
          <w:sz w:val="24"/>
          <w:szCs w:val="24"/>
        </w:rPr>
        <w:fldChar w:fldCharType="end"/>
      </w:r>
      <w:r w:rsidRPr="0084736C">
        <w:rPr>
          <w:rFonts w:cstheme="minorHAnsi"/>
          <w:sz w:val="24"/>
          <w:szCs w:val="24"/>
        </w:rPr>
        <w:t xml:space="preserve"> </w:t>
      </w:r>
      <w:r w:rsidR="00A76B94">
        <w:rPr>
          <w:rFonts w:cstheme="minorHAnsi"/>
          <w:sz w:val="24"/>
          <w:szCs w:val="24"/>
        </w:rPr>
        <w:t>To</w:t>
      </w:r>
      <w:r w:rsidR="00CD1261" w:rsidRPr="0084736C">
        <w:rPr>
          <w:rFonts w:cstheme="minorHAnsi"/>
          <w:sz w:val="24"/>
          <w:szCs w:val="24"/>
        </w:rPr>
        <w:t xml:space="preserve"> determine some of the potential mechanisms in protein misfolding, extensive research on the amyloid formation of peptide fragments has also revealed the significance of hydrophobic interactions in short peptide assembly.</w:t>
      </w:r>
      <w:r w:rsidR="00B6556A" w:rsidRPr="0084736C">
        <w:rPr>
          <w:rFonts w:cstheme="minorHAnsi"/>
          <w:sz w:val="24"/>
          <w:szCs w:val="24"/>
        </w:rPr>
        <w:fldChar w:fldCharType="begin"/>
      </w:r>
      <w:r w:rsidR="008F09C1">
        <w:rPr>
          <w:rFonts w:cstheme="minorHAnsi"/>
          <w:sz w:val="24"/>
          <w:szCs w:val="24"/>
        </w:rPr>
        <w:instrText xml:space="preserve"> ADDIN ZOTERO_ITEM CSL_CITATION {"citationID":"aha9k526os","properties":{"formattedCitation":"\\super 33\\nosupersub{}","plainCitation":"33","noteIndex":0},"citationItems":[{"id":5400,"uris":["http://zotero.org/groups/2667333/items/LFJY7RX9"],"itemData":{"id":5400,"type":"article-journal","container-title":"Chemical Society Reviews","DOI":"10.1039/C9CS00199A","issue":"15","language":"en","note":"publisher: Royal Society of Chemistry\ntex.ids= ke_half_2020","page":"5473-5509","source":"pubs-rsc-org.webproxy2.ouhsc.edu","title":"Half a century of amyloids: past, present and future","title-short":"Half a century of amyloids","URL":"http://pubs.rsc.org/en/content/articlelanding/2020/cs/c9cs00199a","volume":"49","author":[{"family":"Chun Ke","given":"Pu"},{"family":"Zhou","given":"Ruhong"},{"family":"C. Serpell","given":"Louise"},{"family":"Riek","given":"Roland"},{"family":"J. Knowles","given":"Tuomas P."},{"family":"A. Lashuel","given":"Hilal"},{"family":"Gazit","given":"Ehud"},{"family":"W. Hamley","given":"Ian"},{"family":"P. Davis","given":"Thomas"},{"family":"Fändrich","given":"Marcus"},{"family":"Erik Otzen","given":"Daniel"},{"family":"R. Chapman","given":"Matthew"},{"family":"M. Dobson","given":"Christopher"},{"family":"S. Eisenberg","given":"David"},{"family":"Mezzenga","given":"Raffaele"}],"accessed":{"date-parts":[["2021",2,3]]},"issued":{"date-parts":[["2020"]]},"citation-key":"chunkeHalfCenturyAmyloids2020"}}],"schema":"https://github.com/citation-style-language/schema/raw/master/csl-citation.json"} </w:instrText>
      </w:r>
      <w:r w:rsidR="00B6556A" w:rsidRPr="0084736C">
        <w:rPr>
          <w:rFonts w:cstheme="minorHAnsi"/>
          <w:sz w:val="24"/>
          <w:szCs w:val="24"/>
        </w:rPr>
        <w:fldChar w:fldCharType="separate"/>
      </w:r>
      <w:r w:rsidR="008F09C1" w:rsidRPr="008F09C1">
        <w:rPr>
          <w:rFonts w:ascii="Arial" w:cs="Arial"/>
          <w:sz w:val="24"/>
          <w:vertAlign w:val="superscript"/>
        </w:rPr>
        <w:t>33</w:t>
      </w:r>
      <w:r w:rsidR="00B6556A" w:rsidRPr="0084736C">
        <w:rPr>
          <w:rFonts w:cstheme="minorHAnsi"/>
          <w:sz w:val="24"/>
          <w:szCs w:val="24"/>
        </w:rPr>
        <w:fldChar w:fldCharType="end"/>
      </w:r>
      <w:r w:rsidR="00B6556A" w:rsidRPr="0084736C">
        <w:rPr>
          <w:rFonts w:cstheme="minorHAnsi"/>
          <w:sz w:val="24"/>
          <w:szCs w:val="24"/>
        </w:rPr>
        <w:t xml:space="preserve"> </w:t>
      </w:r>
      <w:r w:rsidR="00BC2ECD" w:rsidRPr="0084736C">
        <w:rPr>
          <w:rFonts w:cstheme="minorHAnsi"/>
          <w:sz w:val="24"/>
          <w:szCs w:val="24"/>
        </w:rPr>
        <w:t xml:space="preserve">It was found that </w:t>
      </w:r>
      <w:r w:rsidR="00464704" w:rsidRPr="0084736C">
        <w:rPr>
          <w:rFonts w:cstheme="minorHAnsi"/>
          <w:sz w:val="24"/>
          <w:szCs w:val="24"/>
        </w:rPr>
        <w:t xml:space="preserve">hydrophobic interaction occurred </w:t>
      </w:r>
      <w:r w:rsidR="00972B75" w:rsidRPr="0084736C">
        <w:rPr>
          <w:rFonts w:cstheme="minorHAnsi"/>
          <w:sz w:val="24"/>
          <w:szCs w:val="24"/>
        </w:rPr>
        <w:t xml:space="preserve">between Land </w:t>
      </w:r>
      <w:r w:rsidR="0015133B">
        <w:rPr>
          <w:rFonts w:cstheme="minorHAnsi"/>
          <w:sz w:val="24"/>
          <w:szCs w:val="24"/>
        </w:rPr>
        <w:t xml:space="preserve">F </w:t>
      </w:r>
      <w:r w:rsidR="00972B75" w:rsidRPr="0084736C">
        <w:rPr>
          <w:rFonts w:cstheme="minorHAnsi"/>
          <w:sz w:val="24"/>
          <w:szCs w:val="24"/>
        </w:rPr>
        <w:t xml:space="preserve">at the </w:t>
      </w:r>
      <w:r w:rsidR="00464704" w:rsidRPr="0084736C">
        <w:rPr>
          <w:rFonts w:cstheme="minorHAnsi"/>
          <w:sz w:val="24"/>
          <w:szCs w:val="24"/>
        </w:rPr>
        <w:t xml:space="preserve">central hydrophobic domain of </w:t>
      </w:r>
      <w:r w:rsidR="00464704" w:rsidRPr="0084736C">
        <w:rPr>
          <w:rFonts w:cstheme="minorHAnsi"/>
          <w:color w:val="000000"/>
          <w:sz w:val="24"/>
          <w:szCs w:val="24"/>
          <w:shd w:val="clear" w:color="auto" w:fill="FFFFFF"/>
        </w:rPr>
        <w:t xml:space="preserve">amyloid </w:t>
      </w:r>
      <w:r w:rsidR="00464704" w:rsidRPr="0084736C">
        <w:rPr>
          <w:rFonts w:ascii="Symbol" w:hAnsi="Symbol" w:cstheme="minorHAnsi"/>
          <w:color w:val="000000"/>
          <w:sz w:val="24"/>
          <w:szCs w:val="24"/>
          <w:shd w:val="clear" w:color="auto" w:fill="FFFFFF"/>
        </w:rPr>
        <w:t>b</w:t>
      </w:r>
      <w:r w:rsidR="00464704" w:rsidRPr="0084736C">
        <w:rPr>
          <w:rFonts w:cstheme="minorHAnsi"/>
          <w:color w:val="000000"/>
          <w:sz w:val="24"/>
          <w:szCs w:val="24"/>
          <w:shd w:val="clear" w:color="auto" w:fill="FFFFFF"/>
        </w:rPr>
        <w:t xml:space="preserve">- peptide </w:t>
      </w:r>
      <w:r w:rsidR="00464704" w:rsidRPr="0084736C">
        <w:rPr>
          <w:rFonts w:cstheme="minorHAnsi"/>
          <w:sz w:val="24"/>
          <w:szCs w:val="24"/>
        </w:rPr>
        <w:t>(</w:t>
      </w:r>
      <w:r w:rsidR="00464704" w:rsidRPr="0084736C">
        <w:rPr>
          <w:rFonts w:cstheme="minorHAnsi"/>
          <w:color w:val="000000"/>
          <w:sz w:val="24"/>
          <w:szCs w:val="24"/>
          <w:shd w:val="clear" w:color="auto" w:fill="FFFFFF"/>
        </w:rPr>
        <w:t xml:space="preserve">LVFFA) </w:t>
      </w:r>
      <w:r w:rsidR="00972B75" w:rsidRPr="0084736C">
        <w:rPr>
          <w:rFonts w:cstheme="minorHAnsi"/>
          <w:color w:val="000000"/>
          <w:sz w:val="24"/>
          <w:szCs w:val="24"/>
          <w:shd w:val="clear" w:color="auto" w:fill="FFFFFF"/>
        </w:rPr>
        <w:t>is another strongest driving force for self-assembly beside</w:t>
      </w:r>
      <w:r w:rsidR="00A76B94">
        <w:rPr>
          <w:rFonts w:cstheme="minorHAnsi"/>
          <w:color w:val="000000"/>
          <w:sz w:val="24"/>
          <w:szCs w:val="24"/>
          <w:shd w:val="clear" w:color="auto" w:fill="FFFFFF"/>
        </w:rPr>
        <w:t>s</w:t>
      </w:r>
      <w:r w:rsidR="00972B75" w:rsidRPr="0084736C">
        <w:rPr>
          <w:rFonts w:cstheme="minorHAnsi"/>
          <w:color w:val="000000"/>
          <w:sz w:val="24"/>
          <w:szCs w:val="24"/>
          <w:shd w:val="clear" w:color="auto" w:fill="FFFFFF"/>
        </w:rPr>
        <w:t xml:space="preserve"> </w:t>
      </w:r>
      <w:r w:rsidR="006D7140">
        <w:rPr>
          <w:rFonts w:cstheme="minorHAnsi"/>
          <w:color w:val="000000"/>
          <w:sz w:val="24"/>
          <w:szCs w:val="24"/>
          <w:shd w:val="clear" w:color="auto" w:fill="FFFFFF"/>
        </w:rPr>
        <w:t>FF</w:t>
      </w:r>
      <w:r w:rsidR="00972B75" w:rsidRPr="0084736C">
        <w:rPr>
          <w:rFonts w:cstheme="minorHAnsi"/>
          <w:color w:val="000000"/>
          <w:sz w:val="24"/>
          <w:szCs w:val="24"/>
          <w:shd w:val="clear" w:color="auto" w:fill="FFFFFF"/>
        </w:rPr>
        <w:t>.</w:t>
      </w:r>
      <w:r w:rsidR="007B33B0" w:rsidRPr="0084736C">
        <w:rPr>
          <w:rFonts w:cstheme="minorHAnsi"/>
          <w:color w:val="000000"/>
          <w:sz w:val="24"/>
          <w:szCs w:val="24"/>
          <w:shd w:val="clear" w:color="auto" w:fill="FFFFFF"/>
        </w:rPr>
        <w:fldChar w:fldCharType="begin"/>
      </w:r>
      <w:r w:rsidR="008F09C1">
        <w:rPr>
          <w:rFonts w:cstheme="minorHAnsi"/>
          <w:color w:val="000000"/>
          <w:sz w:val="24"/>
          <w:szCs w:val="24"/>
          <w:shd w:val="clear" w:color="auto" w:fill="FFFFFF"/>
        </w:rPr>
        <w:instrText xml:space="preserve"> ADDIN ZOTERO_ITEM CSL_CITATION {"citationID":"atr80at53e","properties":{"formattedCitation":"\\super 34\\nosupersub{}","plainCitation":"34","noteIndex":0},"citationItems":[{"id":12615,"uris":["http://zotero.org/groups/2667333/items/RCAMVG6F"],"itemData":{"id":12615,"type":"article-journal","abstract":"The role of water in promoting the formation of protofilaments (the basic building blocks of amyloid fibrils) is investigated using fully atomic molecular dynamics simulations. Our model protofilament consists of two parallel β-sheets of Alzheimer Amyloid-β 16−22 peptides (Ac-K16-L17-V18-F19-F20-A21-E22-NH2). Each sheet presents a distinct hydrophobic and hydrophilic face and together self-assemble to a stable protofilament with a core consisting of purely hydrophobic residues (L17, F19, A21), with the two charged residues (K16, E22) pointing to the solvent. Our simulations reveal a subtle interplay between a water mediated assembly and one driven by favorable energetic interactions between specific residues forming the interior of the protofilament. A dewetting transition, in which water expulsion precedes hydrophobic collapse, is observed for some, but not all molecular dynamics trajectories. In the trajectories in which no dewetting is observed, water expulsion and hydrophobic collapse occur simultaneously, with protofilament assembly driven by direct interactions between the hydrophobic side chains of the peptides (particularly between F−F residues). For those same trajectories, a small increase in the temperature of the simulation (on the order of 20 K) or a modest reduction in the peptide−water van der Waals attraction (on the order of 10%) is sufficient to induce a dewetting transition, suggesting that the existence of a dewetting transition in simulation might be sensitive to the details of the force field parametrization.","container-title":"Journal of the American Chemical Society","DOI":"10.1021/ja8017303","ISSN":"0002-7863","issue":"33","journalAbbreviation":"J. Am. Chem. Soc.","note":"publisher: American Chemical Society","page":"11066-11072","source":"ACS Publications","title":"Role of Water in Mediating the Assembly of Alzheimer Amyloid-β Aβ16−22 Protofilaments","URL":"https://doi.org/10.1021/ja8017303","volume":"130","author":[{"family":"Krone","given":"Mary Griffin"},{"family":"Hua","given":"Lan"},{"family":"Soto","given":"Patricia"},{"family":"Zhou","given":"Ruhong"},{"family":"Berne","given":"B. J."},{"family":"Shea","given":"Joan-Emma"}],"accessed":{"date-parts":[["2022",9,19]]},"issued":{"date-parts":[["2008",8,1]]},"citation-key":"krone_role_2008"}}],"schema":"https://github.com/citation-style-language/schema/raw/master/csl-citation.json"} </w:instrText>
      </w:r>
      <w:r w:rsidR="007B33B0" w:rsidRPr="0084736C">
        <w:rPr>
          <w:rFonts w:cstheme="minorHAnsi"/>
          <w:color w:val="000000"/>
          <w:sz w:val="24"/>
          <w:szCs w:val="24"/>
          <w:shd w:val="clear" w:color="auto" w:fill="FFFFFF"/>
        </w:rPr>
        <w:fldChar w:fldCharType="separate"/>
      </w:r>
      <w:r w:rsidR="008F09C1" w:rsidRPr="008F09C1">
        <w:rPr>
          <w:rFonts w:ascii="Arial" w:cs="Arial"/>
          <w:color w:val="000000"/>
          <w:sz w:val="24"/>
          <w:vertAlign w:val="superscript"/>
        </w:rPr>
        <w:t>34</w:t>
      </w:r>
      <w:r w:rsidR="007B33B0" w:rsidRPr="0084736C">
        <w:rPr>
          <w:rFonts w:cstheme="minorHAnsi"/>
          <w:color w:val="000000"/>
          <w:sz w:val="24"/>
          <w:szCs w:val="24"/>
          <w:shd w:val="clear" w:color="auto" w:fill="FFFFFF"/>
        </w:rPr>
        <w:fldChar w:fldCharType="end"/>
      </w:r>
      <w:r w:rsidR="007B33B0" w:rsidRPr="0084736C">
        <w:rPr>
          <w:rFonts w:cstheme="minorHAnsi"/>
          <w:color w:val="000000"/>
          <w:sz w:val="24"/>
          <w:szCs w:val="24"/>
          <w:shd w:val="clear" w:color="auto" w:fill="FFFFFF"/>
        </w:rPr>
        <w:t xml:space="preserve"> </w:t>
      </w:r>
      <w:r w:rsidR="007B33B0" w:rsidRPr="0084736C">
        <w:rPr>
          <w:rFonts w:cstheme="minorHAnsi"/>
          <w:sz w:val="24"/>
          <w:szCs w:val="24"/>
        </w:rPr>
        <w:t xml:space="preserve"> Furthermore, a computational analysis of all 400 natural dipeptide combinations previously demonstrated the propensity of hydrophobic residues to influence the self-assembly of short peptides. </w:t>
      </w:r>
      <w:r w:rsidR="00926DD7" w:rsidRPr="0084736C">
        <w:rPr>
          <w:rFonts w:cstheme="minorHAnsi"/>
          <w:color w:val="000000"/>
          <w:sz w:val="24"/>
          <w:szCs w:val="24"/>
          <w:shd w:val="clear" w:color="auto" w:fill="FFFFFF"/>
        </w:rPr>
        <w:fldChar w:fldCharType="begin"/>
      </w:r>
      <w:r w:rsidR="008F09C1">
        <w:rPr>
          <w:rFonts w:cstheme="minorHAnsi"/>
          <w:color w:val="000000"/>
          <w:sz w:val="24"/>
          <w:szCs w:val="24"/>
          <w:shd w:val="clear" w:color="auto" w:fill="FFFFFF"/>
        </w:rPr>
        <w:instrText xml:space="preserve"> ADDIN ZOTERO_ITEM CSL_CITATION {"citationID":"a12smkoe2f5","properties":{"formattedCitation":"\\super 35\\nosupersub{}","plainCitation":"35","noteIndex":0},"citationItems":[{"id":2394,"uris":["http://zotero.org/groups/2667333/items/ARK7DUEJ"],"itemData":{"id":2394,"type":"article-journal","container-title":"Nature Chemistry","DOI":"10.1038/nchem.2122","ISSN":"1755-4330, 1755-4349","issue":"1","journalAbbreviation":"Nat. Chem.","language":"en","note":"tex.ids: frederix_exploring_2015-4\nCitation Key: frederix_exploring_2015","page":"30-37","source":"DOI.org (Crossref)","title":"Exploring the sequence space for (tri-)peptide self-assembly to design and discover new hydrogels","URL":"http://www.nature.com/articles/nchem.2122","volume":"7","author":[{"family":"Frederix","given":"Pim W. J. M."},{"family":"Scott","given":"Gary G."},{"family":"Abul-Haija","given":"Yousef M."},{"family":"Kalafatovic","given":"Daniela"},{"family":"Pappas","given":"Charalampos G."},{"family":"Javid","given":"Nadeem"},{"family":"Hunt","given":"Neil T."},{"family":"Ulijn","given":"Rein V."},{"family":"Tuttle","given":"Tell"}],"accessed":{"date-parts":[["2020",12,23]]},"issued":{"date-parts":[["2015",1]]},"citation-key":"frederix_exploring_2015"}}],"schema":"https://github.com/citation-style-language/schema/raw/master/csl-citation.json"} </w:instrText>
      </w:r>
      <w:r w:rsidR="00926DD7" w:rsidRPr="0084736C">
        <w:rPr>
          <w:rFonts w:cstheme="minorHAnsi"/>
          <w:color w:val="000000"/>
          <w:sz w:val="24"/>
          <w:szCs w:val="24"/>
          <w:shd w:val="clear" w:color="auto" w:fill="FFFFFF"/>
        </w:rPr>
        <w:fldChar w:fldCharType="separate"/>
      </w:r>
      <w:r w:rsidR="008F09C1" w:rsidRPr="008F09C1">
        <w:rPr>
          <w:rFonts w:ascii="Arial" w:cs="Arial"/>
          <w:color w:val="000000"/>
          <w:sz w:val="24"/>
          <w:vertAlign w:val="superscript"/>
        </w:rPr>
        <w:t>35</w:t>
      </w:r>
      <w:r w:rsidR="00926DD7" w:rsidRPr="0084736C">
        <w:rPr>
          <w:rFonts w:cstheme="minorHAnsi"/>
          <w:color w:val="000000"/>
          <w:sz w:val="24"/>
          <w:szCs w:val="24"/>
          <w:shd w:val="clear" w:color="auto" w:fill="FFFFFF"/>
        </w:rPr>
        <w:fldChar w:fldCharType="end"/>
      </w:r>
    </w:p>
    <w:p w14:paraId="1A8F0ECC" w14:textId="5833724D" w:rsidR="006D7140" w:rsidRDefault="00776C62" w:rsidP="007B33B0">
      <w:pPr>
        <w:spacing w:after="0" w:line="480" w:lineRule="auto"/>
        <w:rPr>
          <w:rFonts w:cstheme="minorHAnsi"/>
          <w:sz w:val="24"/>
          <w:szCs w:val="24"/>
        </w:rPr>
      </w:pPr>
      <w:r w:rsidRPr="0084736C">
        <w:rPr>
          <w:rFonts w:cstheme="minorHAnsi"/>
          <w:color w:val="000000"/>
          <w:sz w:val="24"/>
          <w:szCs w:val="24"/>
          <w:shd w:val="clear" w:color="auto" w:fill="FFFFFF"/>
        </w:rPr>
        <w:t xml:space="preserve">Simplistic modifications of diphenylalanine peptides such as introducing </w:t>
      </w:r>
      <w:r w:rsidR="00A76B94">
        <w:rPr>
          <w:rFonts w:cstheme="minorHAnsi"/>
          <w:color w:val="000000"/>
          <w:sz w:val="24"/>
          <w:szCs w:val="24"/>
          <w:shd w:val="clear" w:color="auto" w:fill="FFFFFF"/>
        </w:rPr>
        <w:t xml:space="preserve">an </w:t>
      </w:r>
      <w:r w:rsidRPr="0084736C">
        <w:rPr>
          <w:rFonts w:cstheme="minorHAnsi"/>
          <w:color w:val="000000"/>
          <w:sz w:val="24"/>
          <w:szCs w:val="24"/>
          <w:shd w:val="clear" w:color="auto" w:fill="FFFFFF"/>
        </w:rPr>
        <w:t>aromatic capping group,</w:t>
      </w:r>
      <w:r w:rsidRPr="0084736C">
        <w:rPr>
          <w:rFonts w:cstheme="minorHAnsi"/>
          <w:color w:val="000000"/>
          <w:sz w:val="24"/>
          <w:szCs w:val="24"/>
          <w:shd w:val="clear" w:color="auto" w:fill="FFFFFF"/>
        </w:rPr>
        <w:fldChar w:fldCharType="begin"/>
      </w:r>
      <w:r w:rsidR="008F09C1">
        <w:rPr>
          <w:rFonts w:cstheme="minorHAnsi"/>
          <w:color w:val="000000"/>
          <w:sz w:val="24"/>
          <w:szCs w:val="24"/>
          <w:shd w:val="clear" w:color="auto" w:fill="FFFFFF"/>
        </w:rPr>
        <w:instrText xml:space="preserve"> ADDIN ZOTERO_ITEM CSL_CITATION {"citationID":"K2lduWlP","properties":{"formattedCitation":"\\super 36\\nosupersub{}","plainCitation":"36","noteIndex":0},"citationItems":[{"id":74,"uris":["http://zotero.org/users/5797676/items/PCHIRN9Y"],"itemData":{"id":74,"type":"article-journal","abstract":"Using small angle neutron scattering (SANS), it is shown that the existence of pre-assembled structures at high pH for a capped diphenylalanine hydrogel is controlled by the selection of N-terminal heterocyclic capping group, namely indole or carbazole. At high pH, changing from a somewhat hydrophilic indole capping group to a more hydrophobic carbazole capping group results in a shift from a high proportion of monomers to self-assembled fibers or wormlike micelles. The presence of these different self-assembled structures at high pH is confirmed through NMR and circular dichroism spectroscopy, scanning probe microscopy and cryogenic transmission electron microscopy.","container-title":"Scientific Reports","DOI":"10.1038/srep43947","ISSN":"2045-2322","issue":"1","language":"en","license":"2017 The Author(s)","note":"number: 1\npublisher: Nature Publishing Group","page":"43947","source":"www.nature.com","title":"Controlling self-assembly of diphenylalanine peptides at high pH using heterocyclic capping groups","URL":"https://www.nature.com/articles/srep43947","volume":"7","author":[{"family":"Martin","given":"Adam D."},{"family":"Wojciechowski","given":"Jonathan P."},{"family":"Robinson","given":"Andrew B."},{"family":"Heu","given":"Celine"},{"family":"Garvey","given":"Christopher J."},{"family":"Ratcliffe","given":"Julian"},{"family":"Waddington","given":"Lynne J."},{"family":"Gardiner","given":"James"},{"family":"Thordarson","given":"Pall"}],"accessed":{"date-parts":[["2020",9,7]]},"issued":{"date-parts":[["2017",3,8]]},"citation-key":"martinControllingSelfassemblyDiphenylalanine2017"}}],"schema":"https://github.com/citation-style-language/schema/raw/master/csl-citation.json"} </w:instrText>
      </w:r>
      <w:r w:rsidRPr="0084736C">
        <w:rPr>
          <w:rFonts w:cstheme="minorHAnsi"/>
          <w:color w:val="000000"/>
          <w:sz w:val="24"/>
          <w:szCs w:val="24"/>
          <w:shd w:val="clear" w:color="auto" w:fill="FFFFFF"/>
        </w:rPr>
        <w:fldChar w:fldCharType="separate"/>
      </w:r>
      <w:r w:rsidR="008F09C1" w:rsidRPr="008F09C1">
        <w:rPr>
          <w:rFonts w:ascii="Arial" w:cs="Arial"/>
          <w:color w:val="000000"/>
          <w:sz w:val="24"/>
          <w:vertAlign w:val="superscript"/>
        </w:rPr>
        <w:t>36</w:t>
      </w:r>
      <w:r w:rsidRPr="0084736C">
        <w:rPr>
          <w:rFonts w:cstheme="minorHAnsi"/>
          <w:color w:val="000000"/>
          <w:sz w:val="24"/>
          <w:szCs w:val="24"/>
          <w:shd w:val="clear" w:color="auto" w:fill="FFFFFF"/>
        </w:rPr>
        <w:fldChar w:fldCharType="end"/>
      </w:r>
      <w:r w:rsidRPr="0084736C">
        <w:rPr>
          <w:rFonts w:cstheme="minorHAnsi"/>
          <w:color w:val="000000"/>
          <w:sz w:val="24"/>
          <w:szCs w:val="24"/>
          <w:shd w:val="clear" w:color="auto" w:fill="FFFFFF"/>
        </w:rPr>
        <w:t xml:space="preserve"> co-assembly with other hydrophobic residues</w:t>
      </w:r>
      <w:r w:rsidRPr="0084736C">
        <w:rPr>
          <w:rFonts w:cstheme="minorHAnsi"/>
          <w:color w:val="000000"/>
          <w:sz w:val="24"/>
          <w:szCs w:val="24"/>
          <w:shd w:val="clear" w:color="auto" w:fill="FFFFFF"/>
        </w:rPr>
        <w:fldChar w:fldCharType="begin"/>
      </w:r>
      <w:r w:rsidR="008F09C1">
        <w:rPr>
          <w:rFonts w:cstheme="minorHAnsi"/>
          <w:color w:val="000000"/>
          <w:sz w:val="24"/>
          <w:szCs w:val="24"/>
          <w:shd w:val="clear" w:color="auto" w:fill="FFFFFF"/>
        </w:rPr>
        <w:instrText xml:space="preserve"> ADDIN ZOTERO_ITEM CSL_CITATION {"citationID":"LS7sPMcy","properties":{"formattedCitation":"\\super 37\\nosupersub{}","plainCitation":"37","noteIndex":0},"citationItems":[{"id":73,"uris":["http://zotero.org/users/5797676/items/NVMCTLAH"],"itemData":{"id":73,"type":"article-journal","container-title":"Nanoscale","DOI":"10.1039/C9NR09317F","issue":"5","language":"en","note":"publisher: Royal Society of Chemistry","page":"3038-3049","source":"pubs.rsc.org","title":"Expanding the structural diversity of peptide assemblies by coassembling dipeptides with diphenylalanine","URL":"https://pubs.rsc.org/en/content/articlelanding/2020/nr/c9nr09317f","volume":"12","author":[{"family":"Tang","given":"Yiming"},{"family":"Yao","given":"Yifei"},{"family":"Wei","given":"Guanghong"}],"accessed":{"date-parts":[["2020",9,7]]},"issued":{"date-parts":[["2020"]]},"citation-key":"tangExpandingStructuralDiversity2020"}}],"schema":"https://github.com/citation-style-language/schema/raw/master/csl-citation.json"} </w:instrText>
      </w:r>
      <w:r w:rsidRPr="0084736C">
        <w:rPr>
          <w:rFonts w:cstheme="minorHAnsi"/>
          <w:color w:val="000000"/>
          <w:sz w:val="24"/>
          <w:szCs w:val="24"/>
          <w:shd w:val="clear" w:color="auto" w:fill="FFFFFF"/>
        </w:rPr>
        <w:fldChar w:fldCharType="separate"/>
      </w:r>
      <w:r w:rsidR="008F09C1" w:rsidRPr="008F09C1">
        <w:rPr>
          <w:rFonts w:ascii="Arial" w:cs="Arial"/>
          <w:color w:val="000000"/>
          <w:sz w:val="24"/>
          <w:vertAlign w:val="superscript"/>
        </w:rPr>
        <w:t>37</w:t>
      </w:r>
      <w:r w:rsidRPr="0084736C">
        <w:rPr>
          <w:rFonts w:cstheme="minorHAnsi"/>
          <w:color w:val="000000"/>
          <w:sz w:val="24"/>
          <w:szCs w:val="24"/>
          <w:shd w:val="clear" w:color="auto" w:fill="FFFFFF"/>
        </w:rPr>
        <w:fldChar w:fldCharType="end"/>
      </w:r>
      <w:r w:rsidRPr="0084736C">
        <w:rPr>
          <w:rFonts w:cstheme="minorHAnsi"/>
          <w:color w:val="000000"/>
          <w:sz w:val="24"/>
          <w:szCs w:val="24"/>
          <w:shd w:val="clear" w:color="auto" w:fill="FFFFFF"/>
        </w:rPr>
        <w:t xml:space="preserve"> can even further enhance the application areas such as producing hydrogels with tunable mechanical properties and creating structural diversity in self-assembly.</w:t>
      </w:r>
      <w:r w:rsidR="007B33B0" w:rsidRPr="0084736C">
        <w:rPr>
          <w:rFonts w:cstheme="minorHAnsi"/>
          <w:sz w:val="24"/>
          <w:szCs w:val="24"/>
        </w:rPr>
        <w:t xml:space="preserve"> </w:t>
      </w:r>
      <w:r w:rsidR="00373A80" w:rsidRPr="0084736C">
        <w:rPr>
          <w:rFonts w:cstheme="minorHAnsi"/>
          <w:sz w:val="24"/>
          <w:szCs w:val="24"/>
        </w:rPr>
        <w:t>In general, self-assembly of dipeptides is triggered by external stimuli such as pH changes,</w:t>
      </w:r>
      <w:r w:rsidR="00373A80" w:rsidRPr="0084736C">
        <w:rPr>
          <w:rFonts w:cstheme="minorHAnsi"/>
          <w:sz w:val="24"/>
          <w:szCs w:val="24"/>
        </w:rPr>
        <w:fldChar w:fldCharType="begin"/>
      </w:r>
      <w:r w:rsidR="008F09C1">
        <w:rPr>
          <w:rFonts w:cstheme="minorHAnsi"/>
          <w:sz w:val="24"/>
          <w:szCs w:val="24"/>
        </w:rPr>
        <w:instrText xml:space="preserve"> ADDIN ZOTERO_ITEM CSL_CITATION {"citationID":"yTOYegKD","properties":{"formattedCitation":"\\super 38\\nosupersub{}","plainCitation":"38","noteIndex":0},"citationItems":[{"id":68,"uris":["http://zotero.org/users/5797676/items/PRRZN2GV"],"itemData":{"id":68,"type":"article-journal","abstract":"The self assembly of peptide hydrogelators that carry aromatic substituents can be modeled by a novel nanocylindrical architecture. The proposed model suggests that the nanocylinders are formed by anti-parallel β-sheets interlocked by the π-stacking interactions of fluorenyl groups and phenyl rings. This explanation is consistent with the structures observed in TEM and the data obtained by a variety of spectroscopic techniques.","container-title":"Advanced Materials","DOI":"10.1002/adma.200701221","ISSN":"1521-4095","issue":"1","license":"Copyright © 2008 WILEY</w:instrText>
      </w:r>
      <w:r w:rsidR="008F09C1">
        <w:rPr>
          <w:rFonts w:ascii="Cambria Math" w:hAnsi="Cambria Math" w:cs="Cambria Math"/>
          <w:sz w:val="24"/>
          <w:szCs w:val="24"/>
        </w:rPr>
        <w:instrText>‐</w:instrText>
      </w:r>
      <w:r w:rsidR="008F09C1">
        <w:rPr>
          <w:rFonts w:cstheme="minorHAnsi"/>
          <w:sz w:val="24"/>
          <w:szCs w:val="24"/>
        </w:rPr>
        <w:instrText xml:space="preserve">VCH Verlag GmbH &amp; Co. KGaA, Weinheim","note":"_eprint: https://onlinelibrary.wiley.com/doi/pdf/10.1002/adma.200701221","page":"37-41","source":"Wiley Online Library","title":"Fmoc-Diphenylalanine Self Assembles to a Hydrogel via a Novel Architecture Based on π–π Interlocked β-Sheets","URL":"https://onlinelibrary.wiley.com/doi/abs/10.1002/adma.200701221","volume":"20","author":[{"family":"Smith","given":"A. M."},{"family":"Williams","given":"R. J."},{"family":"Tang","given":"C."},{"family":"Coppo","given":"P."},{"family":"Collins","given":"R. F."},{"family":"Turner","given":"M. L."},{"family":"Saiani","given":"A."},{"family":"Ulijn","given":"R. V."}],"accessed":{"date-parts":[["2020",9,7]]},"issued":{"date-parts":[["2008"]]},"citation-key":"smithFmocDiphenylalanineSelfAssembles2008"}}],"schema":"https://github.com/citation-style-language/schema/raw/master/csl-citation.json"} </w:instrText>
      </w:r>
      <w:r w:rsidR="00373A80" w:rsidRPr="0084736C">
        <w:rPr>
          <w:rFonts w:cstheme="minorHAnsi"/>
          <w:sz w:val="24"/>
          <w:szCs w:val="24"/>
        </w:rPr>
        <w:fldChar w:fldCharType="separate"/>
      </w:r>
      <w:r w:rsidR="008F09C1" w:rsidRPr="008F09C1">
        <w:rPr>
          <w:rFonts w:ascii="Arial" w:cs="Arial"/>
          <w:sz w:val="24"/>
          <w:vertAlign w:val="superscript"/>
        </w:rPr>
        <w:t>38</w:t>
      </w:r>
      <w:r w:rsidR="00373A80" w:rsidRPr="0084736C">
        <w:rPr>
          <w:rFonts w:cstheme="minorHAnsi"/>
          <w:sz w:val="24"/>
          <w:szCs w:val="24"/>
        </w:rPr>
        <w:fldChar w:fldCharType="end"/>
      </w:r>
      <w:r w:rsidR="00373A80" w:rsidRPr="0084736C">
        <w:rPr>
          <w:rFonts w:cstheme="minorHAnsi"/>
          <w:sz w:val="24"/>
          <w:szCs w:val="24"/>
        </w:rPr>
        <w:t xml:space="preserve"> ion addition,</w:t>
      </w:r>
      <w:r w:rsidR="00373A80" w:rsidRPr="0084736C">
        <w:rPr>
          <w:rFonts w:cstheme="minorHAnsi"/>
          <w:sz w:val="24"/>
          <w:szCs w:val="24"/>
        </w:rPr>
        <w:fldChar w:fldCharType="begin"/>
      </w:r>
      <w:r w:rsidR="008F09C1">
        <w:rPr>
          <w:rFonts w:cstheme="minorHAnsi"/>
          <w:sz w:val="24"/>
          <w:szCs w:val="24"/>
        </w:rPr>
        <w:instrText xml:space="preserve"> ADDIN ZOTERO_ITEM CSL_CITATION {"citationID":"JbhizFxr","properties":{"formattedCitation":"\\super 39\\nosupersub{}","plainCitation":"39","noteIndex":0},"citationItems":[{"id":66,"uris":["http://zotero.org/users/5797676/items/J4WWNBHT"],"itemData":{"id":66,"type":"article-journal","container-title":"Chemical Communications","DOI":"10.1039/C7CC04796G","issue":"69","language":"en","note":"publisher: Royal Society of Chemistry","page":"9562-9565","source":"pubs.rsc.org","title":"Cooperative, ion-sensitive co-assembly of tripeptide hydrogels","URL":"https://pubs.rsc.org/en/content/articlelanding/2017/cc/c7cc04796g","volume":"53","author":[{"family":"M. Abul-Haija","given":"Yousef"},{"family":"G. Scott","given":"Gary"},{"family":"Kishore Sahoo","given":"Jugal"},{"family":"Tuttle","given":"Tell"},{"family":"V. Ulijn","given":"Rein"}],"accessed":{"date-parts":[["2020",9,7]]},"issued":{"date-parts":[["2017"]]},"citation-key":"m.abul-haijaCooperativeIonsensitiveCoassembly2017"}}],"schema":"https://github.com/citation-style-language/schema/raw/master/csl-citation.json"} </w:instrText>
      </w:r>
      <w:r w:rsidR="00373A80" w:rsidRPr="0084736C">
        <w:rPr>
          <w:rFonts w:cstheme="minorHAnsi"/>
          <w:sz w:val="24"/>
          <w:szCs w:val="24"/>
        </w:rPr>
        <w:fldChar w:fldCharType="separate"/>
      </w:r>
      <w:r w:rsidR="008F09C1" w:rsidRPr="008F09C1">
        <w:rPr>
          <w:rFonts w:ascii="Arial" w:cs="Arial"/>
          <w:sz w:val="24"/>
          <w:vertAlign w:val="superscript"/>
        </w:rPr>
        <w:t>39</w:t>
      </w:r>
      <w:r w:rsidR="00373A80" w:rsidRPr="0084736C">
        <w:rPr>
          <w:rFonts w:cstheme="minorHAnsi"/>
          <w:sz w:val="24"/>
          <w:szCs w:val="24"/>
        </w:rPr>
        <w:fldChar w:fldCharType="end"/>
      </w:r>
      <w:r w:rsidR="00373A80" w:rsidRPr="0084736C">
        <w:rPr>
          <w:rFonts w:cstheme="minorHAnsi"/>
          <w:sz w:val="24"/>
          <w:szCs w:val="24"/>
        </w:rPr>
        <w:t xml:space="preserve"> temperature changes</w:t>
      </w:r>
      <w:r w:rsidR="00373A80" w:rsidRPr="0084736C">
        <w:rPr>
          <w:rFonts w:cstheme="minorHAnsi"/>
          <w:sz w:val="24"/>
          <w:szCs w:val="24"/>
        </w:rPr>
        <w:fldChar w:fldCharType="begin"/>
      </w:r>
      <w:r w:rsidR="008F09C1">
        <w:rPr>
          <w:rFonts w:cstheme="minorHAnsi"/>
          <w:sz w:val="24"/>
          <w:szCs w:val="24"/>
        </w:rPr>
        <w:instrText xml:space="preserve"> ADDIN ZOTERO_ITEM CSL_CITATION {"citationID":"Lk5AyAhJ","properties":{"formattedCitation":"\\super 40\\nosupersub{}","plainCitation":"40","noteIndex":0},"citationItems":[{"id":65,"uris":["http://zotero.org/users/5797676/items/223VXCMY"],"itemData":{"id":65,"type":"article-journal","abstract":"Controlling the self-assembly of diphenylalanine peptide (FF) into various nanoarchitectures has received great amounts of attention in recent years. Here, we report the temperature-induced reversible self-assembly of diphenylalanine peptide to microtubes, nanowires, or organogel in different solvents. We also find that the organogel in isopropanol transforms into crystalline flakes or nanowires when the temperature increases. The reversible self-assembly in polar solvents may be mainly controlled by electronic and aromatic interactions between the FF molecules themselves, which is associated with the dissociation equilibrium and significantly influenced by temperature. We found that the organogel in the isopropanol solvent made a unique transition to crystalline structures, a process that is driven by temperature and may be kinetically controlled. During the heating-cooling process, FF preferentially self-assembles to metastable nanofibers and organogel. They further transform to thermodynamically stable crystal structures via molecular rearrangement after introducing an external energy, such as the increasing temperature used in this study. The strategy demonstrated in this study provides an efficient way to controllably fabricate smart, temperature-responsive peptide nanomaterials and enriches the understanding of the growth mechanism of diphenylalanine peptide nanostructures.","container-title":"Nanoscale Research Letters","DOI":"10.1186/1556-276X-9-653","ISSN":"1931-7573","issue":"1","journalAbbreviation":"Nanoscale Res Lett","note":"PMID: 25520600\nPMCID: PMC4266524","page":"653","source":"PubMed Central","title":"Temperature-induced reversible self-assembly of diphenylalanine peptide and the structural transition from organogel to crystalline nanowires","URL":"https://www.ncbi.nlm.nih.gov/pmc/articles/PMC4266524/","volume":"9","author":[{"family":"Huang","given":"Renliang"},{"family":"Wang","given":"Yuefei"},{"family":"Qi","given":"Wei"},{"family":"Su","given":"Rongxin"},{"family":"He","given":"Zhimin"}],"accessed":{"date-parts":[["2020",9,7]]},"issued":{"date-parts":[["2014",12,3]]},"citation-key":"huangTemperatureinducedReversibleSelfassembly2014"}}],"schema":"https://github.com/citation-style-language/schema/raw/master/csl-citation.json"} </w:instrText>
      </w:r>
      <w:r w:rsidR="00373A80" w:rsidRPr="0084736C">
        <w:rPr>
          <w:rFonts w:cstheme="minorHAnsi"/>
          <w:sz w:val="24"/>
          <w:szCs w:val="24"/>
        </w:rPr>
        <w:fldChar w:fldCharType="separate"/>
      </w:r>
      <w:r w:rsidR="008F09C1" w:rsidRPr="008F09C1">
        <w:rPr>
          <w:rFonts w:ascii="Arial" w:cs="Arial"/>
          <w:sz w:val="24"/>
          <w:vertAlign w:val="superscript"/>
        </w:rPr>
        <w:t>40</w:t>
      </w:r>
      <w:r w:rsidR="00373A80" w:rsidRPr="0084736C">
        <w:rPr>
          <w:rFonts w:cstheme="minorHAnsi"/>
          <w:sz w:val="24"/>
          <w:szCs w:val="24"/>
        </w:rPr>
        <w:fldChar w:fldCharType="end"/>
      </w:r>
      <w:r w:rsidR="00373A80" w:rsidRPr="0084736C">
        <w:rPr>
          <w:rFonts w:cstheme="minorHAnsi"/>
          <w:sz w:val="24"/>
          <w:szCs w:val="24"/>
        </w:rPr>
        <w:t xml:space="preserve"> or solvent mediation.</w:t>
      </w:r>
      <w:r w:rsidR="00373A80" w:rsidRPr="0084736C">
        <w:rPr>
          <w:rFonts w:cstheme="minorHAnsi"/>
          <w:sz w:val="24"/>
          <w:szCs w:val="24"/>
        </w:rPr>
        <w:fldChar w:fldCharType="begin"/>
      </w:r>
      <w:r w:rsidR="008F09C1">
        <w:rPr>
          <w:rFonts w:cstheme="minorHAnsi"/>
          <w:sz w:val="24"/>
          <w:szCs w:val="24"/>
        </w:rPr>
        <w:instrText xml:space="preserve"> ADDIN ZOTERO_ITEM CSL_CITATION {"citationID":"cg7gNvhy","properties":{"formattedCitation":"\\super 41\\nosupersub{}","plainCitation":"41","noteIndex":0},"citationItems":[{"id":67,"uris":["http://zotero.org/users/5797676/items/J5PRLQI4"],"itemData":{"id":67,"type":"article-journal","abstract":"The mechanical properties of gels are critical to the final targeted applications. Depending on the application, different properties may be required. Here, we show that the mechanical strength and ability to recover of gels formed using a low molecular weight gelator can be controlled by two independent factors (i) the volume fraction of co-solvent (in this case DMSO) in the system and (ii) the temperature cycle used. These differences correlate with the large scale structure of the network that is formed from the self-assembled fibres. This opens up the potential to prepare gels with very different properties at the same final conditions, allowing the effect of microstructure to be probed.","container-title":"Soft Matter","DOI":"10.1039/C1SM05827D","ISSN":"1744-6848","issue":"20","journalAbbreviation":"Soft Matter","language":"en","note":"publisher: The Royal Society of Chemistry","page":"9721-9727","source":"pubs.rsc.org","title":"Tuneable mechanical properties in low molecular weight gels","URL":"https://pubs.rsc.org/en/content/articlelanding/2011/sm/c1sm05827d","volume":"7","author":[{"family":"Chen","given":"Lin"},{"family":"Raeburn","given":"Jaclyn"},{"family":"Sutton","given":"Sam"},{"family":"Spiller","given":"David G."},{"family":"Williams","given":"James"},{"family":"Sharp","given":"James S."},{"family":"Griffiths","given":"Peter C."},{"family":"Heenan","given":"Richard K."},{"family":"King","given":"Stephen M."},{"family":"Paul","given":"Alison"},{"family":"Furzeland","given":"Steve"},{"family":"Atkins","given":"Derek"},{"family":"Adams","given":"Dave J."}],"accessed":{"date-parts":[["2020",9,7]]},"issued":{"date-parts":[["2011",10,4]]},"citation-key":"chenTuneableMechanicalProperties2011"}}],"schema":"https://github.com/citation-style-language/schema/raw/master/csl-citation.json"} </w:instrText>
      </w:r>
      <w:r w:rsidR="00373A80" w:rsidRPr="0084736C">
        <w:rPr>
          <w:rFonts w:cstheme="minorHAnsi"/>
          <w:sz w:val="24"/>
          <w:szCs w:val="24"/>
        </w:rPr>
        <w:fldChar w:fldCharType="separate"/>
      </w:r>
      <w:r w:rsidR="008F09C1" w:rsidRPr="008F09C1">
        <w:rPr>
          <w:rFonts w:ascii="Arial" w:cs="Arial"/>
          <w:sz w:val="24"/>
          <w:vertAlign w:val="superscript"/>
        </w:rPr>
        <w:t>41</w:t>
      </w:r>
      <w:r w:rsidR="00373A80" w:rsidRPr="0084736C">
        <w:rPr>
          <w:rFonts w:cstheme="minorHAnsi"/>
          <w:sz w:val="24"/>
          <w:szCs w:val="24"/>
        </w:rPr>
        <w:fldChar w:fldCharType="end"/>
      </w:r>
      <w:r w:rsidR="00373A80" w:rsidRPr="0084736C">
        <w:rPr>
          <w:rFonts w:cstheme="minorHAnsi"/>
          <w:sz w:val="24"/>
          <w:szCs w:val="24"/>
        </w:rPr>
        <w:t xml:space="preserve"> </w:t>
      </w:r>
      <w:r w:rsidR="00EC1BEE" w:rsidRPr="0084736C">
        <w:rPr>
          <w:rFonts w:cstheme="minorHAnsi"/>
          <w:sz w:val="24"/>
          <w:szCs w:val="24"/>
        </w:rPr>
        <w:t xml:space="preserve">However, </w:t>
      </w:r>
      <w:r w:rsidR="00AC517A" w:rsidRPr="0084736C">
        <w:rPr>
          <w:rFonts w:cstheme="minorHAnsi"/>
          <w:sz w:val="24"/>
          <w:szCs w:val="24"/>
        </w:rPr>
        <w:t xml:space="preserve"> temperature change, ion addition or solvent mediation could limit the usability of these systems for biomedical applications in terms of toxicity and limited range of temperature. </w:t>
      </w:r>
    </w:p>
    <w:p w14:paraId="38093D09" w14:textId="1C1EBBD1" w:rsidR="006D7140" w:rsidRDefault="006D7140">
      <w:pPr>
        <w:pStyle w:val="Heading4"/>
        <w:numPr>
          <w:ilvl w:val="3"/>
          <w:numId w:val="3"/>
        </w:numPr>
      </w:pPr>
      <w:bookmarkStart w:id="22" w:name="_Toc121134615"/>
      <w:r w:rsidRPr="00DA4362">
        <w:t xml:space="preserve">Co-assembling </w:t>
      </w:r>
      <w:r w:rsidR="00DA4362">
        <w:t>P</w:t>
      </w:r>
      <w:r w:rsidRPr="00DA4362">
        <w:t>eptides</w:t>
      </w:r>
      <w:bookmarkEnd w:id="22"/>
    </w:p>
    <w:p w14:paraId="3C9693D4" w14:textId="77777777" w:rsidR="00DA4362" w:rsidRPr="00DA4362" w:rsidRDefault="00DA4362" w:rsidP="00DA4362"/>
    <w:p w14:paraId="6A01AE78" w14:textId="16907EE1" w:rsidR="00AC517A" w:rsidRPr="0084736C" w:rsidRDefault="00A76B94" w:rsidP="007B33B0">
      <w:pPr>
        <w:spacing w:after="0" w:line="480" w:lineRule="auto"/>
        <w:rPr>
          <w:rFonts w:cstheme="minorHAnsi"/>
          <w:sz w:val="24"/>
          <w:szCs w:val="24"/>
        </w:rPr>
      </w:pPr>
      <w:r>
        <w:rPr>
          <w:rFonts w:cstheme="minorHAnsi"/>
          <w:sz w:val="24"/>
          <w:szCs w:val="24"/>
        </w:rPr>
        <w:t>Compared</w:t>
      </w:r>
      <w:r w:rsidR="00EC1BEE" w:rsidRPr="0084736C">
        <w:rPr>
          <w:rFonts w:cstheme="minorHAnsi"/>
          <w:sz w:val="24"/>
          <w:szCs w:val="24"/>
        </w:rPr>
        <w:t xml:space="preserve"> with those techniques, </w:t>
      </w:r>
      <w:r>
        <w:rPr>
          <w:rFonts w:cstheme="minorHAnsi"/>
          <w:sz w:val="24"/>
          <w:szCs w:val="24"/>
        </w:rPr>
        <w:t xml:space="preserve">the </w:t>
      </w:r>
      <w:r w:rsidR="00EC1BEE" w:rsidRPr="0084736C">
        <w:rPr>
          <w:rFonts w:cstheme="minorHAnsi"/>
          <w:sz w:val="24"/>
          <w:szCs w:val="24"/>
        </w:rPr>
        <w:t xml:space="preserve">co-assembly strategy provides to control </w:t>
      </w:r>
      <w:r>
        <w:rPr>
          <w:rFonts w:cstheme="minorHAnsi"/>
          <w:sz w:val="24"/>
          <w:szCs w:val="24"/>
        </w:rPr>
        <w:t xml:space="preserve">of the </w:t>
      </w:r>
      <w:r w:rsidR="00EC1BEE" w:rsidRPr="0084736C">
        <w:rPr>
          <w:rFonts w:cstheme="minorHAnsi"/>
          <w:sz w:val="24"/>
          <w:szCs w:val="24"/>
        </w:rPr>
        <w:t>spatial orientation of peptides in the assembled state and the morphology of the assemblies at neutral pH.</w:t>
      </w:r>
      <w:r w:rsidR="00EC1BEE" w:rsidRPr="0084736C">
        <w:rPr>
          <w:rFonts w:cstheme="minorHAnsi"/>
          <w:sz w:val="24"/>
          <w:szCs w:val="24"/>
        </w:rPr>
        <w:fldChar w:fldCharType="begin"/>
      </w:r>
      <w:r w:rsidR="008F09C1">
        <w:rPr>
          <w:rFonts w:cstheme="minorHAnsi"/>
          <w:sz w:val="24"/>
          <w:szCs w:val="24"/>
        </w:rPr>
        <w:instrText xml:space="preserve"> ADDIN ZOTERO_ITEM CSL_CITATION {"citationID":"jmE50UZm","properties":{"formattedCitation":"\\super 42\\nosupersub{}","plainCitation":"42","noteIndex":0},"citationItems":[{"id":64,"uris":["http://zotero.org/users/5797676/items/4AJZF3GQ"],"itemData":{"id":64,"type":"article-journal","abstract":"Two types of oppositely charged short peptides comprised of a hydrophobic N-fluorenyl-9-methoxycarbonyl (FMOC) tail and a peptide backbone were designed and prepared via a standard solid phase peptide (SPPS) technique. When mixing these two oppositely charged peptides in water at a neutral pH, a supramolecular hydrogel with fibroid morphology could be formed via the electrostatic attraction triggered coassembly. The spectroscopic techniques indicated that the hydrogen bonding interactions of the peptide backbones resulted in the formation of antiparallel β-sheet like superstructure, and the fluorenyl rings connected to the peptide backbones were thus π-stacked with each other through an antiparallel fashion in the formed nanofibers. Due to the weak flexibility of peptide chains and steric hindrance of rigid fluorenyl rings during the initial process of the coassembly of the oppositely charged peptides, a relatively slow self-assembly was presented, and a higher concentration of the oppositely charged peptides was necessary for this supramolecular hydrogel formation. The strategy demonstrated in this study can be developed as a convenient approach for different types of short peptides to coassemble into a supramolecular hydrogel with multiple functions for the biomedical applications.","container-title":"The Journal of Physical Chemistry B","DOI":"10.1021/jp9102417","ISSN":"1520-6106","issue":"7","journalAbbreviation":"J. Phys. Chem. B","note":"publisher: American Chemical Society","page":"2365-2372","source":"ACS Publications","title":"Coassembly of Oppositely Charged Short Peptides into Well-Defined Supramolecular Hydrogels","URL":"https://doi.org/10.1021/jp9102417","volume":"114","author":[{"family":"Xu","given":"Xiao-Ding"},{"family":"Chen","given":"Chang-Sheng"},{"family":"Lu","given":"Bo"},{"family":"Cheng","given":"Si-Xue"},{"family":"Zhang","given":"Xian-Zheng"},{"family":"Zhuo","given":"Ren-Xi"}],"accessed":{"date-parts":[["2020",9,7]]},"issued":{"date-parts":[["2010",2,25]]},"citation-key":"xuCoassemblyOppositelyCharged2010"}}],"schema":"https://github.com/citation-style-language/schema/raw/master/csl-citation.json"} </w:instrText>
      </w:r>
      <w:r w:rsidR="00EC1BEE" w:rsidRPr="0084736C">
        <w:rPr>
          <w:rFonts w:cstheme="minorHAnsi"/>
          <w:sz w:val="24"/>
          <w:szCs w:val="24"/>
        </w:rPr>
        <w:fldChar w:fldCharType="separate"/>
      </w:r>
      <w:r w:rsidR="008F09C1" w:rsidRPr="008F09C1">
        <w:rPr>
          <w:rFonts w:ascii="Arial" w:cs="Arial"/>
          <w:sz w:val="24"/>
          <w:vertAlign w:val="superscript"/>
        </w:rPr>
        <w:t>42</w:t>
      </w:r>
      <w:r w:rsidR="00EC1BEE" w:rsidRPr="0084736C">
        <w:rPr>
          <w:rFonts w:cstheme="minorHAnsi"/>
          <w:sz w:val="24"/>
          <w:szCs w:val="24"/>
        </w:rPr>
        <w:fldChar w:fldCharType="end"/>
      </w:r>
      <w:r w:rsidR="00EC1BEE" w:rsidRPr="0084736C">
        <w:rPr>
          <w:rFonts w:cstheme="minorHAnsi"/>
          <w:sz w:val="24"/>
          <w:szCs w:val="24"/>
        </w:rPr>
        <w:t xml:space="preserve"> Also, it does not involve any external stimuli to create nanomaterials. </w:t>
      </w:r>
    </w:p>
    <w:p w14:paraId="32140427" w14:textId="7830F4D9" w:rsidR="00373A80" w:rsidRPr="0084736C" w:rsidRDefault="00A76B94" w:rsidP="007B33B0">
      <w:pPr>
        <w:spacing w:after="0" w:line="480" w:lineRule="auto"/>
        <w:rPr>
          <w:rFonts w:cstheme="minorHAnsi"/>
          <w:sz w:val="24"/>
          <w:szCs w:val="24"/>
        </w:rPr>
      </w:pPr>
      <w:r>
        <w:rPr>
          <w:rFonts w:cstheme="minorHAnsi"/>
          <w:sz w:val="24"/>
          <w:szCs w:val="24"/>
        </w:rPr>
        <w:lastRenderedPageBreak/>
        <w:t>The c</w:t>
      </w:r>
      <w:r w:rsidR="0069601D" w:rsidRPr="0084736C">
        <w:rPr>
          <w:rFonts w:cstheme="minorHAnsi"/>
          <w:sz w:val="24"/>
          <w:szCs w:val="24"/>
        </w:rPr>
        <w:t xml:space="preserve">o-assembly strategy </w:t>
      </w:r>
      <w:r>
        <w:rPr>
          <w:rFonts w:cstheme="minorHAnsi"/>
          <w:sz w:val="24"/>
          <w:szCs w:val="24"/>
        </w:rPr>
        <w:t>combines</w:t>
      </w:r>
      <w:r w:rsidR="0069601D" w:rsidRPr="0084736C">
        <w:rPr>
          <w:rFonts w:cstheme="minorHAnsi"/>
          <w:sz w:val="24"/>
          <w:szCs w:val="24"/>
        </w:rPr>
        <w:t xml:space="preserve"> two or more peptide building blocks to form ordered structures</w:t>
      </w:r>
      <w:r>
        <w:rPr>
          <w:rFonts w:cstheme="minorHAnsi"/>
          <w:sz w:val="24"/>
          <w:szCs w:val="24"/>
        </w:rPr>
        <w:t xml:space="preserve">, </w:t>
      </w:r>
      <w:r w:rsidR="00474FBE" w:rsidRPr="0084736C">
        <w:rPr>
          <w:rFonts w:cstheme="minorHAnsi"/>
          <w:sz w:val="24"/>
          <w:szCs w:val="24"/>
        </w:rPr>
        <w:t>unlike peptide</w:t>
      </w:r>
      <w:r>
        <w:rPr>
          <w:rFonts w:cstheme="minorHAnsi"/>
          <w:sz w:val="24"/>
          <w:szCs w:val="24"/>
        </w:rPr>
        <w:t xml:space="preserve"> </w:t>
      </w:r>
      <w:r w:rsidR="00474FBE" w:rsidRPr="0084736C">
        <w:rPr>
          <w:rFonts w:cstheme="minorHAnsi"/>
          <w:sz w:val="24"/>
          <w:szCs w:val="24"/>
        </w:rPr>
        <w:t>self-assembly which occurs within the same motif.</w:t>
      </w:r>
      <w:r w:rsidR="00474FBE" w:rsidRPr="0084736C">
        <w:rPr>
          <w:rFonts w:cstheme="minorHAnsi"/>
          <w:sz w:val="24"/>
          <w:szCs w:val="24"/>
        </w:rPr>
        <w:fldChar w:fldCharType="begin"/>
      </w:r>
      <w:r w:rsidR="00D84D0E" w:rsidRPr="0084736C">
        <w:rPr>
          <w:rFonts w:cstheme="minorHAnsi"/>
          <w:sz w:val="24"/>
          <w:szCs w:val="24"/>
        </w:rPr>
        <w:instrText xml:space="preserve"> ADDIN ZOTERO_ITEM CSL_CITATION {"citationID":"a28nir4ulho","properties":{"formattedCitation":"\\super 5\\nosupersub{}","plainCitation":"5","noteIndex":0},"citationItems":[{"id":2399,"uris":["http://zotero.org/groups/2667333/items/PG366YUP"],"itemData":{"id":2399,"type":"article-journal","abstract":"Molecular self-assembly is a ubiquitous process in nature and central to bottom-up nanotechnology. In particular, the organization of peptide building blocks into ordered supramolecular structures has gained much interest due to the unique properties of the products, including biocompatibility, chemical and structural diversity, robustness and ease of large-scale synthesis. In addition, peptides, as short as dipeptides, contain all the molecular information needed to spontaneously form well-ordered structures at both the nano- and the micro-scale. Therefore, peptide supramolecular assembly has been effectively utilized to produce novel materials with tailored properties for various applications in the fields of material science, engineering, medicine, and biology. To further expand the conformational space of peptide assemblies in terms of structural and functional complexity, multicomponent (two or more) peptide supramolecular co-assembly has recently evolved as a promising extended approach, similar to the structural diversity of natural sequence-defined biopolymers (proteins) as well as of synthetic covalent co-polymers. The use of this methodology was recently demonstrated in various applications, such as nanostructure physical dimension control, the creation of non-canonical complex topologies, mechanical strength modulation, the design of light harvesting soft materials, fabrication of electrically conducting devices, induced fluorescence, enzymatic catalysis and tissue engineering. In light of these significant advancements in the field of peptide supramolecular co-assembly in the last few years, in this tutorial review, we provide an updated overview and future prospects of this emerging subject.","container-title":"Chemical Society Reviews","DOI":"10.1039/C7CS00827A","ISSN":"1460-4744","issue":"10","journalAbbreviation":"Chem. Soc. Rev.","language":"en","note":"ZSCC: 0000057\ntex.ids: makam_minimalistic_2018-1, makam_minimalistic_2018-2\npublisher: The Royal Society of Chemistry","page":"3406-3420","source":"pubs.rsc.org","title":"Minimalistic peptide supramolecular co-assembly: expanding the conformational space for nanotechnology","title-short":"Minimalistic peptide supramolecular co-assembly","URL":"https://pubs.rsc.org/en/content/articlelanding/2018/cs/c7cs00827a","volume":"47","author":[{"family":"Makam","given":"Pandeeswar"},{"family":"Gazit","given":"Ehud"}],"accessed":{"date-parts":[["2020",5,13]]},"issued":{"date-parts":[["2018",5,21]]},"citation-key":"makamMinimalisticPeptideSupramolecular2018"}}],"schema":"https://github.com/citation-style-language/schema/raw/master/csl-citation.json"} </w:instrText>
      </w:r>
      <w:r w:rsidR="00474FBE" w:rsidRPr="0084736C">
        <w:rPr>
          <w:rFonts w:cstheme="minorHAnsi"/>
          <w:sz w:val="24"/>
          <w:szCs w:val="24"/>
        </w:rPr>
        <w:fldChar w:fldCharType="separate"/>
      </w:r>
      <w:r w:rsidR="000D6853" w:rsidRPr="0084736C">
        <w:rPr>
          <w:rFonts w:ascii="Arial" w:cs="Arial"/>
          <w:sz w:val="24"/>
          <w:szCs w:val="24"/>
          <w:vertAlign w:val="superscript"/>
        </w:rPr>
        <w:t>5</w:t>
      </w:r>
      <w:r w:rsidR="00474FBE" w:rsidRPr="0084736C">
        <w:rPr>
          <w:rFonts w:cstheme="minorHAnsi"/>
          <w:sz w:val="24"/>
          <w:szCs w:val="24"/>
        </w:rPr>
        <w:fldChar w:fldCharType="end"/>
      </w:r>
      <w:r w:rsidR="003D0901" w:rsidRPr="0084736C">
        <w:rPr>
          <w:rFonts w:cstheme="minorHAnsi"/>
          <w:sz w:val="24"/>
          <w:szCs w:val="24"/>
        </w:rPr>
        <w:t xml:space="preserve"> There </w:t>
      </w:r>
      <w:r w:rsidR="00E909D3" w:rsidRPr="0084736C">
        <w:rPr>
          <w:rFonts w:cstheme="minorHAnsi"/>
          <w:sz w:val="24"/>
          <w:szCs w:val="24"/>
        </w:rPr>
        <w:t>are three</w:t>
      </w:r>
      <w:r w:rsidR="003D0901" w:rsidRPr="0084736C">
        <w:rPr>
          <w:rFonts w:cstheme="minorHAnsi"/>
          <w:sz w:val="24"/>
          <w:szCs w:val="24"/>
        </w:rPr>
        <w:t xml:space="preserve"> different co-assembly types</w:t>
      </w:r>
      <w:r>
        <w:rPr>
          <w:rFonts w:cstheme="minorHAnsi"/>
          <w:sz w:val="24"/>
          <w:szCs w:val="24"/>
        </w:rPr>
        <w:t>:</w:t>
      </w:r>
      <w:r w:rsidR="003D0901" w:rsidRPr="0084736C">
        <w:rPr>
          <w:rFonts w:cstheme="minorHAnsi"/>
          <w:sz w:val="24"/>
          <w:szCs w:val="24"/>
        </w:rPr>
        <w:t xml:space="preserve"> orthogonal</w:t>
      </w:r>
      <w:r w:rsidR="00FA72D7" w:rsidRPr="0084736C">
        <w:rPr>
          <w:rFonts w:cstheme="minorHAnsi"/>
          <w:sz w:val="24"/>
          <w:szCs w:val="24"/>
        </w:rPr>
        <w:t xml:space="preserve"> (self-sorting)</w:t>
      </w:r>
      <w:r w:rsidR="00F7018B" w:rsidRPr="0084736C">
        <w:rPr>
          <w:rFonts w:cstheme="minorHAnsi"/>
          <w:sz w:val="24"/>
          <w:szCs w:val="24"/>
        </w:rPr>
        <w:t xml:space="preserve">, </w:t>
      </w:r>
      <w:r w:rsidR="003D0901" w:rsidRPr="0084736C">
        <w:rPr>
          <w:rFonts w:cstheme="minorHAnsi"/>
          <w:sz w:val="24"/>
          <w:szCs w:val="24"/>
        </w:rPr>
        <w:t>destructive</w:t>
      </w:r>
      <w:r w:rsidR="00F7018B" w:rsidRPr="0084736C">
        <w:rPr>
          <w:rFonts w:cstheme="minorHAnsi"/>
          <w:sz w:val="24"/>
          <w:szCs w:val="24"/>
        </w:rPr>
        <w:t xml:space="preserve"> and cooperative (Figure 1.</w:t>
      </w:r>
      <w:r w:rsidR="00537A6E">
        <w:rPr>
          <w:rFonts w:cstheme="minorHAnsi"/>
          <w:sz w:val="24"/>
          <w:szCs w:val="24"/>
        </w:rPr>
        <w:t>5</w:t>
      </w:r>
      <w:r w:rsidR="00F7018B" w:rsidRPr="0084736C">
        <w:rPr>
          <w:rFonts w:cstheme="minorHAnsi"/>
          <w:sz w:val="24"/>
          <w:szCs w:val="24"/>
        </w:rPr>
        <w:t>)</w:t>
      </w:r>
      <w:r w:rsidR="003D0901" w:rsidRPr="0084736C">
        <w:rPr>
          <w:rFonts w:cstheme="minorHAnsi"/>
          <w:sz w:val="24"/>
          <w:szCs w:val="24"/>
        </w:rPr>
        <w:t xml:space="preserve">. </w:t>
      </w:r>
    </w:p>
    <w:p w14:paraId="59F1E78B" w14:textId="77777777" w:rsidR="007446C9" w:rsidRDefault="00E909D3" w:rsidP="007446C9">
      <w:pPr>
        <w:keepNext/>
        <w:spacing w:after="0" w:line="480" w:lineRule="auto"/>
        <w:jc w:val="center"/>
      </w:pPr>
      <w:r w:rsidRPr="00E909D3">
        <w:rPr>
          <w:rFonts w:cstheme="minorHAnsi"/>
          <w:noProof/>
          <w:sz w:val="22"/>
          <w:szCs w:val="22"/>
        </w:rPr>
        <w:drawing>
          <wp:inline distT="0" distB="0" distL="0" distR="0" wp14:anchorId="6E3559A6" wp14:editId="715168B0">
            <wp:extent cx="2419109" cy="2103021"/>
            <wp:effectExtent l="0" t="0" r="0" b="5715"/>
            <wp:docPr id="38" name="Picture 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 company name&#10;&#10;Description automatically generated"/>
                    <pic:cNvPicPr/>
                  </pic:nvPicPr>
                  <pic:blipFill>
                    <a:blip r:embed="rId17"/>
                    <a:stretch>
                      <a:fillRect/>
                    </a:stretch>
                  </pic:blipFill>
                  <pic:spPr>
                    <a:xfrm>
                      <a:off x="0" y="0"/>
                      <a:ext cx="2477654" cy="2153916"/>
                    </a:xfrm>
                    <a:prstGeom prst="rect">
                      <a:avLst/>
                    </a:prstGeom>
                  </pic:spPr>
                </pic:pic>
              </a:graphicData>
            </a:graphic>
          </wp:inline>
        </w:drawing>
      </w:r>
    </w:p>
    <w:p w14:paraId="5CFDE603" w14:textId="5E85971D" w:rsidR="007446C9" w:rsidRPr="00D4639D" w:rsidRDefault="007446C9" w:rsidP="008A3EF7">
      <w:pPr>
        <w:pStyle w:val="Caption"/>
        <w:rPr>
          <w:rFonts w:cstheme="minorHAnsi"/>
          <w:b/>
        </w:rPr>
      </w:pPr>
      <w:bookmarkStart w:id="23" w:name="_Toc114946651"/>
      <w:bookmarkStart w:id="24" w:name="_Toc114947247"/>
      <w:r w:rsidRPr="00D4639D">
        <w:t xml:space="preserve">Figure 1. </w:t>
      </w:r>
      <w:fldSimple w:instr=" SEQ Figure_1. \* ARABIC ">
        <w:r w:rsidR="00785166">
          <w:rPr>
            <w:noProof/>
          </w:rPr>
          <w:t>5</w:t>
        </w:r>
      </w:fldSimple>
      <w:r w:rsidRPr="00D4639D">
        <w:t xml:space="preserve"> A schematic show</w:t>
      </w:r>
      <w:r w:rsidR="00A76B94" w:rsidRPr="00D4639D">
        <w:t>s</w:t>
      </w:r>
      <w:r w:rsidRPr="00D4639D">
        <w:t xml:space="preserve"> three different co-assembly strateg</w:t>
      </w:r>
      <w:r w:rsidR="00A76B94" w:rsidRPr="00D4639D">
        <w:t>ies</w:t>
      </w:r>
      <w:r w:rsidRPr="00D4639D">
        <w:t xml:space="preserve">. Individual components are assembled separately in the presence of one another during orthogonal (self-sorting) co-assembly (a). Building blocks in cooperative co-assembly are very similar </w:t>
      </w:r>
      <w:r w:rsidR="00A76B94" w:rsidRPr="00D4639D">
        <w:t xml:space="preserve">to </w:t>
      </w:r>
      <w:r w:rsidRPr="00D4639D">
        <w:t xml:space="preserve">each other and interact </w:t>
      </w:r>
      <w:r w:rsidR="00A76B94" w:rsidRPr="00D4639D">
        <w:t xml:space="preserve">with </w:t>
      </w:r>
      <w:r w:rsidRPr="00D4639D">
        <w:t>one another with donor and acceptor molecules in the sequence (b). Components in disruptive co-assembly incorporate partially and one of the components is disrupted by the other (c). Reproduced with the permission from</w:t>
      </w:r>
      <w:r w:rsidR="00AF1814" w:rsidRPr="00D4639D">
        <w:t xml:space="preserve"> </w:t>
      </w:r>
      <w:r w:rsidRPr="00D4639D">
        <w:rPr>
          <w:b/>
          <w:caps/>
        </w:rPr>
        <w:fldChar w:fldCharType="begin"/>
      </w:r>
      <w:r w:rsidR="008F09C1">
        <w:instrText xml:space="preserve"> ADDIN ZOTERO_ITEM CSL_CITATION {"citationID":"afhupsttv7","properties":{"formattedCitation":"\\super 43\\nosupersub{}","plainCitation":"43","noteIndex":0},"citationItems":[{"id":3496,"uris":["http://zotero.org/groups/2667333/items/X5MA7SCP"],"itemData":{"id":3496,"type":"article-journal","abstract":"The coassembly of small molecules is a useful means of increasing the complexity and functionality of their resultant supramolecular constructs in a modular fashion. In this study, we explore the assembly and coassembly of serine surfactants and tyrosine-leucine hydrogelators, capped at the N-termini with either fluorenyl-9-methoxycarbonyl (Fmoc) or pyrene. These systems all exhibit self-assembly behavior, which is influenced by aromatic stacking interactions, while the hydrogelators also exhibit β-sheet-type arrangements, which reinforce their supramolecular structures. We provide evidence for three distinct supramolecular coassembly models; cooperative, disruptive, and orthogonal. The coassembly mode adopted depends on whether the individual constituents (I) are sufficiently different, such that effective segregation and orthogonal assembly occurs; (II) adhere to a communal mode of self-assembly; or (III) act to compromise the assembly of one another via incorporation and disruption. We find that a greater scope for controllable coassembly exists within orthogonal systems; which show minimal relative changes in the native gelator’s supramolecular structure by Fourier transform infrared spectroscopy (FTIR), circular dichroism (CD), and fluorescence spectroscopy. This is indicative of the segregation of orthogonal coassembly constituents into distinct domains, where surfactant chemical functionality is presented at the surface of the gelator’s supramolecular fibers. Overall, this work provides new insights into the design of modular coassembly systems, which have the potential to augment the chemical and physical properties of existing gelator systems.","container-title":"Biomacromolecules","DOI":"10.1021/bm401720z","ISSN":"1525-7797","issue":"4","journalAbbreviation":"Biomacromolecules","note":"publisher: American Chemical Society","page":"1171-1184","source":"ACS Publications","title":"Insights into the Coassembly of Hydrogelators and Surfactants Based on Aromatic Peptide Amphiphiles","URL":"https://doi.org/10.1021/bm401720z","volume":"15","author":[{"family":"Fleming","given":"Scott"},{"family":"Debnath","given":"Sisir"},{"family":"Frederix","given":"Pim W. J. M."},{"family":"Hunt","given":"Neil T."},{"family":"Ulijn","given":"Rein V."}],"accessed":{"date-parts":[["2020",5,15]]},"issued":{"date-parts":[["2014",4,14]]},"citation-key":"flemingInsightsCoassemblyHydrogelators2014"}}],"schema":"https://github.com/citation-style-language/schema/raw/master/csl-citation.json"} </w:instrText>
      </w:r>
      <w:r w:rsidRPr="00D4639D">
        <w:rPr>
          <w:b/>
          <w:caps/>
        </w:rPr>
        <w:fldChar w:fldCharType="separate"/>
      </w:r>
      <w:bookmarkEnd w:id="23"/>
      <w:bookmarkEnd w:id="24"/>
      <w:r w:rsidR="008F09C1" w:rsidRPr="008F09C1">
        <w:rPr>
          <w:rFonts w:ascii="Arial" w:cs="Arial"/>
          <w:vertAlign w:val="superscript"/>
        </w:rPr>
        <w:t>43</w:t>
      </w:r>
      <w:r w:rsidRPr="00D4639D">
        <w:rPr>
          <w:b/>
          <w:caps/>
        </w:rPr>
        <w:fldChar w:fldCharType="end"/>
      </w:r>
    </w:p>
    <w:p w14:paraId="528304D4" w14:textId="612998DB" w:rsidR="00856E9E" w:rsidRPr="0084736C" w:rsidRDefault="00F373FF" w:rsidP="00856E9E">
      <w:pPr>
        <w:spacing w:line="480" w:lineRule="auto"/>
        <w:rPr>
          <w:rFonts w:ascii="Arial" w:hAnsi="Arial" w:cs="Arial"/>
          <w:sz w:val="24"/>
          <w:szCs w:val="24"/>
        </w:rPr>
      </w:pPr>
      <w:r w:rsidRPr="0084736C">
        <w:rPr>
          <w:rFonts w:ascii="Arial" w:hAnsi="Arial" w:cs="Arial"/>
          <w:sz w:val="24"/>
          <w:szCs w:val="24"/>
        </w:rPr>
        <w:t xml:space="preserve">In </w:t>
      </w:r>
      <w:r w:rsidR="00A76B94">
        <w:rPr>
          <w:rFonts w:ascii="Arial" w:hAnsi="Arial" w:cs="Arial"/>
          <w:sz w:val="24"/>
          <w:szCs w:val="24"/>
        </w:rPr>
        <w:t xml:space="preserve">an </w:t>
      </w:r>
      <w:r w:rsidRPr="0084736C">
        <w:rPr>
          <w:rFonts w:ascii="Arial" w:hAnsi="Arial" w:cs="Arial"/>
          <w:sz w:val="24"/>
          <w:szCs w:val="24"/>
        </w:rPr>
        <w:t xml:space="preserve">orthogonal (self-sorted) co-assembly strategy, peptide building blocks </w:t>
      </w:r>
      <w:r w:rsidR="00A76B94">
        <w:rPr>
          <w:rFonts w:ascii="Arial" w:hAnsi="Arial" w:cs="Arial"/>
          <w:sz w:val="24"/>
          <w:szCs w:val="24"/>
        </w:rPr>
        <w:t xml:space="preserve">are </w:t>
      </w:r>
      <w:r w:rsidRPr="0084736C">
        <w:rPr>
          <w:rFonts w:ascii="Arial" w:hAnsi="Arial" w:cs="Arial"/>
          <w:sz w:val="24"/>
          <w:szCs w:val="24"/>
        </w:rPr>
        <w:t xml:space="preserve">assembled independently while in the presence of each other. </w:t>
      </w:r>
      <w:r w:rsidR="009F7A76" w:rsidRPr="0084736C">
        <w:rPr>
          <w:rFonts w:ascii="Arial" w:hAnsi="Arial" w:cs="Arial"/>
          <w:sz w:val="24"/>
          <w:szCs w:val="24"/>
        </w:rPr>
        <w:t>As a result</w:t>
      </w:r>
      <w:r w:rsidR="00A76B94">
        <w:rPr>
          <w:rFonts w:ascii="Arial" w:hAnsi="Arial" w:cs="Arial"/>
          <w:sz w:val="24"/>
          <w:szCs w:val="24"/>
        </w:rPr>
        <w:t>,</w:t>
      </w:r>
      <w:r w:rsidR="00AB5976" w:rsidRPr="0084736C">
        <w:rPr>
          <w:rFonts w:ascii="Arial" w:hAnsi="Arial" w:cs="Arial"/>
          <w:sz w:val="24"/>
          <w:szCs w:val="24"/>
        </w:rPr>
        <w:t xml:space="preserve"> the rate of assembly of each component </w:t>
      </w:r>
      <w:r w:rsidR="00F07A65" w:rsidRPr="0084736C">
        <w:rPr>
          <w:rFonts w:ascii="Arial" w:hAnsi="Arial" w:cs="Arial"/>
          <w:sz w:val="24"/>
          <w:szCs w:val="24"/>
        </w:rPr>
        <w:t xml:space="preserve">is </w:t>
      </w:r>
      <w:r w:rsidR="00A76B94">
        <w:rPr>
          <w:rFonts w:ascii="Arial" w:hAnsi="Arial" w:cs="Arial"/>
          <w:sz w:val="24"/>
          <w:szCs w:val="24"/>
        </w:rPr>
        <w:t xml:space="preserve">likely </w:t>
      </w:r>
      <w:r w:rsidR="00F07A65" w:rsidRPr="0084736C">
        <w:rPr>
          <w:rFonts w:ascii="Arial" w:hAnsi="Arial" w:cs="Arial"/>
          <w:sz w:val="24"/>
          <w:szCs w:val="24"/>
        </w:rPr>
        <w:t>different</w:t>
      </w:r>
      <w:r w:rsidR="00A76B94">
        <w:rPr>
          <w:rFonts w:ascii="Arial" w:hAnsi="Arial" w:cs="Arial"/>
          <w:sz w:val="24"/>
          <w:szCs w:val="24"/>
        </w:rPr>
        <w:t xml:space="preserve">, </w:t>
      </w:r>
      <w:r w:rsidR="00F07A65" w:rsidRPr="0084736C">
        <w:rPr>
          <w:rFonts w:ascii="Arial" w:hAnsi="Arial" w:cs="Arial"/>
          <w:sz w:val="24"/>
          <w:szCs w:val="24"/>
        </w:rPr>
        <w:t>and any variations in the assembly could be caused by the other component in the system</w:t>
      </w:r>
      <w:r w:rsidR="00AB61C6" w:rsidRPr="0084736C">
        <w:rPr>
          <w:rFonts w:ascii="Arial" w:hAnsi="Arial" w:cs="Arial"/>
          <w:sz w:val="24"/>
          <w:szCs w:val="24"/>
        </w:rPr>
        <w:t>, which can be seen in a mixture of Fmoc-FF and Fmoc-GG</w:t>
      </w:r>
      <w:r w:rsidR="00F07A65" w:rsidRPr="0084736C">
        <w:rPr>
          <w:rFonts w:ascii="Arial" w:hAnsi="Arial" w:cs="Arial"/>
          <w:sz w:val="24"/>
          <w:szCs w:val="24"/>
        </w:rPr>
        <w:t>.</w:t>
      </w:r>
      <w:r w:rsidR="007658D5"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{"citationID":"a1f5ub64f85","properties":{"formattedCitation":"\\super 44\\nosupersub{}","plainCitation":"44","noteIndex":0},"citationItems":[{"id":12631,"uris":["http://zotero.org/groups/2667333/items/T3CJW4VX"],"itemData":{"id":12631,"type":"article-journal","container-title":"Chemical Communications","DOI":"10.1039/C4CC08626K","issue":"25","language":"en","note":"publisher: Royal Society of Chemistry","page":"5170-5180","source":"pubs.rsc.org","title":"Multicomponent low molecular weight gelators","URL":"https://pubs.rsc.org/en/content/articlelanding/2015/cc/c4cc08626k","volume":"51","author":[{"family":"Raeburn","given":"Jaclyn"},{"family":"J. Adams","given":"Dave"}],"accessed":{"date-parts":[["2022",9,19]]},"issued":{"date-parts":[["2015"]]},"citation-key":"raeburn_multicomponent_2015"}}],"schema":"https://github.com/citation-style-language/schema/raw/master/csl-citation.json"} </w:instrText>
      </w:r>
      <w:r w:rsidR="007658D5" w:rsidRPr="0084736C">
        <w:rPr>
          <w:rFonts w:ascii="Arial" w:hAnsi="Arial" w:cs="Arial"/>
          <w:sz w:val="24"/>
          <w:szCs w:val="24"/>
        </w:rPr>
        <w:fldChar w:fldCharType="separate"/>
      </w:r>
      <w:r w:rsidR="008F09C1" w:rsidRPr="008F09C1">
        <w:rPr>
          <w:rFonts w:ascii="Arial" w:hAnsi="Arial" w:cs="Arial"/>
          <w:sz w:val="24"/>
          <w:vertAlign w:val="superscript"/>
        </w:rPr>
        <w:t>44</w:t>
      </w:r>
      <w:r w:rsidR="007658D5" w:rsidRPr="0084736C">
        <w:rPr>
          <w:rFonts w:ascii="Arial" w:hAnsi="Arial" w:cs="Arial"/>
          <w:sz w:val="24"/>
          <w:szCs w:val="24"/>
        </w:rPr>
        <w:fldChar w:fldCharType="end"/>
      </w:r>
      <w:r w:rsidR="00F07A65" w:rsidRPr="0084736C">
        <w:rPr>
          <w:rFonts w:ascii="Arial" w:hAnsi="Arial" w:cs="Arial"/>
          <w:sz w:val="24"/>
          <w:szCs w:val="24"/>
        </w:rPr>
        <w:t xml:space="preserve"> </w:t>
      </w:r>
      <w:r w:rsidR="009F7A76" w:rsidRPr="0084736C">
        <w:rPr>
          <w:rFonts w:ascii="Arial" w:hAnsi="Arial" w:cs="Arial"/>
          <w:sz w:val="24"/>
          <w:szCs w:val="24"/>
        </w:rPr>
        <w:t>Therefore, designing and controlling orthogonally co-assembled systems is difficult because two components involve various non-covalent interactions.</w:t>
      </w:r>
      <w:r w:rsidR="009F7A76"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{"citationID":"a1h1i0pvdfs","properties":{"formattedCitation":"\\super 45\\nosupersub{}","plainCitation":"45","noteIndex":0},"citationItems":[{"id":12628,"uris":["http://zotero.org/groups/2667333/items/Z7S8MM6B"],"itemData":{"id":12628,"type":"article-journal","container-title":"RSC Advances","DOI":"10.1039/D0RA08407G","issue":"69","language":"en","note":"publisher: Royal Society of Chemistry","page":"42062-42075","source":"pubs.rsc.org","title":"Co-assembly of charge complementary peptides and their applications as organic dye/heavy metal ion (Pb 2+ , Hg 2+ ) absorbents and arsenic( iii / v ) detectors","URL":"https://pubs.rsc.org/en/content/articlelanding/2020/ra/d0ra08407g","volume":"10","author":[{"family":"Roy","given":"Karabi"},{"family":"Chetia","given":"Monikha"},{"family":"Kumar Sarkar","given":"Ankan"},{"family":"Chatterjee","given":"Sunanda"}],"accessed":{"date-parts":[["2022",9,19]]},"issued":{"date-parts":[["2020"]]},"citation-key":"roy_co-assembly_2020"}}],"schema":"https://github.com/citation-style-language/schema/raw/master/csl-citation.json"} </w:instrText>
      </w:r>
      <w:r w:rsidR="009F7A76" w:rsidRPr="0084736C">
        <w:rPr>
          <w:rFonts w:ascii="Arial" w:hAnsi="Arial" w:cs="Arial"/>
          <w:sz w:val="24"/>
          <w:szCs w:val="24"/>
        </w:rPr>
        <w:fldChar w:fldCharType="separate"/>
      </w:r>
      <w:r w:rsidR="008F09C1" w:rsidRPr="008F09C1">
        <w:rPr>
          <w:rFonts w:ascii="Arial" w:hAnsi="Arial" w:cs="Arial"/>
          <w:sz w:val="24"/>
          <w:vertAlign w:val="superscript"/>
        </w:rPr>
        <w:t>45</w:t>
      </w:r>
      <w:r w:rsidR="009F7A76" w:rsidRPr="0084736C">
        <w:rPr>
          <w:rFonts w:ascii="Arial" w:hAnsi="Arial" w:cs="Arial"/>
          <w:sz w:val="24"/>
          <w:szCs w:val="24"/>
        </w:rPr>
        <w:fldChar w:fldCharType="end"/>
      </w:r>
      <w:r w:rsidR="009502FC" w:rsidRPr="0084736C">
        <w:rPr>
          <w:rFonts w:ascii="Arial" w:hAnsi="Arial" w:cs="Arial"/>
          <w:sz w:val="24"/>
          <w:szCs w:val="24"/>
        </w:rPr>
        <w:t xml:space="preserve"> </w:t>
      </w:r>
      <w:r w:rsidR="00D849A8" w:rsidRPr="0084736C">
        <w:rPr>
          <w:rFonts w:ascii="Arial" w:hAnsi="Arial" w:cs="Arial"/>
          <w:sz w:val="24"/>
          <w:szCs w:val="24"/>
        </w:rPr>
        <w:t>Disruptive co-assembly is another type of co-assembly strategy in which one building block in the system serves as a barrier for the assembly</w:t>
      </w:r>
      <w:r w:rsidR="00596176" w:rsidRPr="0084736C">
        <w:rPr>
          <w:rFonts w:ascii="Arial" w:hAnsi="Arial" w:cs="Arial"/>
          <w:sz w:val="24"/>
          <w:szCs w:val="24"/>
        </w:rPr>
        <w:t>; so that t</w:t>
      </w:r>
      <w:r w:rsidR="00D849A8" w:rsidRPr="0084736C">
        <w:rPr>
          <w:rFonts w:ascii="Arial" w:hAnsi="Arial" w:cs="Arial"/>
          <w:sz w:val="24"/>
          <w:szCs w:val="24"/>
        </w:rPr>
        <w:t>he physical properties of the resulting architectures can be easily controlled</w:t>
      </w:r>
      <w:r w:rsidR="00596176" w:rsidRPr="0084736C">
        <w:rPr>
          <w:rFonts w:ascii="Arial" w:hAnsi="Arial" w:cs="Arial"/>
          <w:sz w:val="24"/>
          <w:szCs w:val="24"/>
        </w:rPr>
        <w:t>.</w:t>
      </w:r>
      <w:r w:rsidR="00596176"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{"citationID":"a1ck8v69rn7","properties":{"formattedCitation":"\\super 46\\nosupersub{}","plainCitation":"46","noteIndex":0},"citationItems":[{"id":12634,"uris":["http://zotero.org/groups/2667333/items/RQS5PZM2"],"itemData":{"id":12634,"type":"article-journal","abstract":"Molecular self-assembly of peptides into ordered nanotubes is highly important for various technological applications. Very short peptide building blocks, as short as dipeptides, can form assemblies with unique mechanical, optical, piezoelectric, and semiconductive properties. Yet, the control over nanotube length in solution has remained challenging, due to the inherent sequential self-assembly mechanism. Here, in line with polymer chemistry paradigms, we applied a supramolecular polymer coassembly methodology to modulate peptide nanotube elongation. Utilizing this approach, we achieved a narrow, controllable nanotube length distribution by adjusting the molecular ratio of the diphenylalanine assembly unit and its end-capped analogue. Kinetic analysis suggested a slower coassembly organization process as compared to the self-assembly dynamics of each of the building blocks separately. This is consistent with a hierarchal arrangement of the peptide moieties within the coassemblies. Mass spectrometry analysis demonstrated the bimolecular composition of the coassembled nanostructures. Moreover, the peptide nanotubes’ length distribution, as determined by electron microscopy, was shown to fit a fragmentation kinetics model. Our results reveal a simple and efficient mechanism for the control of nanotube sizes through the coassembly of peptide entities at various ratios, allowing for the desired end-product formation. This dynamic size control offers tools for molecular engineering at the nanoscale exploiting the advantages of molecular coassembly.","container-title":"ACS Nano","DOI":"10.1021/acsnano.6b01587","ISSN":"1936-0851","issue":"8","journalAbbreviation":"ACS Nano","note":"publisher: American Chemical Society","page":"7436-7442","source":"ACS Publications","title":"Controlling the Physical Dimensions of Peptide Nanotubes by Supramolecular Polymer Coassembly","URL":"https://doi.org/10.1021/acsnano.6b01587","volume":"10","author":[{"family":"Adler-Abramovich","given":"Lihi"},{"family":"Marco","given":"Pini"},{"family":"Arnon","given":"Zohar A."},{"family":"Creasey","given":"Rhiannon C. G."},{"family":"Michaels","given":"Thomas C. T."},{"family":"Levin","given":"Aviad"},{"family":"Scurr","given":"David J."},{"family":"Roberts","given":"Clive J."},{"family":"Knowles","given":"Tuomas P. J."},{"family":"Tendler","given":"Saul J. B."},{"family":"Gazit","given":"Ehud"}],"accessed":{"date-parts":[["2022",9,20]]},"issued":{"date-parts":[["2016",8,23]]},"citation-key":"adler-abramovich_controlling_2016"}}],"schema":"https://github.com/citation-style-language/schema/raw/master/csl-citation.json"} </w:instrText>
      </w:r>
      <w:r w:rsidR="00596176" w:rsidRPr="0084736C">
        <w:rPr>
          <w:rFonts w:ascii="Arial" w:hAnsi="Arial" w:cs="Arial"/>
          <w:sz w:val="24"/>
          <w:szCs w:val="24"/>
        </w:rPr>
        <w:fldChar w:fldCharType="separate"/>
      </w:r>
      <w:r w:rsidR="008F09C1" w:rsidRPr="008F09C1">
        <w:rPr>
          <w:rFonts w:ascii="Arial" w:hAnsi="Arial" w:cs="Arial"/>
          <w:sz w:val="24"/>
          <w:vertAlign w:val="superscript"/>
        </w:rPr>
        <w:t>46</w:t>
      </w:r>
      <w:r w:rsidR="00596176" w:rsidRPr="0084736C">
        <w:rPr>
          <w:rFonts w:ascii="Arial" w:hAnsi="Arial" w:cs="Arial"/>
          <w:sz w:val="24"/>
          <w:szCs w:val="24"/>
        </w:rPr>
        <w:fldChar w:fldCharType="end"/>
      </w:r>
      <w:r w:rsidR="00596176" w:rsidRPr="0084736C">
        <w:rPr>
          <w:rFonts w:ascii="Arial" w:hAnsi="Arial" w:cs="Arial"/>
          <w:sz w:val="24"/>
          <w:szCs w:val="24"/>
        </w:rPr>
        <w:t xml:space="preserve"> It was shown that integration of </w:t>
      </w:r>
      <w:r w:rsidR="00596176" w:rsidRPr="0084736C">
        <w:rPr>
          <w:rFonts w:ascii="Arial" w:hAnsi="Arial" w:cs="Arial"/>
          <w:sz w:val="24"/>
          <w:szCs w:val="24"/>
        </w:rPr>
        <w:lastRenderedPageBreak/>
        <w:t xml:space="preserve">FF peptides </w:t>
      </w:r>
      <w:r w:rsidR="00C90B72" w:rsidRPr="0084736C">
        <w:rPr>
          <w:rFonts w:ascii="Arial" w:hAnsi="Arial" w:cs="Arial"/>
          <w:sz w:val="24"/>
          <w:szCs w:val="24"/>
        </w:rPr>
        <w:t>with</w:t>
      </w:r>
      <w:r w:rsidR="00596176" w:rsidRPr="0084736C">
        <w:rPr>
          <w:rFonts w:ascii="Arial" w:hAnsi="Arial" w:cs="Arial"/>
          <w:sz w:val="24"/>
          <w:szCs w:val="24"/>
        </w:rPr>
        <w:t xml:space="preserve"> Boc-FF</w:t>
      </w:r>
      <w:r w:rsidR="00C90B72" w:rsidRPr="0084736C">
        <w:rPr>
          <w:rFonts w:ascii="Arial" w:hAnsi="Arial" w:cs="Arial"/>
          <w:sz w:val="24"/>
          <w:szCs w:val="24"/>
        </w:rPr>
        <w:t xml:space="preserve"> (acts as a capping molecule)</w:t>
      </w:r>
      <w:r w:rsidR="00596176" w:rsidRPr="0084736C">
        <w:rPr>
          <w:rFonts w:ascii="Arial" w:hAnsi="Arial" w:cs="Arial"/>
          <w:sz w:val="24"/>
          <w:szCs w:val="24"/>
        </w:rPr>
        <w:t xml:space="preserve"> </w:t>
      </w:r>
      <w:r w:rsidR="00C90B72" w:rsidRPr="0084736C">
        <w:rPr>
          <w:rFonts w:ascii="Arial" w:hAnsi="Arial" w:cs="Arial"/>
          <w:sz w:val="24"/>
          <w:szCs w:val="24"/>
        </w:rPr>
        <w:t>resulted in length control of nanotube formation.</w:t>
      </w:r>
      <w:r w:rsidR="00C90B72"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{"citationID":"QH7SgzHI","properties":{"formattedCitation":"\\super 46\\nosupersub{}","plainCitation":"46","noteIndex":0},"citationItems":[{"id":12634,"uris":["http://zotero.org/groups/2667333/items/RQS5PZM2"],"itemData":{"id":12634,"type":"article-journal","abstract":"Molecular self-assembly of peptides into ordered nanotubes is highly important for various technological applications. Very short peptide building blocks, as short as dipeptides, can form assemblies with unique mechanical, optical, piezoelectric, and semiconductive properties. Yet, the control over nanotube length in solution has remained challenging, due to the inherent sequential self-assembly mechanism. Here, in line with polymer chemistry paradigms, we applied a supramolecular polymer coassembly methodology to modulate peptide nanotube elongation. Utilizing this approach, we achieved a narrow, controllable nanotube length distribution by adjusting the molecular ratio of the diphenylalanine assembly unit and its end-capped analogue. Kinetic analysis suggested a slower coassembly organization process as compared to the self-assembly dynamics of each of the building blocks separately. This is consistent with a hierarchal arrangement of the peptide moieties within the coassemblies. Mass spectrometry analysis demonstrated the bimolecular composition of the coassembled nanostructures. Moreover, the peptide nanotubes’ length distribution, as determined by electron microscopy, was shown to fit a fragmentation kinetics model. Our results reveal a simple and efficient mechanism for the control of nanotube sizes through the coassembly of peptide entities at various ratios, allowing for the desired end-product formation. This dynamic size control offers tools for molecular engineering at the nanoscale exploiting the advantages of molecular coassembly.","container-title":"ACS Nano","DOI":"10.1021/acsnano.6b01587","ISSN":"1936-0851","issue":"8","journalAbbreviation":"ACS Nano","note":"publisher: American Chemical Society","page":"7436-7442","source":"ACS Publications","title":"Controlling the Physical Dimensions of Peptide Nanotubes by Supramolecular Polymer Coassembly","URL":"https://doi.org/10.1021/acsnano.6b01587","volume":"10","author":[{"family":"Adler-Abramovich","given":"Lihi"},{"family":"Marco","given":"Pini"},{"family":"Arnon","given":"Zohar A."},{"family":"Creasey","given":"Rhiannon C. G."},{"family":"Michaels","given":"Thomas C. T."},{"family":"Levin","given":"Aviad"},{"family":"Scurr","given":"David J."},{"family":"Roberts","given":"Clive J."},{"family":"Knowles","given":"Tuomas P. J."},{"family":"Tendler","given":"Saul J. B."},{"family":"Gazit","given":"Ehud"}],"accessed":{"date-parts":[["2022",9,20]]},"issued":{"date-parts":[["2016",8,23]]},"citation-key":"adler-abramovich_controlling_2016"}}],"schema":"https://github.com/citation-style-language/schema/raw/master/csl-citation.json"} </w:instrText>
      </w:r>
      <w:r w:rsidR="00C90B72" w:rsidRPr="0084736C">
        <w:rPr>
          <w:rFonts w:ascii="Arial" w:hAnsi="Arial" w:cs="Arial"/>
          <w:sz w:val="24"/>
          <w:szCs w:val="24"/>
        </w:rPr>
        <w:fldChar w:fldCharType="separate"/>
      </w:r>
      <w:r w:rsidR="008F09C1" w:rsidRPr="008F09C1">
        <w:rPr>
          <w:rFonts w:ascii="Arial" w:hAnsi="Arial" w:cs="Arial"/>
          <w:sz w:val="24"/>
          <w:vertAlign w:val="superscript"/>
        </w:rPr>
        <w:t>46</w:t>
      </w:r>
      <w:r w:rsidR="00C90B72" w:rsidRPr="0084736C">
        <w:rPr>
          <w:rFonts w:ascii="Arial" w:hAnsi="Arial" w:cs="Arial"/>
          <w:sz w:val="24"/>
          <w:szCs w:val="24"/>
        </w:rPr>
        <w:fldChar w:fldCharType="end"/>
      </w:r>
      <w:r w:rsidR="00C90B72" w:rsidRPr="0084736C">
        <w:rPr>
          <w:rFonts w:ascii="Arial" w:hAnsi="Arial" w:cs="Arial"/>
          <w:sz w:val="24"/>
          <w:szCs w:val="24"/>
        </w:rPr>
        <w:t xml:space="preserve"> </w:t>
      </w:r>
      <w:r w:rsidR="00050877" w:rsidRPr="0084736C">
        <w:rPr>
          <w:rFonts w:ascii="Arial" w:hAnsi="Arial" w:cs="Arial"/>
          <w:sz w:val="24"/>
          <w:szCs w:val="24"/>
        </w:rPr>
        <w:t xml:space="preserve">In cooperative co-assembly, two peptide components interact with each other and architectures are created in which both parts are arranged alternately. </w:t>
      </w:r>
      <w:r w:rsidR="00A76B94">
        <w:rPr>
          <w:rFonts w:ascii="Arial" w:hAnsi="Arial" w:cs="Arial"/>
          <w:sz w:val="24"/>
          <w:szCs w:val="24"/>
        </w:rPr>
        <w:t>This assembly typically used w</w:t>
      </w:r>
      <w:r w:rsidR="000003F4" w:rsidRPr="0084736C">
        <w:rPr>
          <w:rFonts w:ascii="Arial" w:hAnsi="Arial" w:cs="Arial"/>
          <w:sz w:val="24"/>
          <w:szCs w:val="24"/>
        </w:rPr>
        <w:t xml:space="preserve">hen individual components are very similar and have only minor differences. Employing electrostatic interaction is the most common way for </w:t>
      </w:r>
      <w:r w:rsidR="00A76B94">
        <w:rPr>
          <w:rFonts w:ascii="Arial" w:hAnsi="Arial" w:cs="Arial"/>
          <w:sz w:val="24"/>
          <w:szCs w:val="24"/>
        </w:rPr>
        <w:t xml:space="preserve">the </w:t>
      </w:r>
      <w:r w:rsidR="000003F4" w:rsidRPr="0084736C">
        <w:rPr>
          <w:rFonts w:ascii="Arial" w:hAnsi="Arial" w:cs="Arial"/>
          <w:sz w:val="24"/>
          <w:szCs w:val="24"/>
        </w:rPr>
        <w:t xml:space="preserve">co-assembly process, which was designed by two complementary </w:t>
      </w:r>
      <w:r w:rsidR="00A76B94">
        <w:rPr>
          <w:rFonts w:ascii="Arial" w:hAnsi="Arial" w:cs="Arial"/>
          <w:sz w:val="24"/>
          <w:szCs w:val="24"/>
        </w:rPr>
        <w:t xml:space="preserve">charge </w:t>
      </w:r>
      <w:r w:rsidR="000003F4" w:rsidRPr="0084736C">
        <w:rPr>
          <w:rFonts w:ascii="Arial" w:hAnsi="Arial" w:cs="Arial"/>
          <w:sz w:val="24"/>
          <w:szCs w:val="24"/>
        </w:rPr>
        <w:t>peptides.</w:t>
      </w:r>
      <w:r w:rsidR="000003F4"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{"citationID":"a2qabetcnkh","properties":{"formattedCitation":"\\super 45\\nosupersub{}","plainCitation":"45","noteIndex":0},"citationItems":[{"id":12628,"uris":["http://zotero.org/groups/2667333/items/Z7S8MM6B"],"itemData":{"id":12628,"type":"article-journal","container-title":"RSC Advances","DOI":"10.1039/D0RA08407G","issue":"69","language":"en","note":"publisher: Royal Society of Chemistry","page":"42062-42075","source":"pubs.rsc.org","title":"Co-assembly of charge complementary peptides and their applications as organic dye/heavy metal ion (Pb 2+ , Hg 2+ ) absorbents and arsenic( iii / v ) detectors","URL":"https://pubs.rsc.org/en/content/articlelanding/2020/ra/d0ra08407g","volume":"10","author":[{"family":"Roy","given":"Karabi"},{"family":"Chetia","given":"Monikha"},{"family":"Kumar Sarkar","given":"Ankan"},{"family":"Chatterjee","given":"Sunanda"}],"accessed":{"date-parts":[["2022",9,19]]},"issued":{"date-parts":[["2020"]]},"citation-key":"roy_co-assembly_2020"}}],"schema":"https://github.com/citation-style-language/schema/raw/master/csl-citation.json"} </w:instrText>
      </w:r>
      <w:r w:rsidR="000003F4" w:rsidRPr="0084736C">
        <w:rPr>
          <w:rFonts w:ascii="Arial" w:hAnsi="Arial" w:cs="Arial"/>
          <w:sz w:val="24"/>
          <w:szCs w:val="24"/>
        </w:rPr>
        <w:fldChar w:fldCharType="separate"/>
      </w:r>
      <w:r w:rsidR="008F09C1" w:rsidRPr="008F09C1">
        <w:rPr>
          <w:rFonts w:ascii="Arial" w:hAnsi="Arial" w:cs="Arial"/>
          <w:sz w:val="24"/>
          <w:vertAlign w:val="superscript"/>
        </w:rPr>
        <w:t>45</w:t>
      </w:r>
      <w:r w:rsidR="000003F4" w:rsidRPr="0084736C">
        <w:rPr>
          <w:rFonts w:ascii="Arial" w:hAnsi="Arial" w:cs="Arial"/>
          <w:sz w:val="24"/>
          <w:szCs w:val="24"/>
        </w:rPr>
        <w:fldChar w:fldCharType="end"/>
      </w:r>
      <w:r w:rsidR="00A6052C" w:rsidRPr="0084736C">
        <w:rPr>
          <w:rFonts w:ascii="Arial" w:hAnsi="Arial" w:cs="Arial"/>
          <w:sz w:val="24"/>
          <w:szCs w:val="24"/>
        </w:rPr>
        <w:t xml:space="preserve"> Unlike other co-assembly strategies, cooperative co-assembly provides control of </w:t>
      </w:r>
      <w:r w:rsidR="00A76B94">
        <w:rPr>
          <w:rFonts w:ascii="Arial" w:hAnsi="Arial" w:cs="Arial"/>
          <w:sz w:val="24"/>
          <w:szCs w:val="24"/>
        </w:rPr>
        <w:t xml:space="preserve">the </w:t>
      </w:r>
      <w:r w:rsidR="00A6052C" w:rsidRPr="0084736C">
        <w:rPr>
          <w:rFonts w:ascii="Arial" w:hAnsi="Arial" w:cs="Arial"/>
          <w:sz w:val="24"/>
          <w:szCs w:val="24"/>
        </w:rPr>
        <w:t>assembly process by reducing the competition between self and co-association events</w:t>
      </w:r>
      <w:r w:rsidR="00707508" w:rsidRPr="0084736C">
        <w:rPr>
          <w:rFonts w:ascii="Arial" w:hAnsi="Arial" w:cs="Arial"/>
          <w:sz w:val="24"/>
          <w:szCs w:val="24"/>
        </w:rPr>
        <w:t xml:space="preserve"> due to </w:t>
      </w:r>
      <w:r w:rsidR="00A76B94">
        <w:rPr>
          <w:rFonts w:ascii="Arial" w:hAnsi="Arial" w:cs="Arial"/>
          <w:sz w:val="24"/>
          <w:szCs w:val="24"/>
        </w:rPr>
        <w:t xml:space="preserve">the </w:t>
      </w:r>
      <w:r w:rsidR="00707508" w:rsidRPr="0084736C">
        <w:rPr>
          <w:rFonts w:ascii="Arial" w:hAnsi="Arial" w:cs="Arial"/>
          <w:sz w:val="24"/>
          <w:szCs w:val="24"/>
        </w:rPr>
        <w:t>electrostatic repulsion of one component</w:t>
      </w:r>
      <w:r w:rsidR="00A6052C" w:rsidRPr="0084736C">
        <w:rPr>
          <w:rFonts w:ascii="Arial" w:hAnsi="Arial" w:cs="Arial"/>
          <w:sz w:val="24"/>
          <w:szCs w:val="24"/>
        </w:rPr>
        <w:t>.</w:t>
      </w:r>
      <w:r w:rsidR="00707508" w:rsidRPr="0084736C">
        <w:rPr>
          <w:rFonts w:ascii="Arial" w:hAnsi="Arial" w:cs="Arial"/>
          <w:sz w:val="24"/>
          <w:szCs w:val="24"/>
        </w:rPr>
        <w:fldChar w:fldCharType="begin"/>
      </w:r>
      <w:r w:rsidR="001F4ED3">
        <w:rPr>
          <w:rFonts w:ascii="Arial" w:hAnsi="Arial" w:cs="Arial"/>
          <w:sz w:val="24"/>
          <w:szCs w:val="24"/>
        </w:rPr>
        <w:instrText xml:space="preserve"> ADDIN ZOTERO_ITEM CSL_CITATION {"citationID":"a1ij3ebe86h","properties":{"formattedCitation":"\\super 3\\nosupersub{}","plainCitation":"3","noteIndex":0},"citationItems":[{"id":2401,"uris":["http://zotero.org/groups/2667333/items/2GWR8KKB"],"itemData":{"id":2401,"type":"article-journal","abstract":"Co-assembly of peptide mixtures can yield interesting materials, but predictive understanding of assembly pathways is lacking. Here the self- and co-assembly preferences of oppositely-charged peptides are systematically studied experimentally and by molecular dynamics simulations.","container-title":"Communications Chemistry","DOI":"10.1038/s42004-020-00414-w","ISSN":"2399-3669","issue":"1","language":"en","license":"2020 The Author(s)","note":"tex.ids: seroski_charge_2020-1\nnumber: 1\npublisher: Nature Publishing Group","page":"1-11","source":"www-nature-com.webproxy2.ouhsc.edu","title":"Charge guides pathway selection in β-sheet fibrillizing peptide co-assembly","URL":"https://www.nature.com/articles/s42004-020-00414-w","volume":"3","author":[{"family":"Seroski","given":"Dillon T."},{"family":"Dong","given":"Xin"},{"family":"Wong","given":"Kong M."},{"family":"Liu","given":"Renjie"},{"family":"Shao","given":"Qing"},{"family":"Paravastu","given":"Anant K."},{"family":"Hall","given":"Carol K."},{"family":"Hudalla","given":"Gregory A."}],"accessed":{"date-parts":[["2020",12,14]]},"issued":{"date-parts":[["2020",11,13]]},"citation-key":"seroskiChargeGuidesPathway2020"}}],"schema":"https://github.com/citation-style-language/schema/raw/master/csl-citation.json"} </w:instrText>
      </w:r>
      <w:r w:rsidR="00707508" w:rsidRPr="0084736C">
        <w:rPr>
          <w:rFonts w:ascii="Arial" w:hAnsi="Arial" w:cs="Arial"/>
          <w:sz w:val="24"/>
          <w:szCs w:val="24"/>
        </w:rPr>
        <w:fldChar w:fldCharType="separate"/>
      </w:r>
      <w:r w:rsidR="001F4ED3" w:rsidRPr="001F4ED3">
        <w:rPr>
          <w:rFonts w:ascii="Arial" w:hAnsi="Arial" w:cs="Arial"/>
          <w:sz w:val="24"/>
          <w:vertAlign w:val="superscript"/>
        </w:rPr>
        <w:t>3</w:t>
      </w:r>
      <w:r w:rsidR="00707508" w:rsidRPr="0084736C">
        <w:rPr>
          <w:rFonts w:ascii="Arial" w:hAnsi="Arial" w:cs="Arial"/>
          <w:sz w:val="24"/>
          <w:szCs w:val="24"/>
        </w:rPr>
        <w:fldChar w:fldCharType="end"/>
      </w:r>
      <w:r w:rsidR="00707508" w:rsidRPr="0084736C">
        <w:rPr>
          <w:rFonts w:ascii="Arial" w:hAnsi="Arial" w:cs="Arial"/>
          <w:sz w:val="24"/>
          <w:szCs w:val="24"/>
        </w:rPr>
        <w:t xml:space="preserve"> </w:t>
      </w:r>
      <w:r w:rsidR="00677CEC" w:rsidRPr="0084736C">
        <w:rPr>
          <w:rFonts w:ascii="Arial" w:hAnsi="Arial" w:cs="Arial"/>
          <w:sz w:val="24"/>
          <w:szCs w:val="24"/>
        </w:rPr>
        <w:t xml:space="preserve">For those reasons, </w:t>
      </w:r>
      <w:r w:rsidR="00707508" w:rsidRPr="0084736C">
        <w:rPr>
          <w:rFonts w:ascii="Arial" w:hAnsi="Arial" w:cs="Arial"/>
          <w:sz w:val="24"/>
          <w:szCs w:val="24"/>
        </w:rPr>
        <w:t>our research</w:t>
      </w:r>
      <w:r w:rsidR="00A76B94">
        <w:rPr>
          <w:rFonts w:ascii="Arial" w:hAnsi="Arial" w:cs="Arial"/>
          <w:sz w:val="24"/>
          <w:szCs w:val="24"/>
        </w:rPr>
        <w:t xml:space="preserve"> </w:t>
      </w:r>
      <w:r w:rsidR="00707508" w:rsidRPr="0084736C">
        <w:rPr>
          <w:rFonts w:ascii="Arial" w:hAnsi="Arial" w:cs="Arial"/>
          <w:sz w:val="24"/>
          <w:szCs w:val="24"/>
        </w:rPr>
        <w:t xml:space="preserve">focused on cooperative </w:t>
      </w:r>
      <w:r w:rsidR="00677CEC" w:rsidRPr="0084736C">
        <w:rPr>
          <w:rFonts w:ascii="Arial" w:hAnsi="Arial" w:cs="Arial"/>
          <w:sz w:val="24"/>
          <w:szCs w:val="24"/>
        </w:rPr>
        <w:t>co-</w:t>
      </w:r>
      <w:r w:rsidR="00707508" w:rsidRPr="0084736C">
        <w:rPr>
          <w:rFonts w:ascii="Arial" w:hAnsi="Arial" w:cs="Arial"/>
          <w:sz w:val="24"/>
          <w:szCs w:val="24"/>
        </w:rPr>
        <w:t>assembly for biomedical applications</w:t>
      </w:r>
      <w:r w:rsidR="00677CEC" w:rsidRPr="0084736C">
        <w:rPr>
          <w:rFonts w:ascii="Arial" w:hAnsi="Arial" w:cs="Arial"/>
          <w:sz w:val="24"/>
          <w:szCs w:val="24"/>
        </w:rPr>
        <w:t xml:space="preserve">. </w:t>
      </w:r>
    </w:p>
    <w:p w14:paraId="17B6E55B" w14:textId="63090A3D" w:rsidR="00F726A8" w:rsidRDefault="003C6D03">
      <w:pPr>
        <w:pStyle w:val="Heading4"/>
        <w:numPr>
          <w:ilvl w:val="3"/>
          <w:numId w:val="3"/>
        </w:numPr>
      </w:pPr>
      <w:bookmarkStart w:id="25" w:name="_Toc121134616"/>
      <w:r w:rsidRPr="0084736C">
        <w:t xml:space="preserve">Amyloid-like </w:t>
      </w:r>
      <w:r w:rsidR="00DA4362">
        <w:t>P</w:t>
      </w:r>
      <w:r w:rsidRPr="0084736C">
        <w:t xml:space="preserve">eptides for </w:t>
      </w:r>
      <w:r w:rsidR="00DA4362">
        <w:t>B</w:t>
      </w:r>
      <w:r w:rsidRPr="0084736C">
        <w:t xml:space="preserve">iomedical </w:t>
      </w:r>
      <w:r w:rsidR="00DA4362">
        <w:t>A</w:t>
      </w:r>
      <w:r w:rsidRPr="0084736C">
        <w:t>pplications</w:t>
      </w:r>
      <w:bookmarkEnd w:id="25"/>
    </w:p>
    <w:p w14:paraId="3ED0199C" w14:textId="77777777" w:rsidR="00DA4362" w:rsidRPr="00DA4362" w:rsidRDefault="00DA4362" w:rsidP="00DA4362"/>
    <w:p w14:paraId="0AB6E316" w14:textId="675DDFBB" w:rsidR="00B4664F" w:rsidRPr="0084736C" w:rsidRDefault="00B4664F" w:rsidP="003C6D03">
      <w:pPr>
        <w:spacing w:line="480" w:lineRule="auto"/>
        <w:rPr>
          <w:rFonts w:ascii="Arial" w:hAnsi="Arial" w:cs="Arial"/>
          <w:sz w:val="24"/>
          <w:szCs w:val="24"/>
        </w:rPr>
      </w:pPr>
      <w:r w:rsidRPr="0084736C">
        <w:rPr>
          <w:rFonts w:ascii="Arial" w:hAnsi="Arial" w:cs="Arial"/>
          <w:sz w:val="24"/>
          <w:szCs w:val="24"/>
        </w:rPr>
        <w:t xml:space="preserve">One of the most promising applications of nanobiotechnology in healthcare is regenerative medicine. By enabling scaffolds functionalized with cells and biologically active molecules, bioinspired materials seek to mimic </w:t>
      </w:r>
      <w:r w:rsidR="00A76B94">
        <w:rPr>
          <w:rFonts w:ascii="Arial" w:hAnsi="Arial" w:cs="Arial"/>
          <w:sz w:val="24"/>
          <w:szCs w:val="24"/>
        </w:rPr>
        <w:t xml:space="preserve">the </w:t>
      </w:r>
      <w:r w:rsidRPr="0084736C">
        <w:rPr>
          <w:rFonts w:ascii="Arial" w:hAnsi="Arial" w:cs="Arial"/>
          <w:sz w:val="24"/>
          <w:szCs w:val="24"/>
        </w:rPr>
        <w:t xml:space="preserve">extracellular matrix (ECM) </w:t>
      </w:r>
      <w:r w:rsidR="00737ACD" w:rsidRPr="0084736C">
        <w:rPr>
          <w:rFonts w:ascii="Arial" w:hAnsi="Arial" w:cs="Arial"/>
          <w:sz w:val="24"/>
          <w:szCs w:val="24"/>
        </w:rPr>
        <w:t>to</w:t>
      </w:r>
      <w:r w:rsidRPr="0084736C">
        <w:rPr>
          <w:rFonts w:ascii="Arial" w:hAnsi="Arial" w:cs="Arial"/>
          <w:sz w:val="24"/>
          <w:szCs w:val="24"/>
        </w:rPr>
        <w:t xml:space="preserve"> replace the degenerated tissues of the human body</w:t>
      </w:r>
      <w:r w:rsidR="0086682E">
        <w:rPr>
          <w:rFonts w:ascii="Arial" w:hAnsi="Arial" w:cs="Arial"/>
          <w:sz w:val="24"/>
          <w:szCs w:val="24"/>
        </w:rPr>
        <w:t>.</w:t>
      </w:r>
      <w:r w:rsidR="0086682E">
        <w:rPr>
          <w:rFonts w:ascii="Arial" w:hAnsi="Arial" w:cs="Arial"/>
          <w:sz w:val="24"/>
          <w:szCs w:val="24"/>
        </w:rPr>
        <w:fldChar w:fldCharType="begin"/>
      </w:r>
      <w:r w:rsidR="008F09C1">
        <w:rPr>
          <w:rFonts w:ascii="Arial" w:hAnsi="Arial" w:cs="Arial"/>
          <w:sz w:val="24"/>
          <w:szCs w:val="24"/>
        </w:rPr>
        <w:instrText xml:space="preserve"> ADDIN ZOTERO_ITEM CSL_CITATION {"citationID":"a2hagcqf99","properties":{"formattedCitation":"\\super 47\\nosupersub{}","plainCitation":"47","noteIndex":0},"citationItems":[{"id":3550,"uris":["http://zotero.org/groups/2667333/items/TF9HADMM"],"itemData":{"id":3550,"type":"article-journal","abstract":"This Review discusses the properties and applications of supramolecular biomaterials for drug delivery, tissue engineering, regenerative medicine and immunology.","container-title":"Nature Materials","DOI":"10.1038/nmat4474","ISSN":"1476-4660","issue":"1","language":"en","license":"2016 Nature Publishing Group, a division of Macmillan Publishers Limited. All Rights Reserved.","note":"ZSCC: 0000723 \nnumber: 1\npublisher: Nature Publishing Group\ntex.ids= webber_supramolecular_2016-1","page":"13-26","source":"www.nature.com","title":"Supramolecular biomaterials","URL":"https://www.nature.com/articles/nmat4474","volume":"15","author":[{"family":"Webber","given":"Matthew J."},{"family":"Appel","given":"Eric A."},{"family":"Meijer","given":"E. W."},{"family":"Langer","given":"Robert"}],"accessed":{"date-parts":[["2020",7,15]]},"issued":{"date-parts":[["2016",1]]},"citation-key":"webberSupramolecularBiomaterials2016"}}],"schema":"https://github.com/citation-style-language/schema/raw/master/csl-citation.json"} </w:instrText>
      </w:r>
      <w:r w:rsidR="0086682E">
        <w:rPr>
          <w:rFonts w:ascii="Arial" w:hAnsi="Arial" w:cs="Arial"/>
          <w:sz w:val="24"/>
          <w:szCs w:val="24"/>
        </w:rPr>
        <w:fldChar w:fldCharType="separate"/>
      </w:r>
      <w:r w:rsidR="008F09C1" w:rsidRPr="008F09C1">
        <w:rPr>
          <w:rFonts w:ascii="Arial" w:hAnsi="Arial" w:cs="Arial"/>
          <w:sz w:val="24"/>
          <w:vertAlign w:val="superscript"/>
        </w:rPr>
        <w:t>47</w:t>
      </w:r>
      <w:r w:rsidR="0086682E">
        <w:rPr>
          <w:rFonts w:ascii="Arial" w:hAnsi="Arial" w:cs="Arial"/>
          <w:sz w:val="24"/>
          <w:szCs w:val="24"/>
        </w:rPr>
        <w:fldChar w:fldCharType="end"/>
      </w:r>
      <w:r w:rsidR="0086682E">
        <w:rPr>
          <w:rFonts w:ascii="Arial" w:hAnsi="Arial" w:cs="Arial"/>
          <w:sz w:val="24"/>
          <w:szCs w:val="24"/>
        </w:rPr>
        <w:t xml:space="preserve"> </w:t>
      </w:r>
      <w:r w:rsidRPr="0084736C">
        <w:rPr>
          <w:rFonts w:ascii="Arial" w:hAnsi="Arial" w:cs="Arial"/>
          <w:sz w:val="24"/>
          <w:szCs w:val="24"/>
        </w:rPr>
        <w:t xml:space="preserve">An ECM, a complex, three-dimensional (3D), fibrous, and hierarchically organized network that transmits </w:t>
      </w:r>
      <w:r w:rsidR="00A76B94">
        <w:rPr>
          <w:rFonts w:ascii="Arial" w:hAnsi="Arial" w:cs="Arial"/>
          <w:sz w:val="24"/>
          <w:szCs w:val="24"/>
        </w:rPr>
        <w:t>various</w:t>
      </w:r>
      <w:r w:rsidRPr="0084736C">
        <w:rPr>
          <w:rFonts w:ascii="Arial" w:hAnsi="Arial" w:cs="Arial"/>
          <w:sz w:val="24"/>
          <w:szCs w:val="24"/>
        </w:rPr>
        <w:t xml:space="preserve"> biochemical and physical signals, surrounds cells within tissues</w:t>
      </w:r>
      <w:r w:rsidR="0086682E">
        <w:rPr>
          <w:rFonts w:ascii="Arial" w:hAnsi="Arial" w:cs="Arial"/>
          <w:sz w:val="24"/>
          <w:szCs w:val="24"/>
        </w:rPr>
        <w:t>.</w:t>
      </w:r>
      <w:r w:rsidR="0086682E">
        <w:rPr>
          <w:rFonts w:ascii="Arial" w:hAnsi="Arial" w:cs="Arial"/>
          <w:sz w:val="24"/>
          <w:szCs w:val="24"/>
        </w:rPr>
        <w:fldChar w:fldCharType="begin"/>
      </w:r>
      <w:r w:rsidR="008F09C1">
        <w:rPr>
          <w:rFonts w:ascii="Arial" w:hAnsi="Arial" w:cs="Arial"/>
          <w:sz w:val="24"/>
          <w:szCs w:val="24"/>
        </w:rPr>
        <w:instrText xml:space="preserve"> ADDIN ZOTERO_ITEM CSL_CITATION {"citationID":"a2b0p4cg6l7","properties":{"formattedCitation":"\\super 48\\nosupersub{}","plainCitation":"48","noteIndex":0},"citationItems":[{"id":492,"uris":["http://zotero.org/users/5797676/items/9X6ML4S8"],"itemData":{"id":492,"type":"article-journal","abstract":"As a prominent tool in regenerative medicine, tissue engineering (TE) has been an active field of scientific research for nearly three decades. Clinical application of TE technologies has been relatively restricted, however, owing in part to the limited number of biomaterials that are approved for human use. While many excellent biomaterials have been developed in recent years, their translation into clinical practice has been slow. As a consequence, many investigators still employ biodegradable polymers that were first approved for use in humans over 30 years ago. During normal development tissue morphogenesis is heavily influenced by the interaction of cells with the extracellular matrix (ECM). Yet simple polymers, while providing architectural support for neo-tissue development, do not adequately mimic the complex interactions between adult stem and progenitor cells and the ECM that promote functional tissue regeneration. Future advances in TE and regenerative medicine will depend on the development of \"smart\" biomaterials that actively participate in the formation of functional tissue. Clinical translation of these new classes of biomaterials will be supported by many of the same evaluation tools as those developed and described by Professor David F. Williams and colleagues over the past 30 years.","container-title":"Biomaterials","DOI":"10.1016/j.biomaterials.2007.07.042","ISSN":"0142-9612","issue":"34","journalAbbreviation":"Biomaterials","language":"eng","note":"PMID: 17706763","page":"5068-5073","source":"PubMed","title":"Smart biomaterials design for tissue engineering and regenerative medicine","volume":"28","author":[{"family":"Furth","given":"Mark E."},{"family":"Atala","given":"Anthony"},{"family":"Van Dyke","given":"Mark E."}],"issued":{"date-parts":[["2007",12]]},"citation-key":"furth_smart_2007"}}],"schema":"https://github.com/citation-style-language/schema/raw/master/csl-citation.json"} </w:instrText>
      </w:r>
      <w:r w:rsidR="0086682E">
        <w:rPr>
          <w:rFonts w:ascii="Arial" w:hAnsi="Arial" w:cs="Arial"/>
          <w:sz w:val="24"/>
          <w:szCs w:val="24"/>
        </w:rPr>
        <w:fldChar w:fldCharType="separate"/>
      </w:r>
      <w:r w:rsidR="008F09C1" w:rsidRPr="008F09C1">
        <w:rPr>
          <w:rFonts w:ascii="Arial" w:hAnsi="Arial" w:cs="Arial"/>
          <w:sz w:val="24"/>
          <w:vertAlign w:val="superscript"/>
        </w:rPr>
        <w:t>48</w:t>
      </w:r>
      <w:r w:rsidR="0086682E">
        <w:rPr>
          <w:rFonts w:ascii="Arial" w:hAnsi="Arial" w:cs="Arial"/>
          <w:sz w:val="24"/>
          <w:szCs w:val="24"/>
        </w:rPr>
        <w:fldChar w:fldCharType="end"/>
      </w:r>
      <w:r w:rsidR="0086682E">
        <w:rPr>
          <w:rFonts w:ascii="Arial" w:hAnsi="Arial" w:cs="Arial"/>
          <w:sz w:val="24"/>
          <w:szCs w:val="24"/>
        </w:rPr>
        <w:t xml:space="preserve"> </w:t>
      </w:r>
      <w:r w:rsidRPr="0084736C">
        <w:rPr>
          <w:rFonts w:ascii="Arial" w:hAnsi="Arial" w:cs="Arial"/>
          <w:sz w:val="24"/>
          <w:szCs w:val="24"/>
        </w:rPr>
        <w:t xml:space="preserve">In addition, the ECM supports cells, regulates cell behavior, initiates cascades of intracellular signaling pathways, and controls </w:t>
      </w:r>
      <w:r w:rsidR="00A76B94">
        <w:rPr>
          <w:rFonts w:ascii="Arial" w:hAnsi="Arial" w:cs="Arial"/>
          <w:sz w:val="24"/>
          <w:szCs w:val="24"/>
        </w:rPr>
        <w:t>soluble factors</w:t>
      </w:r>
      <w:r w:rsidRPr="0084736C">
        <w:rPr>
          <w:rFonts w:ascii="Arial" w:hAnsi="Arial" w:cs="Arial"/>
          <w:sz w:val="24"/>
          <w:szCs w:val="24"/>
        </w:rPr>
        <w:t xml:space="preserve"> in and between cells.</w:t>
      </w:r>
      <w:r w:rsidR="0086682E">
        <w:rPr>
          <w:rFonts w:ascii="Arial" w:hAnsi="Arial" w:cs="Arial"/>
          <w:sz w:val="24"/>
          <w:szCs w:val="24"/>
        </w:rPr>
        <w:fldChar w:fldCharType="begin"/>
      </w:r>
      <w:r w:rsidR="008F09C1">
        <w:rPr>
          <w:rFonts w:ascii="Arial" w:hAnsi="Arial" w:cs="Arial"/>
          <w:sz w:val="24"/>
          <w:szCs w:val="24"/>
        </w:rPr>
        <w:instrText xml:space="preserve"> ADDIN ZOTERO_ITEM CSL_CITATION {"citationID":"a2mgrbkr143","properties":{"formattedCitation":"\\super 49\\nosupersub{}","plainCitation":"49","noteIndex":0},"citationItems":[{"id":9816,"uris":["http://zotero.org/groups/2667333/items/XZAQRZWP"],"itemData":{"id":9816,"type":"article-journal","abstract":"Biomaterial scaffolds are components of cell-laden artificial tissues and transplantable biosensors. Some of the most promising new synthetic biomaterial scaffolds are composed of self-assembling peptides that can be modified to contain biologically active motifs. Peptide-based biomaterials can be fabricated to form two- and three-dimensional structures. Recent studies show that biomaterial promotion of multi-dimensional cell–cell interactions and cell density are crucial for proper cellular differentiation and for subsequent tissue formation. Other refinements in tissue engineering include the use of stem cells, cell pre-selection and growth factor pre-treatment of cells that are used for seeding scaffolds. These cell-culture technologies, combined with improved processes for defining the dimensions of peptide-based scaffolds, might lead to further improvements in tissue engineering. Novel peptide-based biomaterial scaffolds seeded with cells show promise for tissue repair and for other medical applications.","container-title":"Trends in Biotechnology","DOI":"10.1016/S0167-7799(01)01840-6","ISSN":"0167-7799","issue":"1","journalAbbreviation":"Trends in Biotechnology","language":"en","page":"16-21","source":"ScienceDirect","title":"Novel peptide-based biomaterial scaffolds for tissue engineering","URL":"https://www.sciencedirect.com/science/article/pii/S0167779901018406","volume":"20","author":[{"family":"Holmes","given":"Todd C"}],"accessed":{"date-parts":[["2021",11,1]]},"issued":{"date-parts":[["2002",1,1]]},"citation-key":"holmesNovelPeptidebasedBiomaterial2002"}}],"schema":"https://github.com/citation-style-language/schema/raw/master/csl-citation.json"} </w:instrText>
      </w:r>
      <w:r w:rsidR="0086682E">
        <w:rPr>
          <w:rFonts w:ascii="Arial" w:hAnsi="Arial" w:cs="Arial"/>
          <w:sz w:val="24"/>
          <w:szCs w:val="24"/>
        </w:rPr>
        <w:fldChar w:fldCharType="separate"/>
      </w:r>
      <w:r w:rsidR="008F09C1" w:rsidRPr="008F09C1">
        <w:rPr>
          <w:rFonts w:ascii="Arial" w:hAnsi="Arial" w:cs="Arial"/>
          <w:sz w:val="24"/>
          <w:vertAlign w:val="superscript"/>
        </w:rPr>
        <w:t>49</w:t>
      </w:r>
      <w:r w:rsidR="0086682E">
        <w:rPr>
          <w:rFonts w:ascii="Arial" w:hAnsi="Arial" w:cs="Arial"/>
          <w:sz w:val="24"/>
          <w:szCs w:val="24"/>
        </w:rPr>
        <w:fldChar w:fldCharType="end"/>
      </w:r>
      <w:r w:rsidRPr="0084736C">
        <w:rPr>
          <w:rFonts w:ascii="Arial" w:hAnsi="Arial" w:cs="Arial"/>
          <w:sz w:val="24"/>
          <w:szCs w:val="24"/>
        </w:rPr>
        <w:t xml:space="preserve"> Therefore, it is essential for regenerative medicine to mimic the same level of complexity and functionality of ECM with engineered biomaterials</w:t>
      </w:r>
      <w:r w:rsidR="0086682E">
        <w:rPr>
          <w:rFonts w:ascii="Arial" w:hAnsi="Arial" w:cs="Arial"/>
          <w:sz w:val="24"/>
          <w:szCs w:val="24"/>
        </w:rPr>
        <w:t>.</w:t>
      </w:r>
      <w:r w:rsidR="0086682E">
        <w:rPr>
          <w:rFonts w:ascii="Arial" w:hAnsi="Arial" w:cs="Arial"/>
          <w:sz w:val="24"/>
          <w:szCs w:val="24"/>
        </w:rPr>
        <w:fldChar w:fldCharType="begin"/>
      </w:r>
      <w:r w:rsidR="008F09C1">
        <w:rPr>
          <w:rFonts w:ascii="Arial" w:hAnsi="Arial" w:cs="Arial"/>
          <w:sz w:val="24"/>
          <w:szCs w:val="24"/>
        </w:rPr>
        <w:instrText xml:space="preserve"> ADDIN ZOTERO_ITEM CSL_CITATION {"citationID":"a2d6hsnlruk","properties":{"formattedCitation":"\\super 50\\nosupersub{}","plainCitation":"50","noteIndex":0},"citationItems":[{"id":13007,"uris":["http://zotero.org/groups/2667333/items/WVWL72T5"],"itemData":{"id":13007,"type":"article-journal","container-title":"Science","DOI":"10.1126/science.1106587","issue":"5751","note":"publisher: American Association for the Advancement of Science","page":"1135-1138","source":"science.org (Atypon)","title":"Exploring and Engineering the Cell Surface Interface","URL":"https://www.science.org/doi/10.1126/science.1106587","volume":"310","author":[{"family":"Stevens","given":"Molly M."},{"family":"George","given":"Julian H."}],"accessed":{"date-parts":[["2022",10,3]]},"issued":{"date-parts":[["2005",11,18]]},"citation-key":"stevens_exploring_2005"}}],"schema":"https://github.com/citation-style-language/schema/raw/master/csl-citation.json"} </w:instrText>
      </w:r>
      <w:r w:rsidR="0086682E">
        <w:rPr>
          <w:rFonts w:ascii="Arial" w:hAnsi="Arial" w:cs="Arial"/>
          <w:sz w:val="24"/>
          <w:szCs w:val="24"/>
        </w:rPr>
        <w:fldChar w:fldCharType="separate"/>
      </w:r>
      <w:r w:rsidR="008F09C1" w:rsidRPr="008F09C1">
        <w:rPr>
          <w:rFonts w:ascii="Arial" w:hAnsi="Arial" w:cs="Arial"/>
          <w:sz w:val="24"/>
          <w:vertAlign w:val="superscript"/>
        </w:rPr>
        <w:t>50</w:t>
      </w:r>
      <w:r w:rsidR="0086682E">
        <w:rPr>
          <w:rFonts w:ascii="Arial" w:hAnsi="Arial" w:cs="Arial"/>
          <w:sz w:val="24"/>
          <w:szCs w:val="24"/>
        </w:rPr>
        <w:fldChar w:fldCharType="end"/>
      </w:r>
      <w:r w:rsidR="0086682E" w:rsidRPr="0084736C">
        <w:rPr>
          <w:rFonts w:ascii="Arial" w:hAnsi="Arial" w:cs="Arial"/>
          <w:sz w:val="24"/>
          <w:szCs w:val="24"/>
        </w:rPr>
        <w:t xml:space="preserve"> </w:t>
      </w:r>
    </w:p>
    <w:p w14:paraId="79879AC8" w14:textId="23D69CF5" w:rsidR="00ED6802" w:rsidRPr="0084736C" w:rsidRDefault="0024008D" w:rsidP="003C6D03">
      <w:pPr>
        <w:spacing w:line="480" w:lineRule="auto"/>
        <w:rPr>
          <w:rFonts w:ascii="Arial" w:hAnsi="Arial" w:cs="Arial"/>
          <w:sz w:val="24"/>
          <w:szCs w:val="24"/>
        </w:rPr>
      </w:pPr>
      <w:r w:rsidRPr="0084736C">
        <w:rPr>
          <w:rFonts w:ascii="Arial" w:hAnsi="Arial" w:cs="Arial"/>
          <w:sz w:val="24"/>
          <w:szCs w:val="24"/>
        </w:rPr>
        <w:lastRenderedPageBreak/>
        <w:t xml:space="preserve">Development of amyloid-like peptide systems </w:t>
      </w:r>
      <w:r w:rsidR="00970A9F" w:rsidRPr="0084736C">
        <w:rPr>
          <w:rFonts w:ascii="Arial" w:hAnsi="Arial" w:cs="Arial"/>
          <w:sz w:val="24"/>
          <w:szCs w:val="24"/>
        </w:rPr>
        <w:t>ha</w:t>
      </w:r>
      <w:r w:rsidR="00A76B94">
        <w:rPr>
          <w:rFonts w:ascii="Arial" w:hAnsi="Arial" w:cs="Arial"/>
          <w:sz w:val="24"/>
          <w:szCs w:val="24"/>
        </w:rPr>
        <w:t>s</w:t>
      </w:r>
      <w:r w:rsidR="00970A9F" w:rsidRPr="0084736C">
        <w:rPr>
          <w:rFonts w:ascii="Arial" w:hAnsi="Arial" w:cs="Arial"/>
          <w:sz w:val="24"/>
          <w:szCs w:val="24"/>
        </w:rPr>
        <w:t xml:space="preserve"> attracted in the past years due to their ease of design, low cost, diverse functionalization options</w:t>
      </w:r>
      <w:r w:rsidR="00A76B94">
        <w:rPr>
          <w:rFonts w:ascii="Arial" w:hAnsi="Arial" w:cs="Arial"/>
          <w:sz w:val="24"/>
          <w:szCs w:val="24"/>
        </w:rPr>
        <w:t>,</w:t>
      </w:r>
      <w:r w:rsidR="00970A9F" w:rsidRPr="0084736C">
        <w:rPr>
          <w:rFonts w:ascii="Arial" w:hAnsi="Arial" w:cs="Arial"/>
          <w:sz w:val="24"/>
          <w:szCs w:val="24"/>
        </w:rPr>
        <w:t xml:space="preserve"> and most importantly biocompatibility and biodegradability</w:t>
      </w:r>
      <w:r w:rsidR="00B92E68" w:rsidRPr="0084736C">
        <w:rPr>
          <w:rFonts w:ascii="Arial" w:hAnsi="Arial" w:cs="Arial"/>
          <w:sz w:val="24"/>
          <w:szCs w:val="24"/>
        </w:rPr>
        <w:t>. Furthermore, having a short sequence (less than 8 amino acids) makes them non-immunogenic.</w:t>
      </w:r>
      <w:r w:rsidR="004B44A8" w:rsidRPr="0084736C">
        <w:rPr>
          <w:rFonts w:ascii="Arial" w:hAnsi="Arial" w:cs="Arial"/>
          <w:sz w:val="24"/>
          <w:szCs w:val="24"/>
        </w:rPr>
        <w:fldChar w:fldCharType="begin"/>
      </w:r>
      <w:r w:rsidR="001F4ED3">
        <w:rPr>
          <w:rFonts w:ascii="Arial" w:hAnsi="Arial" w:cs="Arial"/>
          <w:sz w:val="24"/>
          <w:szCs w:val="24"/>
        </w:rPr>
        <w:instrText xml:space="preserve"> ADDIN ZOTERO_ITEM CSL_CITATION {"citationID":"a12m00t54sv","properties":{"formattedCitation":"\\super 6\\nosupersub{}","plainCitation":"6","noteIndex":0},"citationItems":[{"id":12745,"uris":["http://zotero.org/groups/2667333/items/NTN7AGHG"],"itemData":{"id":12745,"type":"article-journal","container-title":"Biomaterials Science","DOI":"10.1039/C9BM01304K","issue":"1","language":"en","note":"publisher: Royal Society of Chemistry","page":"84-100","source":"pubs.rsc.org","title":"Short to ultrashort peptide-based hydrogels as a platform for biomedical applications","URL":"https://pubs.rsc.org/en/content/articlelanding/2020/bm/c9bm01304k","volume":"8","author":[{"family":"Yadav","given":"Nitin"},{"family":"K. Chauhan","given":"Meenakshi"},{"family":"S. Chauhan","given":"Virander"}],"accessed":{"date-parts":[["2022",9,22]]},"issued":{"date-parts":[["2020"]]},"citation-key":"yadav_short_2020"}}],"schema":"https://github.com/citation-style-language/schema/raw/master/csl-citation.json"} </w:instrText>
      </w:r>
      <w:r w:rsidR="004B44A8" w:rsidRPr="0084736C">
        <w:rPr>
          <w:rFonts w:ascii="Arial" w:hAnsi="Arial" w:cs="Arial"/>
          <w:sz w:val="24"/>
          <w:szCs w:val="24"/>
        </w:rPr>
        <w:fldChar w:fldCharType="separate"/>
      </w:r>
      <w:r w:rsidR="001F4ED3" w:rsidRPr="001F4ED3">
        <w:rPr>
          <w:rFonts w:ascii="Arial" w:hAnsi="Arial" w:cs="Arial"/>
          <w:sz w:val="24"/>
          <w:vertAlign w:val="superscript"/>
        </w:rPr>
        <w:t>6</w:t>
      </w:r>
      <w:r w:rsidR="004B44A8" w:rsidRPr="0084736C">
        <w:rPr>
          <w:rFonts w:ascii="Arial" w:hAnsi="Arial" w:cs="Arial"/>
          <w:sz w:val="24"/>
          <w:szCs w:val="24"/>
        </w:rPr>
        <w:fldChar w:fldCharType="end"/>
      </w:r>
      <w:r w:rsidR="004B44A8" w:rsidRPr="0084736C">
        <w:rPr>
          <w:rFonts w:ascii="Arial" w:hAnsi="Arial" w:cs="Arial"/>
          <w:sz w:val="24"/>
          <w:szCs w:val="24"/>
        </w:rPr>
        <w:t xml:space="preserve"> </w:t>
      </w:r>
      <w:r w:rsidR="00970A9F" w:rsidRPr="0084736C">
        <w:rPr>
          <w:rFonts w:ascii="Arial" w:hAnsi="Arial" w:cs="Arial"/>
          <w:sz w:val="24"/>
          <w:szCs w:val="24"/>
        </w:rPr>
        <w:t>A combination of two aromatic short peptide derivatives, Fmoc-FF, Fmoc-RGD (bioactive epitope)</w:t>
      </w:r>
      <w:r w:rsidR="00A76B94">
        <w:rPr>
          <w:rFonts w:ascii="Arial" w:hAnsi="Arial" w:cs="Arial"/>
          <w:sz w:val="24"/>
          <w:szCs w:val="24"/>
        </w:rPr>
        <w:t>,</w:t>
      </w:r>
      <w:r w:rsidR="00970A9F" w:rsidRPr="0084736C">
        <w:rPr>
          <w:rFonts w:ascii="Arial" w:hAnsi="Arial" w:cs="Arial"/>
          <w:sz w:val="24"/>
          <w:szCs w:val="24"/>
        </w:rPr>
        <w:t xml:space="preserve"> and Fmoc-RGE (non-bioactive epitope as a negative control)</w:t>
      </w:r>
      <w:r w:rsidR="0016142F" w:rsidRPr="0084736C">
        <w:rPr>
          <w:rFonts w:ascii="Arial" w:hAnsi="Arial" w:cs="Arial"/>
          <w:sz w:val="24"/>
          <w:szCs w:val="24"/>
        </w:rPr>
        <w:t xml:space="preserve"> </w:t>
      </w:r>
      <w:r w:rsidR="00970A9F" w:rsidRPr="0084736C">
        <w:rPr>
          <w:rFonts w:ascii="Arial" w:hAnsi="Arial" w:cs="Arial"/>
          <w:sz w:val="24"/>
          <w:szCs w:val="24"/>
        </w:rPr>
        <w:t>was used to create the hydrogel scaffold inspired by the ECM</w:t>
      </w:r>
      <w:r w:rsidR="0016142F" w:rsidRPr="0084736C">
        <w:rPr>
          <w:rFonts w:ascii="Arial" w:hAnsi="Arial" w:cs="Arial"/>
          <w:sz w:val="24"/>
          <w:szCs w:val="24"/>
        </w:rPr>
        <w:t>.</w:t>
      </w:r>
      <w:r w:rsidR="00B95772" w:rsidRPr="0084736C">
        <w:rPr>
          <w:rFonts w:ascii="Arial" w:hAnsi="Arial" w:cs="Arial"/>
          <w:sz w:val="24"/>
          <w:szCs w:val="24"/>
        </w:rPr>
        <w:t xml:space="preserve"> Fibroblast encapsulated hydrogels support adhesion and cell spreading with the aid of RGD bioactive epitope.</w:t>
      </w:r>
      <w:r w:rsidR="0016142F"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{"citationID":"a1pgal1ilp1","properties":{"formattedCitation":"\\super 51\\nosupersub{}","plainCitation":"51","noteIndex":0},"citationItems":[{"id":4257,"uris":["http://zotero.org/groups/2667333/items/AJMXHDWV"],"itemData":{"id":4257,"type":"article-journal","abstract":"We report here the design of a biomimetic nanoﬁbrous hydrogel as a 3D-scaffold for anchoragedependent cells. The peptide-based bioactive hydrogel is formed through molecular self-assembly and the building blocks are a mixture of two aromatic short peptide derivatives: Fmoc-FF (Fluorenylmethoxycarbonyl-diphenylalanine) and Fmoc-RGD (arginine-glycine-aspartate) as the simplest self-assembling moieties reported so far for the construction of small-molecule-based bioactive hydrogels. This hydrogel provides a highly hydrated, stiff and nanoﬁbrous hydrogel network that uniquely presents bioactive ligands at the ﬁbre surface; therefore it mimics certain essential features of the extracellular matrix. The RGD sequence as part of the Fmoc-RGD building block plays a dual role of a structural component and a biological ligand. Spectroscopic and imaging analysis using CD, FTIR, ﬂuorescence, TEM and AFM conﬁrmed that FF and RGD peptide sequences self-assemble into b-sheets interlocked by p–p stacking of the Fmoc groups. This generates the cylindrical nanoﬁbres interwoven within the hydrogel with the presence of RGDs in tunable densities on the ﬁbre surfaces. This rapid gelling material was observed to promote adhesion of encapsulated dermal ﬁbroblasts through speciﬁc RGD–integrin binding, with subsequent cell spreading and proliferation; therefore it may offer an economical model scaffold to 3D-culture other anchorage-dependent cells for in-vitro tissue regeneration.","container-title":"Biomaterials","DOI":"10.1016/j.biomaterials.2009.01.010","ISSN":"01429612","issue":"13","journalAbbreviation":"Biomaterials","language":"en","page":"2523-2530","source":"DOI.org (Crossref)","title":"Self-assembled peptide-based hydrogels as scaffolds for anchorage-dependent cells","URL":"https://linkinghub.elsevier.com/retrieve/pii/S0142961209000179","volume":"30","author":[{"family":"Zhou","given":"Mi"},{"family":"Smith","given":"Andrew M."},{"family":"Das","given":"Apurba K."},{"family":"Hodson","given":"Nigel W."},{"family":"Collins","given":"Richard F."},{"family":"Ulijn","given":"Rein V."},{"family":"Gough","given":"Julie E."}],"accessed":{"date-parts":[["2020",12,23]]},"issued":{"date-parts":[["2009",5]]},"citation-key":"zhouSelfassembledPeptidebasedHydrogels2009"}}],"schema":"https://github.com/citation-style-language/schema/raw/master/csl-citation.json"} </w:instrText>
      </w:r>
      <w:r w:rsidR="0016142F" w:rsidRPr="0084736C">
        <w:rPr>
          <w:rFonts w:ascii="Arial" w:hAnsi="Arial" w:cs="Arial"/>
          <w:sz w:val="24"/>
          <w:szCs w:val="24"/>
        </w:rPr>
        <w:fldChar w:fldCharType="separate"/>
      </w:r>
      <w:r w:rsidR="008F09C1" w:rsidRPr="008F09C1">
        <w:rPr>
          <w:rFonts w:ascii="Arial" w:hAnsi="Arial" w:cs="Arial"/>
          <w:sz w:val="24"/>
          <w:vertAlign w:val="superscript"/>
        </w:rPr>
        <w:t>51</w:t>
      </w:r>
      <w:r w:rsidR="0016142F" w:rsidRPr="0084736C">
        <w:rPr>
          <w:rFonts w:ascii="Arial" w:hAnsi="Arial" w:cs="Arial"/>
          <w:sz w:val="24"/>
          <w:szCs w:val="24"/>
        </w:rPr>
        <w:fldChar w:fldCharType="end"/>
      </w:r>
      <w:r w:rsidR="00B92E68" w:rsidRPr="0084736C">
        <w:rPr>
          <w:rFonts w:ascii="Arial" w:hAnsi="Arial" w:cs="Arial"/>
          <w:sz w:val="24"/>
          <w:szCs w:val="24"/>
        </w:rPr>
        <w:t xml:space="preserve"> </w:t>
      </w:r>
      <w:r w:rsidR="003337DF" w:rsidRPr="0084736C">
        <w:rPr>
          <w:rFonts w:ascii="Arial" w:hAnsi="Arial" w:cs="Arial"/>
          <w:sz w:val="24"/>
          <w:szCs w:val="24"/>
        </w:rPr>
        <w:t>In addition to attaching bioactive ligan</w:t>
      </w:r>
      <w:r w:rsidR="00A76B94">
        <w:rPr>
          <w:rFonts w:ascii="Arial" w:hAnsi="Arial" w:cs="Arial"/>
          <w:sz w:val="24"/>
          <w:szCs w:val="24"/>
        </w:rPr>
        <w:t>d</w:t>
      </w:r>
      <w:r w:rsidR="003337DF" w:rsidRPr="0084736C">
        <w:rPr>
          <w:rFonts w:ascii="Arial" w:hAnsi="Arial" w:cs="Arial"/>
          <w:sz w:val="24"/>
          <w:szCs w:val="24"/>
        </w:rPr>
        <w:t>s, FF</w:t>
      </w:r>
      <w:r w:rsidR="00A76B94">
        <w:rPr>
          <w:rFonts w:ascii="Arial" w:hAnsi="Arial" w:cs="Arial"/>
          <w:sz w:val="24"/>
          <w:szCs w:val="24"/>
        </w:rPr>
        <w:t>-</w:t>
      </w:r>
      <w:r w:rsidR="003337DF" w:rsidRPr="0084736C">
        <w:rPr>
          <w:rFonts w:ascii="Arial" w:hAnsi="Arial" w:cs="Arial"/>
          <w:sz w:val="24"/>
          <w:szCs w:val="24"/>
        </w:rPr>
        <w:t xml:space="preserve">based hydrogels </w:t>
      </w:r>
      <w:r w:rsidR="00A76B94">
        <w:rPr>
          <w:rFonts w:ascii="Arial" w:hAnsi="Arial" w:cs="Arial"/>
          <w:sz w:val="24"/>
          <w:szCs w:val="24"/>
        </w:rPr>
        <w:t xml:space="preserve">were </w:t>
      </w:r>
      <w:r w:rsidR="003337DF" w:rsidRPr="0084736C">
        <w:rPr>
          <w:rFonts w:ascii="Arial" w:hAnsi="Arial" w:cs="Arial"/>
          <w:sz w:val="24"/>
          <w:szCs w:val="24"/>
        </w:rPr>
        <w:t xml:space="preserve">also modified with the conductive polymer </w:t>
      </w:r>
      <w:r w:rsidR="006D2782" w:rsidRPr="0084736C">
        <w:rPr>
          <w:rFonts w:ascii="Arial" w:hAnsi="Arial" w:cs="Arial"/>
          <w:sz w:val="24"/>
          <w:szCs w:val="24"/>
        </w:rPr>
        <w:t>polyaniline (PAni).</w:t>
      </w:r>
      <w:r w:rsidR="006D2782"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{"citationID":"adjq92ldkn","properties":{"formattedCitation":"\\super 52\\nosupersub{}","plainCitation":"52","noteIndex":0},"citationItems":[{"id":12747,"uris":["http://zotero.org/groups/2667333/items/UGYJGDDJ"],"itemData":{"id":12747,"type":"article-journal","abstract":"Conducting polymer hydrogels (CPHs) emerge as excellent functional materials, as they harness the advantages of conducting polymers with the mechanical properties and continuous 3D nanostructures of hydrogels. This bicomponent organization results in soft, all-organic, conducting micro-/nanostructures with multifarious material applications. However, the application of CPHs as functional materials for biomedical applications is currently limited due to the necessity to combine the features of biocompatibility, self-healing, and fine-tuning of the mechanical properties. To overcome this issue, we choose to combine a protected dipeptide as the supramolecular gelator, owing to its intrinsic biocompatibility and excellent gelation ability, with the conductive polymer polyaniline (PAni), which was polymerized in situ. Thus, a two-component, all-organic, conducting hydrogel was formed. Spectroscopic evidence reveals the formation of the emeraldine salt form of PAni by intrinsic doping. The composite hydrogel is mechanically rigid with a very high storage modulus (G′) value of </w:instrText>
      </w:r>
      <w:r w:rsidR="008F09C1">
        <w:rPr>
          <w:rFonts w:ascii="Cambria Math" w:hAnsi="Cambria Math" w:cs="Cambria Math"/>
          <w:sz w:val="24"/>
          <w:szCs w:val="24"/>
        </w:rPr>
        <w:instrText>∼</w:instrText>
      </w:r>
      <w:r w:rsidR="008F09C1">
        <w:rPr>
          <w:rFonts w:ascii="Arial" w:hAnsi="Arial" w:cs="Arial"/>
          <w:sz w:val="24"/>
          <w:szCs w:val="24"/>
        </w:rPr>
        <w:instrText xml:space="preserve">2 MPa, and the rigidity was tuned by changing the peptide concentration. The hydrogel exhibits ohmic conductivity, pressure sensitivity, and, importantly, self-healing features. By virtue of its self-healing property, the polymeric nonmetallic hydrogel can reinstate its intrinsic conductivity when two of its macroscopically separated blocks are rejoined. High cell viability of cardiomyocytes grown on the composite hydrogel demonstrates its noncytotoxicity. These combined attributes of the hydrogel allowed its utilization for dynamic range pressure sensing and as a conductive interface for electrogenic cardiac cells. The composite hydrogel supports cardiomyocyte organization into a spontaneously contracting system. The composite hydrogel thus has considerable potential for various applications.","container-title":"ACS Nano","DOI":"10.1021/acsnano.8b05067","ISSN":"1936-0851","issue":"1","journalAbbreviation":"ACS Nano","note":"publisher: American Chemical Society","page":"163-175","source":"ACS Publications","title":"A Self-Healing, All-Organic, Conducting, Composite Peptide Hydrogel as Pressure Sensor and Electrogenic Cell Soft Substrate","URL":"https://doi.org/10.1021/acsnano.8b05067","volume":"13","author":[{"family":"Chakraborty","given":"Priyadarshi"},{"family":"Guterman","given":"Tom"},{"family":"Adadi","given":"Nofar"},{"family":"Yadid","given":"Moran"},{"family":"Brosh","given":"Tamar"},{"family":"Adler-Abramovich","given":"Lihi"},{"family":"Dvir","given":"Tal"},{"family":"Gazit","given":"Ehud"}],"accessed":{"date-parts":[["2022",9,23]]},"issued":{"date-parts":[["2019",1,22]]},"citation-key":"chakraborty_self-healing_2019"}}],"schema":"https://github.com/citation-style-language/schema/raw/master/csl-citation.json"} </w:instrText>
      </w:r>
      <w:r w:rsidR="006D2782" w:rsidRPr="0084736C">
        <w:rPr>
          <w:rFonts w:ascii="Arial" w:hAnsi="Arial" w:cs="Arial"/>
          <w:sz w:val="24"/>
          <w:szCs w:val="24"/>
        </w:rPr>
        <w:fldChar w:fldCharType="separate"/>
      </w:r>
      <w:r w:rsidR="008F09C1" w:rsidRPr="008F09C1">
        <w:rPr>
          <w:rFonts w:ascii="Arial" w:hAnsi="Arial" w:cs="Arial"/>
          <w:sz w:val="24"/>
          <w:vertAlign w:val="superscript"/>
        </w:rPr>
        <w:t>52</w:t>
      </w:r>
      <w:r w:rsidR="006D2782" w:rsidRPr="0084736C">
        <w:rPr>
          <w:rFonts w:ascii="Arial" w:hAnsi="Arial" w:cs="Arial"/>
          <w:sz w:val="24"/>
          <w:szCs w:val="24"/>
        </w:rPr>
        <w:fldChar w:fldCharType="end"/>
      </w:r>
      <w:r w:rsidR="006D2782" w:rsidRPr="0084736C">
        <w:rPr>
          <w:rFonts w:ascii="Arial" w:hAnsi="Arial" w:cs="Arial"/>
          <w:sz w:val="24"/>
          <w:szCs w:val="24"/>
        </w:rPr>
        <w:t xml:space="preserve"> It was found that Fmoc-FF-PAni composite hydrogels were mechanically strong, conductive and show</w:t>
      </w:r>
      <w:r w:rsidR="00A76B94">
        <w:rPr>
          <w:rFonts w:ascii="Arial" w:hAnsi="Arial" w:cs="Arial"/>
          <w:sz w:val="24"/>
          <w:szCs w:val="24"/>
        </w:rPr>
        <w:t>ed</w:t>
      </w:r>
      <w:r w:rsidR="006D2782" w:rsidRPr="0084736C">
        <w:rPr>
          <w:rFonts w:ascii="Arial" w:hAnsi="Arial" w:cs="Arial"/>
          <w:sz w:val="24"/>
          <w:szCs w:val="24"/>
        </w:rPr>
        <w:t xml:space="preserve"> self-healing </w:t>
      </w:r>
      <w:r w:rsidR="00B8278E" w:rsidRPr="0084736C">
        <w:rPr>
          <w:rFonts w:ascii="Arial" w:hAnsi="Arial" w:cs="Arial"/>
          <w:sz w:val="24"/>
          <w:szCs w:val="24"/>
        </w:rPr>
        <w:t>properties</w:t>
      </w:r>
      <w:r w:rsidR="006D2782" w:rsidRPr="0084736C">
        <w:rPr>
          <w:rFonts w:ascii="Arial" w:hAnsi="Arial" w:cs="Arial"/>
          <w:sz w:val="24"/>
          <w:szCs w:val="24"/>
        </w:rPr>
        <w:t xml:space="preserve">. Also, they support cardiac cell growth </w:t>
      </w:r>
      <w:r w:rsidR="00B8278E" w:rsidRPr="0084736C">
        <w:rPr>
          <w:rFonts w:ascii="Arial" w:hAnsi="Arial" w:cs="Arial"/>
          <w:sz w:val="24"/>
          <w:szCs w:val="24"/>
        </w:rPr>
        <w:t xml:space="preserve">with </w:t>
      </w:r>
      <w:r w:rsidR="006D2782" w:rsidRPr="0084736C">
        <w:rPr>
          <w:rFonts w:ascii="Arial" w:hAnsi="Arial" w:cs="Arial"/>
          <w:sz w:val="24"/>
          <w:szCs w:val="24"/>
        </w:rPr>
        <w:t>self-healing properties</w:t>
      </w:r>
      <w:r w:rsidR="00A76B94">
        <w:rPr>
          <w:rFonts w:ascii="Arial" w:hAnsi="Arial" w:cs="Arial"/>
          <w:sz w:val="24"/>
          <w:szCs w:val="24"/>
        </w:rPr>
        <w:t xml:space="preserve">, allowing </w:t>
      </w:r>
      <w:r w:rsidR="00B8278E" w:rsidRPr="0084736C">
        <w:rPr>
          <w:rFonts w:ascii="Arial" w:hAnsi="Arial" w:cs="Arial"/>
          <w:sz w:val="24"/>
          <w:szCs w:val="24"/>
        </w:rPr>
        <w:t>cardiac cells to endure the continuous contractions of the heart</w:t>
      </w:r>
      <w:r w:rsidR="008C7C43" w:rsidRPr="0084736C">
        <w:rPr>
          <w:rFonts w:ascii="Arial" w:hAnsi="Arial" w:cs="Arial"/>
          <w:sz w:val="24"/>
          <w:szCs w:val="24"/>
        </w:rPr>
        <w:t xml:space="preserve">. Similar </w:t>
      </w:r>
      <w:r w:rsidR="00A95204" w:rsidRPr="0084736C">
        <w:rPr>
          <w:rFonts w:ascii="Arial" w:hAnsi="Arial" w:cs="Arial"/>
          <w:sz w:val="24"/>
          <w:szCs w:val="24"/>
        </w:rPr>
        <w:t>design approach</w:t>
      </w:r>
      <w:r w:rsidR="00A76B94">
        <w:rPr>
          <w:rFonts w:ascii="Arial" w:hAnsi="Arial" w:cs="Arial"/>
          <w:sz w:val="24"/>
          <w:szCs w:val="24"/>
        </w:rPr>
        <w:t>es</w:t>
      </w:r>
      <w:r w:rsidR="00A95204" w:rsidRPr="0084736C">
        <w:rPr>
          <w:rFonts w:ascii="Arial" w:hAnsi="Arial" w:cs="Arial"/>
          <w:sz w:val="24"/>
          <w:szCs w:val="24"/>
        </w:rPr>
        <w:t xml:space="preserve"> </w:t>
      </w:r>
      <w:r w:rsidR="008C7C43" w:rsidRPr="0084736C">
        <w:rPr>
          <w:rFonts w:ascii="Arial" w:hAnsi="Arial" w:cs="Arial"/>
          <w:sz w:val="24"/>
          <w:szCs w:val="24"/>
        </w:rPr>
        <w:t>were conducted by using Fmoc-RGD with Fmoc-FF-PAni to enhance the application areas such as for DNA binding for rapid and effective detection of pathogens</w:t>
      </w:r>
      <w:r w:rsidR="00C95711" w:rsidRPr="0084736C">
        <w:rPr>
          <w:rFonts w:ascii="Arial" w:hAnsi="Arial" w:cs="Arial"/>
          <w:sz w:val="24"/>
          <w:szCs w:val="24"/>
        </w:rPr>
        <w:t>.</w:t>
      </w:r>
      <w:r w:rsidR="00C95711"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{"citationID":"a8oaim7s8l","properties":{"formattedCitation":"\\super 53\\nosupersub{}","plainCitation":"53","noteIndex":0},"citationItems":[{"id":12210,"uris":["http://zotero.org/groups/2667333/items/UN3YS4XE"],"itemData":{"id":12210,"type":"article-journal","abstract":"Owing to their dynamic nature and ordered architecture, supramolecular materials strikingly resemble organic components of living systems. Although short-peptide self-assembled nanostructured hydrogels are regarded as intriguing supramolecular materials for biotechnology, their application is often limited due to their low stability and considerable challenge of combining other desirable properties. Herein, a di-Fmoc-based hydrogelator containing the cell-adhesive Arg–Gly–Asp (RGD) fragment that forms a mechanically stable, self-healing hydrogel is designed. Molecular dynamics simulation reveals the presence of RGD segments on the surface of the hydrogel fibers, highlighting their cell adherence capacity. Aiming to impart conductivity, the 3D network of the hydrogel is further nanoengineered by incorporating polyaniline (PAni). The composite hydrogels demonstrate semiconductivity, excellent antibacterial activity, and DNA binding capacity. Cardiac cells grown on the surface of the composite hydrogels form functional synchronized monolayers. Taken together, the combination of these attributes in a single hydrogel suggests it as an exceptional candidate for functional supramolecular biomaterial designed for electrogenic tissue engineering.","container-title":"Advanced Materials","DOI":"10.1002/adma.202008715","ISSN":"1521-4095","issue":"26","language":"en","note":"_eprint: https://onlinelibrary.wiley.com/doi/pdf/10.1002/adma.202008715","page":"2008715","source":"Wiley Online Library","title":"Nanoengineered Peptide-Based Antimicrobial Conductive Supramolecular Biomaterial for Cardiac Tissue Engineering","URL":"https://onlinelibrary.wiley.com/doi/abs/10.1002/adma.202008715","volume":"33","author":[{"family":"Chakraborty","given":"Priyadarshi"},{"family":"Oved","given":"Hadas"},{"family":"Bychenko","given":"Darya"},{"family":"Yao","given":"Yifei"},{"family":"Tang","given":"Yiming"},{"family":"Zilberzwige-Tal","given":"Shai"},{"family":"Wei","given":"Guanghong"},{"family":"Dvir","given":"Tal"},{"family":"Gazit","given":"Ehud"}],"accessed":{"date-parts":[["2022",9,2]]},"issued":{"date-parts":[["2021"]]},"citation-key":"chakraborty_nanoengineered_2021"}}],"schema":"https://github.com/citation-style-language/schema/raw/master/csl-citation.json"} </w:instrText>
      </w:r>
      <w:r w:rsidR="00C95711" w:rsidRPr="0084736C">
        <w:rPr>
          <w:rFonts w:ascii="Arial" w:hAnsi="Arial" w:cs="Arial"/>
          <w:sz w:val="24"/>
          <w:szCs w:val="24"/>
        </w:rPr>
        <w:fldChar w:fldCharType="separate"/>
      </w:r>
      <w:r w:rsidR="008F09C1" w:rsidRPr="008F09C1">
        <w:rPr>
          <w:rFonts w:ascii="Arial" w:hAnsi="Arial" w:cs="Arial"/>
          <w:sz w:val="24"/>
          <w:vertAlign w:val="superscript"/>
        </w:rPr>
        <w:t>53</w:t>
      </w:r>
      <w:r w:rsidR="00C95711" w:rsidRPr="0084736C">
        <w:rPr>
          <w:rFonts w:ascii="Arial" w:hAnsi="Arial" w:cs="Arial"/>
          <w:sz w:val="24"/>
          <w:szCs w:val="24"/>
        </w:rPr>
        <w:fldChar w:fldCharType="end"/>
      </w:r>
      <w:r w:rsidR="00C95711" w:rsidRPr="0084736C">
        <w:rPr>
          <w:rFonts w:ascii="Arial" w:hAnsi="Arial" w:cs="Arial"/>
          <w:sz w:val="24"/>
          <w:szCs w:val="24"/>
        </w:rPr>
        <w:t xml:space="preserve"> </w:t>
      </w:r>
      <w:r w:rsidR="00A95204" w:rsidRPr="0084736C">
        <w:rPr>
          <w:rFonts w:ascii="Arial" w:hAnsi="Arial" w:cs="Arial"/>
          <w:sz w:val="24"/>
          <w:szCs w:val="24"/>
        </w:rPr>
        <w:t>FF motif was also used by modifying with additional cationic peptides (</w:t>
      </w:r>
      <w:r w:rsidR="0015133B">
        <w:rPr>
          <w:rFonts w:ascii="Arial" w:hAnsi="Arial" w:cs="Arial"/>
          <w:sz w:val="24"/>
          <w:szCs w:val="24"/>
        </w:rPr>
        <w:t xml:space="preserve">R </w:t>
      </w:r>
      <w:r w:rsidR="00A95204" w:rsidRPr="0084736C">
        <w:rPr>
          <w:rFonts w:ascii="Arial" w:hAnsi="Arial" w:cs="Arial"/>
          <w:sz w:val="24"/>
          <w:szCs w:val="24"/>
        </w:rPr>
        <w:t xml:space="preserve">and </w:t>
      </w:r>
      <w:r w:rsidR="0015133B">
        <w:rPr>
          <w:rFonts w:ascii="Arial" w:hAnsi="Arial" w:cs="Arial"/>
          <w:sz w:val="24"/>
          <w:szCs w:val="24"/>
        </w:rPr>
        <w:t>K</w:t>
      </w:r>
      <w:r w:rsidR="00A95204" w:rsidRPr="0084736C">
        <w:rPr>
          <w:rFonts w:ascii="Arial" w:hAnsi="Arial" w:cs="Arial"/>
          <w:sz w:val="24"/>
          <w:szCs w:val="24"/>
        </w:rPr>
        <w:t xml:space="preserve">) to evaluate membrane-interacting </w:t>
      </w:r>
      <w:r w:rsidR="00CF282B" w:rsidRPr="0084736C">
        <w:rPr>
          <w:rFonts w:ascii="Arial" w:hAnsi="Arial" w:cs="Arial"/>
          <w:sz w:val="24"/>
          <w:szCs w:val="24"/>
        </w:rPr>
        <w:t xml:space="preserve">and delivery </w:t>
      </w:r>
      <w:r w:rsidR="00A95204" w:rsidRPr="0084736C">
        <w:rPr>
          <w:rFonts w:ascii="Arial" w:hAnsi="Arial" w:cs="Arial"/>
          <w:sz w:val="24"/>
          <w:szCs w:val="24"/>
        </w:rPr>
        <w:t>capability.</w:t>
      </w:r>
      <w:r w:rsidR="00A95204"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{"citationID":"a1pa915m9d0","properties":{"formattedCitation":"\\super 54\\nosupersub{}","plainCitation":"54","noteIndex":0},"citationItems":[{"id":12752,"uris":["http://zotero.org/groups/2667333/items/KIZ76ZAJ"],"itemData":{"id":12752,"type":"article-journal","abstract":"The skin is a key site for drug administration because of its large surface area and noninvasive accessibility. However, the dermal architecture serves as an excellent barrier, protecting from external mechanical, chemical, microbial, and physical perturbations. Most drugs display poor permeability through this barrier, thus making dermal and subdermal delivery challenging. Cell-penetrating peptides (CPPs), a diverse group of relatively short cationic and amphipathic membrane-interacting peptides, are fast becoming an important class of drug carriers and could potentially be developed for the dermal delivery of active molecules. However, the mechanism of CPP transdermal delivery is not fully understood, and there is a genuine need for a minimal model to understand this important phenomenon. Here, we demonstrate the potent membrane interactions of a minimal four-amino-acid-long CPP as well as the significance of guanidinium patterning and cationic nature of this palindromic peptide on its bioactivity. Furthermore, we demonstrate the biocompatibility of this peptide as well as its rapid cellular uptake and endosomal distribution. Finally, by utilizing a porcine full-thickness skin model, we demonstrate the substantial independent dermal and sonophoresis-based transdermal penetration of this minimal model. These results provide a minimal model for CPPs which can be easily manipulated for further biophysical and biochemical evaluations as well as a potent functional CPP with excellent skin permeability, which can be utilized for a wide variety of cosmetic and medical applications.","container-title":"ACS Applied Bio Materials","DOI":"10.1021/acsabm.0c00682","issue":"12","journalAbbreviation":"ACS Appl. Bio Mater.","note":"publisher: American Chemical Society","page":"8395-8401","source":"ACS Publications","title":"Ultrashort Cell-Penetrating Peptides for Enhanced Sonophoresis-Mediated Transdermal Transport","URL":"https://doi.org/10.1021/acsabm.0c00682","volume":"3","author":[{"family":"Schnaider","given":"Lee"},{"family":"Shimonov","given":"Leah"},{"family":"Kreiser","given":"Topaz"},{"family":"Zaguri","given":"Dor"},{"family":"Bychenko","given":"Darya"},{"family":"Brickner","given":"Itzchak"},{"family":"Kolusheva","given":"Sofiya"},{"family":"Lichtenstein","given":"Alexandra"},{"family":"Kost","given":"Joseph"},{"family":"Gazit","given":"Ehud"}],"accessed":{"date-parts":[["2022",9,23]]},"issued":{"date-parts":[["2020",12,21]]},"citation-key":"schnaider_ultrashort_2020"}}],"schema":"https://github.com/citation-style-language/schema/raw/master/csl-citation.json"} </w:instrText>
      </w:r>
      <w:r w:rsidR="00A95204" w:rsidRPr="0084736C">
        <w:rPr>
          <w:rFonts w:ascii="Arial" w:hAnsi="Arial" w:cs="Arial"/>
          <w:sz w:val="24"/>
          <w:szCs w:val="24"/>
        </w:rPr>
        <w:fldChar w:fldCharType="separate"/>
      </w:r>
      <w:r w:rsidR="008F09C1" w:rsidRPr="008F09C1">
        <w:rPr>
          <w:rFonts w:ascii="Arial" w:hAnsi="Arial" w:cs="Arial"/>
          <w:sz w:val="24"/>
          <w:vertAlign w:val="superscript"/>
        </w:rPr>
        <w:t>54</w:t>
      </w:r>
      <w:r w:rsidR="00A95204" w:rsidRPr="0084736C">
        <w:rPr>
          <w:rFonts w:ascii="Arial" w:hAnsi="Arial" w:cs="Arial"/>
          <w:sz w:val="24"/>
          <w:szCs w:val="24"/>
        </w:rPr>
        <w:fldChar w:fldCharType="end"/>
      </w:r>
      <w:r w:rsidR="00A95204" w:rsidRPr="0084736C">
        <w:rPr>
          <w:rFonts w:ascii="Arial" w:hAnsi="Arial" w:cs="Arial"/>
          <w:sz w:val="24"/>
          <w:szCs w:val="24"/>
        </w:rPr>
        <w:t xml:space="preserve"> </w:t>
      </w:r>
      <w:r w:rsidR="00CF282B" w:rsidRPr="0084736C">
        <w:rPr>
          <w:rFonts w:ascii="Arial" w:hAnsi="Arial" w:cs="Arial"/>
          <w:sz w:val="24"/>
          <w:szCs w:val="24"/>
        </w:rPr>
        <w:t>The penetrating ability was performed with a model fluorophore carboxytetramethyrhodamine (TAMRA)</w:t>
      </w:r>
      <w:r w:rsidR="00ED6802" w:rsidRPr="0084736C">
        <w:rPr>
          <w:rFonts w:ascii="Arial" w:hAnsi="Arial" w:cs="Arial"/>
          <w:sz w:val="24"/>
          <w:szCs w:val="24"/>
        </w:rPr>
        <w:t xml:space="preserve">. </w:t>
      </w:r>
      <w:r w:rsidR="002A0867">
        <w:rPr>
          <w:rFonts w:ascii="Arial" w:hAnsi="Arial" w:cs="Arial"/>
          <w:sz w:val="24"/>
          <w:szCs w:val="24"/>
        </w:rPr>
        <w:t xml:space="preserve">R </w:t>
      </w:r>
      <w:r w:rsidR="00CF282B" w:rsidRPr="0084736C">
        <w:rPr>
          <w:rFonts w:ascii="Arial" w:hAnsi="Arial" w:cs="Arial"/>
          <w:sz w:val="24"/>
          <w:szCs w:val="24"/>
        </w:rPr>
        <w:t>contained FF motif</w:t>
      </w:r>
      <w:r w:rsidR="00ED6802" w:rsidRPr="0084736C">
        <w:rPr>
          <w:rFonts w:ascii="Arial" w:hAnsi="Arial" w:cs="Arial"/>
          <w:sz w:val="24"/>
          <w:szCs w:val="24"/>
        </w:rPr>
        <w:t xml:space="preserve"> (RFFR)</w:t>
      </w:r>
      <w:r w:rsidR="00CF282B" w:rsidRPr="0084736C">
        <w:rPr>
          <w:rFonts w:ascii="Arial" w:hAnsi="Arial" w:cs="Arial"/>
          <w:sz w:val="24"/>
          <w:szCs w:val="24"/>
        </w:rPr>
        <w:t xml:space="preserve"> </w:t>
      </w:r>
      <w:r w:rsidR="000D4FDD" w:rsidRPr="0084736C">
        <w:rPr>
          <w:rFonts w:ascii="Arial" w:hAnsi="Arial" w:cs="Arial"/>
          <w:sz w:val="24"/>
          <w:szCs w:val="24"/>
        </w:rPr>
        <w:t>penetrated</w:t>
      </w:r>
      <w:r w:rsidR="00CF282B" w:rsidRPr="0084736C">
        <w:rPr>
          <w:rFonts w:ascii="Arial" w:hAnsi="Arial" w:cs="Arial"/>
          <w:sz w:val="24"/>
          <w:szCs w:val="24"/>
        </w:rPr>
        <w:t xml:space="preserve"> porcine skin</w:t>
      </w:r>
      <w:r w:rsidR="00ED6802" w:rsidRPr="0084736C">
        <w:rPr>
          <w:rFonts w:ascii="Arial" w:hAnsi="Arial" w:cs="Arial"/>
          <w:sz w:val="24"/>
          <w:szCs w:val="24"/>
        </w:rPr>
        <w:t xml:space="preserve"> and showed a potential transdermal penetration of small molecule drugs with RFFR peptide. </w:t>
      </w:r>
    </w:p>
    <w:p w14:paraId="796289D7" w14:textId="43CFE36C" w:rsidR="00856E9E" w:rsidRPr="0084736C" w:rsidRDefault="00ED6802" w:rsidP="00856E9E">
      <w:pPr>
        <w:spacing w:line="480" w:lineRule="auto"/>
        <w:rPr>
          <w:rFonts w:cstheme="minorHAnsi"/>
          <w:sz w:val="24"/>
          <w:szCs w:val="24"/>
        </w:rPr>
      </w:pPr>
      <w:r w:rsidRPr="0084736C">
        <w:rPr>
          <w:rFonts w:ascii="Arial" w:hAnsi="Arial" w:cs="Arial"/>
          <w:sz w:val="24"/>
          <w:szCs w:val="24"/>
        </w:rPr>
        <w:t>Overall, FF</w:t>
      </w:r>
      <w:r w:rsidR="00A76B94">
        <w:rPr>
          <w:rFonts w:ascii="Arial" w:hAnsi="Arial" w:cs="Arial"/>
          <w:sz w:val="24"/>
          <w:szCs w:val="24"/>
        </w:rPr>
        <w:t>-</w:t>
      </w:r>
      <w:r w:rsidRPr="0084736C">
        <w:rPr>
          <w:rFonts w:ascii="Arial" w:hAnsi="Arial" w:cs="Arial"/>
          <w:sz w:val="24"/>
          <w:szCs w:val="24"/>
        </w:rPr>
        <w:t xml:space="preserve">based designs </w:t>
      </w:r>
      <w:r w:rsidR="00EF371F" w:rsidRPr="0084736C">
        <w:rPr>
          <w:rFonts w:ascii="Arial" w:hAnsi="Arial" w:cs="Arial"/>
          <w:sz w:val="24"/>
          <w:szCs w:val="24"/>
        </w:rPr>
        <w:t>were used in</w:t>
      </w:r>
      <w:r w:rsidRPr="0084736C">
        <w:rPr>
          <w:rFonts w:ascii="Arial" w:hAnsi="Arial" w:cs="Arial"/>
          <w:sz w:val="24"/>
          <w:szCs w:val="24"/>
        </w:rPr>
        <w:t xml:space="preserve"> different biomedical applications including tissue engineering and drug delivery. </w:t>
      </w:r>
      <w:r w:rsidR="000D4FDD" w:rsidRPr="0084736C">
        <w:rPr>
          <w:rFonts w:ascii="Arial" w:hAnsi="Arial" w:cs="Arial"/>
          <w:sz w:val="24"/>
          <w:szCs w:val="24"/>
        </w:rPr>
        <w:t>However, FF</w:t>
      </w:r>
      <w:r w:rsidR="00A76B94">
        <w:rPr>
          <w:rFonts w:ascii="Arial" w:hAnsi="Arial" w:cs="Arial"/>
          <w:sz w:val="24"/>
          <w:szCs w:val="24"/>
        </w:rPr>
        <w:t xml:space="preserve"> </w:t>
      </w:r>
      <w:r w:rsidR="000D4FDD" w:rsidRPr="0084736C">
        <w:rPr>
          <w:rFonts w:ascii="Arial" w:hAnsi="Arial" w:cs="Arial"/>
          <w:sz w:val="24"/>
          <w:szCs w:val="24"/>
        </w:rPr>
        <w:t>designs based on hydrogel applications ha</w:t>
      </w:r>
      <w:r w:rsidR="00A76B94">
        <w:rPr>
          <w:rFonts w:ascii="Arial" w:hAnsi="Arial" w:cs="Arial"/>
          <w:sz w:val="24"/>
          <w:szCs w:val="24"/>
        </w:rPr>
        <w:t>ve</w:t>
      </w:r>
      <w:r w:rsidR="000D4FDD" w:rsidRPr="0084736C">
        <w:rPr>
          <w:rFonts w:ascii="Arial" w:hAnsi="Arial" w:cs="Arial"/>
          <w:sz w:val="24"/>
          <w:szCs w:val="24"/>
        </w:rPr>
        <w:t xml:space="preserve"> some limitations. First, since </w:t>
      </w:r>
      <w:r w:rsidR="00F210FA" w:rsidRPr="0084736C">
        <w:rPr>
          <w:rFonts w:ascii="Arial" w:hAnsi="Arial" w:cs="Arial"/>
          <w:sz w:val="24"/>
          <w:szCs w:val="24"/>
        </w:rPr>
        <w:t xml:space="preserve">the main </w:t>
      </w:r>
      <w:r w:rsidR="00A74AA7" w:rsidRPr="0084736C">
        <w:rPr>
          <w:rFonts w:ascii="Arial" w:hAnsi="Arial" w:cs="Arial"/>
          <w:sz w:val="24"/>
          <w:szCs w:val="24"/>
        </w:rPr>
        <w:t>intermolecular</w:t>
      </w:r>
      <w:r w:rsidR="001B2BC8" w:rsidRPr="0084736C">
        <w:rPr>
          <w:rFonts w:ascii="Arial" w:hAnsi="Arial" w:cs="Arial"/>
          <w:sz w:val="24"/>
          <w:szCs w:val="24"/>
        </w:rPr>
        <w:t xml:space="preserve"> interaction driving the assembly is </w:t>
      </w:r>
      <w:r w:rsidR="001B2BC8" w:rsidRPr="0084736C">
        <w:rPr>
          <w:rFonts w:ascii="Symbol" w:hAnsi="Symbol" w:cs="Arial"/>
          <w:sz w:val="24"/>
          <w:szCs w:val="24"/>
        </w:rPr>
        <w:t xml:space="preserve">p-p </w:t>
      </w:r>
      <w:r w:rsidR="001B2BC8" w:rsidRPr="0084736C">
        <w:rPr>
          <w:rFonts w:cstheme="minorHAnsi"/>
          <w:sz w:val="24"/>
          <w:szCs w:val="24"/>
        </w:rPr>
        <w:t>stacking</w:t>
      </w:r>
      <w:r w:rsidR="000D4FDD" w:rsidRPr="0084736C">
        <w:rPr>
          <w:rFonts w:cstheme="minorHAnsi"/>
          <w:sz w:val="24"/>
          <w:szCs w:val="24"/>
        </w:rPr>
        <w:t xml:space="preserve"> between </w:t>
      </w:r>
      <w:r w:rsidR="00A76B94">
        <w:rPr>
          <w:rFonts w:cstheme="minorHAnsi"/>
          <w:sz w:val="24"/>
          <w:szCs w:val="24"/>
        </w:rPr>
        <w:t xml:space="preserve">the </w:t>
      </w:r>
      <w:r w:rsidR="000D4FDD" w:rsidRPr="0084736C">
        <w:rPr>
          <w:rFonts w:cstheme="minorHAnsi"/>
          <w:sz w:val="24"/>
          <w:szCs w:val="24"/>
        </w:rPr>
        <w:t>FF motif</w:t>
      </w:r>
      <w:r w:rsidR="00125068" w:rsidRPr="0084736C">
        <w:rPr>
          <w:rFonts w:cstheme="minorHAnsi"/>
          <w:sz w:val="24"/>
          <w:szCs w:val="24"/>
        </w:rPr>
        <w:t xml:space="preserve">, </w:t>
      </w:r>
      <w:r w:rsidR="000D4FDD" w:rsidRPr="0084736C">
        <w:rPr>
          <w:rFonts w:cstheme="minorHAnsi"/>
          <w:sz w:val="24"/>
          <w:szCs w:val="24"/>
        </w:rPr>
        <w:t xml:space="preserve">hydrogels are formed in very concentrated forms </w:t>
      </w:r>
      <w:r w:rsidR="00A76B94">
        <w:rPr>
          <w:rFonts w:cstheme="minorHAnsi"/>
          <w:sz w:val="24"/>
          <w:szCs w:val="24"/>
        </w:rPr>
        <w:t xml:space="preserve">and </w:t>
      </w:r>
      <w:r w:rsidR="00A76B94">
        <w:rPr>
          <w:rFonts w:cstheme="minorHAnsi"/>
          <w:sz w:val="24"/>
          <w:szCs w:val="24"/>
        </w:rPr>
        <w:lastRenderedPageBreak/>
        <w:t xml:space="preserve">thus, </w:t>
      </w:r>
      <w:r w:rsidR="000D4FDD" w:rsidRPr="0084736C">
        <w:rPr>
          <w:rFonts w:cstheme="minorHAnsi"/>
          <w:sz w:val="24"/>
          <w:szCs w:val="24"/>
        </w:rPr>
        <w:t>additional moieties such as Fmoc group</w:t>
      </w:r>
      <w:r w:rsidR="00A76B94">
        <w:rPr>
          <w:rFonts w:cstheme="minorHAnsi"/>
          <w:sz w:val="24"/>
          <w:szCs w:val="24"/>
        </w:rPr>
        <w:t xml:space="preserve"> would be necessary</w:t>
      </w:r>
      <w:r w:rsidR="000D4FDD" w:rsidRPr="0084736C">
        <w:rPr>
          <w:rFonts w:cstheme="minorHAnsi"/>
          <w:sz w:val="24"/>
          <w:szCs w:val="24"/>
        </w:rPr>
        <w:t xml:space="preserve">. Second, </w:t>
      </w:r>
      <w:r w:rsidR="00A1419C" w:rsidRPr="0084736C">
        <w:rPr>
          <w:rFonts w:cstheme="minorHAnsi"/>
          <w:sz w:val="24"/>
          <w:szCs w:val="24"/>
        </w:rPr>
        <w:t xml:space="preserve">to prepare FF-based systems, organic solvents such as acetone or 1,1,1,3,3,3-hexafluoro-2-propanol (HFIP) are used for solubilization due to </w:t>
      </w:r>
      <w:r w:rsidR="00A76B94">
        <w:rPr>
          <w:rFonts w:cstheme="minorHAnsi"/>
          <w:sz w:val="24"/>
          <w:szCs w:val="24"/>
        </w:rPr>
        <w:t xml:space="preserve">their </w:t>
      </w:r>
      <w:r w:rsidR="00A1419C" w:rsidRPr="0084736C">
        <w:rPr>
          <w:rFonts w:cstheme="minorHAnsi"/>
          <w:sz w:val="24"/>
          <w:szCs w:val="24"/>
        </w:rPr>
        <w:t xml:space="preserve">highly hydrophobic nature. </w:t>
      </w:r>
      <w:r w:rsidR="00A76B94">
        <w:rPr>
          <w:rFonts w:cstheme="minorHAnsi"/>
          <w:sz w:val="24"/>
          <w:szCs w:val="24"/>
        </w:rPr>
        <w:t>W</w:t>
      </w:r>
      <w:r w:rsidR="00A1419C" w:rsidRPr="0084736C">
        <w:rPr>
          <w:rFonts w:cstheme="minorHAnsi"/>
          <w:sz w:val="24"/>
          <w:szCs w:val="24"/>
        </w:rPr>
        <w:t>e consider both solubility</w:t>
      </w:r>
      <w:r w:rsidR="00A74AA7" w:rsidRPr="0084736C">
        <w:rPr>
          <w:rFonts w:cstheme="minorHAnsi"/>
          <w:sz w:val="24"/>
          <w:szCs w:val="24"/>
        </w:rPr>
        <w:t xml:space="preserve"> and additional intermolecular interactions in our design</w:t>
      </w:r>
      <w:r w:rsidR="00A76B94" w:rsidRPr="00A76B94">
        <w:rPr>
          <w:rFonts w:cstheme="minorHAnsi"/>
          <w:sz w:val="24"/>
          <w:szCs w:val="24"/>
        </w:rPr>
        <w:t xml:space="preserve"> </w:t>
      </w:r>
      <w:r w:rsidR="00A76B94">
        <w:rPr>
          <w:rFonts w:cstheme="minorHAnsi"/>
          <w:sz w:val="24"/>
          <w:szCs w:val="24"/>
        </w:rPr>
        <w:t>t</w:t>
      </w:r>
      <w:r w:rsidR="00A76B94" w:rsidRPr="0084736C">
        <w:rPr>
          <w:rFonts w:cstheme="minorHAnsi"/>
          <w:sz w:val="24"/>
          <w:szCs w:val="24"/>
        </w:rPr>
        <w:t>o overcome these limitations</w:t>
      </w:r>
      <w:r w:rsidR="00A74AA7" w:rsidRPr="0084736C">
        <w:rPr>
          <w:rFonts w:cstheme="minorHAnsi"/>
          <w:sz w:val="24"/>
          <w:szCs w:val="24"/>
        </w:rPr>
        <w:t>. Furthermore, a</w:t>
      </w:r>
      <w:r w:rsidR="007446C9" w:rsidRPr="0084736C">
        <w:rPr>
          <w:rFonts w:cstheme="minorHAnsi"/>
          <w:sz w:val="24"/>
          <w:szCs w:val="24"/>
        </w:rPr>
        <w:t>lthough general trends can be observed with respect to the</w:t>
      </w:r>
      <w:r w:rsidR="00A74AA7" w:rsidRPr="0084736C">
        <w:rPr>
          <w:rFonts w:cstheme="minorHAnsi"/>
          <w:sz w:val="24"/>
          <w:szCs w:val="24"/>
        </w:rPr>
        <w:t xml:space="preserve"> </w:t>
      </w:r>
      <w:r w:rsidR="007446C9" w:rsidRPr="0084736C">
        <w:rPr>
          <w:rFonts w:cstheme="minorHAnsi"/>
          <w:sz w:val="24"/>
          <w:szCs w:val="24"/>
        </w:rPr>
        <w:t>hydrophobicity/aromaticity associated with the peptide</w:t>
      </w:r>
      <w:r w:rsidR="00A74AA7" w:rsidRPr="0084736C">
        <w:rPr>
          <w:rFonts w:cstheme="minorHAnsi"/>
          <w:sz w:val="24"/>
          <w:szCs w:val="24"/>
        </w:rPr>
        <w:t xml:space="preserve"> </w:t>
      </w:r>
      <w:r w:rsidR="007446C9" w:rsidRPr="0084736C">
        <w:rPr>
          <w:rFonts w:cstheme="minorHAnsi"/>
          <w:sz w:val="24"/>
          <w:szCs w:val="24"/>
        </w:rPr>
        <w:t>sequence and the corresponding physical properties of the</w:t>
      </w:r>
      <w:r w:rsidR="00A74AA7" w:rsidRPr="0084736C">
        <w:rPr>
          <w:rFonts w:cstheme="minorHAnsi"/>
          <w:sz w:val="24"/>
          <w:szCs w:val="24"/>
        </w:rPr>
        <w:t xml:space="preserve"> </w:t>
      </w:r>
      <w:r w:rsidR="007446C9" w:rsidRPr="0084736C">
        <w:rPr>
          <w:rFonts w:cstheme="minorHAnsi"/>
          <w:sz w:val="24"/>
          <w:szCs w:val="24"/>
        </w:rPr>
        <w:t>resultant systems; it is currently not possible to predict</w:t>
      </w:r>
      <w:r w:rsidR="00A74AA7" w:rsidRPr="0084736C">
        <w:rPr>
          <w:rFonts w:cstheme="minorHAnsi"/>
          <w:sz w:val="24"/>
          <w:szCs w:val="24"/>
        </w:rPr>
        <w:t xml:space="preserve"> </w:t>
      </w:r>
      <w:r w:rsidR="007446C9" w:rsidRPr="0084736C">
        <w:rPr>
          <w:rFonts w:cstheme="minorHAnsi"/>
          <w:sz w:val="24"/>
          <w:szCs w:val="24"/>
        </w:rPr>
        <w:t xml:space="preserve">whether a given molecule will form a </w:t>
      </w:r>
      <w:r w:rsidR="00A74AA7" w:rsidRPr="0084736C">
        <w:rPr>
          <w:rFonts w:cstheme="minorHAnsi"/>
          <w:sz w:val="24"/>
          <w:szCs w:val="24"/>
        </w:rPr>
        <w:t>secondary structure or not</w:t>
      </w:r>
      <w:r w:rsidR="00C24C36">
        <w:rPr>
          <w:rFonts w:cstheme="minorHAnsi"/>
          <w:sz w:val="24"/>
          <w:szCs w:val="24"/>
        </w:rPr>
        <w:t xml:space="preserve"> reliably</w:t>
      </w:r>
      <w:r w:rsidR="00A74AA7" w:rsidRPr="0084736C">
        <w:rPr>
          <w:rFonts w:cstheme="minorHAnsi"/>
          <w:sz w:val="24"/>
          <w:szCs w:val="24"/>
        </w:rPr>
        <w:t xml:space="preserve">. </w:t>
      </w:r>
    </w:p>
    <w:p w14:paraId="544EFFEE" w14:textId="6E21845C" w:rsidR="00856E9E" w:rsidRPr="00DA4362" w:rsidRDefault="00856E9E">
      <w:pPr>
        <w:pStyle w:val="Heading5"/>
        <w:numPr>
          <w:ilvl w:val="4"/>
          <w:numId w:val="3"/>
        </w:numPr>
        <w:rPr>
          <w:color w:val="000000" w:themeColor="text1"/>
        </w:rPr>
      </w:pPr>
      <w:bookmarkStart w:id="26" w:name="_Toc121134617"/>
      <w:r w:rsidRPr="00DA4362">
        <w:rPr>
          <w:color w:val="000000" w:themeColor="text1"/>
        </w:rPr>
        <w:t xml:space="preserve">The </w:t>
      </w:r>
      <w:r w:rsidR="00DA4362" w:rsidRPr="00DA4362">
        <w:rPr>
          <w:color w:val="000000" w:themeColor="text1"/>
        </w:rPr>
        <w:t>R</w:t>
      </w:r>
      <w:r w:rsidRPr="00DA4362">
        <w:rPr>
          <w:color w:val="000000" w:themeColor="text1"/>
        </w:rPr>
        <w:t>elationship</w:t>
      </w:r>
      <w:r w:rsidR="00C24C36" w:rsidRPr="00DA4362">
        <w:rPr>
          <w:color w:val="000000" w:themeColor="text1"/>
        </w:rPr>
        <w:t xml:space="preserve"> between</w:t>
      </w:r>
      <w:r w:rsidRPr="00DA4362">
        <w:rPr>
          <w:color w:val="000000" w:themeColor="text1"/>
        </w:rPr>
        <w:t xml:space="preserve"> </w:t>
      </w:r>
      <w:r w:rsidR="00DA4362" w:rsidRPr="00DA4362">
        <w:rPr>
          <w:color w:val="000000" w:themeColor="text1"/>
        </w:rPr>
        <w:t>A</w:t>
      </w:r>
      <w:r w:rsidRPr="00DA4362">
        <w:rPr>
          <w:color w:val="000000" w:themeColor="text1"/>
        </w:rPr>
        <w:t xml:space="preserve">ggregation and </w:t>
      </w:r>
      <w:r w:rsidR="00DA4362" w:rsidRPr="00DA4362">
        <w:rPr>
          <w:color w:val="000000" w:themeColor="text1"/>
        </w:rPr>
        <w:t>T</w:t>
      </w:r>
      <w:r w:rsidRPr="00DA4362">
        <w:rPr>
          <w:color w:val="000000" w:themeColor="text1"/>
        </w:rPr>
        <w:t>oxicity</w:t>
      </w:r>
      <w:bookmarkEnd w:id="26"/>
    </w:p>
    <w:p w14:paraId="16DFA9D9" w14:textId="77777777" w:rsidR="00DA4362" w:rsidRPr="00DA4362" w:rsidRDefault="00DA4362" w:rsidP="00DA4362"/>
    <w:p w14:paraId="75BD2CFE" w14:textId="4557AB37" w:rsidR="00856E9E" w:rsidRPr="0084736C" w:rsidRDefault="00856E9E" w:rsidP="00856E9E">
      <w:pPr>
        <w:spacing w:line="480" w:lineRule="auto"/>
        <w:rPr>
          <w:rFonts w:ascii="Arial" w:eastAsia="Times New Roman" w:hAnsi="Arial" w:cs="Arial"/>
          <w:sz w:val="24"/>
          <w:szCs w:val="24"/>
        </w:rPr>
      </w:pPr>
      <w:r w:rsidRPr="0084736C">
        <w:rPr>
          <w:rFonts w:ascii="Arial" w:hAnsi="Arial" w:cs="Arial"/>
          <w:sz w:val="24"/>
          <w:szCs w:val="24"/>
        </w:rPr>
        <w:t xml:space="preserve">The factors related </w:t>
      </w:r>
      <w:r w:rsidR="00C24C36">
        <w:rPr>
          <w:rFonts w:ascii="Arial" w:hAnsi="Arial" w:cs="Arial"/>
          <w:sz w:val="24"/>
          <w:szCs w:val="24"/>
        </w:rPr>
        <w:t>to</w:t>
      </w:r>
      <w:r w:rsidRPr="0084736C">
        <w:rPr>
          <w:rFonts w:ascii="Arial" w:hAnsi="Arial" w:cs="Arial"/>
          <w:sz w:val="24"/>
          <w:szCs w:val="24"/>
        </w:rPr>
        <w:t xml:space="preserve"> the mechanism of toxicity, the structure of amyloid fibrils and intermediate species are still open questions regarding amyloid fibril formation.</w:t>
      </w:r>
      <w:r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{"citationID":"BnDhStSd","properties":{"formattedCitation":"\\super 55\\nosupersub{}","plainCitation":"55","noteIndex":0},"citationItems":[{"id":12289,"uris":["http://zotero.org/groups/2667333/items/K3XH2H5T"],"itemData":{"id":12289,"type":"article-journal","abstract":"Fibrillar protein aggregation is a hallmark of a variety of human diseases. Examples include the deposition of amyloid-β and tau in Alzheimer's disease, and that of α-synuclein in Parkinson's disease. The molecular mechanisms by which soluble proteins form amyloid fibrils have been extensively studied in the test tube. These investigations have revealed the microscopic steps underlying amyloid formation, and the role of factors such as chaperones that modulate these processes. This perspective explores the question to what extent the mechanisms of amyloid formation elucidated in vitro apply to human disease. The answer is not yet clear, and may differ depending on the protein and the associated disease. Nevertheless, there are striking qualitative similarities between the aggregation behaviour of proteins in vitro and the development of the related diseases. Limited quantitative data obtained in model organisms such as Caenorhabditis elegans support the notion that aggregation mechanisms in vivo can be interpreted using the same biophysical principles established in vitro. These results may however be biased by the high overexpression levels typically used in animal models of protein aggregation diseases. Molecular chaperones have been found to suppress protein aggregation in animal models, but their mechanisms of action have not yet been quantitatively analysed. Several mechanisms are proposed by which the decline of protein quality control with organismal age, but also the intrinsic nature of the aggregation process may contribute to the kinetics of protein aggregation observed in human disease.","container-title":"Chemical Science","DOI":"10.1039/D2SC01278B","ISSN":"2041-6539","issue":"24","journalAbbreviation":"Chem. Sci.","language":"en","note":"publisher: The Royal Society of Chemistry","page":"7080-7097","source":"pubs.rsc.org","title":"Molecular mechanisms of amyloid formation in living systems","URL":"https://pubs.rsc.org/en/content/articlelanding/2022/sc/d2sc01278b","volume":"13","author":[{"family":"Sinnige","given":"Tessa"}],"accessed":{"date-parts":[["2022",9,8]]},"issued":{"date-parts":[["2022",6,22]]},"citation-key":"sinnige_molecular_2022"}}],"schema":"https://github.com/citation-style-language/schema/raw/master/csl-citation.json"} </w:instrText>
      </w:r>
      <w:r w:rsidRPr="0084736C">
        <w:rPr>
          <w:rFonts w:ascii="Arial" w:hAnsi="Arial" w:cs="Arial"/>
          <w:sz w:val="24"/>
          <w:szCs w:val="24"/>
        </w:rPr>
        <w:fldChar w:fldCharType="separate"/>
      </w:r>
      <w:r w:rsidR="008F09C1" w:rsidRPr="008F09C1">
        <w:rPr>
          <w:rFonts w:ascii="Arial" w:hAnsi="Arial" w:cs="Arial"/>
          <w:sz w:val="24"/>
          <w:vertAlign w:val="superscript"/>
        </w:rPr>
        <w:t>55</w:t>
      </w:r>
      <w:r w:rsidRPr="0084736C">
        <w:rPr>
          <w:rFonts w:ascii="Arial" w:hAnsi="Arial" w:cs="Arial"/>
          <w:sz w:val="24"/>
          <w:szCs w:val="24"/>
        </w:rPr>
        <w:fldChar w:fldCharType="end"/>
      </w:r>
      <w:r w:rsidRPr="0084736C">
        <w:rPr>
          <w:rFonts w:ascii="Arial" w:hAnsi="Arial" w:cs="Arial"/>
          <w:sz w:val="24"/>
          <w:szCs w:val="24"/>
        </w:rPr>
        <w:t xml:space="preserve"> During the series of processes that transform monomers into mature fibrils, several important intermediates, including soluble oligomers and protofilaments, are populated.</w:t>
      </w:r>
      <w:r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{"citationID":"Z5kJfATe","properties":{"formattedCitation":"\\super 56\\nosupersub{}","plainCitation":"56","noteIndex":0},"citationItems":[{"id":12292,"uris":["http://zotero.org/groups/2667333/items/NWIIESCM"],"itemData":{"id":12292,"type":"article-journal","abstract":"Amyloids result from the aggregation of a set of diverse proteins, due to either specific mutations or promoting intra- or extra-cellular conditions. Structurally, they are rich in intermolecular β-sheets and are the causative agents of several diseases, both neurodegenerative and systemic. It is believed that the most toxic species are small aggregates, referred to as oligomers, rather than the final fibrillar assemblies. Their mechanisms of toxicity are mostly mediated by aberrant interactions with the cell membranes, with resulting derangement of membrane-related functions. Much effort is being exerted in the search for natural antiamyloid agents, and/or in the development of synthetic molecules. Actually, it is well documented that the prevention of amyloid aggregation results in several cytoprotective effects. Here, we portray the state of the art in the field. Several natural compounds are effective antiamyloid agents, notably tetracyclines and polyphenols. They are generally non-specific, as documented by their partially overlapping mechanisms and the capability to interfere with the aggregation of several unrelated proteins. Among rationally designed molecules, we mention the prominent examples of β-breakers peptides, whole antibodies and fragments thereof, and the special case of drugs with contrasting transthyretin aggregation. In this framework, we stress the pivotal role of the computational approaches. When combined with biophysical methods, in several cases they have helped clarify in detail the protein/drug modes of interaction, which makes it plausible that more effective drugs will be developed in the future.","container-title":"International Journal of Molecular Sciences","DOI":"10.3390/ijms19092677","ISSN":"1422-0067","issue":"9","journalAbbreviation":"Int J Mol Sci","note":"PMID: 30205618\nPMCID: PMC6164555","page":"2677","source":"PubMed Central","title":"Targeting Amyloid Aggregation: An Overview of Strategies and Mechanisms","title-short":"Targeting Amyloid Aggregation","URL":"https://www.ncbi.nlm.nih.gov/pmc/articles/PMC6164555/","volume":"19","author":[{"family":"Giorgetti","given":"Sofia"},{"family":"Greco","given":"Claudio"},{"family":"Tortora","given":"Paolo"},{"family":"Aprile","given":"Francesco Antonio"}],"accessed":{"date-parts":[["2022",9,8]]},"issued":{"date-parts":[["2018",9,9]]},"citation-key":"giorgetti_targeting_2018"}}],"schema":"https://github.com/citation-style-language/schema/raw/master/csl-citation.json"} </w:instrText>
      </w:r>
      <w:r w:rsidRPr="0084736C">
        <w:rPr>
          <w:rFonts w:ascii="Arial" w:hAnsi="Arial" w:cs="Arial"/>
          <w:sz w:val="24"/>
          <w:szCs w:val="24"/>
        </w:rPr>
        <w:fldChar w:fldCharType="separate"/>
      </w:r>
      <w:r w:rsidR="008F09C1" w:rsidRPr="008F09C1">
        <w:rPr>
          <w:rFonts w:ascii="Arial" w:hAnsi="Arial" w:cs="Arial"/>
          <w:sz w:val="24"/>
          <w:vertAlign w:val="superscript"/>
        </w:rPr>
        <w:t>56</w:t>
      </w:r>
      <w:r w:rsidRPr="0084736C">
        <w:rPr>
          <w:rFonts w:ascii="Arial" w:hAnsi="Arial" w:cs="Arial"/>
          <w:sz w:val="24"/>
          <w:szCs w:val="24"/>
        </w:rPr>
        <w:fldChar w:fldCharType="end"/>
      </w:r>
      <w:r w:rsidRPr="0084736C">
        <w:rPr>
          <w:rFonts w:ascii="Arial" w:hAnsi="Arial" w:cs="Arial"/>
          <w:sz w:val="24"/>
          <w:szCs w:val="24"/>
        </w:rPr>
        <w:t xml:space="preserve"> Furthermore, </w:t>
      </w:r>
      <w:r w:rsidRPr="0084736C">
        <w:rPr>
          <w:rFonts w:ascii="Arial" w:eastAsia="Times New Roman" w:hAnsi="Arial" w:cs="Arial"/>
          <w:sz w:val="24"/>
          <w:szCs w:val="24"/>
        </w:rPr>
        <w:t xml:space="preserve">aggregation is a complex process known to be influenced by </w:t>
      </w:r>
      <w:r w:rsidR="00C24C36">
        <w:rPr>
          <w:rFonts w:ascii="Arial" w:eastAsia="Times New Roman" w:hAnsi="Arial" w:cs="Arial"/>
          <w:sz w:val="24"/>
          <w:szCs w:val="24"/>
        </w:rPr>
        <w:t>several</w:t>
      </w:r>
      <w:r w:rsidRPr="0084736C">
        <w:rPr>
          <w:rFonts w:ascii="Arial" w:eastAsia="Times New Roman" w:hAnsi="Arial" w:cs="Arial"/>
          <w:sz w:val="24"/>
          <w:szCs w:val="24"/>
        </w:rPr>
        <w:t xml:space="preserve"> fundamental characteristics</w:t>
      </w:r>
      <w:r w:rsidR="00C24C36">
        <w:rPr>
          <w:rFonts w:ascii="Arial" w:eastAsia="Times New Roman" w:hAnsi="Arial" w:cs="Arial"/>
          <w:sz w:val="24"/>
          <w:szCs w:val="24"/>
        </w:rPr>
        <w:t>,</w:t>
      </w:r>
      <w:r w:rsidRPr="0084736C">
        <w:rPr>
          <w:rFonts w:ascii="Arial" w:eastAsia="Times New Roman" w:hAnsi="Arial" w:cs="Arial"/>
          <w:sz w:val="24"/>
          <w:szCs w:val="24"/>
        </w:rPr>
        <w:t xml:space="preserve"> such as secondary structure, hydrophobicity, and charge, as well as the composition and concentration of solutes in the surrounding environment. Therefore, </w:t>
      </w:r>
      <w:r w:rsidRPr="0084736C">
        <w:rPr>
          <w:rFonts w:ascii="Arial" w:hAnsi="Arial" w:cs="Arial"/>
          <w:sz w:val="24"/>
          <w:szCs w:val="24"/>
        </w:rPr>
        <w:t xml:space="preserve">understanding of this aggregation process, and kinetics of fibril formation is crucial because it is possible for soluble oligomers of amyloidogenic peptides to be even more toxic than </w:t>
      </w:r>
      <w:r w:rsidR="00C24C36">
        <w:rPr>
          <w:rFonts w:ascii="Arial" w:hAnsi="Arial" w:cs="Arial"/>
          <w:sz w:val="24"/>
          <w:szCs w:val="24"/>
        </w:rPr>
        <w:t xml:space="preserve">the </w:t>
      </w:r>
      <w:r w:rsidRPr="0084736C">
        <w:rPr>
          <w:rFonts w:ascii="Arial" w:hAnsi="Arial" w:cs="Arial"/>
          <w:sz w:val="24"/>
          <w:szCs w:val="24"/>
        </w:rPr>
        <w:t>final amyloid fibril product.</w:t>
      </w:r>
      <w:r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{"citationID":"WyFWe7Dl","properties":{"formattedCitation":"\\super 57\\nosupersub{}","plainCitation":"57","noteIndex":0},"citationItems":[{"id":11131,"uris":["http://zotero.org/groups/2667333/items/P25Y73PQ"],"itemData":{"id":11131,"type":"article-journal","abstract":"Differences in packing and solvent exposure of hydrophobic residues determine the interactions with cell membranes and toxicity of different oligomers of the model protein HypF-N.","container-title":"Nature Chemical Biology","DOI":"10.1038/nchembio.283","ISSN":"1552-4469","issue":"2","journalAbbreviation":"Nat Chem Biol","language":"en","license":"2010 Nature Publishing Group","note":"number: 2\npublisher: Nature Publishing Group\ntex.ids= campioni_causative_2010-1","page":"140-147","source":"www.nature.com","title":"A causative link between the structure of aberrant protein oligomers and their toxicity","URL":"https://www.nature.com/articles/nchembio.283","volume":"6","author":[{"family":"Campioni","given":"Silvia"},{"family":"Mannini","given":"Benedetta"},{"family":"Zampagni","given":"Mariagioia"},{"family":"Pensalfini","given":"Anna"},{"family":"Parrini","given":"Claudia"},{"family":"Evangelisti","given":"Elisa"},{"family":"Relini","given":"Annalisa"},{"family":"Stefani","given":"Massimo"},{"family":"Dobson","given":"Christopher M."},{"family":"Cecchi","given":"Cristina"},{"family":"Chiti","given":"Fabrizio"}],"accessed":{"date-parts":[["2022",5,24]]},"issued":{"date-parts":[["2010",2]]},"citation-key":"campioni_causative_2010"}}],"schema":"https://github.com/citation-style-language/schema/raw/master/csl-citation.json"} </w:instrText>
      </w:r>
      <w:r w:rsidRPr="0084736C">
        <w:rPr>
          <w:rFonts w:ascii="Arial" w:hAnsi="Arial" w:cs="Arial"/>
          <w:sz w:val="24"/>
          <w:szCs w:val="24"/>
        </w:rPr>
        <w:fldChar w:fldCharType="separate"/>
      </w:r>
      <w:r w:rsidR="008F09C1" w:rsidRPr="008F09C1">
        <w:rPr>
          <w:rFonts w:ascii="Arial" w:hAnsi="Arial" w:cs="Arial"/>
          <w:sz w:val="24"/>
          <w:vertAlign w:val="superscript"/>
        </w:rPr>
        <w:t>57</w:t>
      </w:r>
      <w:r w:rsidRPr="0084736C">
        <w:rPr>
          <w:rFonts w:ascii="Arial" w:hAnsi="Arial" w:cs="Arial"/>
          <w:sz w:val="24"/>
          <w:szCs w:val="24"/>
        </w:rPr>
        <w:fldChar w:fldCharType="end"/>
      </w:r>
    </w:p>
    <w:p w14:paraId="7573FCD0" w14:textId="59AA85D4" w:rsidR="00856E9E" w:rsidRPr="0084736C" w:rsidRDefault="00856E9E" w:rsidP="00856E9E">
      <w:pPr>
        <w:spacing w:line="480" w:lineRule="auto"/>
        <w:rPr>
          <w:rFonts w:ascii="Arial" w:eastAsia="Times New Roman" w:hAnsi="Arial" w:cs="Arial"/>
          <w:sz w:val="24"/>
          <w:szCs w:val="24"/>
        </w:rPr>
      </w:pPr>
      <w:r w:rsidRPr="0084736C">
        <w:rPr>
          <w:rFonts w:ascii="Arial" w:eastAsia="Times New Roman" w:hAnsi="Arial" w:cs="Arial"/>
          <w:sz w:val="24"/>
          <w:szCs w:val="24"/>
        </w:rPr>
        <w:t>A major finding causing the cytotoxicity of amyloid-</w:t>
      </w:r>
      <w:r w:rsidRPr="0084736C">
        <w:rPr>
          <w:rFonts w:ascii="Symbol" w:eastAsia="Times New Roman" w:hAnsi="Symbol" w:cs="Arial"/>
          <w:sz w:val="24"/>
          <w:szCs w:val="24"/>
        </w:rPr>
        <w:t>b</w:t>
      </w:r>
      <w:r w:rsidRPr="0084736C">
        <w:rPr>
          <w:rFonts w:ascii="Arial" w:eastAsia="Times New Roman" w:hAnsi="Arial" w:cs="Arial"/>
          <w:sz w:val="24"/>
          <w:szCs w:val="24"/>
        </w:rPr>
        <w:t xml:space="preserve"> is cell membrane perturbations.</w:t>
      </w:r>
      <w:r w:rsidRPr="0084736C">
        <w:rPr>
          <w:rFonts w:ascii="Arial" w:eastAsia="Times New Roman" w:hAnsi="Arial" w:cs="Arial"/>
          <w:sz w:val="24"/>
          <w:szCs w:val="24"/>
        </w:rPr>
        <w:fldChar w:fldCharType="begin"/>
      </w:r>
      <w:r w:rsidR="008F09C1">
        <w:rPr>
          <w:rFonts w:ascii="Arial" w:eastAsia="Times New Roman" w:hAnsi="Arial" w:cs="Arial"/>
          <w:sz w:val="24"/>
          <w:szCs w:val="24"/>
        </w:rPr>
        <w:instrText xml:space="preserve"> ADDIN ZOTERO_ITEM CSL_CITATION {"citationID":"a1rej0vtngp","properties":{"formattedCitation":"\\super 58\\uc0\\u8211{}62\\nosupersub{}","plainCitation":"58–62","noteIndex":0},"citationItems":[{"id":12734,"uris":["http://zotero.org/groups/2667333/items/J94442RH"],"itemData":{"id":12734,"type":"article-journal","abstract":"Small hydrophobic oligomers of aggregation-prone proteins are thought to be generically toxic. Here we examine this view by perturbing an early folding contact between Phe19 and Leu34 formed during the aggregation of Alzheimer’s amyloid-β (Aβ40) peptide. We find that even conservative single mutations altering this interaction can abolish Aβ40 toxicity. Significantly, the mutants are not distinguishable either by the oligomers size or by the end-state fibrillar structure from the wild type Aβ40. We trace the change in their toxicity to a drastic lowering of membrane affinity. Therefore, nonlocal folding contacts play a key role in steering the oligomeric intermediates through specific conformations with very different properties and toxicity levels. Our results suggest that engineering the folding energy landscape may provide an alternative route to Alzheimer therapeutics.","container-title":"ACS Chemical Neuroscience","DOI":"10.1021/acschemneuro.5b00074","issue":"8","journalAbbreviation":"ACS Chem. Neurosci.","note":"publisher: American Chemical Society","page":"1290-1295","source":"ACS Publications","title":"An Early Folding Contact between Phe19 and Leu34 is Critical for Amyloid-β Oligomer Toxicity","URL":"https://doi.org/10.1021/acschemneuro.5b00074","volume":"6","author":[{"family":"Das","given":"Anand K."},{"family":"Rawat","given":"Anoop"},{"family":"Bhowmik","given":"Debanjan"},{"family":"Pandit","given":"Rucha"},{"family":"Huster","given":"Daniel"},{"family":"Maiti","given":"Sudipta"}],"accessed":{"date-parts":[["2022",9,22]]},"issued":{"date-parts":[["2015",8,19]]},"citation-key":"das_early_2015"}},{"id":12725,"uris":["http://zotero.org/groups/2667333/items/3QKGVZDS"],"itemData":{"id":12725,"type":"article-journal","container-title":"Proceedings of the National Academy of Sciences","DOI":"10.1073/pnas.1305517110","issue":"48","note":"publisher: Proceedings of the National Academy of Sciences","page":"19279-19284","source":"pnas.org (Atypon)","title":"Islet amyloid polypeptide toxicity and membrane interactions","URL":"https://www.pnas.org/doi/10.1073/pnas.1305517110","volume":"110","author":[{"family":"Cao","given":"Ping"},{"family":"Abedini","given":"Andisheh"},{"family":"Wang","given":"Hui"},{"family":"Tu","given":"Ling-Hsien"},{"family":"Zhang","given":"Xiaoxue"},{"family":"Schmidt","given":"Ann Marie"},{"family":"Raleigh","given":"Daniel P."}],"accessed":{"date-parts":[["2022",9,22]]},"issued":{"date-parts":[["2013",11,26]]},"citation-key":"cao_islet_2013"}},{"id":11805,"uris":["http://zotero.org/groups/2667333/items/H3REECYW"],"itemData":{"id":11805,"type":"article-journal","container-title":"Proceedings of the National Academy of Sciences","DOI":"10.1073/pnas.0708354105","issue":"16","note":"publisher: Proceedings of the National Academy of Sciences","page":"6033-6038","source":"pnas.org (Atypon)","title":"Membrane damage by human islet amyloid polypeptide through fibril growth at the membrane","URL":"https://www.pnas.org/doi/10.1073/pnas.0708354105","volume":"105","author":[{"family":"Engel","given":"Maarten F. M."},{"family":"Khemtémourian","given":"Lucie"},{"family":"Kleijer","given":"Cécile C."},{"family":"Meeldijk","given":"Hans J. D."},{"family":"Jacobs","given":"Jet"},{"family":"Verkleij","given":"Arie J."},{"family":"Kruijff","given":"Ben","non-dropping-particle":"de"},{"family":"Killian","given":"J. Antoinette"},{"family":"Höppener","given":"Jo W. M."}],"accessed":{"date-parts":[["2022",7,15]]},"issued":{"date-parts":[["2008",4,22]]},"citation-key":"engel_membrane_2008"}},{"id":12727,"uris":["http://zotero.org/groups/2667333/items/AUN8AU44"],"itemData":{"id":12727,"type":"article-journal","abstract":"An orcein-related small molecule can drive polymerization of amyloid-β, implicated in Alzheimer's disease, without remodeling oligomeric or fibril forms but by stabilizing a seeding-competent protofilament state and shortening the lag phase of spontaneous polymerization.","container-title":"Nature Chemical Biology","DOI":"10.1038/nchembio.719","ISSN":"1552-4469","issue":"1","journalAbbreviation":"Nat Chem Biol","language":"en","license":"2011 Nature Publishing Group, a division of Macmillan Publishers Limited. All Rights Reserved.","note":"number: 1\npublisher: Nature Publishing Group","page":"93-101","source":"www.nature.com","title":"Small-molecule conversion of toxic oligomers to nontoxic β-sheet–rich amyloid fibrils","URL":"https://www.nature.com/articles/nchembio.719","volume":"8","author":[{"family":"Bieschke","given":"Jan"},{"family":"Herbst","given":"Martin"},{"family":"Wiglenda","given":"Thomas"},{"family":"Friedrich","given":"Ralf P."},{"family":"Boeddrich","given":"Annett"},{"family":"Schiele","given":"Franziska"},{"family":"Kleckers","given":"Daniela"},{"family":"Lopez del Amo","given":"Juan Miguel"},{"family":"Grüning","given":"Björn A."},{"family":"Wang","given":"Qinwen"},{"family":"Schmidt","given":"Michael R."},{"family":"Lurz","given":"Rudi"},{"family":"Anwyl","given":"Roger"},{"family":"Schnoegl","given":"Sigrid"},{"family":"Fändrich","given":"Marcus"},{"family":"Frank","given":"Ronald F."},{"family":"Reif","given":"Bernd"},{"family":"Günther","given":"Stefan"},{"family":"Walsh","given":"Dominic M."},{"family":"Wanker","given":"Erich E."}],"accessed":{"date-parts":[["2022",9,22]]},"issued":{"date-parts":[["2012",1]]},"citation-key":"bieschke_small-molecule_2012"}},{"id":5248,"uris":["http://zotero.org/groups/2667333/items/PN5VJF9M"],"itemData":{"id":5248,"type":"article-journal","abstract":"Background Amyloid β protein (Aβ) molecules that may contribute to Alzheimer's disease (AD) form low molecular weight (LMW-Aβ), high molecular weight oligomer (HMW-Aβ) such as protofibrils, and ultimately fibrils. Recent evidence suggests that oxidative stress and plasma membrane damage induced by soluble Aβ oligomers elicit neurotoxicity and play an initiating role in the development of AD pathology. But the precise mechanisms still remain unclear. In this study, we focused on clarifying the detailed mechanism of the HMW-Aβ neurotoxicity. Method The elution of LMW-Aβ and HMW-Aβ was carried out using size exclusion chromatography. SH-SY5Y cells (Human glioblastoma) were exposed to 5 μM of LMW-Aβ and HMW-Aβ for 30 min. To detect cytotoxicity, Aβexposed-cells were measured mitochondrial activity and release of lactate dehydrogenase. Oxidative stress biomarkers (reactive oxygen species and phospholipid peroxidation of plasma membrane) were assessed. We also assayed intracellular Ca2+ ([Ca2+]i) level and membrane fluidity, and membrane electrical resistance by whole-cell patch-clamp. Result SH-SY5Y cells exposed to Aβ oligomers had significantly increased cytotoxicity and oxidative stress compared to untreated cells. The damaging effects of HMW-Aβ were significantly greater than those of LMW-Aβ. Exposure of SH-SY5Y cells to LMW-Aβ or HMW-Aβ triggered an elevation in [Ca2+]i. [Ca2+]i levels in SH-SY5Y cells exposed to HMW-Aβ rose and maintained high level of [Ca2+]i , while pretreatment with nicardipine and memantine suppressed this continuous rising. Furthermore, both HMW-Aβ and LMW-Aβ significantly reduced SH-SY5Y cell membrane fluidity compared with untreated control cell while, HMW-Aβ produced a larger decrease in fluidity than did LMW-Aβ. The resting potential was significantly elevated in SH-SY5Y cells exposed to HMW-Aβ compared with untreated control cells and LMW-Aβ exposed cells and the input resistance was significantly lower following HMW-Aβ exposure. Conclusion These results suggest that HMW-Aβchanged the structure of lipid bilayer due to cell membrane phospholipid peroxidation and disrupted the homeostasis of ions across the cell membrane. It was speculated that HMW-Aβ induced neurotoxicity was induced by membrane structural changes such as the formation of small pores in the cell membrane. Accordingly, we propose that the therapeutic reduction of HMW-Aβ has important implications for the development of AD therapies.","container-title":"Alzheimer's &amp; Dementia","DOI":"https://doi.org/10.1002/alz.037546","ISSN":"1552-5279","issue":"S2","language":"en","license":"© 2020 the Alzheimer's Association","note":"_eprint: https://alz-journals.onlinelibrary.wiley.com/doi/pdf/10.1002/alz.037546","page":"e037546","source":"Wiley Online Library","title":"High molecular weight amyloid β1-42 oligomers induce neurotoxicity via plasma membrane damage","URL":"https://alz-journals.onlinelibrary.wiley.com/doi/abs/10.1002/alz.037546","volume":"16","author":[{"family":"Yasumoto","given":"Taro"},{"family":"Takamura","given":"Yusaku"},{"family":"Tsuji","given":"Mayumi"},{"family":"Nakayama","given":"Takahiro"},{"family":"Imamura","given":"Keiko"},{"family":"Inoue","given":"Haruhisa"},{"family":"Nakamura","given":"Shiro"},{"family":"Inoue","given":"Tomio"},{"family":"Kimura","given":"Atsushi Michael"},{"family":"Yano","given":"Satoshi"},{"family":"Nishijo","given":"Hisao"},{"family":"Kiuchi","given":"Yuji"},{"family":"Teplow","given":"David B."},{"family":"Ono","given":"Kenjiro"}],"accessed":{"date-parts":[["2021",5,22]]},"issued":{"date-parts":[["2020"]]},"citation-key":"yasumotoHighMolecularWeight2020"}}],"schema":"https://github.com/citation-style-language/schema/raw/master/csl-citation.json"} </w:instrText>
      </w:r>
      <w:r w:rsidRPr="0084736C">
        <w:rPr>
          <w:rFonts w:ascii="Arial" w:eastAsia="Times New Roman" w:hAnsi="Arial" w:cs="Arial"/>
          <w:sz w:val="24"/>
          <w:szCs w:val="24"/>
        </w:rPr>
        <w:fldChar w:fldCharType="separate"/>
      </w:r>
      <w:r w:rsidR="008F09C1" w:rsidRPr="008F09C1">
        <w:rPr>
          <w:rFonts w:ascii="Arial" w:hAnsi="Arial" w:cs="Arial"/>
          <w:sz w:val="24"/>
          <w:vertAlign w:val="superscript"/>
        </w:rPr>
        <w:t>58–62</w:t>
      </w:r>
      <w:r w:rsidRPr="0084736C">
        <w:rPr>
          <w:rFonts w:ascii="Arial" w:eastAsia="Times New Roman" w:hAnsi="Arial" w:cs="Arial"/>
          <w:sz w:val="24"/>
          <w:szCs w:val="24"/>
        </w:rPr>
        <w:fldChar w:fldCharType="end"/>
      </w:r>
      <w:r w:rsidR="0084736C" w:rsidRPr="0084736C">
        <w:rPr>
          <w:rFonts w:ascii="Arial" w:eastAsia="Times New Roman" w:hAnsi="Arial" w:cs="Arial"/>
          <w:sz w:val="24"/>
          <w:szCs w:val="24"/>
        </w:rPr>
        <w:t xml:space="preserve"> </w:t>
      </w:r>
      <w:r w:rsidRPr="0084736C">
        <w:rPr>
          <w:rFonts w:ascii="Arial" w:eastAsia="Times New Roman" w:hAnsi="Arial" w:cs="Arial"/>
          <w:sz w:val="24"/>
          <w:szCs w:val="24"/>
        </w:rPr>
        <w:t xml:space="preserve">It was suggested that small size and hydrophobic surfaces of small intermediate molecules (such as oligomers) have </w:t>
      </w:r>
      <w:r w:rsidR="00C24C36">
        <w:rPr>
          <w:rFonts w:ascii="Arial" w:eastAsia="Times New Roman" w:hAnsi="Arial" w:cs="Arial"/>
          <w:sz w:val="24"/>
          <w:szCs w:val="24"/>
        </w:rPr>
        <w:t xml:space="preserve">a </w:t>
      </w:r>
      <w:r w:rsidRPr="0084736C">
        <w:rPr>
          <w:rFonts w:ascii="Arial" w:eastAsia="Times New Roman" w:hAnsi="Arial" w:cs="Arial"/>
          <w:sz w:val="24"/>
          <w:szCs w:val="24"/>
        </w:rPr>
        <w:t>high affinity to biological membranes</w:t>
      </w:r>
      <w:r w:rsidR="00C24C36">
        <w:rPr>
          <w:rFonts w:ascii="Arial" w:eastAsia="Times New Roman" w:hAnsi="Arial" w:cs="Arial"/>
          <w:sz w:val="24"/>
          <w:szCs w:val="24"/>
        </w:rPr>
        <w:t xml:space="preserve">, </w:t>
      </w:r>
      <w:r w:rsidRPr="0084736C">
        <w:rPr>
          <w:rFonts w:ascii="Arial" w:eastAsia="Times New Roman" w:hAnsi="Arial" w:cs="Arial"/>
          <w:sz w:val="24"/>
          <w:szCs w:val="24"/>
        </w:rPr>
        <w:t xml:space="preserve">and therefore </w:t>
      </w:r>
      <w:r w:rsidRPr="0084736C">
        <w:rPr>
          <w:rFonts w:ascii="Arial" w:eastAsia="Times New Roman" w:hAnsi="Arial" w:cs="Arial"/>
          <w:sz w:val="24"/>
          <w:szCs w:val="24"/>
        </w:rPr>
        <w:lastRenderedPageBreak/>
        <w:t>they are toxic.</w:t>
      </w:r>
      <w:r w:rsidRPr="0084736C">
        <w:rPr>
          <w:rFonts w:ascii="Arial" w:eastAsia="Times New Roman" w:hAnsi="Arial" w:cs="Arial"/>
          <w:sz w:val="24"/>
          <w:szCs w:val="24"/>
        </w:rPr>
        <w:fldChar w:fldCharType="begin"/>
      </w:r>
      <w:r w:rsidR="008F09C1">
        <w:rPr>
          <w:rFonts w:ascii="Arial" w:eastAsia="Times New Roman" w:hAnsi="Arial" w:cs="Arial"/>
          <w:sz w:val="24"/>
          <w:szCs w:val="24"/>
        </w:rPr>
        <w:instrText xml:space="preserve"> ADDIN ZOTERO_ITEM CSL_CITATION {"citationID":"a25ih9pqrvl","properties":{"formattedCitation":"\\super 63\\nosupersub{}","plainCitation":"63","noteIndex":0},"citationItems":[{"id":12737,"uris":["http://zotero.org/groups/2667333/items/XKMKHG3K"],"itemData":{"id":12737,"type":"article-journal","abstract":"The misfolding and aberrant assembly of peptides and proteins into fibrillar aggregates is the hallmark of many pathologies. Fibril formation is accompanied by oligomeric species thought to be the primary pathogenic agents in many of these diseases. With the aim of identifying the structural determinants responsible for the toxicity of misfolded oligomers, we created 12 oligomeric variants from the N-terminal domain of the E. coli HypF protein (HypF-N) by replacing one or more charged amino acid residues with neutral apolar residues and allowing the mutated proteins to aggregate under two sets of conditions. The resulting oligomeric species have different degrees of cytotoxicity when added to the extracellular medium of the cells, as assessed by the extent of 3-(4,5-dimethylthiazol-2-yl)-2,5-diphenyltetrazolium bromide (MTT) reduction, apoptosis, and influx of Ca2+ into the cells. The structural properties of the oligomeric variants were characterized by evaluating their surface hydrophobicity with 8-anilinonaphthalene-1-sulfonate (ANS) binding and by measuring their size by means of turbidimetry as well as light scattering. We find that increases in the surface hydrophobicity of the oligomers following mutation can promote the formation of larger assemblies and that the overall toxicity correlates with a combination of both surface hydrophobicity and size, with the most toxic oligomers having high hydrophobicity and small size. These results have allowed the relationships between these three parameters to be studied simultaneously and quantitatively, and have enabled the generation of an equation that is able to rationalize and even predict toxicity of the oligomers resulting from their surface hydrophobicity and size.","container-title":"ACS Chemical Biology","DOI":"10.1021/cb500505m","ISSN":"1554-8929","issue":"10","journalAbbreviation":"ACS Chem. Biol.","note":"publisher: American Chemical Society","page":"2309-2317","source":"ACS Publications","title":"Toxicity of Protein Oligomers Is Rationalized by a Function Combining Size and Surface Hydrophobicity","URL":"https://doi.org/10.1021/cb500505m","volume":"9","author":[{"family":"Mannini","given":"Benedetta"},{"family":"Mulvihill","given":"Estefania"},{"family":"Sgromo","given":"Caterina"},{"family":"Cascella","given":"Roberta"},{"family":"Khodarahmi","given":"Reza"},{"family":"Ramazzotti","given":"Matteo"},{"family":"Dobson","given":"Christopher M."},{"family":"Cecchi","given":"Cristina"},{"family":"Chiti","given":"Fabrizio"}],"accessed":{"date-parts":[["2022",9,22]]},"issued":{"date-parts":[["2014",10,17]]},"citation-key":"mannini_toxicity_2014"}}],"schema":"https://github.com/citation-style-language/schema/raw/master/csl-citation.json"} </w:instrText>
      </w:r>
      <w:r w:rsidRPr="0084736C">
        <w:rPr>
          <w:rFonts w:ascii="Arial" w:eastAsia="Times New Roman" w:hAnsi="Arial" w:cs="Arial"/>
          <w:sz w:val="24"/>
          <w:szCs w:val="24"/>
        </w:rPr>
        <w:fldChar w:fldCharType="separate"/>
      </w:r>
      <w:r w:rsidR="008F09C1" w:rsidRPr="008F09C1">
        <w:rPr>
          <w:rFonts w:ascii="Arial" w:hAnsi="Arial" w:cs="Arial"/>
          <w:sz w:val="24"/>
          <w:vertAlign w:val="superscript"/>
        </w:rPr>
        <w:t>63</w:t>
      </w:r>
      <w:r w:rsidRPr="0084736C">
        <w:rPr>
          <w:rFonts w:ascii="Arial" w:eastAsia="Times New Roman" w:hAnsi="Arial" w:cs="Arial"/>
          <w:sz w:val="24"/>
          <w:szCs w:val="24"/>
        </w:rPr>
        <w:fldChar w:fldCharType="end"/>
      </w:r>
      <w:r w:rsidRPr="0084736C">
        <w:rPr>
          <w:rFonts w:ascii="Arial" w:eastAsia="Times New Roman" w:hAnsi="Arial" w:cs="Arial"/>
          <w:sz w:val="24"/>
          <w:szCs w:val="24"/>
        </w:rPr>
        <w:t xml:space="preserve"> The effect of hydrophobicity on cell cytotoxicity was further enhanced by systemically substituting hydrophobic core residues with polar amino acids. </w:t>
      </w:r>
      <w:r w:rsidRPr="0084736C">
        <w:rPr>
          <w:rFonts w:ascii="Arial" w:eastAsia="Times New Roman" w:hAnsi="Arial" w:cs="Arial"/>
          <w:sz w:val="24"/>
          <w:szCs w:val="24"/>
        </w:rPr>
        <w:fldChar w:fldCharType="begin"/>
      </w:r>
      <w:r w:rsidR="008F09C1">
        <w:rPr>
          <w:rFonts w:ascii="Arial" w:eastAsia="Times New Roman" w:hAnsi="Arial" w:cs="Arial"/>
          <w:sz w:val="24"/>
          <w:szCs w:val="24"/>
        </w:rPr>
        <w:instrText xml:space="preserve"> ADDIN ZOTERO_ITEM CSL_CITATION {"citationID":"a16pvo46hl1","properties":{"formattedCitation":"\\super 64\\nosupersub{}","plainCitation":"64","noteIndex":0},"citationItems":[{"id":12740,"uris":["http://zotero.org/groups/2667333/items/HESGFG7H"],"itemData":{"id":12740,"type":"article-journal","abstract":"Several point mutations can modulate protein structure and dynamics, leading to different natures. Especially in the case of amyloidogenic proteins closely related to neurodegenerative diseases, structural changes originating from point mutations can affect fibrillation kinetics. Herein, we rationally designed mutant candidates to inhibit the fibrillation process of amyloid-β with its point mutants through multistep in silico analyses. Our results showed that the designed mutants induced kinetic self-assembly suppression and reduced the toxicity of the aggregate. A multidisciplinary biophysical approach with small-angle X-ray scattering, ion mobility-mass spectrometry, mass spectrometry, and additional in silico experiments was performed to reveal the structural basis associated with the inhibition of fibril formation. The structure-based design of the mutants with suppressed self-assembly performed in this study could provide a different perspective for modulating amyloid aggregation based on the structural understanding of the intrinsically disordered proteins.","container-title":"Journal of the American Chemical Society","DOI":"10.1021/jacs.1c10173","ISSN":"0002-7863","issue":"4","journalAbbreviation":"J. Am. Chem. Soc.","note":"publisher: American Chemical Society","page":"1603-1611","source":"ACS Publications","title":"Kinetic Modulation of Amyloid-β (1–42) Aggregation and Toxicity by Structure-Based Rational Design","URL":"https://doi.org/10.1021/jacs.1c10173","volume":"144","author":[{"family":"Im","given":"Dongjoon"},{"family":"Heo","given":"Chae Eun"},{"family":"Son","given":"Myung Kook"},{"family":"Park","given":"Chae Ri"},{"family":"Kim","given":"Hugh I."},{"family":"Choi","given":"Jeong-Mo"}],"accessed":{"date-parts":[["2022",9,22]]},"issued":{"date-parts":[["2022",2,2]]},"citation-key":"im_kinetic_2022"}}],"schema":"https://github.com/citation-style-language/schema/raw/master/csl-citation.json"} </w:instrText>
      </w:r>
      <w:r w:rsidRPr="0084736C">
        <w:rPr>
          <w:rFonts w:ascii="Arial" w:eastAsia="Times New Roman" w:hAnsi="Arial" w:cs="Arial"/>
          <w:sz w:val="24"/>
          <w:szCs w:val="24"/>
        </w:rPr>
        <w:fldChar w:fldCharType="separate"/>
      </w:r>
      <w:r w:rsidR="008F09C1" w:rsidRPr="008F09C1">
        <w:rPr>
          <w:rFonts w:ascii="Arial" w:hAnsi="Arial" w:cs="Arial"/>
          <w:sz w:val="24"/>
          <w:vertAlign w:val="superscript"/>
        </w:rPr>
        <w:t>64</w:t>
      </w:r>
      <w:r w:rsidRPr="0084736C">
        <w:rPr>
          <w:rFonts w:ascii="Arial" w:eastAsia="Times New Roman" w:hAnsi="Arial" w:cs="Arial"/>
          <w:sz w:val="24"/>
          <w:szCs w:val="24"/>
        </w:rPr>
        <w:fldChar w:fldCharType="end"/>
      </w:r>
      <w:r w:rsidRPr="0084736C">
        <w:rPr>
          <w:rFonts w:ascii="Arial" w:eastAsia="Times New Roman" w:hAnsi="Arial" w:cs="Arial"/>
          <w:sz w:val="24"/>
          <w:szCs w:val="24"/>
        </w:rPr>
        <w:t xml:space="preserve"> It was found that if two-point mutations were introduced (</w:t>
      </w:r>
      <w:r w:rsidR="006D7140">
        <w:rPr>
          <w:rFonts w:ascii="Arial" w:eastAsia="Times New Roman" w:hAnsi="Arial" w:cs="Arial"/>
          <w:sz w:val="24"/>
          <w:szCs w:val="24"/>
        </w:rPr>
        <w:t>F</w:t>
      </w:r>
      <w:r w:rsidR="006D7140" w:rsidRPr="0084736C">
        <w:rPr>
          <w:rFonts w:ascii="Arial" w:eastAsia="Times New Roman" w:hAnsi="Arial" w:cs="Arial"/>
          <w:sz w:val="24"/>
          <w:szCs w:val="24"/>
        </w:rPr>
        <w:t xml:space="preserve"> </w:t>
      </w:r>
      <w:r w:rsidRPr="0084736C">
        <w:rPr>
          <w:rFonts w:ascii="Arial" w:eastAsia="Times New Roman" w:hAnsi="Arial" w:cs="Arial"/>
          <w:sz w:val="24"/>
          <w:szCs w:val="24"/>
        </w:rPr>
        <w:t xml:space="preserve">and </w:t>
      </w:r>
      <w:r w:rsidR="00537A6E">
        <w:rPr>
          <w:rFonts w:ascii="Arial" w:eastAsia="Times New Roman" w:hAnsi="Arial" w:cs="Arial"/>
          <w:sz w:val="24"/>
          <w:szCs w:val="24"/>
        </w:rPr>
        <w:t>I</w:t>
      </w:r>
      <w:r w:rsidRPr="0084736C">
        <w:rPr>
          <w:rFonts w:ascii="Arial" w:eastAsia="Times New Roman" w:hAnsi="Arial" w:cs="Arial"/>
          <w:sz w:val="24"/>
          <w:szCs w:val="24"/>
        </w:rPr>
        <w:t xml:space="preserve"> replaced by </w:t>
      </w:r>
      <w:r w:rsidR="00537A6E">
        <w:rPr>
          <w:rFonts w:ascii="Arial" w:eastAsia="Times New Roman" w:hAnsi="Arial" w:cs="Arial"/>
          <w:sz w:val="24"/>
          <w:szCs w:val="24"/>
        </w:rPr>
        <w:t>N</w:t>
      </w:r>
      <w:r w:rsidRPr="0084736C">
        <w:rPr>
          <w:rFonts w:ascii="Arial" w:eastAsia="Times New Roman" w:hAnsi="Arial" w:cs="Arial"/>
          <w:sz w:val="24"/>
          <w:szCs w:val="24"/>
        </w:rPr>
        <w:t xml:space="preserve">), the assembly </w:t>
      </w:r>
      <w:r w:rsidR="00C24C36">
        <w:rPr>
          <w:rFonts w:ascii="Arial" w:eastAsia="Times New Roman" w:hAnsi="Arial" w:cs="Arial"/>
          <w:sz w:val="24"/>
          <w:szCs w:val="24"/>
        </w:rPr>
        <w:t xml:space="preserve">was </w:t>
      </w:r>
      <w:r w:rsidRPr="0084736C">
        <w:rPr>
          <w:rFonts w:ascii="Arial" w:eastAsia="Times New Roman" w:hAnsi="Arial" w:cs="Arial"/>
          <w:sz w:val="24"/>
          <w:szCs w:val="24"/>
        </w:rPr>
        <w:t xml:space="preserve">suppressed from the early onset of aggregation and cell toxicity was reduced. </w:t>
      </w:r>
    </w:p>
    <w:p w14:paraId="7A5E1A90" w14:textId="1BEC124F" w:rsidR="00856E9E" w:rsidRPr="0084736C" w:rsidRDefault="00856E9E" w:rsidP="00856E9E">
      <w:pPr>
        <w:spacing w:line="480" w:lineRule="auto"/>
        <w:rPr>
          <w:rFonts w:ascii="Arial" w:eastAsia="Times New Roman" w:hAnsi="Arial" w:cs="Arial"/>
          <w:sz w:val="24"/>
          <w:szCs w:val="24"/>
        </w:rPr>
      </w:pPr>
      <w:r w:rsidRPr="0084736C">
        <w:rPr>
          <w:rFonts w:ascii="Arial" w:hAnsi="Arial" w:cs="Arial"/>
          <w:sz w:val="24"/>
          <w:szCs w:val="24"/>
        </w:rPr>
        <w:t xml:space="preserve">However, there are several challenges </w:t>
      </w:r>
      <w:r w:rsidR="00C24C36">
        <w:rPr>
          <w:rFonts w:ascii="Arial" w:hAnsi="Arial" w:cs="Arial"/>
          <w:sz w:val="24"/>
          <w:szCs w:val="24"/>
        </w:rPr>
        <w:t>in</w:t>
      </w:r>
      <w:r w:rsidRPr="0084736C">
        <w:rPr>
          <w:rFonts w:ascii="Arial" w:hAnsi="Arial" w:cs="Arial"/>
          <w:sz w:val="24"/>
          <w:szCs w:val="24"/>
        </w:rPr>
        <w:t xml:space="preserve"> understand</w:t>
      </w:r>
      <w:r w:rsidR="00C24C36">
        <w:rPr>
          <w:rFonts w:ascii="Arial" w:hAnsi="Arial" w:cs="Arial"/>
          <w:sz w:val="24"/>
          <w:szCs w:val="24"/>
        </w:rPr>
        <w:t>ing</w:t>
      </w:r>
      <w:r w:rsidRPr="0084736C">
        <w:rPr>
          <w:rFonts w:ascii="Arial" w:hAnsi="Arial" w:cs="Arial"/>
          <w:sz w:val="24"/>
          <w:szCs w:val="24"/>
        </w:rPr>
        <w:t xml:space="preserve"> the </w:t>
      </w:r>
      <w:r w:rsidR="00C24C36">
        <w:rPr>
          <w:rFonts w:ascii="Arial" w:hAnsi="Arial" w:cs="Arial"/>
          <w:sz w:val="24"/>
          <w:szCs w:val="24"/>
        </w:rPr>
        <w:t>leading</w:t>
      </w:r>
      <w:r w:rsidRPr="0084736C">
        <w:rPr>
          <w:rFonts w:ascii="Arial" w:hAnsi="Arial" w:cs="Arial"/>
          <w:sz w:val="24"/>
          <w:szCs w:val="24"/>
        </w:rPr>
        <w:t xml:space="preserve"> cause of this toxicity. First,</w:t>
      </w:r>
      <w:r w:rsidR="00C24C36">
        <w:rPr>
          <w:rFonts w:ascii="Arial" w:hAnsi="Arial" w:cs="Arial"/>
          <w:sz w:val="24"/>
          <w:szCs w:val="24"/>
        </w:rPr>
        <w:t xml:space="preserve"> </w:t>
      </w:r>
      <w:r w:rsidRPr="0084736C">
        <w:rPr>
          <w:rFonts w:ascii="Arial" w:eastAsia="Times New Roman" w:hAnsi="Arial" w:cs="Arial"/>
          <w:sz w:val="24"/>
          <w:szCs w:val="24"/>
        </w:rPr>
        <w:t xml:space="preserve">no probes </w:t>
      </w:r>
      <w:r w:rsidR="00C24C36">
        <w:rPr>
          <w:rFonts w:ascii="Arial" w:eastAsia="Times New Roman" w:hAnsi="Arial" w:cs="Arial"/>
          <w:sz w:val="24"/>
          <w:szCs w:val="24"/>
        </w:rPr>
        <w:t>can</w:t>
      </w:r>
      <w:r w:rsidRPr="0084736C">
        <w:rPr>
          <w:rFonts w:ascii="Arial" w:eastAsia="Times New Roman" w:hAnsi="Arial" w:cs="Arial"/>
          <w:sz w:val="24"/>
          <w:szCs w:val="24"/>
        </w:rPr>
        <w:t xml:space="preserve"> track the various protein aggregate types created or structures produced during this dynamic process.</w:t>
      </w:r>
      <w:r w:rsidRPr="0084736C">
        <w:rPr>
          <w:rFonts w:ascii="Arial" w:eastAsia="Times New Roman" w:hAnsi="Arial" w:cs="Arial"/>
          <w:sz w:val="24"/>
          <w:szCs w:val="24"/>
        </w:rPr>
        <w:fldChar w:fldCharType="begin"/>
      </w:r>
      <w:r w:rsidR="008F09C1">
        <w:rPr>
          <w:rFonts w:ascii="Arial" w:eastAsia="Times New Roman" w:hAnsi="Arial" w:cs="Arial"/>
          <w:sz w:val="24"/>
          <w:szCs w:val="24"/>
        </w:rPr>
        <w:instrText xml:space="preserve"> ADDIN ZOTERO_ITEM CSL_CITATION {"citationID":"a1t6j6juibm","properties":{"formattedCitation":"\\super 65\\nosupersub{}","plainCitation":"65","noteIndex":0},"citationItems":[{"id":12226,"uris":["http://zotero.org/groups/2667333/items/33DR4JTU"],"itemData":{"id":12226,"type":"article-journal","abstract":"The misfolding and/or misassembly of more than 30 human proteins — for example, transthyretin, immunoglobulin light chain, serum amyloid A and amyloid-β — into various aggregate structures, a process known as amyloidogenesis, cause a range of degenerative disorders, collectively called amyloid diseases.Amyloidogenesis is a dynamic process; thus, the protein aggregates produced adopt a range of structures ranging from small, relatively unstructured oligomers to structurally well-defined cross-β-sheet amyloid fibrils. Some structures may only be produced in humans.Although there is mounting genetic and pharmacological evidence that the process of protein aggregation is an important driver of neurodegeneration, a structure–proteotoxicity relationship is lacking for all human amyloid diseases. Moreover, we do not understand how the process of aggregation leads to the loss of postmitotic tissue in any human amyloid disease.In this Review, we summarize current and emerging strategies to ameliorate degenerative disorders associated with protein aggregation, with a focus on disease-modifying strategies that prevent the formation of and/or eliminate protein aggregates.Potential therapeutic strategies for degenerative disorders associated with protein aggregation include: protein stabilization to prevent the conformational changes that enable aggregation, protein reduction to lower the concentration of the aggregation-prone protein and thereby slow aggregation, aggregate clearance or remodelling to reduce proteotoxicity, cellular proteostasis network adaptation to enhance proteome quality control, and reducing seeding and cell-to-cell spreading.","container-title":"Nature Reviews Drug Discovery","DOI":"10.1038/nrd4593","ISSN":"1474-1784","issue":"11","journalAbbreviation":"Nat Rev Drug Discov","language":"en","license":"2015 Nature Publishing Group, a division of Macmillan Publishers Limited. All Rights Reserved.","note":"number: 11\npublisher: Nature Publishing Group","page":"759-780","source":"www.nature.com","title":"Targeting protein aggregation for the treatment of degenerative diseases","URL":"https://www.nature.com/articles/nrd4593","volume":"14","author":[{"family":"Eisele","given":"Yvonne S."},{"family":"Monteiro","given":"Cecilia"},{"family":"Fearns","given":"Colleen"},{"family":"Encalada","given":"Sandra E."},{"family":"Wiseman","given":"R. Luke"},{"family":"Powers","given":"Evan T."},{"family":"Kelly","given":"Jeffery W."}],"accessed":{"date-parts":[["2022",9,5]]},"issued":{"date-parts":[["2015",11]]},"citation-key":"eisele_targeting_2015"}}],"schema":"https://github.com/citation-style-language/schema/raw/master/csl-citation.json"} </w:instrText>
      </w:r>
      <w:r w:rsidRPr="0084736C">
        <w:rPr>
          <w:rFonts w:ascii="Arial" w:eastAsia="Times New Roman" w:hAnsi="Arial" w:cs="Arial"/>
          <w:sz w:val="24"/>
          <w:szCs w:val="24"/>
        </w:rPr>
        <w:fldChar w:fldCharType="separate"/>
      </w:r>
      <w:r w:rsidR="008F09C1" w:rsidRPr="008F09C1">
        <w:rPr>
          <w:rFonts w:ascii="Arial" w:hAnsi="Arial" w:cs="Arial"/>
          <w:sz w:val="24"/>
          <w:vertAlign w:val="superscript"/>
        </w:rPr>
        <w:t>65</w:t>
      </w:r>
      <w:r w:rsidRPr="0084736C">
        <w:rPr>
          <w:rFonts w:ascii="Arial" w:eastAsia="Times New Roman" w:hAnsi="Arial" w:cs="Arial"/>
          <w:sz w:val="24"/>
          <w:szCs w:val="24"/>
        </w:rPr>
        <w:fldChar w:fldCharType="end"/>
      </w:r>
      <w:r w:rsidRPr="0084736C">
        <w:rPr>
          <w:rFonts w:ascii="Arial" w:eastAsia="Times New Roman" w:hAnsi="Arial" w:cs="Arial"/>
          <w:sz w:val="24"/>
          <w:szCs w:val="24"/>
        </w:rPr>
        <w:t xml:space="preserve"> Second, the variety of intermediate structures produced by different nucleation processes makes it more challenging to isolate and accurately predict the toxic agents causing amyloid disease.</w:t>
      </w:r>
      <w:r w:rsidRPr="0084736C">
        <w:rPr>
          <w:rFonts w:ascii="Arial" w:eastAsia="Times New Roman" w:hAnsi="Arial" w:cs="Arial"/>
          <w:sz w:val="24"/>
          <w:szCs w:val="24"/>
        </w:rPr>
        <w:fldChar w:fldCharType="begin"/>
      </w:r>
      <w:r w:rsidR="008F09C1">
        <w:rPr>
          <w:rFonts w:ascii="Arial" w:eastAsia="Times New Roman" w:hAnsi="Arial" w:cs="Arial"/>
          <w:sz w:val="24"/>
          <w:szCs w:val="24"/>
        </w:rPr>
        <w:instrText xml:space="preserve"> ADDIN ZOTERO_ITEM CSL_CITATION {"citationID":"al2h6murqj","properties":{"formattedCitation":"\\super 66\\nosupersub{}","plainCitation":"66","noteIndex":0},"citationItems":[{"id":12229,"uris":["http://zotero.org/groups/2667333/items/QI5VUH55"],"itemData":{"id":12229,"type":"article-journal","abstract":"Understanding the mechanisms of amyloid formation and toxicity remain major challenges. Although substantial progress has been made in the development of methods able to identify the species formed during self-assembly and to describe the kinetic mechanisms of aggregation, the structure(s) of non-native species, including potentially toxic oligomers, remain elusive. Moreover, how fibrils contribute to disease remains unclear. Here we review recent advances in the development of small molecules and other reagents that are helping to define the mechanisms of protein aggregation in molecular detail. Such probes form a powerful platform with which to better define the mechanisms of structural conversion into amyloid fibrils and may provide the much-needed stepping stone for future development of successful therapeutic agents.","container-title":"Current Opinion in Chemical Biology","DOI":"10.1016/j.cbpa.2017.06.008","ISSN":"1879-0402","journalAbbreviation":"Curr Opin Chem Biol","language":"eng","note":"PMID: 28649012","page":"90-99","source":"PubMed","title":"Small molecule probes of protein aggregation","volume":"39","author":[{"family":"Young","given":"Lydia M."},{"family":"Ashcroft","given":"Alison E."},{"family":"Radford","given":"Sheena E."}],"issued":{"date-parts":[["2017",8]]},"citation-key":"young_small_2017"}}],"schema":"https://github.com/citation-style-language/schema/raw/master/csl-citation.json"} </w:instrText>
      </w:r>
      <w:r w:rsidRPr="0084736C">
        <w:rPr>
          <w:rFonts w:ascii="Arial" w:eastAsia="Times New Roman" w:hAnsi="Arial" w:cs="Arial"/>
          <w:sz w:val="24"/>
          <w:szCs w:val="24"/>
        </w:rPr>
        <w:fldChar w:fldCharType="separate"/>
      </w:r>
      <w:r w:rsidR="008F09C1" w:rsidRPr="008F09C1">
        <w:rPr>
          <w:rFonts w:ascii="Arial" w:hAnsi="Arial" w:cs="Arial"/>
          <w:sz w:val="24"/>
          <w:vertAlign w:val="superscript"/>
        </w:rPr>
        <w:t>66</w:t>
      </w:r>
      <w:r w:rsidRPr="0084736C">
        <w:rPr>
          <w:rFonts w:ascii="Arial" w:eastAsia="Times New Roman" w:hAnsi="Arial" w:cs="Arial"/>
          <w:sz w:val="24"/>
          <w:szCs w:val="24"/>
        </w:rPr>
        <w:fldChar w:fldCharType="end"/>
      </w:r>
      <w:r w:rsidRPr="0084736C">
        <w:rPr>
          <w:rFonts w:ascii="Arial" w:eastAsia="Times New Roman" w:hAnsi="Arial" w:cs="Arial"/>
          <w:sz w:val="24"/>
          <w:szCs w:val="24"/>
        </w:rPr>
        <w:t xml:space="preserve"> Third, since </w:t>
      </w:r>
      <w:r w:rsidR="00C24C36">
        <w:rPr>
          <w:rFonts w:ascii="Arial" w:eastAsia="Times New Roman" w:hAnsi="Arial" w:cs="Arial"/>
          <w:sz w:val="24"/>
          <w:szCs w:val="24"/>
        </w:rPr>
        <w:t xml:space="preserve">the </w:t>
      </w:r>
      <w:r w:rsidRPr="0084736C">
        <w:rPr>
          <w:rFonts w:ascii="Arial" w:eastAsia="Times New Roman" w:hAnsi="Arial" w:cs="Arial"/>
          <w:sz w:val="24"/>
          <w:szCs w:val="24"/>
        </w:rPr>
        <w:t>amyloid fibrillation process is concentration</w:t>
      </w:r>
      <w:r w:rsidR="00C24C36">
        <w:rPr>
          <w:rFonts w:ascii="Arial" w:eastAsia="Times New Roman" w:hAnsi="Arial" w:cs="Arial"/>
          <w:sz w:val="24"/>
          <w:szCs w:val="24"/>
        </w:rPr>
        <w:t>-</w:t>
      </w:r>
      <w:r w:rsidRPr="0084736C">
        <w:rPr>
          <w:rFonts w:ascii="Arial" w:eastAsia="Times New Roman" w:hAnsi="Arial" w:cs="Arial"/>
          <w:sz w:val="24"/>
          <w:szCs w:val="24"/>
        </w:rPr>
        <w:t>dependent phenomen</w:t>
      </w:r>
      <w:r w:rsidR="00C24C36">
        <w:rPr>
          <w:rFonts w:ascii="Arial" w:eastAsia="Times New Roman" w:hAnsi="Arial" w:cs="Arial"/>
          <w:sz w:val="24"/>
          <w:szCs w:val="24"/>
        </w:rPr>
        <w:t>on</w:t>
      </w:r>
      <w:r w:rsidRPr="0084736C">
        <w:rPr>
          <w:rFonts w:ascii="Arial" w:eastAsia="Times New Roman" w:hAnsi="Arial" w:cs="Arial"/>
          <w:sz w:val="24"/>
          <w:szCs w:val="24"/>
        </w:rPr>
        <w:t xml:space="preserve">, higher concentrations of amyloid peptides </w:t>
      </w:r>
      <w:r w:rsidR="00C24C36">
        <w:rPr>
          <w:rFonts w:ascii="Arial" w:eastAsia="Times New Roman" w:hAnsi="Arial" w:cs="Arial"/>
          <w:sz w:val="24"/>
          <w:szCs w:val="24"/>
        </w:rPr>
        <w:t xml:space="preserve">are </w:t>
      </w:r>
      <w:r w:rsidRPr="0084736C">
        <w:rPr>
          <w:rFonts w:ascii="Arial" w:eastAsia="Times New Roman" w:hAnsi="Arial" w:cs="Arial"/>
          <w:sz w:val="24"/>
          <w:szCs w:val="24"/>
        </w:rPr>
        <w:t xml:space="preserve">needed to observe fibril formation in vitro within hours. Otherwise, to compare with physiological concentrations (at nanomolar level), several days and even moths of incubation </w:t>
      </w:r>
      <w:r w:rsidR="00C24C36">
        <w:rPr>
          <w:rFonts w:ascii="Arial" w:eastAsia="Times New Roman" w:hAnsi="Arial" w:cs="Arial"/>
          <w:sz w:val="24"/>
          <w:szCs w:val="24"/>
        </w:rPr>
        <w:t xml:space="preserve">are </w:t>
      </w:r>
      <w:r w:rsidRPr="0084736C">
        <w:rPr>
          <w:rFonts w:ascii="Arial" w:eastAsia="Times New Roman" w:hAnsi="Arial" w:cs="Arial"/>
          <w:sz w:val="24"/>
          <w:szCs w:val="24"/>
        </w:rPr>
        <w:t>needed to understand the process.</w:t>
      </w:r>
      <w:r w:rsidRPr="0084736C">
        <w:rPr>
          <w:rFonts w:ascii="Arial" w:eastAsia="Times New Roman" w:hAnsi="Arial" w:cs="Arial"/>
          <w:sz w:val="24"/>
          <w:szCs w:val="24"/>
        </w:rPr>
        <w:fldChar w:fldCharType="begin"/>
      </w:r>
      <w:r w:rsidR="008F09C1">
        <w:rPr>
          <w:rFonts w:ascii="Arial" w:eastAsia="Times New Roman" w:hAnsi="Arial" w:cs="Arial"/>
          <w:sz w:val="24"/>
          <w:szCs w:val="24"/>
        </w:rPr>
        <w:instrText xml:space="preserve"> ADDIN ZOTERO_ITEM CSL_CITATION {"citationID":"a1q295cmmtc","properties":{"formattedCitation":"\\super 67\\nosupersub{}","plainCitation":"67","noteIndex":0},"citationItems":[{"id":12236,"uris":["http://zotero.org/groups/2667333/items/92GIIWLQ"],"itemData":{"id":12236,"type":"article-journal","abstract":"This review will focus on the process of amyloid-type protein aggregation. Amyloid fibrils are an important hallmark of protein misfolding diseases and therefore have been investigated for decades. Only recently, however, atomic or near-atomic resolution structures have been elucidated from various in vitro and ex vivo obtained fibrils. In parallel, the process of fibril formation has been studied in vitro under highly artificial but comparatively reproducible conditions. The review starts with a summary of what is known and speculated from artificial in vitro amyloid-type protein aggregation experiments. A partially hypothetic fibril selection model will be described that may be suitable to explain why amyloid fibrils look the way they do, in particular, why at least all so far reported high resolution cryo-electron microscopy obtained fibril structures are in register, parallel, cross-β-sheet fibrils that mostly consist of two protofilaments twisted around each other. An intrinsic feature of the model is the prion-like nature of all amyloid assemblies. Transferring the model from the in vitro point of view to the in vivo situation is not straightforward, highly hypothetic, and leaves many open questions that need to be addressed in the future.","container-title":"Chemical Reviews","DOI":"10.1021/acs.chemrev.1c00196","ISSN":"0009-2665","issue":"13","journalAbbreviation":"Chem. Rev.","note":"publisher: American Chemical Society","page":"8285-8307","source":"ACS Publications","title":"Amyloid-type Protein Aggregation and Prion-like Properties of Amyloids","URL":"https://doi.org/10.1021/acs.chemrev.1c00196","volume":"121","author":[{"family":"Willbold","given":"Dieter"},{"family":"Strodel","given":"Birgit"},{"family":"Schröder","given":"Gunnar F."},{"family":"Hoyer","given":"Wolfgang"},{"family":"Heise","given":"Henrike"}],"accessed":{"date-parts":[["2022",9,5]]},"issued":{"date-parts":[["2021",7,14]]},"citation-key":"willbold_amyloid-type_2021"}}],"schema":"https://github.com/citation-style-language/schema/raw/master/csl-citation.json"} </w:instrText>
      </w:r>
      <w:r w:rsidRPr="0084736C">
        <w:rPr>
          <w:rFonts w:ascii="Arial" w:eastAsia="Times New Roman" w:hAnsi="Arial" w:cs="Arial"/>
          <w:sz w:val="24"/>
          <w:szCs w:val="24"/>
        </w:rPr>
        <w:fldChar w:fldCharType="separate"/>
      </w:r>
      <w:r w:rsidR="008F09C1" w:rsidRPr="008F09C1">
        <w:rPr>
          <w:rFonts w:ascii="Arial" w:hAnsi="Arial" w:cs="Arial"/>
          <w:sz w:val="24"/>
          <w:vertAlign w:val="superscript"/>
        </w:rPr>
        <w:t>67</w:t>
      </w:r>
      <w:r w:rsidRPr="0084736C">
        <w:rPr>
          <w:rFonts w:ascii="Arial" w:eastAsia="Times New Roman" w:hAnsi="Arial" w:cs="Arial"/>
          <w:sz w:val="24"/>
          <w:szCs w:val="24"/>
        </w:rPr>
        <w:fldChar w:fldCharType="end"/>
      </w:r>
      <w:r w:rsidRPr="0084736C">
        <w:rPr>
          <w:rFonts w:ascii="Arial" w:eastAsia="Times New Roman" w:hAnsi="Arial" w:cs="Arial"/>
          <w:sz w:val="24"/>
          <w:szCs w:val="24"/>
        </w:rPr>
        <w:t xml:space="preserve"> </w:t>
      </w:r>
    </w:p>
    <w:p w14:paraId="77010354" w14:textId="3B9005D0" w:rsidR="00856E9E" w:rsidRPr="0084736C" w:rsidRDefault="00856E9E" w:rsidP="00260D64">
      <w:pPr>
        <w:spacing w:line="480" w:lineRule="auto"/>
        <w:rPr>
          <w:rFonts w:ascii="Arial" w:eastAsia="Times New Roman" w:hAnsi="Arial" w:cs="Arial"/>
          <w:sz w:val="24"/>
          <w:szCs w:val="24"/>
        </w:rPr>
      </w:pPr>
      <w:r w:rsidRPr="0084736C">
        <w:rPr>
          <w:rFonts w:ascii="Arial" w:eastAsia="Times New Roman" w:hAnsi="Arial" w:cs="Arial"/>
          <w:sz w:val="24"/>
          <w:szCs w:val="24"/>
        </w:rPr>
        <w:t xml:space="preserve">Hence, instead of using </w:t>
      </w:r>
      <w:r w:rsidR="00C24C36">
        <w:rPr>
          <w:rFonts w:ascii="Arial" w:eastAsia="Times New Roman" w:hAnsi="Arial" w:cs="Arial"/>
          <w:sz w:val="24"/>
          <w:szCs w:val="24"/>
        </w:rPr>
        <w:t xml:space="preserve">the whole sequence of </w:t>
      </w:r>
      <w:r w:rsidRPr="0084736C">
        <w:rPr>
          <w:rFonts w:ascii="Arial" w:eastAsia="Times New Roman" w:hAnsi="Arial" w:cs="Arial"/>
          <w:sz w:val="24"/>
          <w:szCs w:val="24"/>
        </w:rPr>
        <w:t>amyloid peptide, amyloid mimicking peptides could be an alternative for understand</w:t>
      </w:r>
      <w:r w:rsidR="00C24C36">
        <w:rPr>
          <w:rFonts w:ascii="Arial" w:eastAsia="Times New Roman" w:hAnsi="Arial" w:cs="Arial"/>
          <w:sz w:val="24"/>
          <w:szCs w:val="24"/>
        </w:rPr>
        <w:t>ing</w:t>
      </w:r>
      <w:r w:rsidRPr="0084736C">
        <w:rPr>
          <w:rFonts w:ascii="Arial" w:eastAsia="Times New Roman" w:hAnsi="Arial" w:cs="Arial"/>
          <w:sz w:val="24"/>
          <w:szCs w:val="24"/>
        </w:rPr>
        <w:t xml:space="preserve"> the amyloid aggregation </w:t>
      </w:r>
      <w:r w:rsidR="00C24C36">
        <w:rPr>
          <w:rFonts w:ascii="Arial" w:eastAsia="Times New Roman" w:hAnsi="Arial" w:cs="Arial"/>
          <w:sz w:val="24"/>
          <w:szCs w:val="24"/>
        </w:rPr>
        <w:t>and</w:t>
      </w:r>
      <w:r w:rsidRPr="0084736C">
        <w:rPr>
          <w:rFonts w:ascii="Arial" w:eastAsia="Times New Roman" w:hAnsi="Arial" w:cs="Arial"/>
          <w:sz w:val="24"/>
          <w:szCs w:val="24"/>
        </w:rPr>
        <w:t xml:space="preserve"> study</w:t>
      </w:r>
      <w:r w:rsidR="00C24C36">
        <w:rPr>
          <w:rFonts w:ascii="Arial" w:eastAsia="Times New Roman" w:hAnsi="Arial" w:cs="Arial"/>
          <w:sz w:val="24"/>
          <w:szCs w:val="24"/>
        </w:rPr>
        <w:t>ing</w:t>
      </w:r>
      <w:r w:rsidRPr="0084736C">
        <w:rPr>
          <w:rFonts w:ascii="Arial" w:eastAsia="Times New Roman" w:hAnsi="Arial" w:cs="Arial"/>
          <w:sz w:val="24"/>
          <w:szCs w:val="24"/>
        </w:rPr>
        <w:t xml:space="preserve"> the intermolecular interactions with simplified models to find key residues that are responsible for toxicity.  Although</w:t>
      </w:r>
      <w:r w:rsidR="00C24C36">
        <w:rPr>
          <w:rFonts w:ascii="Arial" w:eastAsia="Times New Roman" w:hAnsi="Arial" w:cs="Arial"/>
          <w:sz w:val="24"/>
          <w:szCs w:val="24"/>
        </w:rPr>
        <w:t xml:space="preserve"> </w:t>
      </w:r>
      <w:r w:rsidRPr="0084736C">
        <w:rPr>
          <w:rFonts w:ascii="Arial" w:eastAsia="Times New Roman" w:hAnsi="Arial" w:cs="Arial"/>
          <w:sz w:val="24"/>
          <w:szCs w:val="24"/>
        </w:rPr>
        <w:t>key residues in amyloid-</w:t>
      </w:r>
      <w:r w:rsidRPr="0084736C">
        <w:rPr>
          <w:rFonts w:ascii="Symbol" w:eastAsia="Times New Roman" w:hAnsi="Symbol" w:cs="Arial"/>
          <w:sz w:val="24"/>
          <w:szCs w:val="24"/>
        </w:rPr>
        <w:t>b</w:t>
      </w:r>
      <w:r w:rsidRPr="0084736C">
        <w:rPr>
          <w:rFonts w:ascii="Arial" w:eastAsia="Times New Roman" w:hAnsi="Arial" w:cs="Arial"/>
          <w:sz w:val="24"/>
          <w:szCs w:val="24"/>
        </w:rPr>
        <w:t xml:space="preserve"> are defined as mentioned in the previous section, there is no or very limited research in the literature using those residues to correlate the toxicity and aggregation based on simplified models. Therefore, </w:t>
      </w:r>
      <w:r w:rsidR="00C24C36">
        <w:rPr>
          <w:rFonts w:ascii="Arial" w:eastAsia="Times New Roman" w:hAnsi="Arial" w:cs="Arial"/>
          <w:sz w:val="24"/>
          <w:szCs w:val="24"/>
        </w:rPr>
        <w:t xml:space="preserve">the </w:t>
      </w:r>
      <w:r w:rsidRPr="0084736C">
        <w:rPr>
          <w:rFonts w:ascii="Arial" w:eastAsia="Times New Roman" w:hAnsi="Arial" w:cs="Arial"/>
          <w:sz w:val="24"/>
          <w:szCs w:val="24"/>
        </w:rPr>
        <w:t>abovementioned examples</w:t>
      </w:r>
      <w:r w:rsidR="00497EBB">
        <w:rPr>
          <w:rFonts w:ascii="Arial" w:eastAsia="Times New Roman" w:hAnsi="Arial" w:cs="Arial"/>
          <w:sz w:val="24"/>
          <w:szCs w:val="24"/>
        </w:rPr>
        <w:t xml:space="preserve"> about aggregation and toxicity</w:t>
      </w:r>
      <w:r w:rsidRPr="0084736C">
        <w:rPr>
          <w:rFonts w:ascii="Arial" w:eastAsia="Times New Roman" w:hAnsi="Arial" w:cs="Arial"/>
          <w:sz w:val="24"/>
          <w:szCs w:val="24"/>
        </w:rPr>
        <w:t xml:space="preserve"> are mainly based on the change of amino acids in amyloid-</w:t>
      </w:r>
      <w:r w:rsidRPr="0084736C">
        <w:rPr>
          <w:rFonts w:ascii="Symbol" w:eastAsia="Times New Roman" w:hAnsi="Symbol" w:cs="Arial"/>
          <w:sz w:val="24"/>
          <w:szCs w:val="24"/>
        </w:rPr>
        <w:t>b</w:t>
      </w:r>
      <w:r w:rsidRPr="0084736C">
        <w:rPr>
          <w:rFonts w:ascii="Arial" w:eastAsia="Times New Roman" w:hAnsi="Arial" w:cs="Arial"/>
          <w:sz w:val="24"/>
          <w:szCs w:val="24"/>
        </w:rPr>
        <w:t xml:space="preserve"> protein. Nevertheless, it is still </w:t>
      </w:r>
      <w:r w:rsidR="00C24C36">
        <w:rPr>
          <w:rFonts w:ascii="Arial" w:eastAsia="Times New Roman" w:hAnsi="Arial" w:cs="Arial"/>
          <w:sz w:val="24"/>
          <w:szCs w:val="24"/>
        </w:rPr>
        <w:t>helpful</w:t>
      </w:r>
      <w:r w:rsidRPr="0084736C">
        <w:rPr>
          <w:rFonts w:ascii="Arial" w:eastAsia="Times New Roman" w:hAnsi="Arial" w:cs="Arial"/>
          <w:sz w:val="24"/>
          <w:szCs w:val="24"/>
        </w:rPr>
        <w:t xml:space="preserve"> to understand the key findings related </w:t>
      </w:r>
      <w:r w:rsidR="00C24C36">
        <w:rPr>
          <w:rFonts w:ascii="Arial" w:eastAsia="Times New Roman" w:hAnsi="Arial" w:cs="Arial"/>
          <w:sz w:val="24"/>
          <w:szCs w:val="24"/>
        </w:rPr>
        <w:t>to</w:t>
      </w:r>
      <w:r w:rsidRPr="0084736C">
        <w:rPr>
          <w:rFonts w:ascii="Arial" w:eastAsia="Times New Roman" w:hAnsi="Arial" w:cs="Arial"/>
          <w:sz w:val="24"/>
          <w:szCs w:val="24"/>
        </w:rPr>
        <w:t xml:space="preserve"> toxicity and </w:t>
      </w:r>
      <w:r w:rsidR="00C24C36">
        <w:rPr>
          <w:rFonts w:ascii="Arial" w:eastAsia="Times New Roman" w:hAnsi="Arial" w:cs="Arial"/>
          <w:sz w:val="24"/>
          <w:szCs w:val="24"/>
        </w:rPr>
        <w:t xml:space="preserve">the </w:t>
      </w:r>
      <w:r w:rsidRPr="0084736C">
        <w:rPr>
          <w:rFonts w:ascii="Arial" w:eastAsia="Times New Roman" w:hAnsi="Arial" w:cs="Arial"/>
          <w:sz w:val="24"/>
          <w:szCs w:val="24"/>
        </w:rPr>
        <w:t xml:space="preserve">aggregation process to create a peptide-based tool to study </w:t>
      </w:r>
      <w:r w:rsidR="00C24C36">
        <w:rPr>
          <w:rFonts w:ascii="Arial" w:eastAsia="Times New Roman" w:hAnsi="Arial" w:cs="Arial"/>
          <w:sz w:val="24"/>
          <w:szCs w:val="24"/>
        </w:rPr>
        <w:t xml:space="preserve">the </w:t>
      </w:r>
      <w:r w:rsidRPr="0084736C">
        <w:rPr>
          <w:rFonts w:ascii="Arial" w:eastAsia="Times New Roman" w:hAnsi="Arial" w:cs="Arial"/>
          <w:sz w:val="24"/>
          <w:szCs w:val="24"/>
        </w:rPr>
        <w:t>aggregation process.</w:t>
      </w:r>
    </w:p>
    <w:p w14:paraId="7E7E7BA6" w14:textId="12B7317C" w:rsidR="00260D64" w:rsidRDefault="004441C9">
      <w:pPr>
        <w:pStyle w:val="Heading2"/>
        <w:numPr>
          <w:ilvl w:val="1"/>
          <w:numId w:val="3"/>
        </w:numPr>
      </w:pPr>
      <w:bookmarkStart w:id="27" w:name="_Toc114946695"/>
      <w:bookmarkStart w:id="28" w:name="_Toc121134618"/>
      <w:r w:rsidRPr="004441C9">
        <w:lastRenderedPageBreak/>
        <w:t xml:space="preserve">Characterization </w:t>
      </w:r>
      <w:r w:rsidR="004367B3">
        <w:t>T</w:t>
      </w:r>
      <w:r w:rsidRPr="004441C9">
        <w:t>echniques</w:t>
      </w:r>
      <w:bookmarkEnd w:id="27"/>
      <w:r w:rsidR="006D7140">
        <w:t xml:space="preserve"> </w:t>
      </w:r>
      <w:r w:rsidR="00537A6E">
        <w:t>of Peptide Assembly</w:t>
      </w:r>
      <w:bookmarkEnd w:id="28"/>
    </w:p>
    <w:p w14:paraId="2CEAE2DB" w14:textId="77777777" w:rsidR="0084736C" w:rsidRPr="0084736C" w:rsidRDefault="0084736C" w:rsidP="0084736C"/>
    <w:p w14:paraId="79CC7A04" w14:textId="00C5BA75" w:rsidR="006A76AC" w:rsidRPr="0084736C" w:rsidRDefault="00260D64" w:rsidP="005B4478">
      <w:pPr>
        <w:spacing w:line="480" w:lineRule="auto"/>
        <w:rPr>
          <w:rFonts w:ascii="Arial" w:eastAsia="EB Garamond" w:hAnsi="Arial" w:cs="Arial"/>
          <w:iCs/>
          <w:sz w:val="24"/>
          <w:szCs w:val="24"/>
        </w:rPr>
      </w:pPr>
      <w:r w:rsidRPr="0084736C">
        <w:rPr>
          <w:rFonts w:ascii="Arial" w:eastAsia="EB Garamond" w:hAnsi="Arial" w:cs="Arial"/>
          <w:iCs/>
          <w:sz w:val="24"/>
          <w:szCs w:val="24"/>
        </w:rPr>
        <w:t>Different nanostructures can form with peptide assembly, which is crucial interest in biomaterials due to biocompatibility and other functionalities for biotechnological applications such as antimicrobial activities, tissue engineering</w:t>
      </w:r>
      <w:r w:rsidR="00C24C36">
        <w:rPr>
          <w:rFonts w:ascii="Arial" w:eastAsia="EB Garamond" w:hAnsi="Arial" w:cs="Arial"/>
          <w:iCs/>
          <w:sz w:val="24"/>
          <w:szCs w:val="24"/>
        </w:rPr>
        <w:t xml:space="preserve">, and </w:t>
      </w:r>
      <w:r w:rsidRPr="0084736C">
        <w:rPr>
          <w:rFonts w:ascii="Arial" w:eastAsia="EB Garamond" w:hAnsi="Arial" w:cs="Arial"/>
          <w:iCs/>
          <w:sz w:val="24"/>
          <w:szCs w:val="24"/>
        </w:rPr>
        <w:t>drug and gene delivery.</w:t>
      </w:r>
      <w:r w:rsidRPr="0084736C">
        <w:rPr>
          <w:rFonts w:ascii="Arial" w:eastAsia="EB Garamond" w:hAnsi="Arial" w:cs="Arial"/>
          <w:iCs/>
          <w:sz w:val="24"/>
          <w:szCs w:val="24"/>
        </w:rPr>
        <w:fldChar w:fldCharType="begin"/>
      </w:r>
      <w:r w:rsidR="008F09C1">
        <w:rPr>
          <w:rFonts w:ascii="Arial" w:eastAsia="EB Garamond" w:hAnsi="Arial" w:cs="Arial"/>
          <w:iCs/>
          <w:sz w:val="24"/>
          <w:szCs w:val="24"/>
        </w:rPr>
        <w:instrText xml:space="preserve"> ADDIN ZOTERO_ITEM CSL_CITATION {"citationID":"AFnWKDFp","properties":{"formattedCitation":"\\super 68\\nosupersub{}","plainCitation":"68","noteIndex":0},"citationItems":[{"id":307,"uris":["http://zotero.org/users/5797676/items/2ECF69JG"],"itemData":{"id":307,"type":"article-journal","abstract":"Short synthetic peptide amphiphiles have recently been explored as effective nanobiomaterials in applications ranging from controlled gene and drug release, skin care, nanofabrication, biomineralization, membrane protein stabilization to 3D cell culture and tissue engineering. This range of applications is heavily linked to their unique nanostructures, remarkable simplicity and biocompatibility. Some peptide amphiphiles also possess antimicrobial activities whilst remaining benign to mammalian cells. These attractive features are inherently related to their selective affinity to different membrane interfaces, high capacity for interfacial adsorption, nanostructuring and spontaneous formation of nano-assemblies. Apart from sizes, the primary sequences of short peptides are very diverse as they can be either biomimetic or de novo designed. Thus, their self-assembling mechanistic processes and the nanostructures also vary enormously. This critical review highlights recent advances in studying peptide amphiphiles, focusing on the formation of different nanostructures and their applications in diverse fields. Many interesting features learned from peptide self-organisation and hierarchical templating will serve as useful guidance for functional materials design and nanobiotechnology (123 references).","container-title":"Chemical Society Reviews","DOI":"10.1039/B915923C","ISSN":"1460-4744","issue":"9","journalAbbreviation":"Chem. Soc. Rev.","language":"en","note":"publisher: The Royal Society of Chemistry","page":"3480-3498","source":"pubs.rsc.org","title":"Molecular self-assembly and applications of designer peptide amphiphiles","URL":"https://pubs.rsc.org/en/content/articlelanding/2010/cs/b915923c","volume":"39","author":[{"family":"Zhao","given":"Xiubo"},{"family":"Pan","given":"Fang"},{"family":"Xu","given":"Hai"},{"family":"Yaseen","given":"Mohammed"},{"family":"Shan","given":"Honghong"},{"family":"Hauser","given":"Charlotte A. E."},{"family":"Zhang","given":"Shuguang"},{"family":"Lu","given":"Jian R."}],"accessed":{"date-parts":[["2020",8,9]]},"issued":{"date-parts":[["2010",8,18]]},"citation-key":"zhaoMolecularSelfassemblyApplications2010"}}],"schema":"https://github.com/citation-style-language/schema/raw/master/csl-citation.json"} </w:instrText>
      </w:r>
      <w:r w:rsidRPr="0084736C">
        <w:rPr>
          <w:rFonts w:ascii="Arial" w:eastAsia="EB Garamond" w:hAnsi="Arial" w:cs="Arial"/>
          <w:iCs/>
          <w:sz w:val="24"/>
          <w:szCs w:val="24"/>
        </w:rPr>
        <w:fldChar w:fldCharType="separate"/>
      </w:r>
      <w:r w:rsidR="008F09C1" w:rsidRPr="008F09C1">
        <w:rPr>
          <w:rFonts w:ascii="Arial" w:hAnsi="Arial" w:cs="Arial"/>
          <w:sz w:val="24"/>
          <w:vertAlign w:val="superscript"/>
        </w:rPr>
        <w:t>68</w:t>
      </w:r>
      <w:r w:rsidRPr="0084736C">
        <w:rPr>
          <w:rFonts w:ascii="Arial" w:eastAsia="EB Garamond" w:hAnsi="Arial" w:cs="Arial"/>
          <w:iCs/>
          <w:sz w:val="24"/>
          <w:szCs w:val="24"/>
        </w:rPr>
        <w:fldChar w:fldCharType="end"/>
      </w:r>
      <w:r w:rsidRPr="0084736C">
        <w:rPr>
          <w:rFonts w:ascii="Arial" w:eastAsia="EB Garamond" w:hAnsi="Arial" w:cs="Arial"/>
          <w:iCs/>
          <w:sz w:val="24"/>
          <w:szCs w:val="24"/>
        </w:rPr>
        <w:t xml:space="preserve"> As discussed, amino acids have a variety of physical properties such as polarity, charge, and hydrophobicity. Those characteristics give a unique feature to peptides in terms of secondary structures leading to different mechanical, chemical and physical properties.</w:t>
      </w:r>
      <w:r w:rsidRPr="0084736C">
        <w:rPr>
          <w:rFonts w:ascii="Arial" w:eastAsia="EB Garamond" w:hAnsi="Arial" w:cs="Arial"/>
          <w:iCs/>
          <w:sz w:val="24"/>
          <w:szCs w:val="24"/>
        </w:rPr>
        <w:fldChar w:fldCharType="begin"/>
      </w:r>
      <w:r w:rsidR="008F09C1">
        <w:rPr>
          <w:rFonts w:ascii="Arial" w:eastAsia="EB Garamond" w:hAnsi="Arial" w:cs="Arial"/>
          <w:iCs/>
          <w:sz w:val="24"/>
          <w:szCs w:val="24"/>
        </w:rPr>
        <w:instrText xml:space="preserve"> ADDIN ZOTERO_ITEM CSL_CITATION {"citationID":"6epVL7Tf","properties":{"formattedCitation":"\\super 69\\nosupersub{}","plainCitation":"69","noteIndex":0},"citationItems":[{"id":306,"uris":["http://zotero.org/users/5797676/items/GJL22TSQ"],"itemData":{"id":306,"type":"article-journal","abstract":"Owing to their structural simplicity and robust self-assembled nanostructures, short peptides prove to be an ideal system to explore the physical processes of self-assembly, hydrogels, semi-flexible polymers, quenched disorder, and reptation. Rational design in peptide sequences facilitates cost-effective manufacturing, but the huge number of possible peptides has imposed obstacles for their characterization to establish functional connections to the primary, secondary, and tertiary structures. This review aims to cover recent advances in the self-assembly of designed short peptides, with a focus on physical driving forces, design rules, characterization methods, and exemplar applications. Super-resolution microscopy in combination with modern image analysis have been applied to quantify the structure and dynamics of peptide hydrogels, while small-angle neutron scattering and solid-state nuclear magnetic resonance continue to provide valuable information on structures over complementary length scales. Short peptides are attractive in biomedicine and nanotechnology, e.g., as antimicrobials, anticancer agents, vehicles for controlled drug release, peptide bioelectronics, and responsive cell culture materials.","collection-title":"Surfactants","container-title":"Current Opinion in Colloid &amp; Interface Science","DOI":"10.1016/j.cocis.2019.08.003","ISSN":"1359-0294","journalAbbreviation":"Current Opinion in Colloid &amp; Interface Science","language":"en","page":"1-13","source":"ScienceDirect","title":"Recent advances in short peptide self-assembly: from rational design to novel applications","title-short":"Recent advances in short peptide self-assembly","URL":"http://www.sciencedirect.com/science/article/pii/S1359029419300366","volume":"45","author":[{"family":"Hu","given":"Xuzhi"},{"family":"Liao","given":"Mingrui"},{"family":"Gong","given":"Haoning"},{"family":"Zhang","given":"Lin"},{"family":"Cox","given":"Henry"},{"family":"Waigh","given":"Thomas A."},{"family":"Lu","given":"Jian R."}],"accessed":{"date-parts":[["2020",8,9]]},"issued":{"date-parts":[["2020",2,1]]},"citation-key":"hu_recent_2020"}}],"schema":"https://github.com/citation-style-language/schema/raw/master/csl-citation.json"} </w:instrText>
      </w:r>
      <w:r w:rsidRPr="0084736C">
        <w:rPr>
          <w:rFonts w:ascii="Arial" w:eastAsia="EB Garamond" w:hAnsi="Arial" w:cs="Arial"/>
          <w:iCs/>
          <w:sz w:val="24"/>
          <w:szCs w:val="24"/>
        </w:rPr>
        <w:fldChar w:fldCharType="separate"/>
      </w:r>
      <w:r w:rsidR="008F09C1" w:rsidRPr="008F09C1">
        <w:rPr>
          <w:rFonts w:ascii="Arial" w:hAnsi="Arial" w:cs="Arial"/>
          <w:sz w:val="24"/>
          <w:vertAlign w:val="superscript"/>
        </w:rPr>
        <w:t>69</w:t>
      </w:r>
      <w:r w:rsidRPr="0084736C">
        <w:rPr>
          <w:rFonts w:ascii="Arial" w:eastAsia="EB Garamond" w:hAnsi="Arial" w:cs="Arial"/>
          <w:iCs/>
          <w:sz w:val="24"/>
          <w:szCs w:val="24"/>
        </w:rPr>
        <w:fldChar w:fldCharType="end"/>
      </w:r>
      <w:r w:rsidRPr="0084736C">
        <w:rPr>
          <w:rFonts w:ascii="Arial" w:eastAsia="EB Garamond" w:hAnsi="Arial" w:cs="Arial"/>
          <w:iCs/>
          <w:sz w:val="24"/>
          <w:szCs w:val="24"/>
        </w:rPr>
        <w:t xml:space="preserve"> Furthermore, </w:t>
      </w:r>
      <w:r w:rsidR="00C24C36">
        <w:rPr>
          <w:rFonts w:ascii="Arial" w:eastAsia="EB Garamond" w:hAnsi="Arial" w:cs="Arial"/>
          <w:iCs/>
          <w:sz w:val="24"/>
          <w:szCs w:val="24"/>
        </w:rPr>
        <w:t>environmental differences can also change those structures</w:t>
      </w:r>
      <w:r w:rsidRPr="0084736C">
        <w:rPr>
          <w:rFonts w:ascii="Arial" w:eastAsia="EB Garamond" w:hAnsi="Arial" w:cs="Arial"/>
          <w:iCs/>
          <w:sz w:val="24"/>
          <w:szCs w:val="24"/>
        </w:rPr>
        <w:t>, including pH, temperature, and enzymatic reactions for desired applications. Therefore, it is essential to analyze the effect of int</w:t>
      </w:r>
      <w:r w:rsidR="00A56065" w:rsidRPr="0084736C">
        <w:rPr>
          <w:rFonts w:ascii="Arial" w:eastAsia="EB Garamond" w:hAnsi="Arial" w:cs="Arial"/>
          <w:iCs/>
          <w:sz w:val="24"/>
          <w:szCs w:val="24"/>
        </w:rPr>
        <w:t>er</w:t>
      </w:r>
      <w:r w:rsidRPr="0084736C">
        <w:rPr>
          <w:rFonts w:ascii="Arial" w:eastAsia="EB Garamond" w:hAnsi="Arial" w:cs="Arial"/>
          <w:iCs/>
          <w:sz w:val="24"/>
          <w:szCs w:val="24"/>
        </w:rPr>
        <w:t>molecular forces, which are part of the dynamic process of peptide assembly or aggregation</w:t>
      </w:r>
      <w:r w:rsidR="00C24C36">
        <w:rPr>
          <w:rFonts w:ascii="Arial" w:eastAsia="EB Garamond" w:hAnsi="Arial" w:cs="Arial"/>
          <w:iCs/>
          <w:sz w:val="24"/>
          <w:szCs w:val="24"/>
        </w:rPr>
        <w:t xml:space="preserve"> process</w:t>
      </w:r>
      <w:r w:rsidRPr="0084736C">
        <w:rPr>
          <w:rFonts w:ascii="Arial" w:eastAsia="EB Garamond" w:hAnsi="Arial" w:cs="Arial"/>
          <w:iCs/>
          <w:sz w:val="24"/>
          <w:szCs w:val="24"/>
        </w:rPr>
        <w:t xml:space="preserve">. In this part, the characterization techniques of peptide assembly will be discussed with recent studies. </w:t>
      </w:r>
    </w:p>
    <w:p w14:paraId="5605756C" w14:textId="7DD293EA" w:rsidR="00260D64" w:rsidRPr="0084736C" w:rsidRDefault="00260D64">
      <w:pPr>
        <w:pStyle w:val="Heading3"/>
        <w:numPr>
          <w:ilvl w:val="2"/>
          <w:numId w:val="10"/>
        </w:numPr>
        <w:rPr>
          <w:rFonts w:eastAsia="EB Garamond"/>
        </w:rPr>
      </w:pPr>
      <w:bookmarkStart w:id="29" w:name="_Toc114946696"/>
      <w:bookmarkStart w:id="30" w:name="_Toc121134619"/>
      <w:r w:rsidRPr="0084736C">
        <w:rPr>
          <w:rFonts w:eastAsia="EB Garamond"/>
        </w:rPr>
        <w:t xml:space="preserve">Spectroscopic </w:t>
      </w:r>
      <w:r w:rsidR="004367B3">
        <w:rPr>
          <w:rFonts w:eastAsia="EB Garamond"/>
        </w:rPr>
        <w:t>M</w:t>
      </w:r>
      <w:r w:rsidRPr="0084736C">
        <w:rPr>
          <w:rFonts w:eastAsia="EB Garamond"/>
        </w:rPr>
        <w:t>ethods</w:t>
      </w:r>
      <w:bookmarkEnd w:id="29"/>
      <w:bookmarkEnd w:id="30"/>
    </w:p>
    <w:p w14:paraId="3461857B" w14:textId="77777777" w:rsidR="00260D64" w:rsidRPr="0084736C" w:rsidRDefault="00260D64" w:rsidP="00260D64">
      <w:pPr>
        <w:rPr>
          <w:sz w:val="24"/>
          <w:szCs w:val="24"/>
        </w:rPr>
      </w:pPr>
    </w:p>
    <w:p w14:paraId="2A76A187" w14:textId="2949DCE1" w:rsidR="00260D64" w:rsidRPr="0084736C" w:rsidRDefault="00260D64" w:rsidP="00542522">
      <w:pPr>
        <w:spacing w:line="480" w:lineRule="auto"/>
        <w:rPr>
          <w:rFonts w:ascii="Arial" w:hAnsi="Arial" w:cs="Arial"/>
          <w:color w:val="000000" w:themeColor="text1"/>
          <w:sz w:val="24"/>
          <w:szCs w:val="24"/>
        </w:rPr>
      </w:pPr>
      <w:r w:rsidRPr="0084736C">
        <w:rPr>
          <w:rFonts w:ascii="Arial" w:hAnsi="Arial" w:cs="Arial"/>
          <w:color w:val="000000" w:themeColor="text1"/>
          <w:sz w:val="24"/>
          <w:szCs w:val="24"/>
        </w:rPr>
        <w:t>Spectroscopic tools provide information at the global or atomic level based on the measur</w:t>
      </w:r>
      <w:r w:rsidR="00C24C36">
        <w:rPr>
          <w:rFonts w:ascii="Arial" w:hAnsi="Arial" w:cs="Arial"/>
          <w:color w:val="000000" w:themeColor="text1"/>
          <w:sz w:val="24"/>
          <w:szCs w:val="24"/>
        </w:rPr>
        <w:t>ing</w:t>
      </w:r>
      <w:r w:rsidRPr="0084736C">
        <w:rPr>
          <w:rFonts w:ascii="Arial" w:hAnsi="Arial" w:cs="Arial"/>
          <w:color w:val="000000" w:themeColor="text1"/>
          <w:sz w:val="24"/>
          <w:szCs w:val="24"/>
        </w:rPr>
        <w:t xml:space="preserve"> the electromagnetic radiation (i.e.</w:t>
      </w:r>
      <w:r w:rsidR="00C24C36">
        <w:rPr>
          <w:rFonts w:ascii="Arial" w:hAnsi="Arial" w:cs="Arial"/>
          <w:color w:val="000000" w:themeColor="text1"/>
          <w:sz w:val="24"/>
          <w:szCs w:val="24"/>
        </w:rPr>
        <w:t>,</w:t>
      </w:r>
      <w:r w:rsidRPr="0084736C">
        <w:rPr>
          <w:rFonts w:ascii="Arial" w:hAnsi="Arial" w:cs="Arial"/>
          <w:color w:val="000000" w:themeColor="text1"/>
          <w:sz w:val="24"/>
          <w:szCs w:val="24"/>
        </w:rPr>
        <w:t xml:space="preserve"> light) produced, </w:t>
      </w:r>
      <w:r w:rsidR="00C24C36" w:rsidRPr="0084736C">
        <w:rPr>
          <w:rFonts w:ascii="Arial" w:hAnsi="Arial" w:cs="Arial"/>
          <w:color w:val="000000" w:themeColor="text1"/>
          <w:sz w:val="24"/>
          <w:szCs w:val="24"/>
        </w:rPr>
        <w:t>absorbed,</w:t>
      </w:r>
      <w:r w:rsidRPr="0084736C">
        <w:rPr>
          <w:rFonts w:ascii="Arial" w:hAnsi="Arial" w:cs="Arial"/>
          <w:color w:val="000000" w:themeColor="text1"/>
          <w:sz w:val="24"/>
          <w:szCs w:val="24"/>
        </w:rPr>
        <w:t xml:space="preserve"> or scattered by matter. In peptide assembly, absorption spectroscopy techniques, which use electromagnetic spectra in which substance absorbs, are widely used to determine secondary structures such as infrared (IR), nuclear magnetic (NMR) spectroscopy and circular dichroism (CD). </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{"citationID":"w6joNMFd","properties":{"formattedCitation":"\\super 70\\nosupersub{}","plainCitation":"70","noteIndex":0},"citationItems":[{"id":182,"uris":["http://zotero.org/users/5797676/items/E3V5LKSQ"],"itemData":{"id":182,"type":"article-journal","container-title":"Nanotechnology","DOI":"10.1088/0957-4484/27/40/402002","page":"1-37","title":"Self-assembled peptide nanostructures for functional materials","URL":"http://dx.doi.org/10.1088/0957-4484/27/40/402002","volume":"27","author":[{"family":"Sardan Ekiz","given":"Melis"},{"family":"Cinar","given":"Goksu"},{"family":"Khalily","given":"Mohammed Aref"},{"family":"Guler","given":"Mustafa O."}],"issued":{"date-parts":[["2016"]]},"citation-key":"sardanekizSelfassembledPeptideNanostructures2016"}}],"schema":"https://github.com/citation-style-language/schema/raw/master/csl-citation.json"}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70</w:t>
      </w:r>
      <w:r w:rsidRPr="0084736C">
        <w:rPr>
          <w:rFonts w:ascii="Arial" w:hAnsi="Arial" w:cs="Arial"/>
          <w:color w:val="000000" w:themeColor="text1"/>
          <w:sz w:val="24"/>
          <w:szCs w:val="24"/>
        </w:rPr>
        <w:fldChar w:fldCharType="end"/>
      </w:r>
    </w:p>
    <w:p w14:paraId="241F8419" w14:textId="71DBA033" w:rsidR="00260D64" w:rsidRPr="0084736C" w:rsidRDefault="00260D64" w:rsidP="00542522">
      <w:pPr>
        <w:spacing w:line="480" w:lineRule="auto"/>
        <w:rPr>
          <w:rFonts w:ascii="Arial" w:hAnsi="Arial" w:cs="Arial"/>
          <w:color w:val="000000" w:themeColor="text1"/>
          <w:sz w:val="24"/>
          <w:szCs w:val="24"/>
        </w:rPr>
      </w:pPr>
      <w:r w:rsidRPr="0084736C">
        <w:rPr>
          <w:rFonts w:ascii="Arial" w:hAnsi="Arial" w:cs="Arial"/>
          <w:color w:val="000000" w:themeColor="text1"/>
          <w:sz w:val="24"/>
          <w:szCs w:val="24"/>
        </w:rPr>
        <w:t>IR results from energy</w:t>
      </w:r>
      <w:r w:rsidR="00C24C36">
        <w:rPr>
          <w:rFonts w:ascii="Arial" w:hAnsi="Arial" w:cs="Arial"/>
          <w:color w:val="000000" w:themeColor="text1"/>
          <w:sz w:val="24"/>
          <w:szCs w:val="24"/>
        </w:rPr>
        <w:t xml:space="preserve"> absorption</w:t>
      </w:r>
      <w:r w:rsidRPr="0084736C">
        <w:rPr>
          <w:rFonts w:ascii="Arial" w:hAnsi="Arial" w:cs="Arial"/>
          <w:color w:val="000000" w:themeColor="text1"/>
          <w:sz w:val="24"/>
          <w:szCs w:val="24"/>
        </w:rPr>
        <w:t xml:space="preserve"> by vibrating chemical bonds in the molecule so that each bond can vibrate in different ways such as stretching or bending motions and absorb in different wavelengths.</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{"citationID":"o0dumGWo","properties":{"formattedCitation":"\\super 71\\nosupersub{}","plainCitation":"71","noteIndex":0},"citationItems":[{"id":304,"uris":["http://zotero.org/users/5797676/items/ILM3TI9H"],"itemData":{"id":304,"type":"book","abstract":"A bestselling classic reference, now expanded and updated to cover the latest instrumentation, methods, and applications The Second Edition of Fourier Transform Infrared Spectrometry brings this core reference up to date on the uses of FT-IR spectrometers today. The book starts with an in-depth description of the theory and current instrumentation of FT-IR spectrometry, with full chapters devoted to signal-to-noise ratio and photometric accuracy. Many diverse types of sampling techniques and data processing routines, most of which can be performed on even the less expensive instruments, are then described. Extensively updated, the Second Edition: * Discusses improvements in optical components * Features a full chapter on FT Raman Spectrometry * Contains new chapters that focus on different ways of measuring spectra by FT-IR spectrometry, including fourteen chapters on such techniques as microspectroscopy, internal and external reflection, and emission and photoacoustic spectrometry * Includes a new chapter introducing the theory of vibrational spectrometry * Organizes material according to sampling techniques Designed to help practitioners using FT-IR capitalize on the plethora of techniques for modern FT-IR spectrometry and plan their experimental procedures correctly, this is a practical, hands-on reference for chemists and analysts. Its also a great resource for students who need to understand the theory, instrumentation, and applications of FT-IR.","edition":"2nd Edition","language":"en-us","publisher":"John Wiley &amp; Sons","title":"Fourier Transform Infrared Spectrometry,","URL":"https://www.wiley.com/en-us/Fourier+Transform+Infrared+Spectrometry%2C+2nd+Edition-p-9780471194040","author":[{"family":"Griffiths","given":"Peter R."},{"family":"Haseth","given":"James A. De"}],"accessed":{"date-parts":[["2020",8,9]]},"issued":{"date-parts":[["2007"]]},"citation-key":"griffithsFourierTransformInfrared2007"}}],"schema":"https://github.com/citation-style-language/schema/raw/master/csl-citation.json"}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71</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These vibrational modes, which intermolecular forces</w:t>
      </w:r>
      <w:r w:rsidR="00C24C36">
        <w:rPr>
          <w:rFonts w:ascii="Arial" w:hAnsi="Arial" w:cs="Arial"/>
          <w:color w:val="000000" w:themeColor="text1"/>
          <w:sz w:val="24"/>
          <w:szCs w:val="24"/>
        </w:rPr>
        <w:t xml:space="preserve"> can </w:t>
      </w:r>
      <w:r w:rsidR="00C24C36">
        <w:rPr>
          <w:rFonts w:ascii="Arial" w:hAnsi="Arial" w:cs="Arial"/>
          <w:color w:val="000000" w:themeColor="text1"/>
          <w:sz w:val="24"/>
          <w:szCs w:val="24"/>
        </w:rPr>
        <w:lastRenderedPageBreak/>
        <w:t>influence</w:t>
      </w:r>
      <w:r w:rsidRPr="0084736C">
        <w:rPr>
          <w:rFonts w:ascii="Arial" w:hAnsi="Arial" w:cs="Arial"/>
          <w:color w:val="000000" w:themeColor="text1"/>
          <w:sz w:val="24"/>
          <w:szCs w:val="24"/>
        </w:rPr>
        <w:t xml:space="preserve">, </w:t>
      </w:r>
      <w:r w:rsidR="00C24C36">
        <w:rPr>
          <w:rFonts w:ascii="Arial" w:hAnsi="Arial" w:cs="Arial"/>
          <w:color w:val="000000" w:themeColor="text1"/>
          <w:sz w:val="24"/>
          <w:szCs w:val="24"/>
        </w:rPr>
        <w:t>can be</w:t>
      </w:r>
      <w:r w:rsidRPr="0084736C">
        <w:rPr>
          <w:rFonts w:ascii="Arial" w:hAnsi="Arial" w:cs="Arial"/>
          <w:color w:val="000000" w:themeColor="text1"/>
          <w:sz w:val="24"/>
          <w:szCs w:val="24"/>
        </w:rPr>
        <w:t xml:space="preserve"> quantitively measured by Fourier transform IR (FTIR) spectroscopy </w:t>
      </w:r>
      <w:r w:rsidR="00C24C36">
        <w:rPr>
          <w:rFonts w:ascii="Arial" w:hAnsi="Arial" w:cs="Arial"/>
          <w:color w:val="000000" w:themeColor="text1"/>
          <w:sz w:val="24"/>
          <w:szCs w:val="24"/>
        </w:rPr>
        <w:t>in</w:t>
      </w:r>
      <w:r w:rsidRPr="0084736C">
        <w:rPr>
          <w:rFonts w:ascii="Arial" w:hAnsi="Arial" w:cs="Arial"/>
          <w:color w:val="000000" w:themeColor="text1"/>
          <w:sz w:val="24"/>
          <w:szCs w:val="24"/>
        </w:rPr>
        <w:t xml:space="preserve"> a non-destructive manner. </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{"citationID":"eR1QpuOa","properties":{"formattedCitation":"\\super 72\\nosupersub{}","plainCitation":"72","noteIndex":0},"citationItems":[{"id":301,"uris":["http://zotero.org/users/5797676/items/GXJPQD97"],"itemData":{"id":301,"type":"article-journal","abstract":"This protocol describes how in-solution protein FTIR can be used to obtain information about the relative contributions of α-helices, β-sheets, β-turn, and random coil structures to a protein's secondary structure.","container-title":"Nature Protocols","DOI":"10.1038/nprot.2015.024","ISSN":"1750-2799","issue":"3","language":"en","license":"2015 Nature Publishing Group, a division of Macmillan Publishers Limited. All Rights Reserved.","note":"number: 3\npublisher: Nature Publishing Group","page":"382-396","source":"www.nature.com","title":"Obtaining information about protein secondary structures in aqueous solution using Fourier transform IR spectroscopy","URL":"https://www.nature.com/articles/nprot.2015.024","volume":"10","author":[{"family":"Yang","given":"Huayan"},{"family":"Yang","given":"Shouning"},{"family":"Kong","given":"Jilie"},{"family":"Dong","given":"Aichun"},{"family":"Yu","given":"Shaoning"}],"accessed":{"date-parts":[["2020",8,9]]},"issued":{"date-parts":[["2015",3]]},"citation-key":"yangObtainingInformationProtein2015"}}],"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72</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In peptide self-assembly, amide I and II are major bands to analyze in </w:t>
      </w:r>
      <w:r w:rsidR="00C24C36">
        <w:rPr>
          <w:rFonts w:ascii="Arial" w:hAnsi="Arial" w:cs="Arial"/>
          <w:color w:val="000000" w:themeColor="text1"/>
          <w:sz w:val="24"/>
          <w:szCs w:val="24"/>
        </w:rPr>
        <w:t xml:space="preserve">the </w:t>
      </w:r>
      <w:r w:rsidRPr="0084736C">
        <w:rPr>
          <w:rFonts w:ascii="Arial" w:hAnsi="Arial" w:cs="Arial"/>
          <w:color w:val="000000" w:themeColor="text1"/>
          <w:sz w:val="24"/>
          <w:szCs w:val="24"/>
        </w:rPr>
        <w:t>spectrum. The most sensitive region towards secondary structure is amide I (1600-1700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xml:space="preserve">) which results from C=O stretching </w:t>
      </w:r>
      <w:r w:rsidR="00C24C36">
        <w:rPr>
          <w:rFonts w:ascii="Arial" w:hAnsi="Arial" w:cs="Arial"/>
          <w:color w:val="000000" w:themeColor="text1"/>
          <w:sz w:val="24"/>
          <w:szCs w:val="24"/>
        </w:rPr>
        <w:t>in the</w:t>
      </w:r>
      <w:r w:rsidRPr="0084736C">
        <w:rPr>
          <w:rFonts w:ascii="Arial" w:hAnsi="Arial" w:cs="Arial"/>
          <w:color w:val="000000" w:themeColor="text1"/>
          <w:sz w:val="24"/>
          <w:szCs w:val="24"/>
        </w:rPr>
        <w:t xml:space="preserve"> amide group </w:t>
      </w:r>
      <w:r w:rsidR="00C24C36">
        <w:rPr>
          <w:rFonts w:ascii="Arial" w:hAnsi="Arial" w:cs="Arial"/>
          <w:color w:val="000000" w:themeColor="text1"/>
          <w:sz w:val="24"/>
          <w:szCs w:val="24"/>
        </w:rPr>
        <w:t>of</w:t>
      </w:r>
      <w:r w:rsidRPr="0084736C">
        <w:rPr>
          <w:rFonts w:ascii="Arial" w:hAnsi="Arial" w:cs="Arial"/>
          <w:color w:val="000000" w:themeColor="text1"/>
          <w:sz w:val="24"/>
          <w:szCs w:val="24"/>
        </w:rPr>
        <w:t xml:space="preserve"> peptide backbone.</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{"citationID":"zIecydjg","properties":{"formattedCitation":"\\super 73\\nosupersub{}","plainCitation":"73","noteIndex":0},"citationItems":[{"id":303,"uris":["http://zotero.org/users/5797676/items/XCHWHIUM"],"itemData":{"id":303,"type":"article-journal","abstract":"The vibrational spectrum of a molecule is determined by its three-dimensional structure and its vibrational force field. An analysis of this (usually infrared (IR) and Raman) spectrum can therefore provide information on the structure and on intramolecular and intermolecular interactions. The more probing the analysis, the more detailed is the information that can be obtained. Detailed analyses of the vibrational spectra of macromolecules, however, have provided a deeper understanding of structure and interactions in these systems. An important advance in this direction for proteins came with the determination of the normal modes of vibration of the peptide group in N-methylacetamide, and the characterization of several specific amide vibrations in polypeptide systems. Extensive use has been made of spectra-structure correlations based on some of these amide modes, including attempts to determine secondary structure composition in proteins. Polypeptide molecules exhibit many more vibrational frequencies than the amide modes. Over the years, some normal-mode calculations have provided greater insight into the spectra of particular molecules. However, these have often been based on approximate structures or have employed limited force fields. These force fields can now serve as a basis for detailed analyses of spectral and structural questions in other polypeptide molecules. The aim of this chapter is to present these recent developments in the vibrational spectroscopy of peptides, polypeptides, and proteins.","container-title":"Advances in Protein Chemistry","DOI":"10.1016/S0065-3233(08)60528-8","language":"en","page":"181-364","source":"ScienceDirect","title":"Vibrational Spectroscopy and Conformation of Peptides, Polypeptides, and Proteins","URL":"http://www.sciencedirect.com/science/article/pii/S0065323308605288","volume":"38","author":[{"family":"Krimm","given":"Samuel"},{"family":"Bandekar","given":"Jagdeesh"}],"accessed":{"date-parts":[["2020",8,9]]},"issued":{"date-parts":[["1986",1,1]]},"citation-key":"krimmVibrationalSpectroscopyConformation1986"}}],"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73</w:t>
      </w:r>
      <w:r w:rsidRPr="0084736C">
        <w:rPr>
          <w:rFonts w:ascii="Arial" w:hAnsi="Arial" w:cs="Arial"/>
          <w:color w:val="000000" w:themeColor="text1"/>
          <w:sz w:val="24"/>
          <w:szCs w:val="24"/>
        </w:rPr>
        <w:fldChar w:fldCharType="end"/>
      </w:r>
      <w:r w:rsidR="00C24C36">
        <w:rPr>
          <w:rFonts w:ascii="Arial" w:hAnsi="Arial" w:cs="Arial"/>
          <w:color w:val="000000" w:themeColor="text1"/>
          <w:sz w:val="24"/>
          <w:szCs w:val="24"/>
        </w:rPr>
        <w:t xml:space="preserve"> </w:t>
      </w:r>
      <w:r w:rsidRPr="0084736C">
        <w:rPr>
          <w:rFonts w:ascii="Arial" w:hAnsi="Arial" w:cs="Arial"/>
          <w:color w:val="000000" w:themeColor="text1"/>
          <w:sz w:val="24"/>
          <w:szCs w:val="24"/>
        </w:rPr>
        <w:t xml:space="preserve">Depending on the secondary structures: </w:t>
      </w:r>
      <w:r w:rsidRPr="00C24C36">
        <w:rPr>
          <w:rFonts w:ascii="Symbol" w:hAnsi="Symbol" w:cs="Arial"/>
          <w:color w:val="000000" w:themeColor="text1"/>
          <w:sz w:val="24"/>
          <w:szCs w:val="24"/>
        </w:rPr>
        <w:t>a</w:t>
      </w:r>
      <w:r w:rsidRPr="0084736C">
        <w:rPr>
          <w:rFonts w:ascii="Arial" w:hAnsi="Arial" w:cs="Arial"/>
          <w:color w:val="000000" w:themeColor="text1"/>
          <w:sz w:val="24"/>
          <w:szCs w:val="24"/>
        </w:rPr>
        <w:t>-helical formation has strong amide I between 1650-1655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xml:space="preserve"> while </w:t>
      </w:r>
      <w:r w:rsidR="005B4478" w:rsidRPr="0084736C">
        <w:rPr>
          <w:rFonts w:ascii="Arial" w:eastAsia="Times New Roman" w:hAnsi="Arial" w:cs="Arial"/>
          <w:sz w:val="24"/>
          <w:szCs w:val="24"/>
        </w:rPr>
        <w:t>β</w:t>
      </w:r>
      <w:r w:rsidRPr="0084736C">
        <w:rPr>
          <w:rFonts w:ascii="Arial" w:hAnsi="Arial" w:cs="Arial"/>
          <w:color w:val="000000" w:themeColor="text1"/>
          <w:sz w:val="24"/>
          <w:szCs w:val="24"/>
        </w:rPr>
        <w:t xml:space="preserve">-sheet show </w:t>
      </w:r>
      <w:r w:rsidR="00C24C36">
        <w:rPr>
          <w:rFonts w:ascii="Arial" w:hAnsi="Arial" w:cs="Arial"/>
          <w:color w:val="000000" w:themeColor="text1"/>
          <w:sz w:val="24"/>
          <w:szCs w:val="24"/>
        </w:rPr>
        <w:t xml:space="preserve">a </w:t>
      </w:r>
      <w:r w:rsidRPr="0084736C">
        <w:rPr>
          <w:rFonts w:ascii="Arial" w:hAnsi="Arial" w:cs="Arial"/>
          <w:color w:val="000000" w:themeColor="text1"/>
          <w:sz w:val="24"/>
          <w:szCs w:val="24"/>
        </w:rPr>
        <w:t>strong band between 1612 and 1640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{"citationID":"M7aJUDIK","properties":{"formattedCitation":"\\super 74\\nosupersub{}","plainCitation":"74","noteIndex":0},"citationItems":[{"id":305,"uris":["http://zotero.org/users/5797676/items/RBK5UXYC"],"itemData":{"id":305,"type":"article-journal","abstract":"Several methods for determination of the secondary structure of proteins by spectroscopic measurements are reviewed. Circular dichroism (CD) spectroscopy provides rapid determinations of protein secondary structure with dilute solutions and a way to rapidly assess conformational changes resulting from addition of ligands. Both CD and Raman spectroscopies are particularly useful for measurements over a range of temperatures. Infrared (IR) and Raman spectroscopy require only small volumes of protein solution. The frequencies of amide bands are analyzed to determine the distribution of secondary structures in proteins. NMR chemical shifts may also be used to determine the positions of secondary structure within the primary sequence of a protein. However, the chemical shifts must first be assigned to particular residues, making the technique considerably slower than the optical methods. These data, together with sophisticated molecular modeling techniques, allow for refinement of protein structural models as well as rapid assessment of conformational changes resulting from ligand binding or macromolecular interactions. A selected number of examples are given to illustrate the power of the techniques in applications of biological interest.","container-title":"Analytical Biochemistry","DOI":"10.1006/abio.1999.4320","ISSN":"0003-2697","issue":"2","journalAbbreviation":"Analytical Biochemistry","language":"en","page":"167-176","source":"ScienceDirect","title":"Spectroscopic Methods for Analysis of Protein Secondary Structure","URL":"http://www.sciencedirect.com/science/article/pii/S0003269799943208","volume":"277","author":[{"family":"Pelton","given":"John T."},{"family":"McLean","given":"Larry R."}],"accessed":{"date-parts":[["2020",8,9]]},"issued":{"date-parts":[["2000",1,15]]},"citation-key":"peltonSpectroscopicMethodsAnalysis2000"}}],"schema":"https://github.com/citation-style-language/schema/raw/master/csl-citation.json"}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74</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Amide II is resulted from N-H bending and C-N stretching (strong band at 1540-1550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xml:space="preserve"> and weaker shoulder at 1510-1525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and give information about parallel (1530-1550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or antiparallel (1510-1530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structures. The supramolecular assembly behavior of pentapeptide, KYFIL, was analyzed by changing specific amino acid residues to identify the intermolecular forces behind the self-assembly.</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{"citationID":"An0inKq5","properties":{"formattedCitation":"\\super 75\\nosupersub{}","plainCitation":"75","noteIndex":0},"citationItems":[{"id":287,"uris":["http://zotero.org/users/5797676/items/HNCC2P77"],"itemData":{"id":287,"type":"article-journal","abstract":"Short peptides are uniquely versatile building blocks for self-assembly. Supramolecular peptide assemblies can be used to construct functional hydrogel biomaterials—an attractive approach for neural tissue engineering. Here, we report a new class of short, five-residue peptides that form hydrogels with nanofiber structures. Using rheology and spectroscopy, we describe how sequence variations, pH, and peptide concentration alter the mechanical properties of our pentapeptide hydrogels. We find that this class of seven unmodified peptides forms robust hydrogels from 0.2–20 kPa at low weight percent (less than 3 wt %) in cell culture media and undergoes shear-thinning and rapid self-healing. The peptides self-assemble into long fibrils with sequence-dependent fibrillar morphologies. These fibrils exhibit a unique twisted ribbon shape, as visualized by transmission electron microscopy (TEM) and Cryo-EM imaging, with diameters in the low tens of nanometers and periodicities similar to amyloid fibrils. Experimental gelation behavior corroborates our molecular dynamics simulations, which demonstrate peptide assembly behavior, an increase in β-sheet content, and patterns of variation in solvent accessibility. Our rapidly assembling pentapeptides for injectable delivery (RAPID) hydrogels are syringe-injectable and support cytocompatible encapsulation of oligodendrocyte progenitor cells (OPCs), as well as their proliferation and three-dimensional process extension. Furthermore, RAPID gels protect OPCs from mechanical membrane disruption and acute loss of viability when ejected from a syringe needle, highlighting the protective capability of the hydrogel as potential cell carriers for transplantation therapies. The tunable mechanical and structural properties of these supramolecular assemblies are shown to be permissive to cell expansion and remodeling, making this hydrogel system suitable as an injectable material for cell delivery and tissue engineering applications.","container-title":"Journal of the American Chemical Society","DOI":"10.1021/jacs.8b13363","ISSN":"0002-7863","issue":"12","journalAbbreviation":"J. Am. Chem. Soc.","note":"publisher: American Chemical Society","page":"4886-4899","source":"ACS Publications","title":"Stimuli-Responsive, Pentapeptide, Nanofiber Hydrogel for Tissue Engineering","URL":"https://doi.org/10.1021/jacs.8b13363","volume":"141","author":[{"family":"Tang","given":"James D."},{"family":"Mura","given":"Cameron"},{"family":"Lampe","given":"Kyle J."}],"accessed":{"date-parts":[["2020",8,15]]},"issued":{"date-parts":[["2019",3,27]]},"citation-key":"tangStimuliResponsivePentapeptideNanofiber2019"}}],"schema":"https://github.com/citation-style-language/schema/raw/master/csl-citation.json"}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75</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In FT-IR, self-assembly propensity was correlated based on </w:t>
      </w:r>
      <w:r w:rsidRPr="0084736C">
        <w:rPr>
          <w:rFonts w:ascii="Symbol" w:hAnsi="Symbol" w:cs="Arial"/>
          <w:color w:val="000000" w:themeColor="text1"/>
          <w:sz w:val="24"/>
          <w:szCs w:val="24"/>
        </w:rPr>
        <w:t>b</w:t>
      </w:r>
      <w:r w:rsidRPr="0084736C">
        <w:rPr>
          <w:rFonts w:ascii="Arial" w:hAnsi="Arial" w:cs="Arial"/>
          <w:color w:val="000000" w:themeColor="text1"/>
          <w:sz w:val="24"/>
          <w:szCs w:val="24"/>
        </w:rPr>
        <w:t xml:space="preserve"> -sheet intensities (1700-1600 cm</w:t>
      </w:r>
      <w:r w:rsidRPr="0084736C">
        <w:rPr>
          <w:rFonts w:ascii="Arial" w:hAnsi="Arial" w:cs="Arial"/>
          <w:color w:val="000000" w:themeColor="text1"/>
          <w:sz w:val="24"/>
          <w:szCs w:val="24"/>
          <w:vertAlign w:val="superscript"/>
        </w:rPr>
        <w:t>-1</w:t>
      </w:r>
      <w:r w:rsidRPr="0084736C">
        <w:rPr>
          <w:rFonts w:ascii="Arial" w:hAnsi="Arial" w:cs="Arial"/>
          <w:color w:val="000000" w:themeColor="text1"/>
          <w:sz w:val="24"/>
          <w:szCs w:val="24"/>
        </w:rPr>
        <w:t xml:space="preserve"> region) and found that </w:t>
      </w:r>
      <w:r w:rsidRPr="0084736C">
        <w:rPr>
          <w:rFonts w:ascii="Symbol" w:hAnsi="Symbol" w:cs="Arial"/>
          <w:color w:val="000000" w:themeColor="text1"/>
          <w:sz w:val="24"/>
          <w:szCs w:val="24"/>
        </w:rPr>
        <w:t>p</w:t>
      </w:r>
      <w:r w:rsidRPr="0084736C">
        <w:rPr>
          <w:rFonts w:ascii="Arial" w:hAnsi="Arial" w:cs="Arial"/>
          <w:color w:val="000000" w:themeColor="text1"/>
          <w:sz w:val="24"/>
          <w:szCs w:val="24"/>
        </w:rPr>
        <w:t xml:space="preserve">- stacking and </w:t>
      </w:r>
      <w:r w:rsidRPr="0084736C">
        <w:rPr>
          <w:rFonts w:ascii="Symbol" w:hAnsi="Symbol" w:cs="Arial"/>
          <w:color w:val="000000" w:themeColor="text1"/>
          <w:sz w:val="24"/>
          <w:szCs w:val="24"/>
        </w:rPr>
        <w:t>p-</w:t>
      </w:r>
      <w:r w:rsidRPr="0084736C">
        <w:rPr>
          <w:rFonts w:ascii="Arial" w:hAnsi="Arial" w:cs="Arial"/>
          <w:color w:val="000000" w:themeColor="text1"/>
          <w:sz w:val="24"/>
          <w:szCs w:val="24"/>
        </w:rPr>
        <w:t xml:space="preserve"> cation interactions with </w:t>
      </w:r>
      <w:r w:rsidR="0015133B">
        <w:rPr>
          <w:rFonts w:ascii="Arial" w:hAnsi="Arial" w:cs="Arial"/>
          <w:color w:val="000000" w:themeColor="text1"/>
          <w:sz w:val="24"/>
          <w:szCs w:val="24"/>
        </w:rPr>
        <w:t>F</w:t>
      </w:r>
      <w:r w:rsidRPr="0084736C">
        <w:rPr>
          <w:rFonts w:ascii="Arial" w:hAnsi="Arial" w:cs="Arial"/>
          <w:color w:val="000000" w:themeColor="text1"/>
          <w:sz w:val="24"/>
          <w:szCs w:val="24"/>
        </w:rPr>
        <w:t xml:space="preserve"> play </w:t>
      </w:r>
      <w:r w:rsidR="00C24C36">
        <w:rPr>
          <w:rFonts w:ascii="Arial" w:hAnsi="Arial" w:cs="Arial"/>
          <w:color w:val="000000" w:themeColor="text1"/>
          <w:sz w:val="24"/>
          <w:szCs w:val="24"/>
        </w:rPr>
        <w:t>a</w:t>
      </w:r>
      <w:r w:rsidRPr="0084736C">
        <w:rPr>
          <w:rFonts w:ascii="Arial" w:hAnsi="Arial" w:cs="Arial"/>
          <w:color w:val="000000" w:themeColor="text1"/>
          <w:sz w:val="24"/>
          <w:szCs w:val="24"/>
        </w:rPr>
        <w:t xml:space="preserve"> major role in self-assembly. While KYAIL did not form any secondary structures, KYFIL showed the strongest and highest peak at</w:t>
      </w:r>
      <w:r w:rsidRPr="0084736C">
        <w:rPr>
          <w:rFonts w:ascii="Symbol" w:hAnsi="Symbol" w:cs="Arial"/>
          <w:color w:val="000000" w:themeColor="text1"/>
          <w:sz w:val="24"/>
          <w:szCs w:val="24"/>
        </w:rPr>
        <w:t xml:space="preserve"> b</w:t>
      </w:r>
      <w:r w:rsidRPr="0084736C">
        <w:rPr>
          <w:rFonts w:ascii="Arial" w:hAnsi="Arial" w:cs="Arial"/>
          <w:color w:val="000000" w:themeColor="text1"/>
          <w:sz w:val="24"/>
          <w:szCs w:val="24"/>
        </w:rPr>
        <w:t xml:space="preserve"> -sheet region. </w:t>
      </w:r>
    </w:p>
    <w:p w14:paraId="681B7491" w14:textId="2F26E4AF" w:rsidR="00260D64" w:rsidRPr="0084736C" w:rsidRDefault="00260D64" w:rsidP="00542522">
      <w:pPr>
        <w:spacing w:line="480" w:lineRule="auto"/>
        <w:rPr>
          <w:rFonts w:ascii="Arial" w:hAnsi="Arial" w:cs="Arial"/>
          <w:color w:val="000000" w:themeColor="text1"/>
          <w:sz w:val="24"/>
          <w:szCs w:val="24"/>
          <w:shd w:val="clear" w:color="auto" w:fill="FFFFFF"/>
        </w:rPr>
      </w:pPr>
      <w:r w:rsidRPr="0084736C">
        <w:rPr>
          <w:rFonts w:ascii="Arial" w:hAnsi="Arial" w:cs="Arial"/>
          <w:color w:val="000000" w:themeColor="text1"/>
          <w:sz w:val="24"/>
          <w:szCs w:val="24"/>
        </w:rPr>
        <w:t xml:space="preserve">NMR is another spectroscopic technique that uses the local magnetic properties around atomic nuclei to understand the </w:t>
      </w:r>
      <w:r w:rsidR="00C24C36">
        <w:rPr>
          <w:rFonts w:ascii="Arial" w:hAnsi="Arial" w:cs="Arial"/>
          <w:color w:val="000000" w:themeColor="text1"/>
          <w:sz w:val="24"/>
          <w:szCs w:val="24"/>
        </w:rPr>
        <w:t>molecule’s structure</w:t>
      </w:r>
      <w:r w:rsidRPr="0084736C">
        <w:rPr>
          <w:rFonts w:ascii="Arial" w:hAnsi="Arial" w:cs="Arial"/>
          <w:color w:val="000000" w:themeColor="text1"/>
          <w:sz w:val="24"/>
          <w:szCs w:val="24"/>
        </w:rPr>
        <w:t xml:space="preserve"> in both solution and solid state.</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{"citationID":"RpaHf52z","properties":{"formattedCitation":"\\super 76\\nosupersub{}","plainCitation":"76","noteIndex":0},"citationItems":[{"id":300,"uris":["http://zotero.org/users/5797676/items/HXCAWNZH"],"itemData":{"id":300,"type":"chapter","abstract":"In this chapter, typical peptide-specific properties are highlighted, including lack of secondary and tertiary structure, high solvent exposure, small core volume, natural isotope abundance, and low spectral crowding. NMR experiments and structure calculation protocols developed for the investigation of peptides with distinct preferred conformations, as observed in constrained (cyclic or N-methylated) peptides, are also presented. Many of these approaches differ greatly from NMR experiments and structure calculation strategies designed for studying proteins, as demonstrated by the following: Heteronuclear multiple-bond correlations (HMBCs) play an important role in the assignment process and in determining preferred dihedral angles. Rotating frame Overhauser effect spectroscopy (ROESY) rather than nuclear Overhauser effect spectroscopy (NOESY) spectra are used for the calculation of distance restraints that are obtained with a higher precision than distance restraints in proteins. 3J coupling constants can often be read from different kinds of multiplet splittings (e.g., from one-dimensional 1H NMR spectra or from correlation spectroscopy (COSY)-type multiplet patterns). Different types of ROESY experiments, methods for the determination of 3J coupling constants, as well as an overview of residual dipolar coupling-based peptide NMR studies and the alignment media used therein are described. The impact of peptide flexibility for conformational studies is discussed in the context of distance and dihedral restraints. Furthermore, a common peptide structure calculation protocol including distance geometry and molecular dynamics calculations is presented.","container-title":"NMR of Biomolecules","ISBN":"978-3-527-64450-6","language":"en","license":"Copyright © 2012 Wiley</w:instrText>
      </w:r>
      <w:r w:rsidR="008F09C1">
        <w:rPr>
          <w:rFonts w:ascii="Cambria Math" w:hAnsi="Cambria Math" w:cs="Cambria Math"/>
          <w:color w:val="000000" w:themeColor="text1"/>
          <w:sz w:val="24"/>
          <w:szCs w:val="24"/>
        </w:rPr>
        <w:instrText>‐</w:instrText>
      </w:r>
      <w:r w:rsidR="008F09C1">
        <w:rPr>
          <w:rFonts w:ascii="Arial" w:hAnsi="Arial" w:cs="Arial"/>
          <w:color w:val="000000" w:themeColor="text1"/>
          <w:sz w:val="24"/>
          <w:szCs w:val="24"/>
        </w:rPr>
        <w:instrText xml:space="preserve">VCH Verlag GmbH &amp; Co. KGaA","note":"section: 19\n_eprint: https://onlinelibrary.wiley.com/doi/pdf/10.1002/9783527644506.ch19\nDOI: 10.1002/9783527644506.ch19","page":"328-344","publisher":"John Wiley &amp; Sons, Ltd","source":"Wiley Online Library","title":"NMR of Peptides","URL":"https://onlinelibrary.wiley.com/doi/abs/10.1002/9783527644506.ch19","author":[{"family":"Beck","given":"Johannes G."},{"family":"Frank","given":"Andreas O."},{"family":"Kessler","given":"Horst"}],"accessed":{"date-parts":[["2020",8,9]]},"issued":{"date-parts":[["2012"]]},"citation-key":"beckNMRPeptides2012"}}],"schema":"https://github.com/citation-style-language/schema/raw/master/csl-citation.json"}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76</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It has been widely used to analyze peptide secondary structures and self-assembly mechanisms at the atomic level.</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{"citationID":"i8iQqqIr","properties":{"formattedCitation":"\\super 77\\nosupersub{}","plainCitation":"77","noteIndex":0},"citationItems":[{"id":500,"uris":["http://zotero.org/users/5797676/items/9WK2LMMK"],"itemData":{"id":500,"type":"article-journal","abstract":"Self-assembly is a ubiquitous process in biology where it plays numerous important roles and underlies the formation of a wide variety of complex biological structures. Over the past two decades, materials scientists have aspired to exploit nature's assembly principles to create artificial materials, with hierarchical structures and tailored properties, for the fabrication of functional devices. Toward this goal, both biological and synthetic building blocks have been subject of extensive research in self-assembly. In fact, molecular self-assembly is becoming increasingly important for the fabrication of biomaterials because it offers a great platform for constructing materials with high level of precision and complexity, integrating order and dynamics, to achieve functions such as stimuli-responsiveness, adaptation, recognition, transport, and catalysis. The importance of peptide self-assembling building blocks has been recognized in the last years, as demonstrated by the literature available on the topic. The simple structure of peptides, as well as their facile synthesis, makes peptides an excellent family of structural units for the bottom-up fabrication of complex nanobiomaterials. Additionally, peptides offer a great diversity of biochemical (specificity, intrinsic bioactivity, biodegradability) and physical (small size, conformation) properties to form self-assembled structures with different molecular configurations. The motivation of this review is to provide an overview on the design principles for peptide self-assembly and to illustrate how these principles have been applied to manipulate their self-assembly across the scales. Applications of self-assembling peptides as nanobiomaterials, including carriers for drug delivery, hydrogels for cell culture and tissue repair are also described. WIREs Nanomed Nanobiotechnol 2013, 5:582?612. doi: 10.1002/wnan.1227 This article is categorized under: Nanotechnology Approaches to Biology &gt; Nanoscale Systems in Biology Implantable Materials and Surgical Technologies &gt; Nanotechnology in Tissue Repair and Replacement Biology-Inspired Nanomaterials &gt; Peptide-Based Structures","container-title":"Wiley Interdisciplinary Reviews: Nanomedicine and Nanobiotechnology","DOI":"10.1002/wnan.1238","ISSN":"1939-5116","issue":"6","journalAbbreviation":"Wiley Interdisciplinary Reviews: Nanomedicine and Nanobiotechnology","page":"582-612","source":"onlinelibrary.wiley.com (Atypon)","title":"Self-assembly in nature: using the principles of nature to create complex nanobiomaterials","title-short":"Self-assembly in nature","URL":"https://onlinelibrary.wiley.com/doi/full/10.1002/wnan.1238","volume":"5","author":[{"family":"Mendes","given":"Ana C."},{"family":"Baran","given":"Erkan T."},{"family":"Reis","given":"Rui L."},{"family":"Azevedo","given":"Helena S."}],"accessed":{"date-parts":[["2019",10,7]]},"issued":{"date-parts":[["2013",11,1]]},"citation-key":"mendes_self-assembly_2013"}}],"schema":"https://github.com/citation-style-language/schema/raw/master/csl-citation.json"}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77</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Since self-assembly is an equilibrium state in which both monomers and fibrils are at equilibrium</w:t>
      </w:r>
      <w:r w:rsidR="000C78B0">
        <w:rPr>
          <w:rFonts w:ascii="Arial" w:hAnsi="Arial" w:cs="Arial"/>
          <w:color w:val="000000" w:themeColor="text1"/>
          <w:sz w:val="24"/>
          <w:szCs w:val="24"/>
        </w:rPr>
        <w:t xml:space="preserve">, </w:t>
      </w:r>
      <w:r w:rsidRPr="0084736C">
        <w:rPr>
          <w:rFonts w:ascii="Arial" w:hAnsi="Arial" w:cs="Arial"/>
          <w:color w:val="000000" w:themeColor="text1"/>
          <w:sz w:val="24"/>
          <w:szCs w:val="24"/>
        </w:rPr>
        <w:t xml:space="preserve">solution state NMR can be used to </w:t>
      </w:r>
      <w:r w:rsidR="000C78B0">
        <w:rPr>
          <w:rFonts w:ascii="Arial" w:hAnsi="Arial" w:cs="Arial"/>
          <w:color w:val="000000" w:themeColor="text1"/>
          <w:sz w:val="24"/>
          <w:szCs w:val="24"/>
        </w:rPr>
        <w:t xml:space="preserve">quantitively </w:t>
      </w:r>
      <w:r w:rsidRPr="0084736C">
        <w:rPr>
          <w:rFonts w:ascii="Arial" w:hAnsi="Arial" w:cs="Arial"/>
          <w:color w:val="000000" w:themeColor="text1"/>
          <w:sz w:val="24"/>
          <w:szCs w:val="24"/>
        </w:rPr>
        <w:t xml:space="preserve">compare the amount of non-assembled monomers and fibrils. Rajbhandary </w:t>
      </w:r>
      <w:r w:rsidRPr="0084736C">
        <w:rPr>
          <w:rFonts w:ascii="Arial" w:hAnsi="Arial" w:cs="Arial"/>
          <w:i/>
          <w:iCs/>
          <w:color w:val="000000" w:themeColor="text1"/>
          <w:sz w:val="24"/>
          <w:szCs w:val="24"/>
        </w:rPr>
        <w:t>et al.</w:t>
      </w:r>
      <w:r w:rsidRPr="0084736C">
        <w:rPr>
          <w:rFonts w:ascii="Arial" w:hAnsi="Arial" w:cs="Arial"/>
          <w:color w:val="000000" w:themeColor="text1"/>
          <w:sz w:val="24"/>
          <w:szCs w:val="24"/>
        </w:rPr>
        <w:t xml:space="preserve"> analyzed the self-assembly of Fmoc-FF peptides with pH 10.5 (monomeric stage) and pH 7 (fibril stage) and determined the percentage of fibril assembly by analyzing </w:t>
      </w:r>
      <w:r w:rsidRPr="0084736C">
        <w:rPr>
          <w:rFonts w:ascii="Arial" w:hAnsi="Arial" w:cs="Arial"/>
          <w:color w:val="000000" w:themeColor="text1"/>
          <w:sz w:val="24"/>
          <w:szCs w:val="24"/>
        </w:rPr>
        <w:lastRenderedPageBreak/>
        <w:t>signal reduction.</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{"citationID":"OHMMh74h","properties":{"formattedCitation":"\\super 78\\nosupersub{}","plainCitation":"78","noteIndex":0},"citationItems":[{"id":298,"uris":["http://zotero.org/users/5797676/items/32VIRJ7K"],"itemData":{"id":298,"type":"article-journal","abstract":"Low molecular weight agents that undergo self-assembly into fibril networks with hydrogel properties are promising biomaterials. Most low molecular weight hydrogelators are discovered empirically or serendipitously due to imperfect understanding of the mechanisms of self-assembly, the packing structure of self-assembled materials, and how the self-assembly process corresponds to emergent hydrogelation. Herein, the mechanisms of self-assembly and hydrogelation of N-fluorenylmethoxycarbonyl diphenylalanine (Fmoc-PhePhe), a well-studied low molecular weight hydrogelator, is probed by systematic comparison with derivatives in which Phe residues are replaced by corresponding N-benzyl glycine peptoid (Nphe) analogs. Peptoids are peptidomimetics that shift display of side chain functionality from the α-carbon to the terminal nitrogen. This alters the hydrogen bonding capacity, the side chain presentation geometry, amide cis/trans isomerization equilibrium, and β-sheet potential of the peptoid relative to the corresponding amino acid in the context of peptidic polymers. It was found that amino acid/peptoid hybrids Fmoc-Phe-Nphe and Fmoc-Nphe-Phe have altered fibril self-assembly propensity and reduced hydrogelation capacity relative to the parent dipeptide, and that fibril self-assembly of the dipeptoid, Fmoc-Nphe-Nphe, is completely curtailed. These findings provide insight into the potential of low molecular weight peptoids and peptide/peptoid hybrids as hydrogelation agents and illuminate the importance of hydrogen bonding and π–π interaction geometry in facilitating self-assembly of Fmoc-Phe-Phe.","container-title":"Peptide Science","DOI":"10.1002/bip.22994","ISSN":"1097-0282","issue":"2","language":"en","license":"© 2016 Wiley Periodicals, Inc.","note":"_eprint: https://onlinelibrary.wiley.com/doi/pdf/10.1002/bip.22994","page":"e22994","source":"Wiley Online Library","title":"Investigating the effects of peptoid substitutions in self-assembly of Fmoc-diphenylalanine derivatives","URL":"https://onlinelibrary.wiley.com/doi/abs/10.1002/bip.22994","volume":"108","author":[{"family":"Rajbhandary","given":"Annada"},{"family":"Nilsson","given":"Bradley L."}],"accessed":{"date-parts":[["2020",8,9]]},"issued":{"date-parts":[["2017"]]},"citation-key":"rajbhandaryInvestigatingEffectsPeptoid2017"}}],"schema":"https://github.com/citation-style-language/schema/raw/master/csl-citation.json"}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78</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Another study used solution state NMR to understand the effect of peptide concentration in self-assembly. For this purpose, </w:t>
      </w:r>
      <w:r w:rsidR="0015133B">
        <w:rPr>
          <w:rFonts w:ascii="Arial" w:hAnsi="Arial" w:cs="Arial"/>
          <w:color w:val="000000" w:themeColor="text1"/>
          <w:sz w:val="24"/>
          <w:szCs w:val="24"/>
        </w:rPr>
        <w:t>IF</w:t>
      </w:r>
      <w:r w:rsidRPr="0084736C">
        <w:rPr>
          <w:rFonts w:ascii="Arial" w:hAnsi="Arial" w:cs="Arial"/>
          <w:color w:val="000000" w:themeColor="text1"/>
          <w:sz w:val="24"/>
          <w:szCs w:val="24"/>
        </w:rPr>
        <w:t xml:space="preserve"> dipeptide was used with a range of concentrations</w:t>
      </w:r>
      <w:r w:rsidR="000C78B0">
        <w:rPr>
          <w:rFonts w:ascii="Arial" w:hAnsi="Arial" w:cs="Arial"/>
          <w:color w:val="000000" w:themeColor="text1"/>
          <w:sz w:val="24"/>
          <w:szCs w:val="24"/>
        </w:rPr>
        <w:t>.</w:t>
      </w:r>
      <w:r w:rsidRPr="0084736C">
        <w:rPr>
          <w:rFonts w:ascii="Arial" w:hAnsi="Arial" w:cs="Arial"/>
          <w:color w:val="000000" w:themeColor="text1"/>
          <w:sz w:val="24"/>
          <w:szCs w:val="24"/>
        </w:rPr>
        <w:t xml:space="preserve"> </w:t>
      </w:r>
      <w:r w:rsidR="000C78B0">
        <w:rPr>
          <w:rFonts w:ascii="Arial" w:hAnsi="Arial" w:cs="Arial"/>
          <w:color w:val="000000" w:themeColor="text1"/>
          <w:sz w:val="24"/>
          <w:szCs w:val="24"/>
        </w:rPr>
        <w:t>A</w:t>
      </w:r>
      <w:r w:rsidRPr="0084736C">
        <w:rPr>
          <w:rFonts w:ascii="Arial" w:hAnsi="Arial" w:cs="Arial"/>
          <w:color w:val="000000" w:themeColor="text1"/>
          <w:sz w:val="24"/>
          <w:szCs w:val="24"/>
        </w:rPr>
        <w:t>s peptide concentration increases, the signals corresponding to aromatic protons become broaden</w:t>
      </w:r>
      <w:r w:rsidR="000C78B0">
        <w:rPr>
          <w:rFonts w:ascii="Arial" w:hAnsi="Arial" w:cs="Arial"/>
          <w:color w:val="000000" w:themeColor="text1"/>
          <w:sz w:val="24"/>
          <w:szCs w:val="24"/>
        </w:rPr>
        <w:t xml:space="preserve">ed, </w:t>
      </w:r>
      <w:r w:rsidRPr="0084736C">
        <w:rPr>
          <w:rFonts w:ascii="Arial" w:hAnsi="Arial" w:cs="Arial"/>
          <w:color w:val="000000" w:themeColor="text1"/>
          <w:sz w:val="24"/>
          <w:szCs w:val="24"/>
        </w:rPr>
        <w:t>indicat</w:t>
      </w:r>
      <w:r w:rsidR="000C78B0">
        <w:rPr>
          <w:rFonts w:ascii="Arial" w:hAnsi="Arial" w:cs="Arial"/>
          <w:color w:val="000000" w:themeColor="text1"/>
          <w:sz w:val="24"/>
          <w:szCs w:val="24"/>
        </w:rPr>
        <w:t>ing</w:t>
      </w:r>
      <w:r w:rsidRPr="0084736C">
        <w:rPr>
          <w:rFonts w:ascii="Arial" w:hAnsi="Arial" w:cs="Arial"/>
          <w:color w:val="000000" w:themeColor="text1"/>
          <w:sz w:val="24"/>
          <w:szCs w:val="24"/>
        </w:rPr>
        <w:t xml:space="preserve"> a decrease in molecular motion due </w:t>
      </w:r>
      <w:r w:rsidR="000C78B0">
        <w:rPr>
          <w:rFonts w:ascii="Arial" w:hAnsi="Arial" w:cs="Arial"/>
          <w:color w:val="000000" w:themeColor="text1"/>
          <w:sz w:val="24"/>
          <w:szCs w:val="24"/>
        </w:rPr>
        <w:t xml:space="preserve">to </w:t>
      </w:r>
      <w:r w:rsidRPr="0084736C">
        <w:rPr>
          <w:rFonts w:ascii="Arial" w:hAnsi="Arial" w:cs="Arial"/>
          <w:color w:val="000000" w:themeColor="text1"/>
          <w:sz w:val="24"/>
          <w:szCs w:val="24"/>
        </w:rPr>
        <w:t>the supramolecular organizations.</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{"citationID":"Srg8D54F","properties":{"formattedCitation":"\\super 79\\nosupersub{}","plainCitation":"79","noteIndex":0},"citationItems":[{"id":370,"uris":["http://zotero.org/users/5797676/items/HIZFMA7G"],"itemData":{"id":370,"type":"article-journal","abstract":"Peptidic self-assembled nanostructures are said to have a wide range of applications in nanotechnology, yet the mechanistic details of hierarchical self-assembly are still poorly understood. The Phe-Phe recognition motif of the Alzheimer's Aβ peptide is the smallest peptide able to assemble into higher-order structures. Here, we show that the Ile-Phe dipeptide analog is also able to self-associate in aqueous solution as a transparent, thermoreversible gel formed by a network of fibrillar nanostructures that exhibit strong birefringence upon Congo red binding. Besides, a second dipeptide Val-Phe, differing only in a methyl group from the former, is unable to self-assemble. The detailed analysis of the differential polymeric behavior of these closely related molecules provides insight into the forces triggering the first steps in self-assembly processes such as amyloid formation.","container-title":"Biophysical Journal","DOI":"10.1529/biophysj.106.096677","ISSN":"0006-3495","issue":"5","journalAbbreviation":"Biophys J","note":"PMID: 17172307\nPMCID: PMC1796831","page":"1732-1741","source":"PubMed Central","title":"Ile-Phe Dipeptide Self-Assembly: Clues to Amyloid Formation","title-short":"Ile-Phe Dipeptide Self-Assembly","URL":"https://www.ncbi.nlm.nih.gov/pmc/articles/PMC1796831/","volume":"92","author":[{"family":"Groot","given":"Natalia Sánchez","non-dropping-particle":"de"},{"family":"Parella","given":"Teodor"},{"family":"Aviles","given":"Francesc X."},{"family":"Vendrell","given":"Josep"},{"family":"Ventura","given":"Salvador"}],"accessed":{"date-parts":[["2020",3,21]]},"issued":{"date-parts":[["2007",3,1]]},"citation-key":"de_groot_ile-phe_2007"}}],"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79</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However, solution NMR can be limited in terms of spectra interpretation because molecular self-assembly causes frequency shifts, decrease intensity levels</w:t>
      </w:r>
      <w:r w:rsidR="000C78B0">
        <w:rPr>
          <w:rFonts w:ascii="Arial" w:hAnsi="Arial" w:cs="Arial"/>
          <w:color w:val="000000" w:themeColor="text1"/>
          <w:sz w:val="24"/>
          <w:szCs w:val="24"/>
        </w:rPr>
        <w:t>, a</w:t>
      </w:r>
      <w:r w:rsidRPr="0084736C">
        <w:rPr>
          <w:rFonts w:ascii="Arial" w:hAnsi="Arial" w:cs="Arial"/>
          <w:color w:val="000000" w:themeColor="text1"/>
          <w:sz w:val="24"/>
          <w:szCs w:val="24"/>
        </w:rPr>
        <w:t>nd broadens the spectra.</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{"citationID":"2Yj6FmFJ","properties":{"formattedCitation":"\\super 69\\nosupersub{}","plainCitation":"69","noteIndex":0},"citationItems":[{"id":306,"uris":["http://zotero.org/users/5797676/items/GJL22TSQ"],"itemData":{"id":306,"type":"article-journal","abstract":"Owing to their structural simplicity and robust self-assembled nanostructures, short peptides prove to be an ideal system to explore the physical processes of self-assembly, hydrogels, semi-flexible polymers, quenched disorder, and reptation. Rational design in peptide sequences facilitates cost-effective manufacturing, but the huge number of possible peptides has imposed obstacles for their characterization to establish functional connections to the primary, secondary, and tertiary structures. This review aims to cover recent advances in the self-assembly of designed short peptides, with a focus on physical driving forces, design rules, characterization methods, and exemplar applications. Super-resolution microscopy in combination with modern image analysis have been applied to quantify the structure and dynamics of peptide hydrogels, while small-angle neutron scattering and solid-state nuclear magnetic resonance continue to provide valuable information on structures over complementary length scales. Short peptides are attractive in biomedicine and nanotechnology, e.g., as antimicrobials, anticancer agents, vehicles for controlled drug release, peptide bioelectronics, and responsive cell culture materials.","collection-title":"Surfactants","container-title":"Current Opinion in Colloid &amp; Interface Science","DOI":"10.1016/j.cocis.2019.08.003","ISSN":"1359-0294","journalAbbreviation":"Current Opinion in Colloid &amp; Interface Science","language":"en","page":"1-13","source":"ScienceDirect","title":"Recent advances in short peptide self-assembly: from rational design to novel applications","title-short":"Recent advances in short peptide self-assembly","URL":"http://www.sciencedirect.com/science/article/pii/S1359029419300366","volume":"45","author":[{"family":"Hu","given":"Xuzhi"},{"family":"Liao","given":"Mingrui"},{"family":"Gong","given":"Haoning"},{"family":"Zhang","given":"Lin"},{"family":"Cox","given":"Henry"},{"family":"Waigh","given":"Thomas A."},{"family":"Lu","given":"Jian R."}],"accessed":{"date-parts":[["2020",8,9]]},"issued":{"date-parts":[["2020",2,1]]},"citation-key":"hu_recent_2020"}}],"schema":"https://github.com/citation-style-language/schema/raw/master/csl-citation.json"}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69</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Therefore, solid state NMR (ssNMR) is often the method of choice if there are close intermolecular contacts between amino acids (i.e. co-assembled peptide structures) with highly constrain</w:t>
      </w:r>
      <w:r w:rsidR="000C78B0">
        <w:rPr>
          <w:rFonts w:ascii="Arial" w:hAnsi="Arial" w:cs="Arial"/>
          <w:color w:val="000000" w:themeColor="text1"/>
          <w:sz w:val="24"/>
          <w:szCs w:val="24"/>
        </w:rPr>
        <w:t>ed</w:t>
      </w:r>
      <w:r w:rsidRPr="0084736C">
        <w:rPr>
          <w:rFonts w:ascii="Arial" w:hAnsi="Arial" w:cs="Arial"/>
          <w:color w:val="000000" w:themeColor="text1"/>
          <w:sz w:val="24"/>
          <w:szCs w:val="24"/>
        </w:rPr>
        <w:t xml:space="preserve"> molecular motions.</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{"citationID":"A3MsL3I0","properties":{"formattedCitation":"\\super 78\\nosupersub{}","plainCitation":"78","noteIndex":0},"citationItems":[{"id":298,"uris":["http://zotero.org/users/5797676/items/32VIRJ7K"],"itemData":{"id":298,"type":"article-journal","abstract":"Low molecular weight agents that undergo self-assembly into fibril networks with hydrogel properties are promising biomaterials. Most low molecular weight hydrogelators are discovered empirically or serendipitously due to imperfect understanding of the mechanisms of self-assembly, the packing structure of self-assembled materials, and how the self-assembly process corresponds to emergent hydrogelation. Herein, the mechanisms of self-assembly and hydrogelation of N-fluorenylmethoxycarbonyl diphenylalanine (Fmoc-PhePhe), a well-studied low molecular weight hydrogelator, is probed by systematic comparison with derivatives in which Phe residues are replaced by corresponding N-benzyl glycine peptoid (Nphe) analogs. Peptoids are peptidomimetics that shift display of side chain functionality from the α-carbon to the terminal nitrogen. This alters the hydrogen bonding capacity, the side chain presentation geometry, amide cis/trans isomerization equilibrium, and β-sheet potential of the peptoid relative to the corresponding amino acid in the context of peptidic polymers. It was found that amino acid/peptoid hybrids Fmoc-Phe-Nphe and Fmoc-Nphe-Phe have altered fibril self-assembly propensity and reduced hydrogelation capacity relative to the parent dipeptide, and that fibril self-assembly of the dipeptoid, Fmoc-Nphe-Nphe, is completely curtailed. These findings provide insight into the potential of low molecular weight peptoids and peptide/peptoid hybrids as hydrogelation agents and illuminate the importance of hydrogen bonding and π–π interaction geometry in facilitating self-assembly of Fmoc-Phe-Phe.","container-title":"Peptide Science","DOI":"10.1002/bip.22994","ISSN":"1097-0282","issue":"2","language":"en","license":"© 2016 Wiley Periodicals, Inc.","note":"_eprint: https://onlinelibrary.wiley.com/doi/pdf/10.1002/bip.22994","page":"e22994","source":"Wiley Online Library","title":"Investigating the effects of peptoid substitutions in self-assembly of Fmoc-diphenylalanine derivatives","URL":"https://onlinelibrary.wiley.com/doi/abs/10.1002/bip.22994","volume":"108","author":[{"family":"Rajbhandary","given":"Annada"},{"family":"Nilsson","given":"Bradley L."}],"accessed":{"date-parts":[["2020",8,9]]},"issued":{"date-parts":[["2017"]]},"citation-key":"rajbhandaryInvestigatingEffectsPeptoid2017"}}],"schema":"https://github.com/citation-style-language/schema/raw/master/csl-citation.json"}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78</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Jekhmane </w:t>
      </w:r>
      <w:r w:rsidRPr="0084736C">
        <w:rPr>
          <w:rFonts w:ascii="Arial" w:hAnsi="Arial" w:cs="Arial"/>
          <w:i/>
          <w:iCs/>
          <w:color w:val="000000" w:themeColor="text1"/>
          <w:sz w:val="24"/>
          <w:szCs w:val="24"/>
        </w:rPr>
        <w:t>et al</w:t>
      </w:r>
      <w:r w:rsidRPr="0084736C">
        <w:rPr>
          <w:rFonts w:ascii="Arial" w:hAnsi="Arial" w:cs="Arial"/>
          <w:color w:val="000000" w:themeColor="text1"/>
          <w:sz w:val="24"/>
          <w:szCs w:val="24"/>
        </w:rPr>
        <w:t xml:space="preserve">. discovered the design parameters in tissue scaffolds at </w:t>
      </w:r>
      <w:r w:rsidR="000C78B0">
        <w:rPr>
          <w:rFonts w:ascii="Arial" w:hAnsi="Arial" w:cs="Arial"/>
          <w:color w:val="000000" w:themeColor="text1"/>
          <w:sz w:val="24"/>
          <w:szCs w:val="24"/>
        </w:rPr>
        <w:t xml:space="preserve">the </w:t>
      </w:r>
      <w:r w:rsidRPr="0084736C">
        <w:rPr>
          <w:rFonts w:ascii="Arial" w:hAnsi="Arial" w:cs="Arial"/>
          <w:color w:val="000000" w:themeColor="text1"/>
          <w:sz w:val="24"/>
          <w:szCs w:val="24"/>
        </w:rPr>
        <w:t>atomic level by using ssNMR to determine the effect of self-assembly degree and homogeneity in peptide functionalization.</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{"citationID":"SbMJFhrD","properties":{"formattedCitation":"\\super 80\\nosupersub{}","plainCitation":"80","noteIndex":0},"citationItems":[{"id":294,"uris":["http://zotero.org/users/5797676/items/2TTYZZLZ"],"itemData":{"id":294,"type":"article-journal","abstract":"Stem-cell behavior is regulated by the material properties of the surrounding extracellular matrix, which has important implications for the design of tissue-engineering scaffolds. However, our understanding of the material properties of stem-cell scaffolds is limited to nanoscopic-to-macroscopic length scales. Herein, a solid-state NMR approach is presented that provides atomic-scale information on complex stem-cell substrates at near physiological conditions and at natural isotope abundance. Using self-assembled peptidic scaffolds designed for nervous-tissue regeneration, we show at atomic scale how scaffold-assembly degree, mechanics, and homogeneity correlate with favorable stem cell behavior. Integration of solid-state NMR data with molecular dynamics simulations reveals a highly ordered fibrillar structure as the most favorable stem-cell scaffold. This could improve the design of tissue-engineering scaffolds and other self-assembled biomaterials.","container-title":"Angewandte Chemie International Edition","DOI":"10.1002/anie.201907880","ISSN":"1521-3773","issue":"47","language":"en","license":"© 2019 The Authors. Published by Wiley-VCH Verlag GmbH &amp; Co. KGaA.","note":"_eprint: https://onlinelibrary.wiley.com/doi/pdf/10.1002/anie.201907880","page":"16943-16951","source":"Wiley Online Library","title":"Design Parameters of Tissue-Engineering Scaffolds at the Atomic Scale","URL":"https://onlinelibrary.wiley.com/doi/abs/10.1002/anie.201907880","volume":"58","author":[{"family":"Jekhmane","given":"Shehrazade"},{"family":"Prachar","given":"Marek"},{"family":"Pugliese","given":"Raffaele"},{"family":"Fontana","given":"Federico"},{"family":"Medeiros</w:instrText>
      </w:r>
      <w:r w:rsidR="008F09C1">
        <w:rPr>
          <w:rFonts w:ascii="Cambria Math" w:hAnsi="Cambria Math" w:cs="Cambria Math"/>
          <w:color w:val="000000" w:themeColor="text1"/>
          <w:sz w:val="24"/>
          <w:szCs w:val="24"/>
        </w:rPr>
        <w:instrText>‐</w:instrText>
      </w:r>
      <w:r w:rsidR="008F09C1">
        <w:rPr>
          <w:rFonts w:ascii="Arial" w:hAnsi="Arial" w:cs="Arial"/>
          <w:color w:val="000000" w:themeColor="text1"/>
          <w:sz w:val="24"/>
          <w:szCs w:val="24"/>
        </w:rPr>
        <w:instrText xml:space="preserve">Silva","given":"João"},{"family":"Gelain","given":"Fabrizio"},{"family":"Weingarth","given":"Markus"}],"accessed":{"date-parts":[["2020",8,10]]},"issued":{"date-parts":[["2019"]]},"citation-key":"jekhmaneDesignParametersTissueEngineering2019"}}],"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80</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They found that decreased level</w:t>
      </w:r>
      <w:r w:rsidR="000C78B0">
        <w:rPr>
          <w:rFonts w:ascii="Arial" w:hAnsi="Arial" w:cs="Arial"/>
          <w:color w:val="000000" w:themeColor="text1"/>
          <w:sz w:val="24"/>
          <w:szCs w:val="24"/>
        </w:rPr>
        <w:t>s</w:t>
      </w:r>
      <w:r w:rsidRPr="0084736C">
        <w:rPr>
          <w:rFonts w:ascii="Arial" w:hAnsi="Arial" w:cs="Arial"/>
          <w:color w:val="000000" w:themeColor="text1"/>
          <w:sz w:val="24"/>
          <w:szCs w:val="24"/>
        </w:rPr>
        <w:t xml:space="preserve"> of secondary structures and conformational heterogeneity in tissue scaffolds were correlated with less favorable platform stem cells. Another study analyzed </w:t>
      </w:r>
      <w:r w:rsidR="000C78B0">
        <w:rPr>
          <w:rFonts w:ascii="Arial" w:hAnsi="Arial" w:cs="Arial"/>
          <w:color w:val="000000" w:themeColor="text1"/>
          <w:sz w:val="24"/>
          <w:szCs w:val="24"/>
        </w:rPr>
        <w:t xml:space="preserve">the </w:t>
      </w:r>
      <w:r w:rsidRPr="0084736C">
        <w:rPr>
          <w:rFonts w:ascii="Arial" w:hAnsi="Arial" w:cs="Arial"/>
          <w:color w:val="000000" w:themeColor="text1"/>
          <w:sz w:val="24"/>
          <w:szCs w:val="24"/>
        </w:rPr>
        <w:t xml:space="preserve">co-assembly strategy of oppositely charged peptides with NMR and simulation techniques to understand the time-based kinetics of peptide aggregation and organization of </w:t>
      </w:r>
      <w:r w:rsidRPr="0084736C">
        <w:rPr>
          <w:rFonts w:ascii="Arial" w:hAnsi="Arial" w:cs="Arial"/>
          <w:color w:val="000000" w:themeColor="text1"/>
          <w:sz w:val="24"/>
          <w:szCs w:val="24"/>
          <w:shd w:val="clear" w:color="auto" w:fill="FFFFFF"/>
        </w:rPr>
        <w:t>β-sheet–rich structures of peptides.</w:t>
      </w:r>
      <w:r w:rsidRPr="0084736C">
        <w:rPr>
          <w:rFonts w:ascii="Arial" w:hAnsi="Arial" w:cs="Arial"/>
          <w:color w:val="000000" w:themeColor="text1"/>
          <w:sz w:val="24"/>
          <w:szCs w:val="24"/>
          <w:shd w:val="clear" w:color="auto" w:fill="FFFFFF"/>
        </w:rPr>
        <w:fldChar w:fldCharType="begin"/>
      </w:r>
      <w:r w:rsidR="008F09C1">
        <w:rPr>
          <w:rFonts w:ascii="Arial" w:hAnsi="Arial" w:cs="Arial"/>
          <w:color w:val="000000" w:themeColor="text1"/>
          <w:sz w:val="24"/>
          <w:szCs w:val="24"/>
          <w:shd w:val="clear" w:color="auto" w:fill="FFFFFF"/>
        </w:rPr>
        <w:instrText xml:space="preserve"> ADDIN ZOTERO_ITEM CSL_CITATION {"citationID":"yya1z9sx","properties":{"formattedCitation":"\\super 81\\nosupersub{}","plainCitation":"81","noteIndex":0},"citationItems":[{"id":293,"uris":["http://zotero.org/users/5797676/items/62BC4JMN"],"itemData":{"id":293,"type":"article-journal","abstract":"Peptide self-assembly, wherein molecule A associates with other A molecules to form fibrillar β-sheet structures, is common in nature and widely used to fabricate synthetic biomaterials. Selective coassembly of peptide pairs A and B with complementary partial charges is gaining interest due to its potential for expanding the form and function of biomaterials that can be realized. It has been hypothesized that charge-complementary peptides organize into alternating ABAB-type arrangements within assembled β-sheets, but no direct molecular-level evidence exists to support this interpretation. We report a computational and experimental approach to characterize molecular-level organization of the established peptide pair, CATCH. Discontinuous molecular dynamics simulations predict that CATCH(+) and CATCH(−) peptides coassemble but do not self-assemble. Two-layer β-sheet amyloid structures predominate, but off-pathway β-barrel oligomers are also predicted. At low concentration, transmission electron microscopy and dynamic light scattering identified nonfibrillar </w:instrText>
      </w:r>
      <w:r w:rsidR="008F09C1">
        <w:rPr>
          <w:rFonts w:ascii="Cambria Math" w:hAnsi="Cambria Math" w:cs="Cambria Math"/>
          <w:color w:val="000000" w:themeColor="text1"/>
          <w:sz w:val="24"/>
          <w:szCs w:val="24"/>
          <w:shd w:val="clear" w:color="auto" w:fill="FFFFFF"/>
        </w:rPr>
        <w:instrText>∼</w:instrText>
      </w:r>
      <w:r w:rsidR="008F09C1">
        <w:rPr>
          <w:rFonts w:ascii="Arial" w:hAnsi="Arial" w:cs="Arial"/>
          <w:color w:val="000000" w:themeColor="text1"/>
          <w:sz w:val="24"/>
          <w:szCs w:val="24"/>
          <w:shd w:val="clear" w:color="auto" w:fill="FFFFFF"/>
        </w:rPr>
        <w:instrText xml:space="preserve">20-nm oligomers, while at high concentrations elongated fibers predominated. Thioflavin T fluorimetry estimates rapid and near-stoichiometric coassembly of CATCH(+) and CATCH(−) at concentrations ≥100 μM. Natural abundance 13C NMR and isotope-edited Fourier transform infrared spectroscopy indicate that CATCH(+) and CATCH(−) coassemble into two-component nanofibers instead of self-sorting. However, 13C–13C dipolar recoupling solid-state NMR measurements also identify nonnegligible AA and BB interactions among a majority of AB pairs. Collectively, these results demonstrate that strictly alternating arrangements of β-strands predominate in coassembled CATCH structures, but deviations from perfect alternation occur. Off-pathway β-barrel oligomers are also suggested to occur in coassembled β-strand peptide systems.","container-title":"Proceedings of the National Academy of Sciences","DOI":"10.1073/pnas.1912810117","ISSN":"0027-8424, 1091-6490","issue":"9","journalAbbreviation":"PNAS","language":"en","license":"© 2020 . https://www.pnas.org/site/aboutpnas/licenses.xhtmlPublished under the PNAS license.","note":"publisher: National Academy of Sciences\nsection: Biological Sciences\nPMID: 32071201","page":"4710-4717","source":"www.pnas.org","title":"Anatomy of a selectively coassembled β-sheet peptide nanofiber","URL":"https://www.pnas.org/content/117/9/4710","volume":"117","author":[{"family":"Shao","given":"Qing"},{"family":"Wong","given":"Kong M."},{"family":"Seroski","given":"Dillon T."},{"family":"Wang","given":"Yiming"},{"family":"Liu","given":"Renjie"},{"family":"Paravastu","given":"Anant K."},{"family":"Hudalla","given":"Gregory A."},{"family":"Hall","given":"Carol K."}],"accessed":{"date-parts":[["2020",8,10]]},"issued":{"date-parts":[["2020",3,3]]},"citation-key":"shaoAnatomySelectivelyCoassembled2020"}}],"schema":"https://github.com/citation-style-language/schema/raw/master/csl-citation.json"} </w:instrText>
      </w:r>
      <w:r w:rsidRPr="0084736C">
        <w:rPr>
          <w:rFonts w:ascii="Arial" w:hAnsi="Arial" w:cs="Arial"/>
          <w:color w:val="000000" w:themeColor="text1"/>
          <w:sz w:val="24"/>
          <w:szCs w:val="24"/>
          <w:shd w:val="clear" w:color="auto" w:fill="FFFFFF"/>
        </w:rPr>
        <w:fldChar w:fldCharType="separate"/>
      </w:r>
      <w:r w:rsidR="008F09C1" w:rsidRPr="008F09C1">
        <w:rPr>
          <w:rFonts w:ascii="Arial" w:hAnsi="Arial" w:cs="Arial"/>
          <w:color w:val="000000"/>
          <w:sz w:val="24"/>
          <w:vertAlign w:val="superscript"/>
        </w:rPr>
        <w:t>81</w:t>
      </w:r>
      <w:r w:rsidRPr="0084736C">
        <w:rPr>
          <w:rFonts w:ascii="Arial" w:hAnsi="Arial" w:cs="Arial"/>
          <w:color w:val="000000" w:themeColor="text1"/>
          <w:sz w:val="24"/>
          <w:szCs w:val="24"/>
          <w:shd w:val="clear" w:color="auto" w:fill="FFFFFF"/>
        </w:rPr>
        <w:fldChar w:fldCharType="end"/>
      </w:r>
      <w:r w:rsidRPr="0084736C">
        <w:rPr>
          <w:rFonts w:ascii="Arial" w:hAnsi="Arial" w:cs="Arial"/>
          <w:color w:val="000000" w:themeColor="text1"/>
          <w:sz w:val="24"/>
          <w:szCs w:val="24"/>
          <w:shd w:val="clear" w:color="auto" w:fill="FFFFFF"/>
        </w:rPr>
        <w:t xml:space="preserve"> It was found that Lys and Glu residues contribute</w:t>
      </w:r>
      <w:r w:rsidR="000C78B0">
        <w:rPr>
          <w:rFonts w:ascii="Arial" w:hAnsi="Arial" w:cs="Arial"/>
          <w:color w:val="000000" w:themeColor="text1"/>
          <w:sz w:val="24"/>
          <w:szCs w:val="24"/>
          <w:shd w:val="clear" w:color="auto" w:fill="FFFFFF"/>
        </w:rPr>
        <w:t xml:space="preserve"> to</w:t>
      </w:r>
      <w:r w:rsidRPr="0084736C">
        <w:rPr>
          <w:rFonts w:ascii="Arial" w:hAnsi="Arial" w:cs="Arial"/>
          <w:color w:val="000000" w:themeColor="text1"/>
          <w:sz w:val="24"/>
          <w:szCs w:val="24"/>
          <w:shd w:val="clear" w:color="auto" w:fill="FFFFFF"/>
        </w:rPr>
        <w:t xml:space="preserve"> self-assembly with equimolar concentrations and encode molecular level of organization. </w:t>
      </w:r>
    </w:p>
    <w:p w14:paraId="2BF1462D" w14:textId="0C93647D" w:rsidR="009A06B6" w:rsidRPr="0084736C" w:rsidRDefault="00260D64" w:rsidP="00542522">
      <w:pPr>
        <w:spacing w:line="480" w:lineRule="auto"/>
        <w:rPr>
          <w:rFonts w:ascii="Arial" w:hAnsi="Arial" w:cs="Arial"/>
          <w:color w:val="000000" w:themeColor="text1"/>
          <w:sz w:val="24"/>
          <w:szCs w:val="24"/>
        </w:rPr>
      </w:pPr>
      <w:r w:rsidRPr="0084736C">
        <w:rPr>
          <w:rFonts w:ascii="Arial" w:hAnsi="Arial" w:cs="Arial"/>
          <w:color w:val="000000" w:themeColor="text1"/>
          <w:sz w:val="24"/>
          <w:szCs w:val="24"/>
          <w:shd w:val="clear" w:color="auto" w:fill="FFFFFF"/>
        </w:rPr>
        <w:t>CD spectroscopy is another widely used technique to determine the secondary structures of peptides. The technique measures the actively chiral molecules based on the difference in absorbance of right and left circularly polarized light.</w:t>
      </w:r>
      <w:r w:rsidRPr="0084736C">
        <w:rPr>
          <w:rFonts w:ascii="Arial" w:hAnsi="Arial" w:cs="Arial"/>
          <w:color w:val="000000" w:themeColor="text1"/>
          <w:sz w:val="24"/>
          <w:szCs w:val="24"/>
          <w:shd w:val="clear" w:color="auto" w:fill="FFFFFF"/>
        </w:rPr>
        <w:fldChar w:fldCharType="begin"/>
      </w:r>
      <w:r w:rsidR="008F09C1">
        <w:rPr>
          <w:rFonts w:ascii="Arial" w:hAnsi="Arial" w:cs="Arial"/>
          <w:color w:val="000000" w:themeColor="text1"/>
          <w:sz w:val="24"/>
          <w:szCs w:val="24"/>
          <w:shd w:val="clear" w:color="auto" w:fill="FFFFFF"/>
        </w:rPr>
        <w:instrText xml:space="preserve"> ADDIN ZOTERO_ITEM CSL_CITATION {"citationID":"0f5TyJ3k","properties":{"formattedCitation":"\\super 82\\nosupersub{}","plainCitation":"82","noteIndex":0},"citationItems":[{"id":291,"uris":["http://zotero.org/users/5797676/items/BHDRW7VG"],"itemData":{"id":291,"type":"article-journal","abstract":"Circular dichroism (CD) spectroscopy is a widely used technique for the study of protein structure. Numerous algorithms have been developed for the estimation of the secondary structure composition from the CD spectra. These methods often fail to provide acceptable results on α/β-mixed or β-structure–rich proteins. The problem arises from the spectral diversity of β-structures, which has hitherto been considered as an intrinsic limitation of the technique. The predictions are less reliable for proteins of unusual β-structures such as membrane proteins, protein aggregates, and amyloid fibrils. Here, we show that the parallel/antiparallel orientation and the twisting of the β-sheets account for the observed spectral diversity. We have developed a method called β-structure selection (BeStSel) for the secondary structure estimation that takes into account the twist of β-structures. This method can reliably distinguish parallel and antiparallel β-sheets and accurately estimates the secondary structure for a broad range of proteins. Moreover, the secondary structure components applied by the method are characteristic to the protein fold, and thus the fold can be predicted to the level of topology in the CATH classification from a single CD spectrum. By constructing a web server, we offer a general tool for a quick and reliable structure analysis using conventional CD or synchrotron radiation CD (SRCD) spectroscopy for the protein science research community. The method is especially useful when X-ray or NMR techniques fail. Using BeStSel on data collected by SRCD spectroscopy, we investigated the structure of amyloid fibrils of various disease-related proteins and peptides.","container-title":"Proceedings of the National Academy of Sciences","DOI":"10.1073/pnas.1500851112","ISSN":"0027-8424, 1091-6490","issue":"24","journalAbbreviation":"PNAS","language":"en","license":"©  . Freely available online through the PNAS open access option.","note":"publisher: National Academy of Sciences\nsection: PNAS Plus\nPMID: 26038575","page":"E3095-E3103","source":"www.pnas.org","title":"Accurate secondary structure prediction and fold recognition for circular dichroism spectroscopy","URL":"https://www.pnas.org/content/112/24/E3095","volume":"112","author":[{"family":"Micsonai","given":"András"},{"family":"Wien","given":"Frank"},{"family":"Kernya","given":"Linda"},{"family":"Lee","given":"Young-Ho"},{"family":"Goto","given":"Yuji"},{"family":"Réfrégiers","given":"Matthieu"},{"family":"Kardos","given":"József"}],"accessed":{"date-parts":[["2020",8,11]]},"issued":{"date-parts":[["2015",6,16]]},"citation-key":"micsonaiAccurateSecondaryStructure2015"}}],"schema":"https://github.com/citation-style-language/schema/raw/master/csl-citation.json"} </w:instrText>
      </w:r>
      <w:r w:rsidRPr="0084736C">
        <w:rPr>
          <w:rFonts w:ascii="Arial" w:hAnsi="Arial" w:cs="Arial"/>
          <w:color w:val="000000" w:themeColor="text1"/>
          <w:sz w:val="24"/>
          <w:szCs w:val="24"/>
          <w:shd w:val="clear" w:color="auto" w:fill="FFFFFF"/>
        </w:rPr>
        <w:fldChar w:fldCharType="separate"/>
      </w:r>
      <w:r w:rsidR="008F09C1" w:rsidRPr="008F09C1">
        <w:rPr>
          <w:rFonts w:ascii="Arial" w:hAnsi="Arial" w:cs="Arial"/>
          <w:color w:val="000000"/>
          <w:sz w:val="24"/>
          <w:vertAlign w:val="superscript"/>
        </w:rPr>
        <w:t>82</w:t>
      </w:r>
      <w:r w:rsidRPr="0084736C">
        <w:rPr>
          <w:rFonts w:ascii="Arial" w:hAnsi="Arial" w:cs="Arial"/>
          <w:color w:val="000000" w:themeColor="text1"/>
          <w:sz w:val="24"/>
          <w:szCs w:val="24"/>
          <w:shd w:val="clear" w:color="auto" w:fill="FFFFFF"/>
        </w:rPr>
        <w:fldChar w:fldCharType="end"/>
      </w:r>
      <w:r w:rsidRPr="0084736C">
        <w:rPr>
          <w:rFonts w:ascii="Arial" w:hAnsi="Arial" w:cs="Arial"/>
          <w:color w:val="000000" w:themeColor="text1"/>
          <w:sz w:val="24"/>
          <w:szCs w:val="24"/>
          <w:shd w:val="clear" w:color="auto" w:fill="FFFFFF"/>
        </w:rPr>
        <w:t xml:space="preserve"> For example</w:t>
      </w:r>
      <w:r w:rsidR="000C78B0">
        <w:rPr>
          <w:rFonts w:ascii="Arial" w:hAnsi="Arial" w:cs="Arial"/>
          <w:color w:val="000000" w:themeColor="text1"/>
          <w:sz w:val="24"/>
          <w:szCs w:val="24"/>
          <w:shd w:val="clear" w:color="auto" w:fill="FFFFFF"/>
        </w:rPr>
        <w:t xml:space="preserve">, </w:t>
      </w:r>
      <w:r w:rsidRPr="0084736C">
        <w:rPr>
          <w:rFonts w:ascii="Arial" w:hAnsi="Arial" w:cs="Arial"/>
          <w:color w:val="000000" w:themeColor="text1"/>
          <w:sz w:val="24"/>
          <w:szCs w:val="24"/>
          <w:shd w:val="clear" w:color="auto" w:fill="FFFFFF"/>
        </w:rPr>
        <w:t xml:space="preserve">the optically active amino acids </w:t>
      </w:r>
      <w:r w:rsidRPr="009B08B1">
        <w:rPr>
          <w:rFonts w:ascii="Arial" w:hAnsi="Arial" w:cs="Arial"/>
          <w:color w:val="000000" w:themeColor="text1"/>
          <w:sz w:val="24"/>
          <w:szCs w:val="24"/>
          <w:shd w:val="clear" w:color="auto" w:fill="FFFFFF"/>
        </w:rPr>
        <w:t xml:space="preserve">such as </w:t>
      </w:r>
      <w:r w:rsidR="00537A6E" w:rsidRPr="009B08B1">
        <w:rPr>
          <w:rFonts w:ascii="Arial" w:hAnsi="Arial" w:cs="Arial"/>
          <w:color w:val="000000" w:themeColor="text1"/>
          <w:sz w:val="24"/>
          <w:szCs w:val="24"/>
          <w:shd w:val="clear" w:color="auto" w:fill="FFFFFF"/>
        </w:rPr>
        <w:t>W</w:t>
      </w:r>
      <w:r w:rsidRPr="009B08B1">
        <w:rPr>
          <w:rFonts w:ascii="Arial" w:hAnsi="Arial" w:cs="Arial"/>
          <w:color w:val="000000" w:themeColor="text1"/>
          <w:sz w:val="24"/>
          <w:szCs w:val="24"/>
          <w:shd w:val="clear" w:color="auto" w:fill="FFFFFF"/>
        </w:rPr>
        <w:t xml:space="preserve">, </w:t>
      </w:r>
      <w:r w:rsidR="009B08B1" w:rsidRPr="009B08B1">
        <w:rPr>
          <w:rFonts w:ascii="Arial" w:hAnsi="Arial" w:cs="Arial"/>
          <w:color w:val="000000" w:themeColor="text1"/>
          <w:sz w:val="24"/>
          <w:szCs w:val="24"/>
          <w:shd w:val="clear" w:color="auto" w:fill="FFFFFF"/>
        </w:rPr>
        <w:t>Y</w:t>
      </w:r>
      <w:r w:rsidRPr="009B08B1">
        <w:rPr>
          <w:rFonts w:ascii="Arial" w:hAnsi="Arial" w:cs="Arial"/>
          <w:color w:val="000000" w:themeColor="text1"/>
          <w:sz w:val="24"/>
          <w:szCs w:val="24"/>
          <w:shd w:val="clear" w:color="auto" w:fill="FFFFFF"/>
        </w:rPr>
        <w:t xml:space="preserve">, </w:t>
      </w:r>
      <w:r w:rsidR="00537A6E" w:rsidRPr="009B08B1">
        <w:rPr>
          <w:rFonts w:ascii="Arial" w:hAnsi="Arial" w:cs="Arial"/>
          <w:color w:val="000000" w:themeColor="text1"/>
          <w:sz w:val="24"/>
          <w:szCs w:val="24"/>
          <w:shd w:val="clear" w:color="auto" w:fill="FFFFFF"/>
        </w:rPr>
        <w:t>F</w:t>
      </w:r>
      <w:r w:rsidRPr="009B08B1">
        <w:rPr>
          <w:rFonts w:ascii="Arial" w:hAnsi="Arial" w:cs="Arial"/>
          <w:color w:val="000000" w:themeColor="text1"/>
          <w:sz w:val="24"/>
          <w:szCs w:val="24"/>
          <w:shd w:val="clear" w:color="auto" w:fill="FFFFFF"/>
        </w:rPr>
        <w:t xml:space="preserve"> and C give spectra in the</w:t>
      </w:r>
      <w:r w:rsidRPr="0084736C">
        <w:rPr>
          <w:rFonts w:ascii="Arial" w:hAnsi="Arial" w:cs="Arial"/>
          <w:color w:val="000000" w:themeColor="text1"/>
          <w:sz w:val="24"/>
          <w:szCs w:val="24"/>
          <w:shd w:val="clear" w:color="auto" w:fill="FFFFFF"/>
        </w:rPr>
        <w:t xml:space="preserve"> near-UV (320-250 nm). However, the far-UV CD spectra (260-180 nm) originate from absorbed light </w:t>
      </w:r>
      <w:r w:rsidRPr="0084736C">
        <w:rPr>
          <w:rFonts w:ascii="Arial" w:hAnsi="Arial" w:cs="Arial"/>
          <w:color w:val="000000" w:themeColor="text1"/>
          <w:sz w:val="24"/>
          <w:szCs w:val="24"/>
          <w:shd w:val="clear" w:color="auto" w:fill="FFFFFF"/>
        </w:rPr>
        <w:lastRenderedPageBreak/>
        <w:t>result</w:t>
      </w:r>
      <w:r w:rsidR="000C78B0">
        <w:rPr>
          <w:rFonts w:ascii="Arial" w:hAnsi="Arial" w:cs="Arial"/>
          <w:color w:val="000000" w:themeColor="text1"/>
          <w:sz w:val="24"/>
          <w:szCs w:val="24"/>
          <w:shd w:val="clear" w:color="auto" w:fill="FFFFFF"/>
        </w:rPr>
        <w:t>ing</w:t>
      </w:r>
      <w:r w:rsidRPr="0084736C">
        <w:rPr>
          <w:rFonts w:ascii="Arial" w:hAnsi="Arial" w:cs="Arial"/>
          <w:color w:val="000000" w:themeColor="text1"/>
          <w:sz w:val="24"/>
          <w:szCs w:val="24"/>
          <w:shd w:val="clear" w:color="auto" w:fill="FFFFFF"/>
        </w:rPr>
        <w:t xml:space="preserve"> </w:t>
      </w:r>
      <w:r w:rsidR="000C78B0">
        <w:rPr>
          <w:rFonts w:ascii="Arial" w:hAnsi="Arial" w:cs="Arial"/>
          <w:color w:val="000000" w:themeColor="text1"/>
          <w:sz w:val="24"/>
          <w:szCs w:val="24"/>
          <w:shd w:val="clear" w:color="auto" w:fill="FFFFFF"/>
        </w:rPr>
        <w:t>from</w:t>
      </w:r>
      <w:r w:rsidRPr="0084736C">
        <w:rPr>
          <w:rFonts w:ascii="Arial" w:hAnsi="Arial" w:cs="Arial"/>
          <w:color w:val="000000" w:themeColor="text1"/>
          <w:sz w:val="24"/>
          <w:szCs w:val="24"/>
          <w:shd w:val="clear" w:color="auto" w:fill="FFFFFF"/>
        </w:rPr>
        <w:t xml:space="preserve"> peptide bonds (amide bonds) which give information about peptide secondary structure.</w:t>
      </w:r>
      <w:r w:rsidRPr="0084736C">
        <w:rPr>
          <w:rFonts w:ascii="Arial" w:hAnsi="Arial" w:cs="Arial"/>
          <w:color w:val="000000" w:themeColor="text1"/>
          <w:sz w:val="24"/>
          <w:szCs w:val="24"/>
          <w:shd w:val="clear" w:color="auto" w:fill="FFFFFF"/>
        </w:rPr>
        <w:fldChar w:fldCharType="begin"/>
      </w:r>
      <w:r w:rsidR="008F09C1">
        <w:rPr>
          <w:rFonts w:ascii="Arial" w:hAnsi="Arial" w:cs="Arial"/>
          <w:color w:val="000000" w:themeColor="text1"/>
          <w:sz w:val="24"/>
          <w:szCs w:val="24"/>
          <w:shd w:val="clear" w:color="auto" w:fill="FFFFFF"/>
        </w:rPr>
        <w:instrText xml:space="preserve"> ADDIN ZOTERO_ITEM CSL_CITATION {"citationID":"fDgTaarP","properties":{"formattedCitation":"\\super 83\\nosupersub{}","plainCitation":"83","noteIndex":0},"citationItems":[{"id":292,"uris":["http://zotero.org/users/5797676/items/RDPEHMTE"],"itemData":{"id":292,"type":"chapter","abstract":"Circular dichroism measures the difference between the absorbance of left- and right-handed circularly polarized light, and can be used to monitor the secondary structure of peptides (far UV) and the tertiary structure of larger polypeptides (near UV). This technique is especially useful for helix–coil transitions and other aspects of structural alterations. Data from several low-resolution spectroscopic techniques, including CD, can be combined to generate an overall picture of peptide structure as a function of environmental conditions.","collection-title":"Methods in Molecular Biology","container-title":"Therapeutic Peptides: Methods and Protocols","event-place":"Totowa, NJ","ISBN":"978-1-62703-673-3","language":"en","note":"DOI: 10.1007/978-1-62703-673-3_17","page":"247-253","publisher":"Humana Press","publisher-place":"Totowa, NJ","source":"Springer Link","title":"Circular Dichroism of Peptides","URL":"https://doi.org/10.1007/978-1-62703-673-3_17","author":[{"family":"Bakshi","given":"Kunal"},{"family":"Liyanage","given":"Mangala R."},{"family":"Volkin","given":"David B."},{"family":"Middaugh","given":"C. Russell"}],"editor":[{"family":"Nixon","given":"Andrew E."}],"accessed":{"date-parts":[["2020",8,11]]},"issued":{"date-parts":[["2014"]]},"citation-key":"bakshiCircularDichroismPeptides2014"}}],"schema":"https://github.com/citation-style-language/schema/raw/master/csl-citation.json"} </w:instrText>
      </w:r>
      <w:r w:rsidRPr="0084736C">
        <w:rPr>
          <w:rFonts w:ascii="Arial" w:hAnsi="Arial" w:cs="Arial"/>
          <w:color w:val="000000" w:themeColor="text1"/>
          <w:sz w:val="24"/>
          <w:szCs w:val="24"/>
          <w:shd w:val="clear" w:color="auto" w:fill="FFFFFF"/>
        </w:rPr>
        <w:fldChar w:fldCharType="separate"/>
      </w:r>
      <w:r w:rsidR="008F09C1" w:rsidRPr="008F09C1">
        <w:rPr>
          <w:rFonts w:ascii="Arial" w:hAnsi="Arial" w:cs="Arial"/>
          <w:color w:val="000000"/>
          <w:sz w:val="24"/>
          <w:vertAlign w:val="superscript"/>
        </w:rPr>
        <w:t>83</w:t>
      </w:r>
      <w:r w:rsidRPr="0084736C">
        <w:rPr>
          <w:rFonts w:ascii="Arial" w:hAnsi="Arial" w:cs="Arial"/>
          <w:color w:val="000000" w:themeColor="text1"/>
          <w:sz w:val="24"/>
          <w:szCs w:val="24"/>
          <w:shd w:val="clear" w:color="auto" w:fill="FFFFFF"/>
        </w:rPr>
        <w:fldChar w:fldCharType="end"/>
      </w:r>
      <w:r w:rsidRPr="0084736C">
        <w:rPr>
          <w:rFonts w:ascii="Arial" w:hAnsi="Arial" w:cs="Arial"/>
          <w:color w:val="000000" w:themeColor="text1"/>
          <w:sz w:val="24"/>
          <w:szCs w:val="24"/>
          <w:shd w:val="clear" w:color="auto" w:fill="FFFFFF"/>
        </w:rPr>
        <w:t xml:space="preserve"> Although getting information about the physical interactions is limited when compared with NMR, it is useful in terms of analyzing a range of concentrations</w:t>
      </w:r>
      <w:r w:rsidR="000C78B0">
        <w:rPr>
          <w:rFonts w:ascii="Arial" w:hAnsi="Arial" w:cs="Arial"/>
          <w:color w:val="000000" w:themeColor="text1"/>
          <w:sz w:val="24"/>
          <w:szCs w:val="24"/>
          <w:shd w:val="clear" w:color="auto" w:fill="FFFFFF"/>
        </w:rPr>
        <w:t xml:space="preserve"> and </w:t>
      </w:r>
      <w:r w:rsidRPr="0084736C">
        <w:rPr>
          <w:rFonts w:ascii="Arial" w:hAnsi="Arial" w:cs="Arial"/>
          <w:color w:val="000000" w:themeColor="text1"/>
          <w:sz w:val="24"/>
          <w:szCs w:val="24"/>
          <w:shd w:val="clear" w:color="auto" w:fill="FFFFFF"/>
        </w:rPr>
        <w:t>environmental effects on peptide self-assembly in a short time and with a low sample volume.</w:t>
      </w:r>
      <w:r w:rsidRPr="0084736C">
        <w:rPr>
          <w:rFonts w:ascii="Arial" w:hAnsi="Arial" w:cs="Arial"/>
          <w:color w:val="000000" w:themeColor="text1"/>
          <w:sz w:val="24"/>
          <w:szCs w:val="24"/>
          <w:shd w:val="clear" w:color="auto" w:fill="FFFFFF"/>
        </w:rPr>
        <w:fldChar w:fldCharType="begin"/>
      </w:r>
      <w:r w:rsidR="008F09C1">
        <w:rPr>
          <w:rFonts w:ascii="Arial" w:hAnsi="Arial" w:cs="Arial"/>
          <w:color w:val="000000" w:themeColor="text1"/>
          <w:sz w:val="24"/>
          <w:szCs w:val="24"/>
          <w:shd w:val="clear" w:color="auto" w:fill="FFFFFF"/>
        </w:rPr>
        <w:instrText xml:space="preserve"> ADDIN ZOTERO_ITEM CSL_CITATION {"citationID":"KBhstYon","properties":{"formattedCitation":"\\super 84\\nosupersub{}","plainCitation":"84","noteIndex":0},"citationItems":[{"id":290,"uris":["http://zotero.org/users/5797676/items/DAUTT3WZ"],"itemData":{"id":290,"type":"article-journal","container-title":"Chemical Society Reviews","DOI":"10.1039/C5CS00084J","issue":"18","language":"en","note":"publisher: Royal Society of Chemistry","page":"4859-4872","source":"pubs.rsc.org","title":"Circular dichroism spectroscopy of membrane proteins","URL":"https://pubs.rsc.org/en/content/articlelanding/2016/cs/c5cs00084j","volume":"45","author":[{"family":"J. Miles","given":"A."},{"family":"A. Wallace","given":"B."}],"accessed":{"date-parts":[["2020",8,12]]},"issued":{"date-parts":[["2016"]]},"citation-key":"j.milesCircularDichroismSpectroscopy2016"}}],"schema":"https://github.com/citation-style-language/schema/raw/master/csl-citation.json"} </w:instrText>
      </w:r>
      <w:r w:rsidRPr="0084736C">
        <w:rPr>
          <w:rFonts w:ascii="Arial" w:hAnsi="Arial" w:cs="Arial"/>
          <w:color w:val="000000" w:themeColor="text1"/>
          <w:sz w:val="24"/>
          <w:szCs w:val="24"/>
          <w:shd w:val="clear" w:color="auto" w:fill="FFFFFF"/>
        </w:rPr>
        <w:fldChar w:fldCharType="separate"/>
      </w:r>
      <w:r w:rsidR="008F09C1" w:rsidRPr="008F09C1">
        <w:rPr>
          <w:rFonts w:ascii="Arial" w:hAnsi="Arial" w:cs="Arial"/>
          <w:color w:val="000000"/>
          <w:sz w:val="24"/>
          <w:vertAlign w:val="superscript"/>
        </w:rPr>
        <w:t>84</w:t>
      </w:r>
      <w:r w:rsidRPr="0084736C">
        <w:rPr>
          <w:rFonts w:ascii="Arial" w:hAnsi="Arial" w:cs="Arial"/>
          <w:color w:val="000000" w:themeColor="text1"/>
          <w:sz w:val="24"/>
          <w:szCs w:val="24"/>
          <w:shd w:val="clear" w:color="auto" w:fill="FFFFFF"/>
        </w:rPr>
        <w:fldChar w:fldCharType="end"/>
      </w:r>
      <w:r w:rsidRPr="0084736C">
        <w:rPr>
          <w:rFonts w:ascii="Arial" w:hAnsi="Arial" w:cs="Arial"/>
          <w:color w:val="000000" w:themeColor="text1"/>
          <w:sz w:val="24"/>
          <w:szCs w:val="24"/>
          <w:shd w:val="clear" w:color="auto" w:fill="FFFFFF"/>
        </w:rPr>
        <w:t xml:space="preserve"> The secondary structure</w:t>
      </w:r>
      <w:r w:rsidR="000C78B0">
        <w:rPr>
          <w:rFonts w:ascii="Arial" w:hAnsi="Arial" w:cs="Arial"/>
          <w:color w:val="000000" w:themeColor="text1"/>
          <w:sz w:val="24"/>
          <w:szCs w:val="24"/>
          <w:shd w:val="clear" w:color="auto" w:fill="FFFFFF"/>
        </w:rPr>
        <w:t xml:space="preserve"> transition</w:t>
      </w:r>
      <w:r w:rsidRPr="0084736C">
        <w:rPr>
          <w:rFonts w:ascii="Arial" w:hAnsi="Arial" w:cs="Arial"/>
          <w:color w:val="000000" w:themeColor="text1"/>
          <w:sz w:val="24"/>
          <w:szCs w:val="24"/>
          <w:shd w:val="clear" w:color="auto" w:fill="FFFFFF"/>
        </w:rPr>
        <w:t xml:space="preserve"> from </w:t>
      </w:r>
      <w:r w:rsidRPr="000C78B0">
        <w:rPr>
          <w:rFonts w:ascii="Symbol" w:hAnsi="Symbol" w:cs="Arial"/>
          <w:color w:val="000000" w:themeColor="text1"/>
          <w:sz w:val="24"/>
          <w:szCs w:val="24"/>
          <w:shd w:val="clear" w:color="auto" w:fill="FFFFFF"/>
        </w:rPr>
        <w:t>a</w:t>
      </w:r>
      <w:r w:rsidRPr="0084736C">
        <w:rPr>
          <w:rFonts w:ascii="Arial" w:hAnsi="Arial" w:cs="Arial"/>
          <w:color w:val="000000" w:themeColor="text1"/>
          <w:sz w:val="24"/>
          <w:szCs w:val="24"/>
          <w:shd w:val="clear" w:color="auto" w:fill="FFFFFF"/>
        </w:rPr>
        <w:t xml:space="preserve">-helix to </w:t>
      </w:r>
      <w:r w:rsidR="005B4478" w:rsidRPr="0084736C">
        <w:rPr>
          <w:rFonts w:ascii="Arial" w:hAnsi="Arial" w:cs="Arial"/>
          <w:color w:val="000000" w:themeColor="text1"/>
          <w:sz w:val="24"/>
          <w:szCs w:val="24"/>
          <w:shd w:val="clear" w:color="auto" w:fill="FFFFFF"/>
        </w:rPr>
        <w:t>β-sheet</w:t>
      </w:r>
      <w:r w:rsidRPr="0084736C">
        <w:rPr>
          <w:rFonts w:ascii="Arial" w:hAnsi="Arial" w:cs="Arial"/>
          <w:color w:val="000000" w:themeColor="text1"/>
          <w:sz w:val="24"/>
          <w:szCs w:val="24"/>
          <w:shd w:val="clear" w:color="auto" w:fill="FFFFFF"/>
        </w:rPr>
        <w:t xml:space="preserve">s was shown with pyrene (aromatic motif) conjugated </w:t>
      </w:r>
      <w:r w:rsidR="009B08B1" w:rsidRPr="009B08B1">
        <w:rPr>
          <w:rFonts w:ascii="Arial" w:hAnsi="Arial" w:cs="Arial"/>
          <w:color w:val="000000" w:themeColor="text1"/>
          <w:sz w:val="24"/>
          <w:szCs w:val="24"/>
        </w:rPr>
        <w:t>RMLRF</w:t>
      </w:r>
      <w:r w:rsidRPr="009B08B1">
        <w:rPr>
          <w:rFonts w:ascii="Arial" w:hAnsi="Arial" w:cs="Arial"/>
          <w:color w:val="000000" w:themeColor="text1"/>
          <w:sz w:val="24"/>
          <w:szCs w:val="24"/>
        </w:rPr>
        <w:t xml:space="preserve"> and I</w:t>
      </w:r>
      <w:r w:rsidR="009B08B1" w:rsidRPr="009B08B1">
        <w:rPr>
          <w:rFonts w:ascii="Arial" w:hAnsi="Arial" w:cs="Arial"/>
          <w:color w:val="000000" w:themeColor="text1"/>
          <w:sz w:val="24"/>
          <w:szCs w:val="24"/>
        </w:rPr>
        <w:t>QEVN</w:t>
      </w:r>
      <w:r w:rsidRPr="009B08B1">
        <w:rPr>
          <w:rFonts w:ascii="Arial" w:hAnsi="Arial" w:cs="Arial"/>
          <w:color w:val="000000" w:themeColor="text1"/>
          <w:sz w:val="24"/>
          <w:szCs w:val="24"/>
        </w:rPr>
        <w:t>.</w:t>
      </w:r>
      <w:r w:rsidRPr="009B08B1">
        <w:rPr>
          <w:rFonts w:ascii="Arial" w:hAnsi="Arial" w:cs="Arial"/>
          <w:noProof/>
          <w:color w:val="000000" w:themeColor="text1"/>
          <w:sz w:val="24"/>
          <w:szCs w:val="24"/>
        </w:rPr>
        <w:fldChar w:fldCharType="begin"/>
      </w:r>
      <w:r w:rsidR="008F09C1">
        <w:rPr>
          <w:rFonts w:ascii="Arial" w:hAnsi="Arial" w:cs="Arial"/>
          <w:noProof/>
          <w:color w:val="000000" w:themeColor="text1"/>
          <w:sz w:val="24"/>
          <w:szCs w:val="24"/>
        </w:rPr>
        <w:instrText xml:space="preserve"> ADDIN ZOTERO_ITEM CSL_CITATION {"citationID":"zUraQpjr","properties":{"formattedCitation":"\\super 85\\nosupersub{}","plainCitation":"85","noteIndex":0},"citationItems":[{"id":289,"uris":["http://zotero.org/users/5797676/items/EWSI8CGU"],"itemData":{"id":289,"type":"article-journal","abstract":"Isolated short peptides usually are unable to maintain their original secondary structures due to the lack of the restriction from proteins. Here we show that two complementary pentapeptides from a β-sheet motif of a protein, being connected to an aromatic motif (i.e., pyrene) at their C-terminal, self-assemble to form β-sheet like structures upon mixing. Besides enabling the self-assembly to result in supramolecular hydrogels upon mixing, aromatic–aromatic interactions promote the pentapeptides transform from α-helix to β-sheet conformation. As the first example of using aromatic–aromatic interactions to mimic the conformational restriction in a protein, this work illustrates a bioinspired way to generate peptide nanofibers with predefined secondary structures of the peptides by a rational design using protein structures as the blueprint.","container-title":"Journal of the American Chemical Society","DOI":"10.1021/jacs.6b11512","ISSN":"0002-7863","issue":"1","journalAbbreviation":"J. Am. Chem. Soc.","note":"publisher: American Chemical Society","page":"71-74","source":"ACS Publications","title":"Aromatic–Aromatic Interactions Enable α-Helix to β-Sheet Transition of Peptides to Form Supramolecular Hydrogels","URL":"https://doi.org/10.1021/jacs.6b11512","volume":"139","author":[{"family":"Li","given":"Jie"},{"family":"Du","given":"Xuewen"},{"family":"Hashim","given":"Saqib"},{"family":"Shy","given":"Adrianna"},{"family":"Xu","given":"Bing"}],"accessed":{"date-parts":[["2020",8,15]]},"issued":{"date-parts":[["2017",1,11]]},"citation-key":"liAromaticAromaticInteractions2017"}}],"schema":"https://github.com/citation-style-language/schema/raw/master/csl-citation.json"} </w:instrText>
      </w:r>
      <w:r w:rsidRPr="009B08B1">
        <w:rPr>
          <w:rFonts w:ascii="Arial" w:hAnsi="Arial" w:cs="Arial"/>
          <w:noProof/>
          <w:color w:val="000000" w:themeColor="text1"/>
          <w:sz w:val="24"/>
          <w:szCs w:val="24"/>
        </w:rPr>
        <w:fldChar w:fldCharType="separate"/>
      </w:r>
      <w:r w:rsidR="008F09C1" w:rsidRPr="008F09C1">
        <w:rPr>
          <w:rFonts w:ascii="Arial" w:hAnsi="Arial" w:cs="Arial"/>
          <w:color w:val="000000"/>
          <w:sz w:val="24"/>
          <w:vertAlign w:val="superscript"/>
        </w:rPr>
        <w:t>85</w:t>
      </w:r>
      <w:r w:rsidRPr="009B08B1">
        <w:rPr>
          <w:rFonts w:ascii="Arial" w:hAnsi="Arial" w:cs="Arial"/>
          <w:noProof/>
          <w:color w:val="000000" w:themeColor="text1"/>
          <w:sz w:val="24"/>
          <w:szCs w:val="24"/>
        </w:rPr>
        <w:fldChar w:fldCharType="end"/>
      </w:r>
      <w:r w:rsidRPr="009B08B1">
        <w:rPr>
          <w:rFonts w:ascii="Arial" w:hAnsi="Arial" w:cs="Arial"/>
          <w:color w:val="000000" w:themeColor="text1"/>
          <w:sz w:val="24"/>
          <w:szCs w:val="24"/>
        </w:rPr>
        <w:t xml:space="preserve"> While</w:t>
      </w:r>
      <w:r w:rsidRPr="0084736C">
        <w:rPr>
          <w:rFonts w:ascii="Arial" w:hAnsi="Arial" w:cs="Arial"/>
          <w:color w:val="000000" w:themeColor="text1"/>
          <w:sz w:val="24"/>
          <w:szCs w:val="24"/>
        </w:rPr>
        <w:t xml:space="preserve"> individual peptides showed </w:t>
      </w:r>
      <w:r w:rsidRPr="000C78B0">
        <w:rPr>
          <w:rFonts w:ascii="Symbol" w:hAnsi="Symbol" w:cs="Arial"/>
          <w:color w:val="000000" w:themeColor="text1"/>
          <w:sz w:val="24"/>
          <w:szCs w:val="24"/>
        </w:rPr>
        <w:t>a</w:t>
      </w:r>
      <w:r w:rsidRPr="0084736C">
        <w:rPr>
          <w:rFonts w:ascii="Arial" w:hAnsi="Arial" w:cs="Arial"/>
          <w:color w:val="000000" w:themeColor="text1"/>
          <w:sz w:val="24"/>
          <w:szCs w:val="24"/>
        </w:rPr>
        <w:t xml:space="preserve">-helix in the solution (negative peaks and 202 and 228 nm), the mixture of two samples showed </w:t>
      </w:r>
      <w:r w:rsidRPr="000C78B0">
        <w:rPr>
          <w:rFonts w:ascii="Symbol" w:hAnsi="Symbol" w:cs="Arial"/>
          <w:color w:val="000000" w:themeColor="text1"/>
          <w:sz w:val="24"/>
          <w:szCs w:val="24"/>
        </w:rPr>
        <w:t>b</w:t>
      </w:r>
      <w:r w:rsidRPr="0084736C">
        <w:rPr>
          <w:rFonts w:ascii="Arial" w:hAnsi="Arial" w:cs="Arial"/>
          <w:color w:val="000000" w:themeColor="text1"/>
          <w:sz w:val="24"/>
          <w:szCs w:val="24"/>
        </w:rPr>
        <w:t>-sheet like structure (positive peak at 202 nm and a negative peak at 220 nm)</w:t>
      </w:r>
      <w:r w:rsidR="000C78B0">
        <w:rPr>
          <w:rFonts w:ascii="Arial" w:hAnsi="Arial" w:cs="Arial"/>
          <w:color w:val="000000" w:themeColor="text1"/>
          <w:sz w:val="24"/>
          <w:szCs w:val="24"/>
        </w:rPr>
        <w:t xml:space="preserve">, </w:t>
      </w:r>
      <w:r w:rsidRPr="0084736C">
        <w:rPr>
          <w:rFonts w:ascii="Arial" w:hAnsi="Arial" w:cs="Arial"/>
          <w:color w:val="000000" w:themeColor="text1"/>
          <w:sz w:val="24"/>
          <w:szCs w:val="24"/>
        </w:rPr>
        <w:t xml:space="preserve">which highlights the importance of aromatic interactions to promote </w:t>
      </w:r>
      <w:r w:rsidRPr="0084736C">
        <w:rPr>
          <w:rFonts w:ascii="Symbol" w:hAnsi="Symbol" w:cs="Arial"/>
          <w:color w:val="000000" w:themeColor="text1"/>
          <w:sz w:val="24"/>
          <w:szCs w:val="24"/>
        </w:rPr>
        <w:t>b</w:t>
      </w:r>
      <w:r w:rsidRPr="0084736C">
        <w:rPr>
          <w:rFonts w:ascii="Arial" w:hAnsi="Arial" w:cs="Arial"/>
          <w:color w:val="000000" w:themeColor="text1"/>
          <w:sz w:val="24"/>
          <w:szCs w:val="24"/>
        </w:rPr>
        <w:t xml:space="preserve">-sheet structure. </w:t>
      </w:r>
      <w:r w:rsidR="000C78B0">
        <w:rPr>
          <w:rFonts w:ascii="Arial" w:hAnsi="Arial" w:cs="Arial"/>
          <w:color w:val="000000" w:themeColor="text1"/>
          <w:sz w:val="24"/>
          <w:szCs w:val="24"/>
        </w:rPr>
        <w:t>A s</w:t>
      </w:r>
      <w:r w:rsidRPr="0084736C">
        <w:rPr>
          <w:rFonts w:ascii="Arial" w:hAnsi="Arial" w:cs="Arial"/>
          <w:color w:val="000000" w:themeColor="text1"/>
          <w:sz w:val="24"/>
          <w:szCs w:val="24"/>
        </w:rPr>
        <w:t xml:space="preserve">imilar secondary structure transition was also observed </w:t>
      </w:r>
      <w:r w:rsidR="000C78B0">
        <w:rPr>
          <w:rFonts w:ascii="Arial" w:hAnsi="Arial" w:cs="Arial"/>
          <w:color w:val="000000" w:themeColor="text1"/>
          <w:sz w:val="24"/>
          <w:szCs w:val="24"/>
        </w:rPr>
        <w:t xml:space="preserve">in </w:t>
      </w:r>
      <w:r w:rsidRPr="0084736C">
        <w:rPr>
          <w:rFonts w:ascii="Arial" w:hAnsi="Arial" w:cs="Arial"/>
          <w:color w:val="000000" w:themeColor="text1"/>
          <w:sz w:val="24"/>
          <w:szCs w:val="24"/>
        </w:rPr>
        <w:t>amyloid-derived supramolecular structures with pyridine derivatives.</w:t>
      </w:r>
      <w:r w:rsidRPr="0084736C">
        <w:rPr>
          <w:rFonts w:ascii="Arial" w:hAnsi="Arial" w:cs="Arial"/>
          <w:color w:val="000000" w:themeColor="text1"/>
          <w:sz w:val="24"/>
          <w:szCs w:val="24"/>
        </w:rPr>
        <w:fldChar w:fldCharType="begin"/>
      </w:r>
      <w:r w:rsidR="008F09C1">
        <w:rPr>
          <w:rFonts w:ascii="Arial" w:hAnsi="Arial" w:cs="Arial"/>
          <w:color w:val="000000" w:themeColor="text1"/>
          <w:sz w:val="24"/>
          <w:szCs w:val="24"/>
        </w:rPr>
        <w:instrText xml:space="preserve"> ADDIN ZOTERO_ITEM CSL_CITATION {"citationID":"FQywUOxp","properties":{"formattedCitation":"\\super 86\\nosupersub{}","plainCitation":"86","noteIndex":0},"citationItems":[{"id":309,"uris":["http://zotero.org/users/5797676/items/3DYQX4PQ"],"itemData":{"id":309,"type":"article-journal","abstract":"Conformational transitions of secondary structures are a crucial factor in many protein misfolding diseases. However, the actual transition of folded proteins into β-sheet-rich structures is not fully understood. Inhibition of aggregate formation, mediated by the β-sheet conformation, and control of the secondary structural transition of proteins and peptides could potentially attenuate the development of amyloid-associated diseases. Here we describe a stoichiometry-controlled secondary structure transition of amyloid-derived dipeptide assemblies from a β-sheet to supramolecular helix conformation through co-assembly with a bipyridine derivative. The transition is mainly mediated by the intermolecular hydrogen bonds and π-π interactions between the two components, which induce the altered stacking and conformation of the co-assemblies, as confirmed by experimental results and computational simulations. This work not only exemplifies a feasible strategy to disrupt the β-sheet conformation, underlying amyloid-like fibril formation, but also provides a conceptual basis for the future utilization of the helical nanostructures in various biological applications.","container-title":"Communications Chemistry","DOI":"10.1038/s42004-019-0170-z","ISSN":"2399-3669","issue":"1","language":"en","license":"2019 The Author(s)","note":"number: 1\npublisher: Nature Publishing Group","page":"1-11","source":"www.nature.com","title":"Stoichiometry-controlled secondary structure transition of amyloid-derived supramolecular dipeptide co-assemblies","URL":"https://www.nature.com/articles/s42004-019-0170-z","volume":"2","author":[{"family":"Ji","given":"Wei"},{"family":"Yuan","given":"Chengqian"},{"family":"Chakraborty","given":"Priyadarshi"},{"family":"Gilead","given":"Sharon"},{"family":"Yan","given":"Xuehai"},{"family":"Gazit","given":"Ehud"}],"accessed":{"date-parts":[["2020",8,8]]},"issued":{"date-parts":[["2019",6,13]]},"citation-key":"ji_stoichiometry-controlled_2019"}}],"schema":"https://github.com/citation-style-language/schema/raw/master/csl-citation.json"} </w:instrText>
      </w:r>
      <w:r w:rsidRPr="0084736C">
        <w:rPr>
          <w:rFonts w:ascii="Arial" w:hAnsi="Arial" w:cs="Arial"/>
          <w:color w:val="000000" w:themeColor="text1"/>
          <w:sz w:val="24"/>
          <w:szCs w:val="24"/>
        </w:rPr>
        <w:fldChar w:fldCharType="separate"/>
      </w:r>
      <w:r w:rsidR="008F09C1" w:rsidRPr="008F09C1">
        <w:rPr>
          <w:rFonts w:ascii="Arial" w:hAnsi="Arial" w:cs="Arial"/>
          <w:color w:val="000000"/>
          <w:sz w:val="24"/>
          <w:vertAlign w:val="superscript"/>
        </w:rPr>
        <w:t>86</w:t>
      </w:r>
      <w:r w:rsidRPr="0084736C">
        <w:rPr>
          <w:rFonts w:ascii="Arial" w:hAnsi="Arial" w:cs="Arial"/>
          <w:color w:val="000000" w:themeColor="text1"/>
          <w:sz w:val="24"/>
          <w:szCs w:val="24"/>
        </w:rPr>
        <w:fldChar w:fldCharType="end"/>
      </w:r>
      <w:r w:rsidRPr="0084736C">
        <w:rPr>
          <w:rFonts w:ascii="Arial" w:hAnsi="Arial" w:cs="Arial"/>
          <w:color w:val="000000" w:themeColor="text1"/>
          <w:sz w:val="24"/>
          <w:szCs w:val="24"/>
        </w:rPr>
        <w:t xml:space="preserve"> The transition from </w:t>
      </w:r>
      <w:r w:rsidR="005B4478" w:rsidRPr="0084736C">
        <w:rPr>
          <w:rFonts w:ascii="Arial" w:hAnsi="Arial" w:cs="Arial"/>
          <w:color w:val="000000" w:themeColor="text1"/>
          <w:sz w:val="24"/>
          <w:szCs w:val="24"/>
        </w:rPr>
        <w:t>β-sheet</w:t>
      </w:r>
      <w:r w:rsidRPr="0084736C">
        <w:rPr>
          <w:rFonts w:ascii="Arial" w:hAnsi="Arial" w:cs="Arial"/>
          <w:color w:val="000000" w:themeColor="text1"/>
          <w:sz w:val="24"/>
          <w:szCs w:val="24"/>
        </w:rPr>
        <w:t xml:space="preserve"> to </w:t>
      </w:r>
      <w:r w:rsidRPr="000C78B0">
        <w:rPr>
          <w:rFonts w:ascii="Symbol" w:hAnsi="Symbol" w:cs="Arial"/>
          <w:color w:val="000000" w:themeColor="text1"/>
          <w:sz w:val="24"/>
          <w:szCs w:val="24"/>
        </w:rPr>
        <w:t>a</w:t>
      </w:r>
      <w:r w:rsidRPr="0084736C">
        <w:rPr>
          <w:rFonts w:ascii="Arial" w:hAnsi="Arial" w:cs="Arial"/>
          <w:color w:val="000000" w:themeColor="text1"/>
          <w:sz w:val="24"/>
          <w:szCs w:val="24"/>
        </w:rPr>
        <w:t xml:space="preserve">-helix was obtained by changing the molar ratios of Fmoc protected </w:t>
      </w:r>
      <w:r w:rsidR="008C6822">
        <w:rPr>
          <w:rFonts w:ascii="Arial" w:hAnsi="Arial" w:cs="Arial"/>
          <w:color w:val="000000" w:themeColor="text1"/>
          <w:sz w:val="24"/>
          <w:szCs w:val="24"/>
        </w:rPr>
        <w:t>FF</w:t>
      </w:r>
      <w:r w:rsidRPr="0084736C">
        <w:rPr>
          <w:rFonts w:ascii="Arial" w:hAnsi="Arial" w:cs="Arial"/>
          <w:color w:val="000000" w:themeColor="text1"/>
          <w:sz w:val="24"/>
          <w:szCs w:val="24"/>
        </w:rPr>
        <w:t xml:space="preserve"> (Fmoc-FF) peptide and 4,4-bipyridine (BPY).  While </w:t>
      </w:r>
      <w:r w:rsidR="005B4478" w:rsidRPr="0084736C">
        <w:rPr>
          <w:rFonts w:ascii="Arial" w:hAnsi="Arial" w:cs="Arial"/>
          <w:color w:val="000000" w:themeColor="text1"/>
          <w:sz w:val="24"/>
          <w:szCs w:val="24"/>
        </w:rPr>
        <w:t>β-sheet</w:t>
      </w:r>
      <w:r w:rsidRPr="0084736C">
        <w:rPr>
          <w:rFonts w:ascii="Arial" w:hAnsi="Arial" w:cs="Arial"/>
          <w:color w:val="000000" w:themeColor="text1"/>
          <w:sz w:val="24"/>
          <w:szCs w:val="24"/>
        </w:rPr>
        <w:t xml:space="preserve"> rich co-assembly was obtained with </w:t>
      </w:r>
      <w:r w:rsidR="000C78B0">
        <w:rPr>
          <w:rFonts w:ascii="Arial" w:hAnsi="Arial" w:cs="Arial"/>
          <w:color w:val="000000" w:themeColor="text1"/>
          <w:sz w:val="24"/>
          <w:szCs w:val="24"/>
        </w:rPr>
        <w:t xml:space="preserve">a </w:t>
      </w:r>
      <w:r w:rsidRPr="0084736C">
        <w:rPr>
          <w:rFonts w:ascii="Arial" w:hAnsi="Arial" w:cs="Arial"/>
          <w:color w:val="000000" w:themeColor="text1"/>
          <w:sz w:val="24"/>
          <w:szCs w:val="24"/>
        </w:rPr>
        <w:t xml:space="preserve">1:1 (Fmoc-FF:BPY) ratio at 192 (positive peak) and 216 nm (negative peak), </w:t>
      </w:r>
      <w:r w:rsidRPr="000C78B0">
        <w:rPr>
          <w:rFonts w:ascii="Symbol" w:hAnsi="Symbol" w:cs="Arial"/>
          <w:color w:val="000000" w:themeColor="text1"/>
          <w:sz w:val="24"/>
          <w:szCs w:val="24"/>
        </w:rPr>
        <w:t>a</w:t>
      </w:r>
      <w:r w:rsidRPr="0084736C">
        <w:rPr>
          <w:rFonts w:ascii="Arial" w:hAnsi="Arial" w:cs="Arial"/>
          <w:color w:val="000000" w:themeColor="text1"/>
          <w:sz w:val="24"/>
          <w:szCs w:val="24"/>
        </w:rPr>
        <w:t xml:space="preserve">-helix transformation occurred with 2:1 (Fmoc-FF:BPY) ratio at 203 and 213 nm (two negative peaks) and twisted </w:t>
      </w:r>
      <w:r w:rsidR="005B4478" w:rsidRPr="0084736C">
        <w:rPr>
          <w:rFonts w:ascii="Arial" w:hAnsi="Arial" w:cs="Arial"/>
          <w:color w:val="000000" w:themeColor="text1"/>
          <w:sz w:val="24"/>
          <w:szCs w:val="24"/>
        </w:rPr>
        <w:t>β-sheet</w:t>
      </w:r>
      <w:r w:rsidRPr="0084736C">
        <w:rPr>
          <w:rFonts w:ascii="Arial" w:hAnsi="Arial" w:cs="Arial"/>
          <w:color w:val="000000" w:themeColor="text1"/>
          <w:sz w:val="24"/>
          <w:szCs w:val="24"/>
        </w:rPr>
        <w:t xml:space="preserve"> was observed with 1:2 (Fmoc-FF:BPY) ratio at 196 nm (positive peak) and 226 nm (negative peak). The results demonstrated that </w:t>
      </w:r>
      <w:r w:rsidR="000C78B0" w:rsidRPr="0084736C">
        <w:rPr>
          <w:rFonts w:ascii="Arial" w:hAnsi="Arial" w:cs="Arial"/>
          <w:color w:val="000000" w:themeColor="text1"/>
          <w:sz w:val="24"/>
          <w:szCs w:val="24"/>
        </w:rPr>
        <w:t>stoichiometric change</w:t>
      </w:r>
      <w:r w:rsidR="000C78B0">
        <w:rPr>
          <w:rFonts w:ascii="Arial" w:hAnsi="Arial" w:cs="Arial"/>
          <w:color w:val="000000" w:themeColor="text1"/>
          <w:sz w:val="24"/>
          <w:szCs w:val="24"/>
        </w:rPr>
        <w:t xml:space="preserve"> could be achieved by </w:t>
      </w:r>
      <w:r w:rsidRPr="0084736C">
        <w:rPr>
          <w:rFonts w:ascii="Arial" w:hAnsi="Arial" w:cs="Arial"/>
          <w:color w:val="000000" w:themeColor="text1"/>
          <w:sz w:val="24"/>
          <w:szCs w:val="24"/>
        </w:rPr>
        <w:t>tuning the secondary structures and inhibiting intermolecular forces (hydrogen bonding and aromatic interactions)</w:t>
      </w:r>
      <w:r w:rsidR="000C78B0">
        <w:rPr>
          <w:rFonts w:ascii="Arial" w:hAnsi="Arial" w:cs="Arial"/>
          <w:color w:val="000000" w:themeColor="text1"/>
          <w:sz w:val="24"/>
          <w:szCs w:val="24"/>
        </w:rPr>
        <w:t>.</w:t>
      </w:r>
    </w:p>
    <w:p w14:paraId="2B2FFFB5" w14:textId="0FC33543" w:rsidR="00260D64" w:rsidRPr="0084736C" w:rsidRDefault="00260D64">
      <w:pPr>
        <w:pStyle w:val="Heading3"/>
        <w:numPr>
          <w:ilvl w:val="2"/>
          <w:numId w:val="9"/>
        </w:numPr>
        <w:rPr>
          <w:rFonts w:eastAsia="EB Garamond"/>
        </w:rPr>
      </w:pPr>
      <w:bookmarkStart w:id="31" w:name="_Toc114946697"/>
      <w:bookmarkStart w:id="32" w:name="_Toc121134620"/>
      <w:r w:rsidRPr="0084736C">
        <w:rPr>
          <w:rFonts w:eastAsia="EB Garamond"/>
        </w:rPr>
        <w:t>Fluorescence</w:t>
      </w:r>
      <w:r w:rsidR="00537A6E">
        <w:rPr>
          <w:rFonts w:eastAsia="EB Garamond"/>
        </w:rPr>
        <w:t xml:space="preserve">-based </w:t>
      </w:r>
      <w:r w:rsidRPr="0084736C">
        <w:rPr>
          <w:rFonts w:eastAsia="EB Garamond"/>
        </w:rPr>
        <w:t>Methods</w:t>
      </w:r>
      <w:bookmarkEnd w:id="31"/>
      <w:bookmarkEnd w:id="32"/>
    </w:p>
    <w:p w14:paraId="3EF62B12" w14:textId="77777777" w:rsidR="00260D64" w:rsidRPr="0084736C" w:rsidRDefault="00260D64" w:rsidP="00260D64">
      <w:pPr>
        <w:rPr>
          <w:sz w:val="24"/>
          <w:szCs w:val="24"/>
        </w:rPr>
      </w:pPr>
    </w:p>
    <w:p w14:paraId="6B718A4F" w14:textId="74CB5203" w:rsidR="00260D64" w:rsidRPr="0084736C" w:rsidRDefault="00260D64" w:rsidP="00542522">
      <w:pPr>
        <w:spacing w:line="480" w:lineRule="auto"/>
        <w:rPr>
          <w:rFonts w:ascii="Arial" w:hAnsi="Arial" w:cs="Arial"/>
          <w:sz w:val="24"/>
          <w:szCs w:val="24"/>
        </w:rPr>
      </w:pPr>
      <w:r w:rsidRPr="0084736C">
        <w:rPr>
          <w:rFonts w:ascii="Arial" w:hAnsi="Arial" w:cs="Arial"/>
          <w:color w:val="000000"/>
          <w:sz w:val="24"/>
          <w:szCs w:val="24"/>
        </w:rPr>
        <w:t xml:space="preserve">The application of fluorescent dyes for high throughput screening studies (being able to measure in small volumes) is </w:t>
      </w:r>
      <w:r w:rsidR="000C78B0">
        <w:rPr>
          <w:rFonts w:ascii="Arial" w:hAnsi="Arial" w:cs="Arial"/>
          <w:color w:val="000000"/>
          <w:sz w:val="24"/>
          <w:szCs w:val="24"/>
        </w:rPr>
        <w:t xml:space="preserve">a </w:t>
      </w:r>
      <w:r w:rsidRPr="0084736C">
        <w:rPr>
          <w:rFonts w:ascii="Arial" w:hAnsi="Arial" w:cs="Arial"/>
          <w:color w:val="000000"/>
          <w:sz w:val="24"/>
          <w:szCs w:val="24"/>
        </w:rPr>
        <w:t xml:space="preserve">common and suitable technique to understand peptide </w:t>
      </w:r>
      <w:r w:rsidRPr="0084736C">
        <w:rPr>
          <w:rFonts w:ascii="Arial" w:hAnsi="Arial" w:cs="Arial"/>
          <w:color w:val="000000"/>
          <w:sz w:val="24"/>
          <w:szCs w:val="24"/>
        </w:rPr>
        <w:lastRenderedPageBreak/>
        <w:t>self-assembly and aggregation behavior</w:t>
      </w:r>
      <w:r w:rsidR="000C78B0">
        <w:rPr>
          <w:rFonts w:ascii="Arial" w:hAnsi="Arial" w:cs="Arial"/>
          <w:color w:val="000000"/>
          <w:sz w:val="24"/>
          <w:szCs w:val="24"/>
        </w:rPr>
        <w:t>,</w:t>
      </w:r>
      <w:r w:rsidRPr="0084736C">
        <w:rPr>
          <w:rFonts w:ascii="Arial" w:hAnsi="Arial" w:cs="Arial"/>
          <w:color w:val="000000"/>
          <w:sz w:val="24"/>
          <w:szCs w:val="24"/>
        </w:rPr>
        <w:t xml:space="preserve"> including the kinetics.</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{"citationID":"e9X2tDJF","properties":{"formattedCitation":"\\super 87\\nosupersub{}","plainCitation":"87","noteIndex":0},"citationItems":[{"id":286,"uris":["http://zotero.org/users/5797676/items/T66RSRKK"],"itemData":{"id":286,"type":"article-journal","abstract":"Noncovalent, extrinsic fluorescent dyes are applied in various fields of protein analysis, e.g. to characterize folding intermediates, measure surface hydrophobicity, and detect aggregation or fibrillation. The main underlying mechanisms, which explain the fluorescence properties of many extrinsic dyes, are solvent relaxation processes and (twisted) intramolecular charge transfer reactions, which are affected by the environment and by interactions of the dyes with proteins. In recent time, the use of extrinsic fluorescent dyes such as ANS, Bis-ANS, Nile Red, Thioflavin T and others has increased, because of their versatility, sensitivity and suitability for high-throughput screening. The intention of this review is to give an overview of available extrinsic dyes, explain their spectral properties, and show illustrative examples of their various applications in protein characterization.","container-title":"Pharmaceutical Research","DOI":"10.1007/s11095-007-9516-9","ISSN":"0724-8741","issue":"7","journalAbbreviation":"Pharm Res","note":"PMID: 18172579\nPMCID: PMC2440933","page":"1487-1499","source":"PubMed Central","title":"Extrinsic Fluorescent Dyes as Tools for Protein Characterization","URL":"https://www.ncbi.nlm.nih.gov/pmc/articles/PMC2440933/","volume":"25","author":[{"family":"Hawe","given":"Andrea"},{"family":"Sutter","given":"Marc"},{"family":"Jiskoot","given":"Wim"}],"accessed":{"date-parts":[["2020",8,15]]},"issued":{"date-parts":[["2008",7]]},"citation-key":"haweExtrinsicFluorescentDyes2008"}}],"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87</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w:t>
      </w:r>
      <w:r w:rsidR="0018567A" w:rsidRPr="0084736C">
        <w:rPr>
          <w:rFonts w:ascii="Arial" w:hAnsi="Arial" w:cs="Arial"/>
          <w:color w:val="000000"/>
          <w:sz w:val="24"/>
          <w:szCs w:val="24"/>
        </w:rPr>
        <w:t>Amyloid β</w:t>
      </w:r>
      <w:r w:rsidRPr="0084736C">
        <w:rPr>
          <w:rFonts w:ascii="Arial" w:hAnsi="Arial" w:cs="Arial"/>
          <w:color w:val="000000"/>
          <w:sz w:val="24"/>
          <w:szCs w:val="24"/>
        </w:rPr>
        <w:t>-peptide aggregation is a highly studied biomolecule to understand the molecular mechanisms of self-assembly and at the basis of the building blocks for nanotechnological applications.</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{"citationID":"x48gU6hH","properties":{"formattedCitation":"\\super 88\\nosupersub{}","plainCitation":"88","noteIndex":0},"citationItems":[{"id":223,"uris":["http://zotero.org/users/5797676/items/WVVCFRCM"],"itemData":{"id":223,"type":"article-journal","abstract":"Self-assembled peptide and protein amyloid nanostructures have traditionally been considered only as pathological aggregates implicated in human neurodegenerative diseases. In more recent times, these nanostructures have found interesting applications as advanced materials in biomedicine, tissue engineering, renewable energy, environmental science, nanotechnology and material science, to name only a few fields. In all these applications, the final function depends on: (i) the specific mechanisms of protein aggregation, (ii) the hierarchical structure of the protein and peptide amyloids from the atomistic to mesoscopic length scales and (iii) the physical properties of the amyloids in the context of their surrounding environment (biological or artificial). In this review, we will discuss recent progress made in the field of functional and artificial amyloids and highlight connections between protein/peptide folding, unfolding and aggregation mechanisms, with the resulting amyloid structure and functionality. We also highlight current advances in the design and synthesis of amyloid-based biological and functional materials and identify new potential fields in which amyloid-based structures promise new breakthroughs.","container-title":"Chemical Society Reviews","DOI":"10.1039/c6cs00542j","ISSN":"1460-4744 (Electronic) 0306-0012 (Linking)","issue":"15","page":"4661-4708","title":"Self-assembling peptide and protein amyloids: From structure to tailored function in nanotechnology","URL":"http://dx.doi.org/10.1039/C6CS00542J","volume":"46","author":[{"family":"Wei","given":"Gang"},{"family":"Su","given":"Zhiqiang"},{"family":"Reynolds","given":"Nicholas P."},{"family":"Arosio","given":"Paolo"},{"family":"Hamley","given":"Ian W."},{"family":"Gazit","given":"Ehud"},{"family":"Mezzenga","given":"Raffaele"}],"issued":{"date-parts":[["2017"]]},"citation-key":"wei_self-assembling_2017"}}],"schema":"https://github.com/citation-style-language/schema/raw/master/csl-citation.json"}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88</w:t>
      </w:r>
      <w:r w:rsidRPr="0084736C">
        <w:rPr>
          <w:rFonts w:ascii="Arial" w:hAnsi="Arial" w:cs="Arial"/>
          <w:color w:val="000000"/>
          <w:sz w:val="24"/>
          <w:szCs w:val="24"/>
        </w:rPr>
        <w:fldChar w:fldCharType="end"/>
      </w:r>
      <w:r w:rsidRPr="0084736C">
        <w:rPr>
          <w:rFonts w:ascii="Arial" w:hAnsi="Arial" w:cs="Arial"/>
          <w:noProof/>
          <w:color w:val="000000"/>
          <w:sz w:val="24"/>
          <w:szCs w:val="24"/>
        </w:rPr>
        <w:t xml:space="preserve"> </w:t>
      </w:r>
      <w:r w:rsidRPr="0084736C">
        <w:rPr>
          <w:rFonts w:ascii="Arial" w:hAnsi="Arial" w:cs="Arial"/>
          <w:color w:val="000000"/>
          <w:sz w:val="24"/>
          <w:szCs w:val="24"/>
        </w:rPr>
        <w:t xml:space="preserve">The aggregation </w:t>
      </w:r>
      <w:r w:rsidR="000C78B0">
        <w:rPr>
          <w:rFonts w:ascii="Arial" w:hAnsi="Arial" w:cs="Arial"/>
          <w:color w:val="000000"/>
          <w:sz w:val="24"/>
          <w:szCs w:val="24"/>
        </w:rPr>
        <w:t xml:space="preserve">mechanism is </w:t>
      </w:r>
      <w:r w:rsidRPr="0084736C">
        <w:rPr>
          <w:rFonts w:ascii="Arial" w:hAnsi="Arial" w:cs="Arial"/>
          <w:color w:val="000000"/>
          <w:sz w:val="24"/>
          <w:szCs w:val="24"/>
        </w:rPr>
        <w:t xml:space="preserve">divided into three steps: i) lag phase in which peptides are mostly in monomeric form; ii) polymerization step where larger aggregates occur as a result of peptide monomer aggregation and iii) saturation where grown aggregates form nanostructures. In the case of peptide aggregation, interactions between fluorescent dyes and peptides can lead to </w:t>
      </w:r>
      <w:r w:rsidR="000C78B0">
        <w:rPr>
          <w:rFonts w:ascii="Arial" w:hAnsi="Arial" w:cs="Arial"/>
          <w:color w:val="000000"/>
          <w:sz w:val="24"/>
          <w:szCs w:val="24"/>
        </w:rPr>
        <w:t xml:space="preserve">a </w:t>
      </w:r>
      <w:r w:rsidRPr="0084736C">
        <w:rPr>
          <w:rFonts w:ascii="Arial" w:hAnsi="Arial" w:cs="Arial"/>
          <w:color w:val="000000"/>
          <w:sz w:val="24"/>
          <w:szCs w:val="24"/>
        </w:rPr>
        <w:t xml:space="preserve">change </w:t>
      </w:r>
      <w:r w:rsidR="000C78B0">
        <w:rPr>
          <w:rFonts w:ascii="Arial" w:hAnsi="Arial" w:cs="Arial"/>
          <w:color w:val="000000"/>
          <w:sz w:val="24"/>
          <w:szCs w:val="24"/>
        </w:rPr>
        <w:t>in</w:t>
      </w:r>
      <w:r w:rsidRPr="0084736C">
        <w:rPr>
          <w:rFonts w:ascii="Arial" w:hAnsi="Arial" w:cs="Arial"/>
          <w:color w:val="000000"/>
          <w:sz w:val="24"/>
          <w:szCs w:val="24"/>
        </w:rPr>
        <w:t xml:space="preserve"> fluorescence emission which could be either </w:t>
      </w:r>
      <w:r w:rsidR="000C78B0">
        <w:rPr>
          <w:rFonts w:ascii="Arial" w:hAnsi="Arial" w:cs="Arial"/>
          <w:color w:val="000000"/>
          <w:sz w:val="24"/>
          <w:szCs w:val="24"/>
        </w:rPr>
        <w:t xml:space="preserve">a </w:t>
      </w:r>
      <w:r w:rsidRPr="0084736C">
        <w:rPr>
          <w:rFonts w:ascii="Arial" w:hAnsi="Arial" w:cs="Arial"/>
          <w:color w:val="000000"/>
          <w:sz w:val="24"/>
          <w:szCs w:val="24"/>
        </w:rPr>
        <w:t>shift or an increase/decrease in maximum emission.</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{"citationID":"CJWbtPw6","properties":{"formattedCitation":"\\super 89\\nosupersub{}","plainCitation":"89","noteIndex":0},"citationItems":[{"id":99,"uris":["http://zotero.org/users/5797676/items/93GG6FPF"],"itemData":{"id":99,"type":"article-journal","abstract":"Amyloids are a broad class of proteins and peptides that can misfold and assemble into long unbranched fibrils with a cross-β conformation. These misfolding and aggregation events are associated with the onset of a variety of human diseases, among them, Alzheimer’s disease, Parkinson’s disease, and Huntington disease. Our understanding of amyloids has been greatly supported by fluorescent molecular probes, such as thioflavin-T, which shows an increase in fluorescence emission upon binding to fibrillar aggregates. Since the first application of thioflavin-T in amyloid studies nearly 30 years ago, many probes have emerged exhibiting a variety of responses to amyloids, such as intensity changes, shifts in fluorescence maxima, and variations in lifetimes, among many others. These probes have shed light on a variety of topics including the kinetics of amyloid aggregation, the effectiveness of amyloid aggregation inhibitors, the elucidation of binding sites in amyloid structures, and the staining of amyloids aggregates in vitro, ex vivo, and in vivo. In this Review, we discuss the design, properties, and application of photoactive probes used to study amyloid aggregation, as well as the challenges faced by current probes and techniques, and the novel approaches that are emerging to address these challenges.","container-title":"Chemical Reviews","DOI":"10.1021/acs.chemrev.9b00404","ISSN":"0009-2665","issue":"23","journalAbbreviation":"Chem. Rev.","note":"publisher: American Chemical Society","page":"11819-11856","source":"ACS Publications","title":"Interrogating Amyloid Aggregates using Fluorescent Probes","URL":"https://doi.org/10.1021/acs.chemrev.9b00404","volume":"119","author":[{"family":"Aliyan","given":"Amir"},{"family":"Cook","given":"Nathan P."},{"family":"Martí","given":"Angel A."}],"accessed":{"date-parts":[["2020",8,15]]},"issued":{"date-parts":[["2019",12,11]]},"citation-key":"aliyanInterrogatingAmyloidAggregates2019"}}],"schema":"https://github.com/citation-style-language/schema/raw/master/csl-citation.json"}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89</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Thioflavin T (ThT, benzothiazole dye, is </w:t>
      </w:r>
      <w:r w:rsidR="000C78B0">
        <w:rPr>
          <w:rFonts w:ascii="Arial" w:hAnsi="Arial" w:cs="Arial"/>
          <w:color w:val="000000"/>
          <w:sz w:val="24"/>
          <w:szCs w:val="24"/>
        </w:rPr>
        <w:t>a</w:t>
      </w:r>
      <w:r w:rsidRPr="0084736C">
        <w:rPr>
          <w:rFonts w:ascii="Arial" w:hAnsi="Arial" w:cs="Arial"/>
          <w:color w:val="000000"/>
          <w:sz w:val="24"/>
          <w:szCs w:val="24"/>
        </w:rPr>
        <w:t xml:space="preserve"> widely used fluorescent probe to identify and analyze </w:t>
      </w:r>
      <w:r w:rsidR="005B4478" w:rsidRPr="0084736C">
        <w:rPr>
          <w:rFonts w:ascii="Arial" w:hAnsi="Arial" w:cs="Arial"/>
          <w:color w:val="000000"/>
          <w:sz w:val="24"/>
          <w:szCs w:val="24"/>
        </w:rPr>
        <w:t>β-sheet</w:t>
      </w:r>
      <w:r w:rsidR="000C78B0">
        <w:rPr>
          <w:rFonts w:ascii="Arial" w:hAnsi="Arial" w:cs="Arial"/>
          <w:color w:val="000000"/>
          <w:sz w:val="24"/>
          <w:szCs w:val="24"/>
        </w:rPr>
        <w:t xml:space="preserve"> </w:t>
      </w:r>
      <w:r w:rsidRPr="0084736C">
        <w:rPr>
          <w:rFonts w:ascii="Arial" w:hAnsi="Arial" w:cs="Arial"/>
          <w:color w:val="000000"/>
          <w:sz w:val="24"/>
          <w:szCs w:val="24"/>
        </w:rPr>
        <w:t>rich structures such as amyloid peptides.</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{"citationID":"SrFFNxWB","properties":{"formattedCitation":"\\super 90\\nosupersub{}","plainCitation":"90","noteIndex":0},"citationItems":[{"id":98,"uris":["http://zotero.org/users/5797676/items/GR8IEZWM"],"itemData":{"id":98,"type":"article-journal","abstract":"Thioflavin T (ThT) has been widely used to investigate amyloid formation since 1989. While concerns have recently been raised about its use as a probe specific for amyloid, ThT still continues to be a very valuable tool for studying kinetic aspects of fibrillation and associated inhibition mechanisms. This review aims to provide a conceptual instruction manual, covering appropriate considerations and pitfalls related to the use of ThT. We start by giving a brief introduction to amyloid formation with focus on the morphology of different aggregate species, followed by a discussion of the quality of protein needed to obtain reliable fibrillation data. After an overview of the photochemical basis for ThT’s amyloid binding properties and artifacts that may arise from this, we describe how to plan and analyze ThT assays. We conclude with recommendations for complementary techniques to address shortcomings in the ThT assay.","container-title":"Amyloid","DOI":"10.1080/13506129.2017.1304905","ISSN":"1350-6129","issue":"1","note":"publisher: Taylor &amp; Francis\n_eprint: https://doi.org/10.1080/13506129.2017.1304905\nPMID: 28393556","page":"1-16","source":"Taylor and Francis+NEJM","title":"ThT 101: a primer on the use of thioflavin T to investigate amyloid formation","title-short":"ThT 101","URL":"https://doi.org/10.1080/13506129.2017.1304905","volume":"24","author":[{"family":"Malmos","given":"Kirsten Gade"},{"family":"Blancas-Mejia","given":"Luis M."},{"family":"Weber","given":"Benedikt"},{"family":"Buchner","given":"Johannes"},{"family":"Ramirez-Alvarado","given":"Marina"},{"family":"Naiki","given":"Hironobu"},{"family":"Otzen","given":"Daniel"}],"accessed":{"date-parts":[["2020",8,15]]},"issued":{"date-parts":[["2017",1,2]]},"citation-key":"malmosThT101Primer2017"}}],"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90</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When ThT is introduced into </w:t>
      </w:r>
      <w:r w:rsidR="000C78B0">
        <w:rPr>
          <w:rFonts w:ascii="Arial" w:hAnsi="Arial" w:cs="Arial"/>
          <w:color w:val="000000"/>
          <w:sz w:val="24"/>
          <w:szCs w:val="24"/>
        </w:rPr>
        <w:t xml:space="preserve">a </w:t>
      </w:r>
      <w:r w:rsidR="005B4478" w:rsidRPr="0084736C">
        <w:rPr>
          <w:rFonts w:ascii="Arial" w:hAnsi="Arial" w:cs="Arial"/>
          <w:color w:val="000000"/>
          <w:sz w:val="24"/>
          <w:szCs w:val="24"/>
        </w:rPr>
        <w:t>β-sheet</w:t>
      </w:r>
      <w:r w:rsidRPr="0084736C">
        <w:rPr>
          <w:rFonts w:ascii="Arial" w:hAnsi="Arial" w:cs="Arial"/>
          <w:color w:val="000000"/>
          <w:sz w:val="24"/>
          <w:szCs w:val="24"/>
        </w:rPr>
        <w:t xml:space="preserve"> rich environment, it results in enhanced fluorescence and shift in emission spectrum from 510 nm (unbound state) to 480 nm (bound state with peptide fibrils). With </w:t>
      </w:r>
      <w:r w:rsidR="000C78B0">
        <w:rPr>
          <w:rFonts w:ascii="Arial" w:hAnsi="Arial" w:cs="Arial"/>
          <w:color w:val="000000"/>
          <w:sz w:val="24"/>
          <w:szCs w:val="24"/>
        </w:rPr>
        <w:t xml:space="preserve">the </w:t>
      </w:r>
      <w:r w:rsidRPr="0084736C">
        <w:rPr>
          <w:rFonts w:ascii="Arial" w:hAnsi="Arial" w:cs="Arial"/>
          <w:color w:val="000000"/>
          <w:sz w:val="24"/>
          <w:szCs w:val="24"/>
        </w:rPr>
        <w:t xml:space="preserve">ThT assay, the importance of </w:t>
      </w:r>
      <w:r w:rsidR="000C78B0">
        <w:rPr>
          <w:rFonts w:ascii="Arial" w:hAnsi="Arial" w:cs="Arial"/>
          <w:color w:val="000000"/>
          <w:sz w:val="24"/>
          <w:szCs w:val="24"/>
        </w:rPr>
        <w:t xml:space="preserve">the </w:t>
      </w:r>
      <w:r w:rsidRPr="0084736C">
        <w:rPr>
          <w:rFonts w:ascii="Arial" w:hAnsi="Arial" w:cs="Arial"/>
          <w:color w:val="000000"/>
          <w:sz w:val="24"/>
          <w:szCs w:val="24"/>
        </w:rPr>
        <w:t>initial concentration of peptides (at monomeric state) for fibrillation was studied and minimum concentration was found to be as 0.2 mM.</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{"citationID":"FevQxc6N","properties":{"formattedCitation":"\\super 91\\nosupersub{}","plainCitation":"91","noteIndex":0},"citationItems":[{"id":97,"uris":["http://zotero.org/users/5797676/items/JT6HK2PA"],"itemData":{"id":97,"type":"article-journal","abstract":", Protein aggregation can lead to major disturbances of cellular\nprocesses and is associated with several diseases. We report kinetic\nand equilibrium data by ThT fluorescence and enzyme-linked immunosorbent\nassay of sufficient quality and reproducibility to form a basis for\nmechanistic understanding of amyloid β-peptide (Aβ) fibril\nformation. Starting from monomeric peptide in a pure buffer system\nwithout cosolvents, we find that the kinetics of Aβ aggregation\nvary strongly with peptide concentration in a highly predictable manner.\nThe free Aβ concentration in equilibrium with fibrils was found\nto vary with total peptide concentration in a manner expected for\na two-phase system. The free versus total Aβ concentration was\nlinear up to ca. 0.2 μM, after which free Aβ decreased\nwith total Aβ toward an asymptotic value. Our results imply\nthat Aβ fibril formation arises from a sequence of events in\na highly predictable manner.","container-title":"ACS Chemical Neuroscience","DOI":"10.1021/cn900015v","ISSN":"1948-7193","issue":"1","journalAbbreviation":"ACS Chem Neurosci","note":"PMID: 22778803\nPMCID: PMC3368626","page":"13-18","source":"PubMed Central","title":"Amyloid β-Protein Aggregation Produces Highly Reproducible Kinetic Data and Occurs by a Two-Phase Process","URL":"https://www.ncbi.nlm.nih.gov/pmc/articles/PMC3368626/","volume":"1","author":[{"family":"Hellstrand","given":"Erik"},{"family":"Boland","given":"Barry"},{"family":"Walsh","given":"Dominic\nM."},{"family":"Linse","given":"Sara"}],"accessed":{"date-parts":[["2020",8,15]]},"issued":{"date-parts":[["2009",10,9]]},"citation-key":"hellstrandAmyloidVProteinAggregation2009"}}],"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91</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Time and concentration dependency </w:t>
      </w:r>
      <w:r w:rsidR="000C78B0">
        <w:rPr>
          <w:rFonts w:ascii="Arial" w:hAnsi="Arial" w:cs="Arial"/>
          <w:color w:val="000000"/>
          <w:sz w:val="24"/>
          <w:szCs w:val="24"/>
        </w:rPr>
        <w:t>were</w:t>
      </w:r>
      <w:r w:rsidRPr="0084736C">
        <w:rPr>
          <w:rFonts w:ascii="Arial" w:hAnsi="Arial" w:cs="Arial"/>
          <w:color w:val="000000"/>
          <w:sz w:val="24"/>
          <w:szCs w:val="24"/>
        </w:rPr>
        <w:t xml:space="preserve"> also </w:t>
      </w:r>
      <w:r w:rsidR="000C78B0">
        <w:rPr>
          <w:rFonts w:ascii="Arial" w:hAnsi="Arial" w:cs="Arial"/>
          <w:color w:val="000000"/>
          <w:sz w:val="24"/>
          <w:szCs w:val="24"/>
        </w:rPr>
        <w:t>analyzed</w:t>
      </w:r>
      <w:r w:rsidRPr="0084736C">
        <w:rPr>
          <w:rFonts w:ascii="Arial" w:hAnsi="Arial" w:cs="Arial"/>
          <w:color w:val="000000"/>
          <w:sz w:val="24"/>
          <w:szCs w:val="24"/>
        </w:rPr>
        <w:t xml:space="preserve"> with oppositely charged amyloid</w:t>
      </w:r>
      <w:r w:rsidR="000C78B0">
        <w:rPr>
          <w:rFonts w:ascii="Arial" w:hAnsi="Arial" w:cs="Arial"/>
          <w:color w:val="000000"/>
          <w:sz w:val="24"/>
          <w:szCs w:val="24"/>
        </w:rPr>
        <w:t>-</w:t>
      </w:r>
      <w:r w:rsidRPr="0084736C">
        <w:rPr>
          <w:rFonts w:ascii="Arial" w:hAnsi="Arial" w:cs="Arial"/>
          <w:color w:val="000000"/>
          <w:sz w:val="24"/>
          <w:szCs w:val="24"/>
        </w:rPr>
        <w:t>like peptides and threshold concentration for the aggregation was visualized using confocal microscopy.</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{"citationID":"7dGIx0Yv","properties":{"formattedCitation":"\\super 92\\nosupersub{}","plainCitation":"92","noteIndex":0},"citationItems":[{"id":96,"uris":["http://zotero.org/users/5797676/items/M8I9BULH"],"itemData":{"id":96,"type":"article-journal","abstract":"Characterization of amyloid-like aggregates through converging approaches can yield deeper understanding of their complex self-assembly mechanisms and the nature of their strong mechanical stability, which may in turn contribute to the design of novel supramolecular peptide nanostructures as functional materials. In this study, we investigated the coassembly kinetics of oppositely charged short amyloid-inspired peptides (AIPs) into supramolecular nanostructures by using confocal fluorescence imaging of thioflavin T binding, turbidity assay and in situ small-angle X-ray scattering (SAXS) analysis. We showed that coassembly kinetics of the AIP nanostructures were consistent with nucleation-dependent amyloid-like aggregation, and aggregation behavior of the AIPs was affected by the initial monomer concentration and sonication. Moreover, SAXS analysis was performed to gain structural information on the size, shape, electron density, and internal organization of the coassembled AIP nanostructures. The scattering data of the coassembled AIP nanostructures were best fitted into to a combination of polydisperse core–shell cylinder (PCSC) and decoupling flexible cylinder (FCPR) models, and the structural parameters were estimated based on the fitting results of the scattering data. The stability of the coassembled AIP nanostructures in both fiber organization and bulk viscoelastic properties was also revealed via temperature-dependent SAXS analysis and oscillatory rheology measurements, respectively.","container-title":"Langmuir","DOI":"10.1021/acs.langmuir.6b00704","ISSN":"0743-7463","issue":"25","journalAbbreviation":"Langmuir","note":"publisher: American Chemical Society","page":"6506-6514","source":"ACS Publications","title":"Supramolecular Nanostructure Formation of Coassembled Amyloid Inspired Peptides","URL":"https://doi.org/10.1021/acs.langmuir.6b00704","volume":"32","author":[{"family":"Cinar","given":"Goksu"},{"family":"Orujalipoor","given":"Ilghar"},{"family":"Su","given":"Chun-Jen"},{"family":"Jeng","given":"U-Ser"},{"family":"Ide","given":"Semra"},{"family":"Guler","given":"Mustafa O."}],"accessed":{"date-parts":[["2020",8,15]]},"issued":{"date-parts":[["2016",6,28]]},"citation-key":"cinarSupramolecularNanostructureFormation2016"}}],"schema":"https://github.com/citation-style-language/schema/raw/master/csl-citation.json"}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92</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Congo Red, azo dye, is another dye used </w:t>
      </w:r>
      <w:r w:rsidR="000C78B0">
        <w:rPr>
          <w:rFonts w:ascii="Arial" w:hAnsi="Arial" w:cs="Arial"/>
          <w:color w:val="000000"/>
          <w:sz w:val="24"/>
          <w:szCs w:val="24"/>
        </w:rPr>
        <w:t>mainly</w:t>
      </w:r>
      <w:r w:rsidRPr="0084736C">
        <w:rPr>
          <w:rFonts w:ascii="Arial" w:hAnsi="Arial" w:cs="Arial"/>
          <w:color w:val="000000"/>
          <w:sz w:val="24"/>
          <w:szCs w:val="24"/>
        </w:rPr>
        <w:t xml:space="preserve"> for histological analysis for amyloid detection that gives apple-green birefringence under polarized light.</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{"citationID":"mNvxT3MA","properties":{"formattedCitation":"\\super 93\\nosupersub{}","plainCitation":"93","noteIndex":0},"citationItems":[{"id":93,"uris":["http://zotero.org/users/5797676/items/EYZPYVER"],"itemData":{"id":93,"type":"article-journal","abstract":"Alzheimer’s disease (AD) is the most common neurodegenerative disorder and has no disease-modifying treatment yet. The hallmarks of AD are two amyloidogenic proteins: tau and amyloid β (Aβ). Tau undergoes several posttranslational modifications, including N-glycosylation. Tau was reported to be N-glycosylated in AD brains, but not in healthy counterparts, which may affect AD etiology. Here, we aimed to examine the effect of N-glycosylation on aggregation propensity of tau. To that end, a novel SH-SY5Y cell-based model was generated in which recombinant human tau (htau) is forced to be secreted from the cells. Secreted htau was found to localize in the secretory pathway compartments and to undergo N-glycosylation. Following N-glycan cleavage of the secreted htau, various biophysical results collectively indicated that the untreated N-glycosylated secreted htau is markedly less aggregative, contains thinner and shorter fibrils, as compared to treated de-glycosylated secreted htau. This finding shows that N-glycans attached to htau may affect its aggregation. This could help to better understand the effect of N-glycosylated htau on AD progression.","container-title":"Scientific Reports","DOI":"10.1038/s41598-019-39218-x","ISSN":"2045-2322","issue":"1","language":"en","license":"2019 The Author(s)","note":"number: 1\npublisher: Nature Publishing Group","page":"2254","source":"www.nature.com","title":"Novel model of secreted human tau protein reveals the impact of the abnormal N-glycosylation of tau on its aggregation propensity","URL":"https://www.nature.com/articles/s41598-019-39218-x","volume":"9","author":[{"family":"Losev","given":"Yelena"},{"family":"Paul","given":"Ashim"},{"family":"Frenkel-Pinter","given":"Moran"},{"family":"Abu-Hussein","given":"Malak"},{"family":"Khalaila","given":"Isam"},{"family":"Gazit","given":"Ehud"},{"family":"Segal","given":"Daniel"}],"accessed":{"date-parts":[["2020",8,16]]},"issued":{"date-parts":[["2019",2,19]]},"citation-key":"losevNovelModelSecreted2019"}}],"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93</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In aqueous solution, it gives maximum absorption at 490 nm</w:t>
      </w:r>
      <w:r w:rsidR="00612786">
        <w:rPr>
          <w:rFonts w:ascii="Arial" w:hAnsi="Arial" w:cs="Arial"/>
          <w:color w:val="000000"/>
          <w:sz w:val="24"/>
          <w:szCs w:val="24"/>
        </w:rPr>
        <w:t>;</w:t>
      </w:r>
      <w:r w:rsidRPr="0084736C">
        <w:rPr>
          <w:rFonts w:ascii="Arial" w:hAnsi="Arial" w:cs="Arial"/>
          <w:color w:val="000000"/>
          <w:sz w:val="24"/>
          <w:szCs w:val="24"/>
        </w:rPr>
        <w:t xml:space="preserve"> however, a strong shift from 490 nm to 540 nm occurred when bound to </w:t>
      </w:r>
      <w:r w:rsidR="005B4478" w:rsidRPr="0084736C">
        <w:rPr>
          <w:rFonts w:ascii="Arial" w:hAnsi="Arial" w:cs="Arial"/>
          <w:color w:val="000000"/>
          <w:sz w:val="24"/>
          <w:szCs w:val="24"/>
        </w:rPr>
        <w:t>β-sheet</w:t>
      </w:r>
      <w:r w:rsidRPr="0084736C">
        <w:rPr>
          <w:rFonts w:ascii="Arial" w:hAnsi="Arial" w:cs="Arial"/>
          <w:color w:val="000000"/>
          <w:sz w:val="24"/>
          <w:szCs w:val="24"/>
        </w:rPr>
        <w:t xml:space="preserve"> rich structures </w:t>
      </w:r>
      <w:r w:rsidR="00612786">
        <w:rPr>
          <w:rFonts w:ascii="Arial" w:hAnsi="Arial" w:cs="Arial"/>
          <w:color w:val="000000"/>
          <w:sz w:val="24"/>
          <w:szCs w:val="24"/>
        </w:rPr>
        <w:t>due to</w:t>
      </w:r>
      <w:r w:rsidRPr="0084736C">
        <w:rPr>
          <w:rFonts w:ascii="Arial" w:hAnsi="Arial" w:cs="Arial"/>
          <w:color w:val="000000"/>
          <w:sz w:val="24"/>
          <w:szCs w:val="24"/>
        </w:rPr>
        <w:t xml:space="preserve"> specific orientation.</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{"citationID":"0bSrZhwp","properties":{"formattedCitation":"\\super 94\\nosupersub{}","plainCitation":"94","noteIndex":0},"citationItems":[{"id":95,"uris":["http://zotero.org/users/5797676/items/25V2QNSS"],"itemData":{"id":95,"type":"article-journal","abstract":"Congo red (CR) is a commonly used histological amyloid dye and a weak amyloid inhibitor. There is currently no experimentally available structure of CR bound to an amyloid fibril and the binding modes, and the mechanisms governing its inhibitory and optical properties are poorly understood. In this work, we present the first, to our knowledge, atomistically detailed picture of CR binding to protofibrils of the Alzheimer Aβ9–40 peptide. We identify three major binding modes, with the primary mode residing in the grooves formed by the β-sheets, and observe a restriction of the torsional rotation of the CR molecule upon binding. Our simulations reveal a novel, to our knowledge, electrostatic steering mechanism that plays an important role in the initial recognition and binding of CR to the positively charged surface residues of the fibril. Our simulations provide new, to our knowledge, insights into the striking spectrophotometric and inhibitory properties of CR. In particular, we show that birefringence upon CR binding is due to the anisotropic orientation of the CR dipoles resulting from the spatial ordering of these molecules in the grooves along the fibril axis. The fluorescent enhancement of the bound CR, in turn, is associated with the torsional restriction of this molecule upon binding.","container-title":"Biophysical Journal","DOI":"10.1016/j.bpj.2012.07.008","ISSN":"0006-3495","issue":"3","journalAbbreviation":"Biophysical Journal","language":"en","page":"550-557","source":"ScienceDirect","title":"Binding of Congo Red to Amyloid Protofibrils of the Alzheimer Aβ9–40 Peptide Probed by Molecular Dynamics Simulations","URL":"http://www.sciencedirect.com/science/article/pii/S0006349512007801","volume":"103","author":[{"family":"Wu","given":"Chun"},{"family":"Scott","given":"Justin"},{"family":"Shea","given":"Joan-Emma"}],"accessed":{"date-parts":[["2020",8,15]]},"issued":{"date-parts":[["2012",8,8]]},"citation-key":"wuBindingCongoRed2012"}}],"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94</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w:t>
      </w:r>
      <w:r w:rsidRPr="0084736C">
        <w:rPr>
          <w:rFonts w:ascii="Arial" w:hAnsi="Arial" w:cs="Arial"/>
          <w:noProof/>
          <w:color w:val="000000"/>
          <w:sz w:val="24"/>
          <w:szCs w:val="24"/>
        </w:rPr>
        <w:t xml:space="preserve">Furthermore, it is also possible to stain peptide gel and acquire polarized images to imply the presence of </w:t>
      </w:r>
      <w:r w:rsidR="005B4478" w:rsidRPr="0084736C">
        <w:rPr>
          <w:rFonts w:ascii="Arial" w:hAnsi="Arial" w:cs="Arial"/>
          <w:noProof/>
          <w:color w:val="000000"/>
          <w:sz w:val="24"/>
          <w:szCs w:val="24"/>
        </w:rPr>
        <w:t>β-sheet</w:t>
      </w:r>
      <w:r w:rsidRPr="0084736C">
        <w:rPr>
          <w:rFonts w:ascii="Arial" w:hAnsi="Arial" w:cs="Arial"/>
          <w:noProof/>
          <w:color w:val="000000"/>
          <w:sz w:val="24"/>
          <w:szCs w:val="24"/>
        </w:rPr>
        <w:t xml:space="preserve"> structures within the system.</w:t>
      </w:r>
      <w:r w:rsidRPr="0084736C">
        <w:rPr>
          <w:rFonts w:ascii="Arial" w:hAnsi="Arial" w:cs="Arial"/>
          <w:noProof/>
          <w:color w:val="000000"/>
          <w:sz w:val="24"/>
          <w:szCs w:val="24"/>
        </w:rPr>
        <w:fldChar w:fldCharType="begin"/>
      </w:r>
      <w:r w:rsidR="008F09C1">
        <w:rPr>
          <w:rFonts w:ascii="Arial" w:hAnsi="Arial" w:cs="Arial"/>
          <w:noProof/>
          <w:color w:val="000000"/>
          <w:sz w:val="24"/>
          <w:szCs w:val="24"/>
        </w:rPr>
        <w:instrText xml:space="preserve"> ADDIN ZOTERO_ITEM CSL_CITATION {"citationID":"sorubLAE","properties":{"formattedCitation":"\\super 95\\nosupersub{}","plainCitation":"95","noteIndex":0},"citationItems":[{"id":94,"uris":["http://zotero.org/users/5797676/items/S3XW25WR"],"itemData":{"id":94,"type":"article-journal","container-title":"Chemical Communications","DOI":"10.1039/C8CC08679F","issue":"8","language":"en","note":"publisher: Royal Society of Chemistry","page":"1060-1063","source":"pubs.rsc.org","title":"Tumor targeting with DGEA peptide ligands: a new aromatic peptide amphiphile for imaging cancers","title-short":"Tumor targeting with DGEA peptide ligands","URL":"https://pubs.rsc.org/en/content/articlelanding/2019/cc/c8cc08679f","volume":"55","author":[{"family":"Zhan","given":"Fu-Kai"},{"family":"Liu","given":"Jyun-Cheng"},{"family":"Cheng","given":"Bill"},{"family":"Liu","given":"Yen-Chu"},{"family":"Lai","given":"Tsung-Sheng"},{"family":"Lin","given":"Hsin-Chieh"},{"family":"Yeh","given":"Mei-Yu"}],"accessed":{"date-parts":[["2020",8,16]]},"issued":{"date-parts":[["2019"]]},"citation-key":"zhan_tumor_2019"}}],"schema":"https://github.com/citation-style-language/schema/raw/master/csl-citation.json"} </w:instrText>
      </w:r>
      <w:r w:rsidRPr="0084736C">
        <w:rPr>
          <w:rFonts w:ascii="Arial" w:hAnsi="Arial" w:cs="Arial"/>
          <w:noProof/>
          <w:color w:val="000000"/>
          <w:sz w:val="24"/>
          <w:szCs w:val="24"/>
        </w:rPr>
        <w:fldChar w:fldCharType="separate"/>
      </w:r>
      <w:r w:rsidR="008F09C1" w:rsidRPr="008F09C1">
        <w:rPr>
          <w:rFonts w:ascii="Arial" w:hAnsi="Arial" w:cs="Arial"/>
          <w:color w:val="000000"/>
          <w:sz w:val="24"/>
          <w:vertAlign w:val="superscript"/>
        </w:rPr>
        <w:t>95</w:t>
      </w:r>
      <w:r w:rsidRPr="0084736C">
        <w:rPr>
          <w:rFonts w:ascii="Arial" w:hAnsi="Arial" w:cs="Arial"/>
          <w:noProof/>
          <w:color w:val="000000"/>
          <w:sz w:val="24"/>
          <w:szCs w:val="24"/>
        </w:rPr>
        <w:fldChar w:fldCharType="end"/>
      </w:r>
      <w:r w:rsidRPr="0084736C">
        <w:rPr>
          <w:rFonts w:ascii="Arial" w:hAnsi="Arial" w:cs="Arial"/>
          <w:noProof/>
          <w:color w:val="000000"/>
          <w:sz w:val="24"/>
          <w:szCs w:val="24"/>
        </w:rPr>
        <w:t xml:space="preserve"> </w:t>
      </w:r>
      <w:r w:rsidRPr="0084736C">
        <w:rPr>
          <w:rFonts w:ascii="Arial" w:hAnsi="Arial" w:cs="Arial"/>
          <w:color w:val="000000"/>
          <w:sz w:val="24"/>
          <w:szCs w:val="24"/>
        </w:rPr>
        <w:t xml:space="preserve">Although Congo Red and ThT are widely used for </w:t>
      </w:r>
      <w:r w:rsidRPr="0084736C">
        <w:rPr>
          <w:rFonts w:ascii="Arial" w:hAnsi="Arial" w:cs="Arial"/>
          <w:color w:val="000000"/>
          <w:sz w:val="24"/>
          <w:szCs w:val="24"/>
        </w:rPr>
        <w:lastRenderedPageBreak/>
        <w:t>amyloid</w:t>
      </w:r>
      <w:r w:rsidR="00612786">
        <w:rPr>
          <w:rFonts w:ascii="Arial" w:hAnsi="Arial" w:cs="Arial"/>
          <w:color w:val="000000"/>
          <w:sz w:val="24"/>
          <w:szCs w:val="24"/>
        </w:rPr>
        <w:t>-</w:t>
      </w:r>
      <w:r w:rsidRPr="0084736C">
        <w:rPr>
          <w:rFonts w:ascii="Arial" w:hAnsi="Arial" w:cs="Arial"/>
          <w:color w:val="000000"/>
          <w:sz w:val="24"/>
          <w:szCs w:val="24"/>
        </w:rPr>
        <w:t xml:space="preserve">like aggregation and be responsive </w:t>
      </w:r>
      <w:r w:rsidR="00612786">
        <w:rPr>
          <w:rFonts w:ascii="Arial" w:hAnsi="Arial" w:cs="Arial"/>
          <w:color w:val="000000"/>
          <w:sz w:val="24"/>
          <w:szCs w:val="24"/>
        </w:rPr>
        <w:t xml:space="preserve">to </w:t>
      </w:r>
      <w:r w:rsidR="005B4478" w:rsidRPr="0084736C">
        <w:rPr>
          <w:rFonts w:ascii="Arial" w:hAnsi="Arial" w:cs="Arial"/>
          <w:color w:val="000000"/>
          <w:sz w:val="24"/>
          <w:szCs w:val="24"/>
        </w:rPr>
        <w:t>β-sheet</w:t>
      </w:r>
      <w:r w:rsidRPr="0084736C">
        <w:rPr>
          <w:rFonts w:ascii="Arial" w:hAnsi="Arial" w:cs="Arial"/>
          <w:color w:val="000000"/>
          <w:sz w:val="24"/>
          <w:szCs w:val="24"/>
        </w:rPr>
        <w:t xml:space="preserve"> structures, other fluorogenic dyes such as Nile Red and pyrene are </w:t>
      </w:r>
      <w:r w:rsidR="00612786">
        <w:rPr>
          <w:rFonts w:ascii="Arial" w:hAnsi="Arial" w:cs="Arial"/>
          <w:color w:val="000000"/>
          <w:sz w:val="24"/>
          <w:szCs w:val="24"/>
        </w:rPr>
        <w:t>primarily</w:t>
      </w:r>
      <w:r w:rsidRPr="0084736C">
        <w:rPr>
          <w:rFonts w:ascii="Arial" w:hAnsi="Arial" w:cs="Arial"/>
          <w:color w:val="000000"/>
          <w:sz w:val="24"/>
          <w:szCs w:val="24"/>
        </w:rPr>
        <w:t xml:space="preserve"> used in amphiphilic molecules to determine critical aggregation concentration (</w:t>
      </w:r>
      <w:r w:rsidR="00612786">
        <w:rPr>
          <w:rFonts w:ascii="Arial" w:hAnsi="Arial" w:cs="Arial"/>
          <w:color w:val="000000"/>
          <w:sz w:val="24"/>
          <w:szCs w:val="24"/>
        </w:rPr>
        <w:t>CAC</w:t>
      </w:r>
      <w:r w:rsidRPr="0084736C">
        <w:rPr>
          <w:rFonts w:ascii="Arial" w:hAnsi="Arial" w:cs="Arial"/>
          <w:color w:val="000000"/>
          <w:sz w:val="24"/>
          <w:szCs w:val="24"/>
        </w:rPr>
        <w:t xml:space="preserve">) and be independent </w:t>
      </w:r>
      <w:r w:rsidR="00612786">
        <w:rPr>
          <w:rFonts w:ascii="Arial" w:hAnsi="Arial" w:cs="Arial"/>
          <w:color w:val="000000"/>
          <w:sz w:val="24"/>
          <w:szCs w:val="24"/>
        </w:rPr>
        <w:t>of</w:t>
      </w:r>
      <w:r w:rsidRPr="0084736C">
        <w:rPr>
          <w:rFonts w:ascii="Arial" w:hAnsi="Arial" w:cs="Arial"/>
          <w:color w:val="000000"/>
          <w:sz w:val="24"/>
          <w:szCs w:val="24"/>
        </w:rPr>
        <w:t xml:space="preserve"> </w:t>
      </w:r>
      <w:r w:rsidR="005B4478" w:rsidRPr="0084736C">
        <w:rPr>
          <w:rFonts w:ascii="Arial" w:hAnsi="Arial" w:cs="Arial"/>
          <w:color w:val="000000"/>
          <w:sz w:val="24"/>
          <w:szCs w:val="24"/>
        </w:rPr>
        <w:t>β-sheet</w:t>
      </w:r>
      <w:r w:rsidRPr="0084736C">
        <w:rPr>
          <w:rFonts w:ascii="Arial" w:hAnsi="Arial" w:cs="Arial"/>
          <w:color w:val="000000"/>
          <w:sz w:val="24"/>
          <w:szCs w:val="24"/>
        </w:rPr>
        <w:t xml:space="preserve"> rich structures. Similar to </w:t>
      </w:r>
      <w:r w:rsidR="0018567A" w:rsidRPr="0084736C">
        <w:rPr>
          <w:rFonts w:ascii="Arial" w:hAnsi="Arial" w:cs="Arial"/>
          <w:color w:val="000000"/>
          <w:sz w:val="24"/>
          <w:szCs w:val="24"/>
        </w:rPr>
        <w:t>Amyloid</w:t>
      </w:r>
      <w:r w:rsidR="00612786">
        <w:rPr>
          <w:rFonts w:ascii="Arial" w:hAnsi="Arial" w:cs="Arial"/>
          <w:color w:val="000000"/>
          <w:sz w:val="24"/>
          <w:szCs w:val="24"/>
        </w:rPr>
        <w:t>-</w:t>
      </w:r>
      <w:r w:rsidR="0018567A" w:rsidRPr="0084736C">
        <w:rPr>
          <w:rFonts w:ascii="Arial" w:hAnsi="Arial" w:cs="Arial"/>
          <w:color w:val="000000"/>
          <w:sz w:val="24"/>
          <w:szCs w:val="24"/>
        </w:rPr>
        <w:t>β</w:t>
      </w:r>
      <w:r w:rsidRPr="0084736C">
        <w:rPr>
          <w:rFonts w:ascii="Arial" w:hAnsi="Arial" w:cs="Arial"/>
          <w:color w:val="000000"/>
          <w:sz w:val="24"/>
          <w:szCs w:val="24"/>
        </w:rPr>
        <w:t xml:space="preserve"> peptide aggregation, amphiphilic molecules can also undergo aggregation (generally results in fibrillar of micellar structures) when it reaches </w:t>
      </w:r>
      <w:r w:rsidR="00612786">
        <w:rPr>
          <w:rFonts w:ascii="Arial" w:hAnsi="Arial" w:cs="Arial"/>
          <w:color w:val="000000"/>
          <w:sz w:val="24"/>
          <w:szCs w:val="24"/>
        </w:rPr>
        <w:t xml:space="preserve">a </w:t>
      </w:r>
      <w:r w:rsidRPr="0084736C">
        <w:rPr>
          <w:rFonts w:ascii="Arial" w:hAnsi="Arial" w:cs="Arial"/>
          <w:color w:val="000000"/>
          <w:sz w:val="24"/>
          <w:szCs w:val="24"/>
        </w:rPr>
        <w:t>specific concentration characterized by sharp transitions in fluorescence intensities.</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{"citationID":"f0ZJFf9v","properties":{"formattedCitation":"\\super 96\\nosupersub{}","plainCitation":"96","noteIndex":0},"citationItems":[{"id":91,"uris":["http://zotero.org/users/5797676/items/WIQ9YFRH"],"itemData":{"id":91,"type":"article-journal","abstract":"Critical micelle concentration (CMC) is a key factor in applications of amphiphilic molecules, as it dictates the assembly state of the molecules. Nile Red (NR) is often used as a fluorogenic dye for the measurement of CMC values, but we have observed that NR is prone to aggregation, which leads to reduced reliability in CMC measurements. Here we evaluate 3,3′-dioctadecyloxacarbocyanine perchlorate (DiO) as an alternative fluorogenic dye for the measurement of CMC values. Both NR and DiO provide values comparable to those reported in the literature. However, we demonstrate that DiO provides improved consistency and is more user friendly than NR for measurement of CMC values.","container-title":"Analytical Methods","DOI":"10.1039/C5AY01444A","ISSN":"1759-9679","issue":"16","journalAbbreviation":"Anal. Methods","language":"en","note":"publisher: The Royal Society of Chemistry","page":"6877-6882","source":"pubs.rsc.org","title":"3,3′-Dioctadecyloxacarbocyanine perchlorate (DiO) as a fluorogenic probe for measurement of critical micelle concentration","URL":"https://pubs.rsc.org/en/content/articlelanding/2015/ay/c5ay01444a","volume":"7","author":[{"family":"Peterson","given":"Amberlyn M."},{"family":"Tan","given":"Zhesen"},{"family":"Kimbrough","given":"Evelyn M."},{"family":"Heemstra","given":"Jennifer M."}],"accessed":{"date-parts":[["2020",8,16]]},"issued":{"date-parts":[["2015",8,6]]},"citation-key":"petersonDioctadecyloxacarbocyaninePerchlorateDiO2015"}}],"schema":"https://github.com/citation-style-language/schema/raw/master/csl-citation.json"}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96</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Pyrene, composed of four fused benzene ring and insoluble in water, show distinct solvent</w:t>
      </w:r>
      <w:r w:rsidR="00612786">
        <w:rPr>
          <w:rFonts w:ascii="Arial" w:hAnsi="Arial" w:cs="Arial"/>
          <w:color w:val="000000"/>
          <w:sz w:val="24"/>
          <w:szCs w:val="24"/>
        </w:rPr>
        <w:t>-</w:t>
      </w:r>
      <w:r w:rsidRPr="0084736C">
        <w:rPr>
          <w:rFonts w:ascii="Arial" w:hAnsi="Arial" w:cs="Arial"/>
          <w:color w:val="000000"/>
          <w:sz w:val="24"/>
          <w:szCs w:val="24"/>
        </w:rPr>
        <w:t xml:space="preserve">dependent vibronic bands depending on </w:t>
      </w:r>
      <w:r w:rsidR="00612786">
        <w:rPr>
          <w:rFonts w:ascii="Arial" w:hAnsi="Arial" w:cs="Arial"/>
          <w:color w:val="000000"/>
          <w:sz w:val="24"/>
          <w:szCs w:val="24"/>
        </w:rPr>
        <w:t xml:space="preserve">the </w:t>
      </w:r>
      <w:r w:rsidRPr="0084736C">
        <w:rPr>
          <w:rFonts w:ascii="Arial" w:hAnsi="Arial" w:cs="Arial"/>
          <w:color w:val="000000"/>
          <w:sz w:val="24"/>
          <w:szCs w:val="24"/>
        </w:rPr>
        <w:t>local hydrophobicity or polarity of the environment.</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{"citationID":"wbbKNdVa","properties":{"formattedCitation":"\\super 97\\nosupersub{}","plainCitation":"97","noteIndex":0},"citationItems":[{"id":361,"uris":["http://zotero.org/users/5797676/items/9K2Z6P68"],"itemData":{"id":361,"type":"article-journal","container-title":"J. Am. Chem. Soc","issue":"7","page":"2039-2044","title":"Environmental effects on vibronic band intensities in pyrene monomer fluorescence and their application in studies of micellar systems","volume":"99","author":[{"family":"Kalyanasundaram","given":"K"},{"family":"Thomas","given":"J. K."}],"issued":{"date-parts":[["1977"]]},"citation-key":"kalyanasundaramEnvironmentalEffectsVibronic1977"}}],"schema":"https://github.com/citation-style-language/schema/raw/master/csl-citation.json"}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97</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The measurements </w:t>
      </w:r>
      <w:r w:rsidR="00612786">
        <w:rPr>
          <w:rFonts w:ascii="Arial" w:hAnsi="Arial" w:cs="Arial"/>
          <w:color w:val="000000"/>
          <w:sz w:val="24"/>
          <w:szCs w:val="24"/>
        </w:rPr>
        <w:t xml:space="preserve">are </w:t>
      </w:r>
      <w:r w:rsidRPr="0084736C">
        <w:rPr>
          <w:rFonts w:ascii="Arial" w:hAnsi="Arial" w:cs="Arial"/>
          <w:color w:val="000000"/>
          <w:sz w:val="24"/>
          <w:szCs w:val="24"/>
        </w:rPr>
        <w:t xml:space="preserve">based on the third and first vibronic band intensities (I3/I1 or I1/I3) and </w:t>
      </w:r>
      <w:r w:rsidR="00612786">
        <w:rPr>
          <w:rFonts w:ascii="Arial" w:hAnsi="Arial" w:cs="Arial"/>
          <w:color w:val="000000"/>
          <w:sz w:val="24"/>
          <w:szCs w:val="24"/>
        </w:rPr>
        <w:t xml:space="preserve">are </w:t>
      </w:r>
      <w:r w:rsidRPr="0084736C">
        <w:rPr>
          <w:rFonts w:ascii="Arial" w:hAnsi="Arial" w:cs="Arial"/>
          <w:color w:val="000000"/>
          <w:sz w:val="24"/>
          <w:szCs w:val="24"/>
        </w:rPr>
        <w:t>generally observed at between 375 and 405 nm when excited with 340 nm.</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{"citationID":"UeZWANad","properties":{"formattedCitation":"\\super 98\\nosupersub{}","plainCitation":"98","noteIndex":0},"citationItems":[{"id":89,"uris":["http://zotero.org/users/5797676/items/BXHME6UN"],"itemData":{"id":89,"type":"article-journal","abstract":"Pyrene is a spatially sensitive probe that displays an ensemble of monomeric fluorescence emission peaks (375 – 405 nm), and an additional band (called excimer) at ~460 nm when two fluorophores are spatially proximal. We examined if there is a correlation between distance between two pyrenes on an α-helical structure and excimer/monomer (e/m) ratio. Using structure-guided design, pyrene maleimide was attached to pairs of Cys located in increments of ~ 5 Å apart on helix 2 of the N-terminal domain of apolipoprotein E3 (apoE3). Fluorescence spectral analysis revealed an intense excimer band when the probes were ~ 5 Å from each other with an e/m ratio of ~3.0, which decreased to ~1.0 at 20 Å. An inverse correlation between e/m ratio and the distance between pyrenes was observed, with the probe and helix flexibility also contributing to the extent of excimer formation. We verified this approach by estimating the distance between T57C and C112 (located on helices 2 and 3, respectively) to be 5.2 Å (4.9 Å from NMR and 5.7 Å from X-ray structure). Excimer formation was also noted to a significant extent with probes located in the linker segment suggesting spatial proximity (10 Å to 15 Å) from corresponding sites on neighboring molecules in the tetrameric configuration of apoE. We infer that oligomerization via the C-terminal domain juxtaposes the linker segments from neighboring apoE molecules. This study offers new insights into the conformation of tetrameric apoE and presents the use of pyrene as a powerful probe to study protein spatial organization.","container-title":"Biochemistry","DOI":"10.1021/bi3005285","ISSN":"0006-2960","issue":"31","journalAbbreviation":"Biochemistry","note":"PMID: 22779734\nPMCID: PMC3448802","page":"6207-6219","source":"PubMed Central","title":"Extent of Pyrene Excimer Fluorescence Emission is a Reflector of Distance and Flexibility: Analysis of the Segment Linking the LDL Receptor-binding and Tetramerization Domains of Apolipoprotein E3","title-short":"Extent of Pyrene Excimer Fluorescence Emission is a Reflector of Distance and Flexibility","URL":"https://www.ncbi.nlm.nih.gov/pmc/articles/PMC3448802/","volume":"51","author":[{"family":"Bains","given":"Gursharan K."},{"family":"Kim","given":"Sea H."},{"family":"Sorin","given":"Eric J."},{"family":"Narayanaswami","given":"Vasanthy"}],"accessed":{"date-parts":[["2020",8,16]]},"issued":{"date-parts":[["2012",8,7]]},"citation-key":"bainsExtentPyreneExcimer2012"}}],"schema":"https://github.com/citation-style-language/schema/raw/master/csl-citation.json"}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98</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An increase in the ratio of I3/I1 gives and information about the hydrophobicity of </w:t>
      </w:r>
      <w:r w:rsidR="00612786">
        <w:rPr>
          <w:rFonts w:ascii="Arial" w:hAnsi="Arial" w:cs="Arial"/>
          <w:color w:val="000000"/>
          <w:sz w:val="24"/>
          <w:szCs w:val="24"/>
        </w:rPr>
        <w:t xml:space="preserve">the </w:t>
      </w:r>
      <w:r w:rsidRPr="0084736C">
        <w:rPr>
          <w:rFonts w:ascii="Arial" w:hAnsi="Arial" w:cs="Arial"/>
          <w:color w:val="000000"/>
          <w:sz w:val="24"/>
          <w:szCs w:val="24"/>
        </w:rPr>
        <w:t>microenvironment where pyrene is located at.</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{"citationID":"6pJDe6F0","properties":{"formattedCitation":"\\super 99\\nosupersub{}","plainCitation":"99","noteIndex":0},"citationItems":[{"id":375,"uris":["http://zotero.org/users/5797676/items/73MFJ3JD"],"itemData":{"id":375,"type":"article-journal","abstract":"A deep understanding of the early molecular mechanism of amyloid beta peptides (Aβ) is crucial to develop therapeutic and preventive approaches for Alzheimer's disease (AD). Using a variety of biophysical techniques, we have found that micelle-like dynamic oligomers are rapidly formed by Aβ40 and Aβ42 above specific critical concentrations. Analysis of the initial aggregation rates at 37 °C measured by thioflavin T and Bis-ANS fluorescence using a mass-action micellization model revealed a concentration-dependent switch in the nucleation mechanism. Bimolecular nucleation appears to occur at low peptide concentration while above the critical micellar concentration, the nucleation takes place more efficiently in the micelles. Upon incubation, these micelles mediate a rapid formation of larger, more stable oligomers enriched in beta-sheet structure. These oligomers formed from Aβ40, enriched in amyloid nuclei, acquire a higher capacity to fibrillate than their micellar precursors. Aβ42 can also form similar oligomers but they have lower beta-sheet structure content and lower capacity to fibrillate. On the other hand, a considerable fraction of the Aβ42 peptide forms morphologically distinct oligomers that are unable to fibrillate and show significant effect on SH-SY5Y cell viability. Overall, our results highlight the importance of micellar structures as mediators of amyloid nucleation and contribute to the understanding of the differences between the aggregation pathways of Aβ40 and Aβ42.","container-title":"Physical Chemistry Chemical Physics","DOI":"10.1039/C8CP02685H","ISSN":"1463-9084","issue":"31","journalAbbreviation":"Phys. Chem. Chem. Phys.","language":"en","note":"publisher: The Royal Society of Chemistry","page":"20597-20614","source":"pubs.rsc.org","title":"Dynamic micellar oligomers of amyloid beta peptides play a crucial role in their aggregation mechanisms","URL":"https://pubs.rsc.org/en/content/articlelanding/2018/cp/c8cp02685h","volume":"20","author":[{"family":"Morel","given":"Bertrand"},{"family":"Carrasco","given":"Maria Paz"},{"family":"Jurado","given":"Samuel"},{"family":"Marco","given":"Carmen"},{"family":"Conejero-Lara","given":"Francisco"}],"accessed":{"date-parts":[["2020",3,21]]},"issued":{"date-parts":[["2018",8,8]]},"citation-key":"morelDynamicMicellarOligomers2018"}}],"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99</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Below the </w:t>
      </w:r>
      <w:r w:rsidR="00612786">
        <w:rPr>
          <w:rFonts w:ascii="Arial" w:hAnsi="Arial" w:cs="Arial"/>
          <w:color w:val="000000"/>
          <w:sz w:val="24"/>
          <w:szCs w:val="24"/>
        </w:rPr>
        <w:t>CAC</w:t>
      </w:r>
      <w:r w:rsidRPr="0084736C">
        <w:rPr>
          <w:rFonts w:ascii="Arial" w:hAnsi="Arial" w:cs="Arial"/>
          <w:color w:val="000000"/>
          <w:sz w:val="24"/>
          <w:szCs w:val="24"/>
        </w:rPr>
        <w:t>, the decreased pyrene I3/I1 ratio value correspond</w:t>
      </w:r>
      <w:r w:rsidR="00612786">
        <w:rPr>
          <w:rFonts w:ascii="Arial" w:hAnsi="Arial" w:cs="Arial"/>
          <w:color w:val="000000"/>
          <w:sz w:val="24"/>
          <w:szCs w:val="24"/>
        </w:rPr>
        <w:t>s</w:t>
      </w:r>
      <w:r w:rsidRPr="0084736C">
        <w:rPr>
          <w:rFonts w:ascii="Arial" w:hAnsi="Arial" w:cs="Arial"/>
          <w:color w:val="000000"/>
          <w:sz w:val="24"/>
          <w:szCs w:val="24"/>
        </w:rPr>
        <w:t xml:space="preserve"> to a polar environments, whereas increased I3/I1 indicated that pyrene was located more in </w:t>
      </w:r>
      <w:r w:rsidR="00612786">
        <w:rPr>
          <w:rFonts w:ascii="Arial" w:hAnsi="Arial" w:cs="Arial"/>
          <w:color w:val="000000"/>
          <w:sz w:val="24"/>
          <w:szCs w:val="24"/>
        </w:rPr>
        <w:t xml:space="preserve">a </w:t>
      </w:r>
      <w:r w:rsidRPr="0084736C">
        <w:rPr>
          <w:rFonts w:ascii="Arial" w:hAnsi="Arial" w:cs="Arial"/>
          <w:color w:val="000000"/>
          <w:sz w:val="24"/>
          <w:szCs w:val="24"/>
        </w:rPr>
        <w:t>hydrophobic environment.</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{"citationID":"bP5qeNA9","properties":{"formattedCitation":"\\super 100\\nosupersub{}","plainCitation":"100","noteIndex":0},"citationItems":[{"id":359,"uris":["http://zotero.org/users/5797676/items/INKJ5VZS"],"itemData":{"id":359,"type":"article-journal","abstract":"The aim of this paper is to establish a simple and accurate approach to the treatment of pyrene 1:3 ratio data in the context of critical micelle concentration determination in surfactant solutions. The procedure we propose is based on the assumption that pyrene 1:3 ratio data are properly fitted by a Boltzmann-type sigmoid. From the fitting parameters we consider two singular points as possible candidates to determine the critical micelle concentration of the surfactant, adopting objective criteria for the election of one or the other point. With the purpose of supporting our contention, numerous specific examples are presented and discussed, including single ionic and nonionic surfactants, micellization of surfactants in the presence of additives, and several mixed-surfactant systems. In all the cases examined the experimental data were well fitted by a decreasing sigmoid of the Boltzmann type, and the proposed approach worked in an appropriate way, providing critical micelle concentration values in good agreement with those in the literature obtained using different methods.","container-title":"Journal of Colloid and Interface Science","DOI":"10.1016/S0021-9797(02)00082-6","ISSN":"0021-9797","issue":"1","journalAbbreviation":"Journal of Colloid and Interface Science","language":"en","page":"116-122","source":"ScienceDirect","title":"On the determination of the critical micelle concentration by the pyrene 1:3 ratio method","title-short":"On the determination of the critical micelle concentration by the pyrene 1","URL":"http://www.sciencedirect.com/science/article/pii/S0021979702000826","volume":"258","author":[{"family":"Aguiar","given":"J."},{"family":"Carpena","given":"P."},{"family":"Molina-Bolı́var","given":"J. A."},{"family":"Carnero Ruiz","given":"C."}],"accessed":{"date-parts":[["2020",3,30]]},"issued":{"date-parts":[["2003",2,1]]},"citation-key":"aguiarDeterminationCriticalMicelle2003"}}],"schema":"https://github.com/citation-style-language/schema/raw/master/csl-citation.json"}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100</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Since aggregation behavior depend</w:t>
      </w:r>
      <w:r w:rsidR="00612786">
        <w:rPr>
          <w:rFonts w:ascii="Arial" w:hAnsi="Arial" w:cs="Arial"/>
          <w:color w:val="000000"/>
          <w:sz w:val="24"/>
          <w:szCs w:val="24"/>
        </w:rPr>
        <w:t>s</w:t>
      </w:r>
      <w:r w:rsidRPr="0084736C">
        <w:rPr>
          <w:rFonts w:ascii="Arial" w:hAnsi="Arial" w:cs="Arial"/>
          <w:color w:val="000000"/>
          <w:sz w:val="24"/>
          <w:szCs w:val="24"/>
        </w:rPr>
        <w:t xml:space="preserve"> on environmental factors such as temperature, salt concentration and pH</w:t>
      </w:r>
      <w:r w:rsidR="00612786">
        <w:rPr>
          <w:rFonts w:ascii="Arial" w:hAnsi="Arial" w:cs="Arial"/>
          <w:color w:val="000000"/>
          <w:sz w:val="24"/>
          <w:szCs w:val="24"/>
        </w:rPr>
        <w:t>;</w:t>
      </w:r>
      <w:r w:rsidRPr="0084736C">
        <w:rPr>
          <w:rFonts w:ascii="Arial" w:hAnsi="Arial" w:cs="Arial"/>
          <w:color w:val="000000"/>
          <w:sz w:val="24"/>
          <w:szCs w:val="24"/>
        </w:rPr>
        <w:t xml:space="preserve"> pyrene assay can easily be applied to understand how those factors affect the given systems. For example, </w:t>
      </w:r>
      <w:r w:rsidR="00612786">
        <w:rPr>
          <w:rFonts w:ascii="Arial" w:hAnsi="Arial" w:cs="Arial"/>
          <w:color w:val="000000"/>
          <w:sz w:val="24"/>
          <w:szCs w:val="24"/>
        </w:rPr>
        <w:t xml:space="preserve">the </w:t>
      </w:r>
      <w:r w:rsidRPr="0084736C">
        <w:rPr>
          <w:rFonts w:ascii="Arial" w:hAnsi="Arial" w:cs="Arial"/>
          <w:color w:val="000000"/>
          <w:sz w:val="24"/>
          <w:szCs w:val="24"/>
        </w:rPr>
        <w:t xml:space="preserve">aggregation behavior of two amphiphilic peptides (palmitic acid conjugated IKPEAP and IKPEAPGE) were analyzed based on temperature and pH and found that increase pH resulted in increase in </w:t>
      </w:r>
      <w:r w:rsidR="00612786">
        <w:rPr>
          <w:rFonts w:ascii="Arial" w:hAnsi="Arial" w:cs="Arial"/>
          <w:color w:val="000000"/>
          <w:sz w:val="24"/>
          <w:szCs w:val="24"/>
        </w:rPr>
        <w:t>CAC</w:t>
      </w:r>
      <w:r w:rsidRPr="0084736C">
        <w:rPr>
          <w:rFonts w:ascii="Arial" w:hAnsi="Arial" w:cs="Arial"/>
          <w:color w:val="000000"/>
          <w:sz w:val="24"/>
          <w:szCs w:val="24"/>
        </w:rPr>
        <w:t>, while temperature (20 and 70</w:t>
      </w:r>
      <w:r w:rsidR="00856E9E" w:rsidRPr="0084736C">
        <w:rPr>
          <w:rFonts w:ascii="Arial" w:hAnsi="Arial" w:cs="Arial"/>
          <w:color w:val="000000"/>
          <w:sz w:val="24"/>
          <w:szCs w:val="24"/>
        </w:rPr>
        <w:sym w:font="Symbol" w:char="F0B0"/>
      </w:r>
      <w:r w:rsidRPr="0084736C">
        <w:rPr>
          <w:rFonts w:ascii="Arial" w:hAnsi="Arial" w:cs="Arial"/>
          <w:color w:val="000000"/>
          <w:sz w:val="24"/>
          <w:szCs w:val="24"/>
        </w:rPr>
        <w:t>C) did not have effect on it.</w:t>
      </w:r>
      <w:r w:rsidRPr="0084736C">
        <w:rPr>
          <w:rFonts w:ascii="Arial" w:hAnsi="Arial" w:cs="Arial"/>
          <w:color w:val="000000"/>
          <w:sz w:val="24"/>
          <w:szCs w:val="24"/>
        </w:rPr>
        <w:fldChar w:fldCharType="begin"/>
      </w:r>
      <w:r w:rsidR="008F09C1">
        <w:rPr>
          <w:rFonts w:ascii="Arial" w:hAnsi="Arial" w:cs="Arial"/>
          <w:color w:val="000000"/>
          <w:sz w:val="24"/>
          <w:szCs w:val="24"/>
        </w:rPr>
        <w:instrText xml:space="preserve"> ADDIN ZOTERO_ITEM CSL_CITATION {"citationID":"6yVZ2XYi","properties":{"formattedCitation":"\\super 101\\nosupersub{}","plainCitation":"101","noteIndex":0},"citationItems":[{"id":88,"uris":["http://zotero.org/users/5797676/items/GPDSHDVM"],"itemData":{"id":88,"type":"article-journal","abstract":"We investigate the impact of lipidation on the self-assembly of two peptide fragments from the gastrointestinal peptide hormone PYY3–36. The lipopeptides C16IKPEAP and C16IKPEAPGE contain the first 6 and 8 amino acid residues, respectively, from the PYY3–36 peptide sequence, with a palmitoyl C16 tail attached at the N-terminus. These lipopeptides form spherical micelles in aqueous solution, above a critical micelle concentration (cmc), which is pH-dependent. Modeling of small-angle X-ray scattering data along with molecular dynamics simulations shows the formation of micelles with a hydrophobic interior and a well-hydrated exterior. The lipopeptides have a disordered conformation over the pH and temperature ranges studied. The cmc is found to be independent of temperature, pointing to athermal micellization. In contrast to the presence of hydrated micelles in solution, β-sheet amyloid fibrils form in dried samples. Thus, the nanostructure of lipidated PYY3–36 fragment peptides can be tuned by control of pH or concentration, for future applications.","container-title":"The Journal of Physical Chemistry B","DOI":"10.1021/acs.jpcb.8b11097","ISSN":"1520-6106","issue":"3","journalAbbreviation":"J. Phys. Chem. B","note":"publisher: American Chemical Society","page":"614-621","source":"ACS Publications","title":"Self-Assembly of Lipopeptides Containing Short Peptide Fragments Derived from the Gastrointestinal Hormone PYY3–36: From Micelles to Amyloid Fibrils","title-short":"Self-Assembly of Lipopeptides Containing Short Peptide Fragments Derived from the Gastrointestinal Hormone PYY3–36","URL":"https://doi.org/10.1021/acs.jpcb.8b11097","volume":"123","author":[{"family":"Hutchinson","given":"Jessica A."},{"family":"Hamley","given":"Ian W."},{"family":"Torras","given":"Juan"},{"family":"Alemán","given":"Carlos"},{"family":"Seitsonen","given":"Jani"},{"family":"Ruokolainen","given":"Janne"}],"accessed":{"date-parts":[["2020",8,16]]},"issued":{"date-parts":[["2019",1,24]]},"citation-key":"hutchinsonSelfAssemblyLipopeptidesContaining2019"}}],"schema":"https://github.com/citation-style-language/schema/raw/master/csl-citation.json"} </w:instrText>
      </w:r>
      <w:r w:rsidRPr="0084736C">
        <w:rPr>
          <w:rFonts w:ascii="Arial" w:hAnsi="Arial" w:cs="Arial"/>
          <w:color w:val="000000"/>
          <w:sz w:val="24"/>
          <w:szCs w:val="24"/>
        </w:rPr>
        <w:fldChar w:fldCharType="separate"/>
      </w:r>
      <w:r w:rsidR="008F09C1" w:rsidRPr="008F09C1">
        <w:rPr>
          <w:rFonts w:ascii="Arial" w:hAnsi="Arial" w:cs="Arial"/>
          <w:color w:val="000000"/>
          <w:sz w:val="24"/>
          <w:vertAlign w:val="superscript"/>
        </w:rPr>
        <w:t>101</w:t>
      </w:r>
      <w:r w:rsidRPr="0084736C">
        <w:rPr>
          <w:rFonts w:ascii="Arial" w:hAnsi="Arial" w:cs="Arial"/>
          <w:color w:val="000000"/>
          <w:sz w:val="24"/>
          <w:szCs w:val="24"/>
        </w:rPr>
        <w:fldChar w:fldCharType="end"/>
      </w:r>
      <w:r w:rsidRPr="0084736C">
        <w:rPr>
          <w:rFonts w:ascii="Arial" w:hAnsi="Arial" w:cs="Arial"/>
          <w:color w:val="000000"/>
          <w:sz w:val="24"/>
          <w:szCs w:val="24"/>
        </w:rPr>
        <w:t xml:space="preserve"> </w:t>
      </w:r>
      <w:r w:rsidRPr="0084736C">
        <w:rPr>
          <w:rFonts w:ascii="Arial" w:hAnsi="Arial" w:cs="Arial"/>
          <w:sz w:val="24"/>
          <w:szCs w:val="24"/>
        </w:rPr>
        <w:t xml:space="preserve">Nile red, </w:t>
      </w:r>
      <w:r w:rsidR="00612786">
        <w:rPr>
          <w:rFonts w:ascii="Arial" w:hAnsi="Arial" w:cs="Arial"/>
          <w:sz w:val="24"/>
          <w:szCs w:val="24"/>
        </w:rPr>
        <w:t xml:space="preserve">a </w:t>
      </w:r>
      <w:r w:rsidRPr="0084736C">
        <w:rPr>
          <w:rFonts w:ascii="Arial" w:hAnsi="Arial" w:cs="Arial"/>
          <w:sz w:val="24"/>
          <w:szCs w:val="24"/>
        </w:rPr>
        <w:t>heterotetracyclic compound and known as lipophilic stain, also depends highly on the polarity of the medium.</w:t>
      </w:r>
      <w:r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{"citationID":"fvHrkN1J","properties":{"formattedCitation":"\\super 102\\nosupersub{}","plainCitation":"102","noteIndex":0},"citationItems":[{"id":87,"uris":["http://zotero.org/users/5797676/items/FE9VWVQC"],"itemData":{"id":87,"type":"article-journal","abstract":"Ternary systems of surfactants, water and organic solvents were studied by monitoring the steady-state fluorescence of the versatile solvatochromic probe Nile Red. We found not only that Nile Red can be used throughout the whole isotropic regions in the phase diagram, but also that subtle changes in the aggregation state of the surfactant can be monitored. The formation of inverted micelles in n-hexane could be followed upon the addition of small amounts of water, in addition to the formation of normal micelles in water and water–organic solvent mixtures. In aqueous C12EO4 solutions the temperature-dependent micelle-to-vesicle-to-inverted micelle transition was visualized by Nile Red fluorescence. Finally, the incorporation of solvent into the micellar interior could also be monitored using Nile Red as the probe. Copyright © 2005 John Wiley &amp; Sons, Ltd.","container-title":"Journal of Physical Organic Chemistry","DOI":"10.1002/poc.919","ISSN":"1099-1395","issue":"9","language":"en","note":"_eprint: https://onlinelibrary.wiley.com/doi/pdf/10.1002/poc.919","page":"929-934","source":"Wiley Online Library","title":"The use of Nile Red to monitor the aggregation behavior in ternary surfactant–water–organic solvent systems","URL":"https://onlinelibrary.wiley.com/doi/abs/10.1002/poc.919","volume":"18","author":[{"family":"Stuart","given":"Marc C. A."},{"family":"Pas","given":"John C.","dropping-particle":"van de"},{"family":"Engberts","given":"Jan B. F. N."}],"accessed":{"date-parts":[["2020",8,16]]},"issued":{"date-parts":[["2005"]]},"citation-key":"stuartUseNileRed2005"}}],"schema":"https://github.com/citation-style-language/schema/raw/master/csl-citation.json"} </w:instrText>
      </w:r>
      <w:r w:rsidRPr="0084736C">
        <w:rPr>
          <w:rFonts w:ascii="Arial" w:hAnsi="Arial" w:cs="Arial"/>
          <w:sz w:val="24"/>
          <w:szCs w:val="24"/>
        </w:rPr>
        <w:fldChar w:fldCharType="separate"/>
      </w:r>
      <w:r w:rsidR="008F09C1" w:rsidRPr="008F09C1">
        <w:rPr>
          <w:rFonts w:ascii="Arial" w:hAnsi="Arial" w:cs="Arial"/>
          <w:sz w:val="24"/>
          <w:vertAlign w:val="superscript"/>
        </w:rPr>
        <w:t>102</w:t>
      </w:r>
      <w:r w:rsidRPr="0084736C">
        <w:rPr>
          <w:rFonts w:ascii="Arial" w:hAnsi="Arial" w:cs="Arial"/>
          <w:sz w:val="24"/>
          <w:szCs w:val="24"/>
        </w:rPr>
        <w:fldChar w:fldCharType="end"/>
      </w:r>
      <w:r w:rsidRPr="0084736C">
        <w:rPr>
          <w:rFonts w:ascii="Arial" w:hAnsi="Arial" w:cs="Arial"/>
          <w:sz w:val="24"/>
          <w:szCs w:val="24"/>
        </w:rPr>
        <w:t xml:space="preserve"> It was shown that the fluorescence emission of Nile Red at 587 nm was upregulated around 50 times when it </w:t>
      </w:r>
      <w:r w:rsidR="00612786">
        <w:rPr>
          <w:rFonts w:ascii="Arial" w:hAnsi="Arial" w:cs="Arial"/>
          <w:sz w:val="24"/>
          <w:szCs w:val="24"/>
        </w:rPr>
        <w:t xml:space="preserve">was </w:t>
      </w:r>
      <w:r w:rsidRPr="0084736C">
        <w:rPr>
          <w:rFonts w:ascii="Arial" w:hAnsi="Arial" w:cs="Arial"/>
          <w:sz w:val="24"/>
          <w:szCs w:val="24"/>
        </w:rPr>
        <w:t xml:space="preserve">exposed to </w:t>
      </w:r>
      <w:r w:rsidR="00612786">
        <w:rPr>
          <w:rFonts w:ascii="Arial" w:hAnsi="Arial" w:cs="Arial"/>
          <w:sz w:val="24"/>
          <w:szCs w:val="24"/>
        </w:rPr>
        <w:t xml:space="preserve">a </w:t>
      </w:r>
      <w:r w:rsidRPr="0084736C">
        <w:rPr>
          <w:rFonts w:ascii="Arial" w:hAnsi="Arial" w:cs="Arial"/>
          <w:sz w:val="24"/>
          <w:szCs w:val="24"/>
        </w:rPr>
        <w:t>hydrophobic environment.</w:t>
      </w:r>
      <w:r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{"citationID":"CLSk3z7l","properties":{"formattedCitation":"\\super 103\\nosupersub{}","plainCitation":"103","noteIndex":0},"citationItems":[{"id":86,"uris":["http://zotero.org/users/5797676/items/XPXBBPVQ"],"itemData":{"id":86,"type":"article-journal","container-title":"Soft Matter","DOI":"10.1039/C9SM00252A","issue":"17","language":"en","note":"publisher: Royal Society of Chemistry","page":"3565-3572","source":"pubs.rsc.org","title":"In between molecules and self-assembled fibrillar networks: highly stable nanogel particles from a low molecular weight hydrogelator","title-short":"In between molecules and self-assembled fibrillar networks","URL":"https://pubs.rsc.org/en/content/articlelanding/2019/sm/c9sm00252a","volume":"15","author":[{"family":"Torres-Martínez","given":"Ana"},{"family":"A. Angulo-Pachón","given":"César"},{"family":"Galindo","given":"Francisco"},{"family":"F. Miravet","given":"Juan"}],"accessed":{"date-parts":[["2020",8,16]]},"issued":{"date-parts":[["2019"]]},"citation-key":"torres-martinezMoleculesSelfassembledFibrillar2019"}}],"schema":"https://github.com/citation-style-language/schema/raw/master/csl-citation.json"} </w:instrText>
      </w:r>
      <w:r w:rsidRPr="0084736C">
        <w:rPr>
          <w:rFonts w:ascii="Arial" w:hAnsi="Arial" w:cs="Arial"/>
          <w:sz w:val="24"/>
          <w:szCs w:val="24"/>
        </w:rPr>
        <w:fldChar w:fldCharType="separate"/>
      </w:r>
      <w:r w:rsidR="008F09C1" w:rsidRPr="008F09C1">
        <w:rPr>
          <w:rFonts w:ascii="Arial" w:hAnsi="Arial" w:cs="Arial"/>
          <w:sz w:val="24"/>
          <w:vertAlign w:val="superscript"/>
        </w:rPr>
        <w:t>103</w:t>
      </w:r>
      <w:r w:rsidRPr="0084736C">
        <w:rPr>
          <w:rFonts w:ascii="Arial" w:hAnsi="Arial" w:cs="Arial"/>
          <w:sz w:val="24"/>
          <w:szCs w:val="24"/>
        </w:rPr>
        <w:fldChar w:fldCharType="end"/>
      </w:r>
      <w:r w:rsidRPr="0084736C">
        <w:rPr>
          <w:rFonts w:ascii="Arial" w:hAnsi="Arial" w:cs="Arial"/>
          <w:sz w:val="24"/>
          <w:szCs w:val="24"/>
        </w:rPr>
        <w:t xml:space="preserve"> </w:t>
      </w:r>
      <w:r w:rsidRPr="0084736C">
        <w:rPr>
          <w:rFonts w:ascii="Arial" w:hAnsi="Arial" w:cs="Arial"/>
          <w:sz w:val="24"/>
          <w:szCs w:val="24"/>
        </w:rPr>
        <w:lastRenderedPageBreak/>
        <w:t xml:space="preserve">Furthermore, assembly of oppositely charged peptide structures (which is driven by </w:t>
      </w:r>
      <w:r w:rsidRPr="0084736C">
        <w:rPr>
          <w:rFonts w:ascii="Symbol" w:hAnsi="Symbol" w:cs="Arial"/>
          <w:sz w:val="24"/>
          <w:szCs w:val="24"/>
        </w:rPr>
        <w:t>p</w:t>
      </w:r>
      <w:r w:rsidRPr="0084736C">
        <w:rPr>
          <w:rFonts w:ascii="Arial" w:hAnsi="Arial" w:cs="Arial"/>
          <w:sz w:val="24"/>
          <w:szCs w:val="24"/>
        </w:rPr>
        <w:t xml:space="preserve">-, hydrophobic and electrostatic interactions) was also determined by Nile Red (Ex: 550 nm, Em:580-750) assay and found that individual counterparts have 10 times higher </w:t>
      </w:r>
      <w:r w:rsidR="00612786">
        <w:rPr>
          <w:rFonts w:ascii="Arial" w:hAnsi="Arial" w:cs="Arial"/>
          <w:sz w:val="24"/>
          <w:szCs w:val="24"/>
        </w:rPr>
        <w:t>CAC</w:t>
      </w:r>
      <w:r w:rsidRPr="0084736C">
        <w:rPr>
          <w:rFonts w:ascii="Arial" w:hAnsi="Arial" w:cs="Arial"/>
          <w:sz w:val="24"/>
          <w:szCs w:val="24"/>
        </w:rPr>
        <w:t xml:space="preserve"> values than co-assembled peptide structures.</w:t>
      </w:r>
      <w:r w:rsidRPr="0084736C">
        <w:rPr>
          <w:rFonts w:ascii="Arial" w:hAnsi="Arial" w:cs="Arial"/>
          <w:sz w:val="24"/>
          <w:szCs w:val="24"/>
        </w:rPr>
        <w:fldChar w:fldCharType="begin"/>
      </w:r>
      <w:r w:rsidR="008F09C1">
        <w:rPr>
          <w:rFonts w:ascii="Arial" w:hAnsi="Arial" w:cs="Arial"/>
          <w:sz w:val="24"/>
          <w:szCs w:val="24"/>
        </w:rPr>
        <w:instrText xml:space="preserve"> ADDIN ZOTERO_ITEM CSL_CITATION {"citationID":"pXYhJsl1","properties":{"formattedCitation":"\\super 104\\nosupersub{}","plainCitation":"104","noteIndex":0},"citationItems":[{"id":85,"uris":["http://zotero.org/users/5797676/items/EEXM2YSZ"],"itemData":{"id":85,"type":"article-journal","abstract":"Peptide nanomaterials have received a great deal of interest in drug-delivery applications due to their biodegradability, biocompatibility, suitability for large-scale synthesis, high drug-loading capacities, targeting ability, and ordered structural organization. The covalent conjugation of drugs to peptide backbones results in prolonged circulation time and improved stability of drugs. Therapeutic efficacy of gemcitabine, which is used for breast cancer treatment, is severely compromised due to its rapid plasma degradation. Its hydrophilic nature poses a challenge for both its efficient encapsulation into nanocarrier systems and its sustained release property. Here, we designed a new peptide prodrug molecule for the anticancer drug gemcitabine, which was covalently conjugated to the C-terminal of 9-fluorenylmethoxy carbonyl (Fmoc)-protected glycine. The prodrug was further integrated into peptide nanocarrier system through noncovalent interactions. A pair of oppositely charged amyloid-inspired peptides (Fmoc–AIPs) were exploited as components of the drug-carrier system and self-assembled into one-dimensional nanofibers at physiological conditions. The gemcitabine integrated nanoprodrug carrier system exhibited slow release and reduced the cellular viability of 4T1 breast cancer cell line in a time- and concentration-dependent manner.","container-title":"Bioconjugate Chemistry","DOI":"10.1021/acs.bioconjchem.7b00155","ISSN":"1043-1802","issue":"5","journalAbbreviation":"Bioconjugate Chem.","note":"publisher: American Chemical Society","page":"1491-1498","source":"ACS Publications","title":"Gemcitabine Integrated Nano-Prodrug Carrier System","URL":"https://doi.org/10.1021/acs.bioconjchem.7b00155","volume":"28","author":[{"family":"Hamsici","given":"Seren"},{"family":"Sardan Ekiz","given":"Melis"},{"family":"Cinar Ciftci","given":"Goksu"},{"family":"Tekinay","given":"Ayse B."},{"family":"Guler","given":"Mustafa O."}],"accessed":{"date-parts":[["2020",8,16]]},"issued":{"date-parts":[["2017",5,17]]},"citation-key":"hamsiciGemcitabineIntegratedNanoProdrug2017"}}],"schema":"https://github.com/citation-style-language/schema/raw/master/csl-citation.json"} </w:instrText>
      </w:r>
      <w:r w:rsidRPr="0084736C">
        <w:rPr>
          <w:rFonts w:ascii="Arial" w:hAnsi="Arial" w:cs="Arial"/>
          <w:sz w:val="24"/>
          <w:szCs w:val="24"/>
        </w:rPr>
        <w:fldChar w:fldCharType="separate"/>
      </w:r>
      <w:r w:rsidR="008F09C1" w:rsidRPr="008F09C1">
        <w:rPr>
          <w:rFonts w:ascii="Arial" w:hAnsi="Arial" w:cs="Arial"/>
          <w:sz w:val="24"/>
          <w:vertAlign w:val="superscript"/>
        </w:rPr>
        <w:t>104</w:t>
      </w:r>
      <w:r w:rsidRPr="0084736C">
        <w:rPr>
          <w:rFonts w:ascii="Arial" w:hAnsi="Arial" w:cs="Arial"/>
          <w:sz w:val="24"/>
          <w:szCs w:val="24"/>
        </w:rPr>
        <w:fldChar w:fldCharType="end"/>
      </w:r>
      <w:r w:rsidRPr="0084736C">
        <w:rPr>
          <w:rFonts w:ascii="Arial" w:hAnsi="Arial" w:cs="Arial"/>
          <w:sz w:val="24"/>
          <w:szCs w:val="24"/>
        </w:rPr>
        <w:t xml:space="preserve"> Fluorescent techniques give relevant information</w:t>
      </w:r>
      <w:r w:rsidR="00612786">
        <w:rPr>
          <w:rFonts w:ascii="Arial" w:hAnsi="Arial" w:cs="Arial"/>
          <w:sz w:val="24"/>
          <w:szCs w:val="24"/>
        </w:rPr>
        <w:t xml:space="preserve"> and</w:t>
      </w:r>
      <w:r w:rsidRPr="0084736C">
        <w:rPr>
          <w:rFonts w:ascii="Arial" w:hAnsi="Arial" w:cs="Arial"/>
          <w:sz w:val="24"/>
          <w:szCs w:val="24"/>
        </w:rPr>
        <w:t xml:space="preserve"> help to analyze and determine/eliminate the conditions (with a range of parameters for further deep analysis of peptide self-assembly with other techniques (i.e. spectroscopic analysis). </w:t>
      </w:r>
      <w:r w:rsidRPr="0084736C">
        <w:rPr>
          <w:rFonts w:ascii="Arial" w:hAnsi="Arial" w:cs="Arial"/>
          <w:noProof/>
          <w:color w:val="000000"/>
          <w:sz w:val="24"/>
          <w:szCs w:val="24"/>
        </w:rPr>
        <w:t>However, different experimental techniques are required for the conformational transition of peptide assembly, such as the i</w:t>
      </w:r>
      <w:r w:rsidR="00612786">
        <w:rPr>
          <w:rFonts w:ascii="Arial" w:hAnsi="Arial" w:cs="Arial"/>
          <w:noProof/>
          <w:color w:val="000000"/>
          <w:sz w:val="24"/>
          <w:szCs w:val="24"/>
        </w:rPr>
        <w:t>dentifying</w:t>
      </w:r>
      <w:r w:rsidRPr="0084736C">
        <w:rPr>
          <w:rFonts w:ascii="Arial" w:hAnsi="Arial" w:cs="Arial"/>
          <w:noProof/>
          <w:color w:val="000000"/>
          <w:sz w:val="24"/>
          <w:szCs w:val="24"/>
        </w:rPr>
        <w:t xml:space="preserve"> folding/unfolding states to characterize the thermal energy produced or consumed as a natural consequence of almost all physical, chemical, or biological process.</w:t>
      </w:r>
    </w:p>
    <w:p w14:paraId="0DB851DE" w14:textId="77777777" w:rsidR="008C6822" w:rsidRDefault="008C6822">
      <w:pPr>
        <w:rPr>
          <w:rFonts w:asciiTheme="majorHAnsi" w:hAnsiTheme="majorHAnsi" w:cstheme="majorHAnsi"/>
          <w:smallCaps/>
          <w:spacing w:val="5"/>
          <w:sz w:val="32"/>
          <w:szCs w:val="32"/>
        </w:rPr>
      </w:pPr>
      <w:bookmarkStart w:id="33" w:name="_Toc114946699"/>
      <w:r>
        <w:rPr>
          <w:rFonts w:asciiTheme="majorHAnsi" w:hAnsiTheme="majorHAnsi" w:cstheme="majorHAnsi"/>
        </w:rPr>
        <w:br w:type="page"/>
      </w:r>
    </w:p>
    <w:p w14:paraId="072CFE77" w14:textId="3B0A1AF1" w:rsidR="00EC47DA" w:rsidRDefault="00CD2127" w:rsidP="00701EBF">
      <w:pPr>
        <w:pStyle w:val="Heading1"/>
        <w:rPr>
          <w:rFonts w:asciiTheme="majorHAnsi" w:hAnsiTheme="majorHAnsi" w:cstheme="majorHAnsi"/>
        </w:rPr>
      </w:pPr>
      <w:bookmarkStart w:id="34" w:name="_Toc121134621"/>
      <w:r w:rsidRPr="00701EBF">
        <w:rPr>
          <w:rFonts w:asciiTheme="majorHAnsi" w:hAnsiTheme="majorHAnsi" w:cstheme="majorHAnsi"/>
        </w:rPr>
        <w:lastRenderedPageBreak/>
        <w:t xml:space="preserve">CHAPTER 2. </w:t>
      </w:r>
      <w:bookmarkEnd w:id="33"/>
      <w:r w:rsidR="004367B3">
        <w:rPr>
          <w:rFonts w:asciiTheme="majorHAnsi" w:hAnsiTheme="majorHAnsi" w:cstheme="majorHAnsi"/>
        </w:rPr>
        <w:t>PEPTIDE FRAMEWORK FOR SCREENING THE EFFECT OF AMINO ACIDS ON ASSEMBLY</w:t>
      </w:r>
      <w:bookmarkEnd w:id="34"/>
    </w:p>
    <w:p w14:paraId="0ED24738" w14:textId="77777777" w:rsidR="00DA0813" w:rsidRPr="00DA0813" w:rsidRDefault="00DA0813" w:rsidP="00DA0813"/>
    <w:p w14:paraId="367DC33C" w14:textId="77777777" w:rsidR="008B0C45" w:rsidRPr="0084736C" w:rsidRDefault="00DA0813" w:rsidP="008B0C45">
      <w:pPr>
        <w:spacing w:line="480" w:lineRule="auto"/>
        <w:rPr>
          <w:sz w:val="24"/>
          <w:szCs w:val="24"/>
        </w:rPr>
      </w:pPr>
      <w:r w:rsidRPr="0084736C">
        <w:rPr>
          <w:sz w:val="24"/>
          <w:szCs w:val="24"/>
        </w:rPr>
        <w:t xml:space="preserve">This section is adapted from the following publication: </w:t>
      </w:r>
    </w:p>
    <w:p w14:paraId="5DBE08C0" w14:textId="165ADA84" w:rsidR="00CD2127" w:rsidRPr="0084736C" w:rsidRDefault="00CD2127" w:rsidP="008B0C45">
      <w:pPr>
        <w:spacing w:line="480" w:lineRule="auto"/>
        <w:rPr>
          <w:rStyle w:val="IntenseEmphasis"/>
          <w:b w:val="0"/>
          <w:i w:val="0"/>
          <w:color w:val="auto"/>
          <w:spacing w:val="0"/>
          <w:sz w:val="24"/>
          <w:szCs w:val="24"/>
        </w:rPr>
      </w:pPr>
      <w:r w:rsidRPr="0084736C">
        <w:rPr>
          <w:rStyle w:val="SubtleReference"/>
          <w:b w:val="0"/>
          <w:bCs/>
          <w:sz w:val="24"/>
          <w:szCs w:val="24"/>
        </w:rPr>
        <w:t>Hamsici, S., White, A. D., &amp; Acar, H. (2022). Peptide framework for screening the effect</w:t>
      </w:r>
      <w:r w:rsidR="008B0C45" w:rsidRPr="0084736C">
        <w:rPr>
          <w:rStyle w:val="SubtleReference"/>
          <w:b w:val="0"/>
          <w:bCs/>
          <w:sz w:val="24"/>
          <w:szCs w:val="24"/>
        </w:rPr>
        <w:t xml:space="preserve"> </w:t>
      </w:r>
      <w:r w:rsidRPr="0084736C">
        <w:rPr>
          <w:rStyle w:val="SubtleReference"/>
          <w:b w:val="0"/>
          <w:bCs/>
          <w:sz w:val="24"/>
          <w:szCs w:val="24"/>
        </w:rPr>
        <w:t>of amino acids on assembly. Science advances, 8(3), eabj0305.</w:t>
      </w:r>
    </w:p>
    <w:p w14:paraId="7D7DC9E6" w14:textId="0C6096FB" w:rsidR="00CC0180" w:rsidRDefault="00CD2127" w:rsidP="00DD25AA">
      <w:pPr>
        <w:spacing w:line="480" w:lineRule="auto"/>
        <w:rPr>
          <w:rStyle w:val="BookTitle"/>
          <w:sz w:val="24"/>
          <w:szCs w:val="24"/>
        </w:rPr>
      </w:pPr>
      <w:r w:rsidRPr="0084736C">
        <w:rPr>
          <w:rStyle w:val="BookTitle"/>
          <w:sz w:val="24"/>
          <w:szCs w:val="24"/>
        </w:rPr>
        <w:t>Discovery of peptide domains with unique intermolecular interactions is essential for engineering peptide-based materials. Rather than attempt a brute-force approach, we instead identify a new strategy for discovery and study of intermolecular interactions; ``co-assembly of oppositely charged peptide" (CoOP), a framework that `encourages' peptide assembly by mixing two oppositely charged hexapeptides. We used an integrated computational and experimental approach; probed the free energy of association and probability of amino acid contacts during co-assembly with atomic-resolution simulations and correlated them to the physical properties of the aggregates. In this study, CoOP is introduced with three examples: Dialanine, ditryptophan, and diisoleucine. Our results indicated that the opposite charges initiate the assembly, and the subsequent stability is enhanced by the presence of an undisturbed hydrophobic core. We showed that the CoOP represents a unique, simple, and elegant framework, can be used to identify the structure - property relations of self-assembling peptide-based materials.</w:t>
      </w:r>
    </w:p>
    <w:p w14:paraId="708CDB78" w14:textId="0D1F61C8" w:rsidR="0084736C" w:rsidRDefault="0084736C" w:rsidP="00DD25AA">
      <w:pPr>
        <w:spacing w:line="480" w:lineRule="auto"/>
        <w:rPr>
          <w:rStyle w:val="BookTitle"/>
          <w:sz w:val="24"/>
          <w:szCs w:val="24"/>
        </w:rPr>
      </w:pPr>
    </w:p>
    <w:p w14:paraId="07F6FFFD" w14:textId="29C74795" w:rsidR="00D81776" w:rsidRDefault="00D81776" w:rsidP="00DD25AA">
      <w:pPr>
        <w:spacing w:line="480" w:lineRule="auto"/>
        <w:rPr>
          <w:rStyle w:val="BookTitle"/>
          <w:sz w:val="24"/>
          <w:szCs w:val="24"/>
        </w:rPr>
      </w:pPr>
    </w:p>
    <w:p w14:paraId="5D11DB38" w14:textId="77777777" w:rsidR="00D81776" w:rsidRPr="0084736C" w:rsidRDefault="00D81776" w:rsidP="00DD25AA">
      <w:pPr>
        <w:spacing w:line="480" w:lineRule="auto"/>
        <w:rPr>
          <w:rStyle w:val="BookTitle"/>
          <w:sz w:val="24"/>
          <w:szCs w:val="24"/>
        </w:rPr>
      </w:pPr>
    </w:p>
    <w:p w14:paraId="1EBAD057" w14:textId="6E83FE86" w:rsidR="00DD25AA" w:rsidRPr="00DD25AA" w:rsidRDefault="00DD25AA" w:rsidP="00DD25AA">
      <w:pPr>
        <w:pStyle w:val="Heading2"/>
        <w:rPr>
          <w:rStyle w:val="BookTitle"/>
          <w:rFonts w:asciiTheme="minorHAnsi" w:eastAsiaTheme="minorEastAsia" w:hAnsiTheme="minorHAnsi" w:cstheme="minorBidi"/>
          <w:i w:val="0"/>
          <w:iCs w:val="0"/>
          <w:sz w:val="28"/>
          <w:szCs w:val="28"/>
        </w:rPr>
      </w:pPr>
      <w:bookmarkStart w:id="35" w:name="_Toc114946700"/>
      <w:bookmarkStart w:id="36" w:name="_Toc121134622"/>
      <w:r w:rsidRPr="00DD25AA">
        <w:rPr>
          <w:rStyle w:val="BookTitle"/>
          <w:rFonts w:asciiTheme="minorHAnsi" w:eastAsiaTheme="minorEastAsia" w:hAnsiTheme="minorHAnsi" w:cstheme="minorBidi"/>
          <w:i w:val="0"/>
          <w:iCs w:val="0"/>
          <w:sz w:val="28"/>
          <w:szCs w:val="28"/>
        </w:rPr>
        <w:lastRenderedPageBreak/>
        <w:t xml:space="preserve">2.1 </w:t>
      </w:r>
      <w:bookmarkEnd w:id="35"/>
      <w:r w:rsidR="008678B2">
        <w:rPr>
          <w:rStyle w:val="BookTitle"/>
          <w:rFonts w:asciiTheme="minorHAnsi" w:eastAsiaTheme="minorEastAsia" w:hAnsiTheme="minorHAnsi" w:cstheme="minorBidi"/>
          <w:i w:val="0"/>
          <w:iCs w:val="0"/>
          <w:sz w:val="28"/>
          <w:szCs w:val="28"/>
        </w:rPr>
        <w:t>INTRODUCTION</w:t>
      </w:r>
      <w:bookmarkEnd w:id="36"/>
    </w:p>
    <w:p w14:paraId="1E99928E" w14:textId="77777777" w:rsidR="00DD25AA" w:rsidRPr="00DD25AA" w:rsidRDefault="00DD25AA" w:rsidP="00DD25AA"/>
    <w:p w14:paraId="3849D8FC" w14:textId="22EE54D9" w:rsidR="00CD2127" w:rsidRPr="0084736C" w:rsidRDefault="00CD2127" w:rsidP="00E44507">
      <w:pPr>
        <w:spacing w:line="480" w:lineRule="auto"/>
        <w:rPr>
          <w:rFonts w:cstheme="minorHAnsi"/>
          <w:sz w:val="24"/>
          <w:szCs w:val="24"/>
        </w:rPr>
      </w:pPr>
      <w:r w:rsidRPr="0084736C">
        <w:rPr>
          <w:rFonts w:cstheme="minorHAnsi"/>
          <w:sz w:val="24"/>
          <w:szCs w:val="24"/>
        </w:rPr>
        <w:t>Self-assembling small peptides are attractive building blocks because they are relatively easy to synthesize and enable systematic study using experimental and computational analyses to associate peptide sequence (structure) with its properties and functionality, making them promising candidates to fabricate functional nanomaterials.</w:t>
      </w:r>
      <w:r w:rsidRPr="0084736C">
        <w:rPr>
          <w:rFonts w:cstheme="minorHAnsi"/>
          <w:sz w:val="24"/>
          <w:szCs w:val="24"/>
        </w:rPr>
        <w:fldChar w:fldCharType="begin"/>
      </w:r>
      <w:r w:rsidR="008F09C1">
        <w:rPr>
          <w:rFonts w:cstheme="minorHAnsi"/>
          <w:sz w:val="24"/>
          <w:szCs w:val="24"/>
        </w:rPr>
        <w:instrText xml:space="preserve"> ADDIN ZOTERO_ITEM CSL_CITATION {"citationID":"o56Pz0gu","properties":{"formattedCitation":"\\super 105\\nosupersub{}","plainCitation":"105","noteIndex":0},"citationItems":[{"id":2092,"uris":["http://zotero.org/groups/2667333/items/FKDGC9HA"],"itemData":{"id":2092,"type":"article-journal","abstract":"Conformational transition of proteins and peptides into highly stable, β-sheet-rich structures is observed in many amyloid-associated neurodegenerative disorders, yet the precise mechanism of amyloid formation at the molecular level remains poorly understood due to the complex molecular structures. Short peptides provide simplified models for studying the molecular basis of the assembly mechanism that governs β-sheet fibrillation processes underlying the formation and inhibition of amyloid-like structures. Herein, we report a supramolecular coassembly strategy for the inhibition and transformation of stable β-sheet-rich amyloid-derived dipeptide self-assemblies into adaptable secondary structural fibrillar assemblies by mixing with bipyridine derivatives. The interplay between the type and mixing ratio of bipyridine derivatives allowed the variable coassembly process with stimuli-responsive functional properties, studied by various experimental characterizations and computational methods. Furthermore, the resulting coassemblies showed functional redox- and photoresponsive properties, making them promising candidates for controllable drug release and fluorescent imprint. This work presents a coassembly strategy not only to explore the mechanism of amyloid-like structure formation and inhibition at the molecular level but also to manipulate amyloid-like structures into responsive supramolecular coassemblies for material science and biotechnology applications.","container-title":"ACS Nano","DOI":"10.1021/acsnano.0c02138","ISSN":"1936-0851","issue":"6","journalAbbreviation":"ACS Nano","note":"publisher: American Chemical Society\nCitation Key: ji_coassembly-induced_2020","page":"7181-7190","source":"ACS Publications","title":"Coassembly-Induced Transformation of Dipeptide Amyloid-Like Structures into Stimuli-Responsive Supramolecular Materials","URL":"https://doi.org/10.1021/acsnano.0c02138","volume":"14","author":[{"family":"Ji","given":"Wei"},{"family":"Yuan","given":"Chengqian"},{"family":"Chakraborty","given":"Priyadarshi"},{"family":"Makam","given":"Pandeeswar"},{"family":"Bera","given":"Santu"},{"family":"Rencus-Lazar","given":"Sigal"},{"family":"Li","given":"Junbai"},{"family":"Yan","given":"Xuehai"},{"family":"Gazit","given":"Ehud"}],"accessed":{"date-parts":[["2021",8,12]]},"issued":{"date-parts":[["2020",6,23]]},"citation-key":"ji_coassembly-induced_2020"}}],"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105</w:t>
      </w:r>
      <w:r w:rsidRPr="0084736C">
        <w:rPr>
          <w:rFonts w:cstheme="minorHAnsi"/>
          <w:sz w:val="24"/>
          <w:szCs w:val="24"/>
        </w:rPr>
        <w:fldChar w:fldCharType="end"/>
      </w:r>
      <w:r w:rsidRPr="0084736C">
        <w:rPr>
          <w:rFonts w:cstheme="minorHAnsi"/>
          <w:sz w:val="24"/>
          <w:szCs w:val="24"/>
        </w:rPr>
        <w:t xml:space="preserve"> In particular, self-assembly into fibrillar peptide aggregates is abundant in nature and various synthetic technologies in biomedical research</w:t>
      </w:r>
      <w:r w:rsidR="00845B6C" w:rsidRPr="0084736C">
        <w:rPr>
          <w:rFonts w:cstheme="minorHAnsi"/>
          <w:sz w:val="24"/>
          <w:szCs w:val="24"/>
        </w:rPr>
        <w:fldChar w:fldCharType="begin"/>
      </w:r>
      <w:r w:rsidR="008F09C1">
        <w:rPr>
          <w:rFonts w:cstheme="minorHAnsi"/>
          <w:sz w:val="24"/>
          <w:szCs w:val="24"/>
        </w:rPr>
        <w:instrText xml:space="preserve"> ADDIN ZOTERO_ITEM CSL_CITATION {"citationID":"ovIMcqf4","properties":{"formattedCitation":"\\super 106\\uc0\\u8211{}113\\nosupersub{}","plainCitation":"106–113","noteIndex":0},"citationItems":[{"id":4986,"uris":["http://zotero.org/groups/2667333/items/GEDC8K7D"],"itemData":{"id":4986,"type":"article-journal","abstract":"© 2016 Elsevier B.V. Peptides and peptide-conjugates, comprising natural and synthetic building blocks, are an increasingly popular class of biomaterials. Self-assembled nanostructures based on peptides and peptide-conjugates offer advantages such as precise selectivity and multifunctionality that can address challenges and limitations in the clinic. In this review article, we discuss recent developments in the design and self-assembly of various nanomaterials based on peptides and peptide-conjugates for medical applications, and categorize them into two themes based on the driving forces of molecular self-assembly. First, we present the self-assembled nanostructures driven by the supramolecular interactions between the peptides, with or without the presence of conjugates. The studies where nanoassembly is driven by the interactions between the conjugates of peptide-conjugates are then presented. Particular emphasis is given to in vivo studies focusing on therapeutics, diagnostics, immune modulation and regenerative medicine. Finally, challenges and future perspectives are presented.","container-title":"Advanced Drug Delivery Reviews","DOI":"10.1016/j.addr.2016.08.006","ISSN":"18728294","journalAbbreviation":"Adv. Drug Deliv. Rev.","page":"65-79","title":"Self-assembling peptide-based building blocks in medical applications","volume":"110-111","author":[{"family":"Acar","given":"H."},{"family":"Srivastava","given":"S."},{"family":"Chung","given":"E.J."},{"family":"Schnorenberg","given":"M.R."},{"family":"Barrett","given":"J.C."},{"family":"LaBelle","given":"J.L."},{"family":"Tirrell","given":"M."}],"issued":{"date-parts":[["2017"]]},"citation-key":"acarSelfassemblingPeptidebasedBuilding2017"}},{"id":4678,"uris":["http://zotero.org/groups/2667333/items/RRIAAEN8"],"itemData":{"id":4678,"type":"article-journal","abstract":"Chirality can be used as a design tool to control the mechanical rigidity of hydrogels formed from self-assembling peptides. Hydrogels prepared from enantiomeric mixtures of self-assembling β-hairpins show non-additive, synergistic, enhancement in material rigidity compared to gels prepared from either pure enantiomer, with the racemic hydrogel showing the greatest effect. CD spectroscopy, TEM, and AFM indicate that this enhancement is defined by nanoscale interactions between enantiomers in the self-assembled state.","container-title":"Journal of the American Chemical Society","DOI":"10.1021/ja206742m","ISSN":"0002-7863","issue":"38","journalAbbreviation":"J Am Chem Soc","note":"PMID: 21863803\nPMCID: PMC3202337","page":"14975-14977","source":"PubMed Central","title":"Enhanced Mechanical Rigidity of Hydrogels Formed From Enantiomeric Peptide Assemblies","URL":"https://www.ncbi.nlm.nih.gov/pmc/articles/PMC3202337/","volume":"133","author":[{"family":"Nagy","given":"Katelyn J."},{"family":"Giano","given":"Michael C."},{"family":"Jin","given":"Albert"},{"family":"Pochan","given":"Darrin J."},{"family":"Schneider","given":"Joel P."}],"accessed":{"date-parts":[["2020",12,26]]},"issued":{"date-parts":[["2011",9,28]]},"citation-key":"nagyEnhancedMechanicalRigidity2011"}},{"id":4672,"uris":["http://zotero.org/groups/2667333/items/ZYWUZGAX"],"itemData":{"id":4672,"type":"article-journal","abstract":"The engineering of biological molecules is a key concept in the design of highly functional, sophisticated soft materials. Biomolecules exhibit a wide range of functions and structures, including chemical recognition (of enzyme substrates or adhesive ligands1, for instance), exquisite nanostructures (composed of peptides2, proteins3 or nucleic acids4), and unusual mechanical properties (such as silk-like strength3, stiffness5, viscoelasticity6 and resiliency7). Here we combine the computational design of physical (noncovalent) interactions with pathway-dependent, hierarchical ‘click’ covalent assembly to produce hybrid synthetic peptide-based polymers. The nanometre-scale monomeric units of these polymers are homotetrameric, α-helical bundles of low-molecular-weight peptides. These bundled monomers, or ‘bundlemers’, can be designed to provide complete control of the stability, size and spatial display of chemical functionalities. The protein-like structure of the bundle allows precise positioning of covalent linkages between the ends of distinct bundlemers, resulting in polymers with interesting and controllable physical characteristics, such as rigid rods, semiflexible or kinked chains, and thermally responsive hydrogel networks. Chain stiffness can be controlled by varying only the linkage. Furthermore, by controlling the amino acid sequence along the bundlemer periphery, we use specific amino acid side chains, including non-natural ‘click’ chemistry functionalities, to conjugate moieties into a desired pattern, enabling the creation of a wide variety of hybrid nanomaterials.","container-title":"Nature","DOI":"10.1038/s41586-019-1683-4","ISSN":"1476-4687","issue":"7780","language":"en","license":"2019 The Author(s), under exclusive licence to Springer Nature Limited","note":"number: 7780\npublisher: Nature Publishing Group","page":"658-662","source":"www-nature-com.webproxy2.ouhsc.edu","title":"Polymers with controlled assembly and rigidity made with click-functional peptide bundles","URL":"https://www.nature.com/articles/s41586-019-1683-4","volume":"574","author":[{"family":"Wu","given":"Dongdong"},{"family":"Sinha","given":"Nairiti"},{"family":"Lee","given":"Jeeyoung"},{"family":"Sutherland","given":"Bryan P."},{"family":"Halaszynski","given":"Nicole I."},{"family":"Tian","given":"Yu"},{"family":"Caplan","given":"Jeffrey"},{"family":"Zhang","given":"Huixi Violet"},{"family":"Saven","given":"Jeffery G."},{"family":"Kloxin","given":"Christopher J."},{"family":"Pochan","given":"Darrin J."}],"accessed":{"date-parts":[["2020",12,26]]},"issued":{"date-parts":[["2019",10]]},"citation-key":"wuPolymersControlledAssembly2019"}},{"id":2380,"uris":["http://zotero.org/groups/2667333/items/I29Q5UDC"],"itemData":{"id":2380,"type":"article-journal","abstract":"Peptide nanomaterials have received a great deal of interest in drug-delivery applications due to their biodegradability, biocompatibility, suitability for large-scale synthesis, high drug-loading capacities, targeting ability, and ordered structural organization. The covalent conjugation of drugs to peptide backbones results in prolonged circulation time and improved stability of drugs. Therapeutic efficacy of gemcitabine, which is used for breast cancer treatment, is severely compromised due to its rapid plasma degradation. Its hydrophilic nature poses a challenge for both its efficient encapsulation into nanocarrier systems and its sustained release property. Here, we designed a new peptide prodrug molecule for the anticancer drug gemcitabine, which was covalently conjugated to the C-terminal of 9-fluorenylmethoxy carbonyl (Fmoc)-protected glycine. The prodrug was further integrated into peptide nanocarrier system through noncovalent interactions. A pair of oppositely charged amyloid-inspired peptides (Fmoc–AIPs) were exploited as components of the drug-carrier system and self-assembled into one-dimensional nanofibers at physiological conditions. The gemcitabine integrated nanoprodrug carrier system exhibited slow release and reduced the cellular viability of 4T1 breast cancer cell line in a time- and concentration-dependent manner.","container-title":"Bioconjugate Chemistry","DOI":"10.1021/acs.bioconjchem.7b00155","ISSN":"1043-1802","issue":"5","journalAbbreviation":"Bioconjugate Chem.","note":"publisher: American Chemical Society","page":"1491-1498","source":"ACS Publications","title":"Gemcitabine Integrated Nano-Prodrug Carrier System","URL":"https://doi.org/10.1021/acs.bioconjchem.7b00155","volume":"28","author":[{"family":"Hamsici","given":"Seren"},{"family":"Sardan Ekiz","given":"Melis"},{"family":"Cinar Ciftci","given":"Goksu"},{"family":"Tekinay","given":"Ayse B."},{"family":"Guler","given":"Mustafa O."}],"accessed":{"date-parts":[["2020",12,29]]},"issued":{"date-parts":[["2017",5,17]]},"citation-key":"hamsiciGemcitabineIntegratedNanoProdrug2017"}},{"id":2376,"uris":["http://zotero.org/groups/2667333/items/55T4IVXY"],"itemData":{"id":2376,"type":"article-journal","container-title":"Biomaterials Science","DOI":"10.1039/C6BM00656F","issue":"1","journalAbbreviation":"Biomater. Sci.","language":"en","note":"publisher: Royal Society of Chemistry","page":"67-76","source":"pubs.rsc.org","title":"Local delivery of doxorubicin through supramolecular peptide amphiphile nanofiber gels","URL":"https://pubs.rsc.org/en/content/articlelanding/2017/bm/c6bm00656f","volume":"5","author":[{"family":"Cinar","given":"Goksu"},{"family":"Ozdemir","given":"Ayse"},{"family":"Hamsici","given":"Seren"},{"family":"Gunay","given":"Gokhan"},{"family":"Dana","given":"Aykutlu"},{"family":"B. Tekinay","given":"Ayse"},{"family":"O. Guler","given":"Mustafa"}],"accessed":{"date-parts":[["2020",12,30]]},"issued":{"date-parts":[["2017"]]},"citation-key":"cinarLocalDeliveryDoxorubicin2017"}},{"id":2375,"uris":["http://zotero.org/groups/2667333/items/CIECEUT2"],"itemData":{"id":2375,"type":"article-journal","abstract":"The ability of dendritic cells to coordinate innate and adaptive immune responses makes them essential targets for vaccination strategies. Presentation of specific antigens by dendritic cells is required for the activation of the immune system against many pathogens and tumors, and nanoscale materials can be functionalized for active targeting of dendritic cells. In this work, we integrated an immunogenic, carbohydrate melanoma-associated antigen-mimetic GM3-lactone molecule into mannosylated peptide amphiphile nanofibers to target dendritic cells through DC-SIGN receptor. Based on morphological and functional analyses, when dendritic cells were treated with peptide nanofiber carriers, they showed significant increase in antigen internalization and a corresponding increase in the surface expression of the activation and maturation markers CD86, CD83 and HLA-DR, in addition to exhibiting a general morphology consistent with dendritic cell maturation. These results indicate that mannosylated peptide amphiphile nanofiber carriers are promising candidates to target dendritic cells for antigen delivery.","container-title":"ACS Applied Materials &amp; Interfaces","DOI":"10.1021/acsami.7b04094","ISSN":"1944-8244","issue":"19","journalAbbreviation":"ACS Appl. Mater. Interfaces","note":"publisher: American Chemical Society","page":"16035-16042","source":"ACS Publications","title":"Antigenic GM3 Lactone Mimetic Molecule Integrated Mannosylated Glycopeptide Nanofibers for the Activation and Maturation of Dendritic Cells","URL":"https://doi.org/10.1021/acsami.7b04094","volume":"9","author":[{"family":"Gunay","given":"Gokhan"},{"family":"Sardan Ekiz","given":"Melis"},{"family":"Ferhati","given":"Xhenti"},{"family":"Richichi","given":"Barbara"},{"family":"Nativi","given":"Cristina"},{"family":"Tekinay","given":"Ayse B."},{"family":"Guler","given":"Mustafa O."}],"accessed":{"date-parts":[["2020",12,30]]},"issued":{"date-parts":[["2017",5,17]]},"citation-key":"gunayAntigenicGM3Lactone2017"}},{"id":2373,"uris":["http://zotero.org/groups/2667333/items/M3IM62HZ"],"itemData":{"id":2373,"type":"article-journal","abstract":"The extracellular matrix (ECM) provides biochemical signals and structural support for cells, and its functional imitation is a fundamental aspect of biomaterial design for regenerative medicine applications. The stimulation of neural differentiation by a laminin protein-derived epitope in two-dimensional (2D) and three-dimensional (3D) environments is investigated. The 3D gel system is found to be superior to its 2D counterpart for the induction of neural differentiation, even in the absence of a crucial biological inducer in nerve growth factor (NGF). In addition, cells cultured in 3D gels exhibits a spherical morphology that is consistent with their form under in vivo conditions. Overall, the present study underlines the impact of bioactivity, dimension, and NGF addition, as well as the cooperative effects thereof, on the neural differentiation of PC-12 cells. These results underline the significance of 3D culture systems in the development of scaffolds that closely replicate in vivo environments for the formation of cellular organoid models in vitro.","container-title":"Biotechnology Journal","DOI":"https://doi.org/10.1002/biot.201700080","ISSN":"1860-7314","issue":"12","journalAbbreviation":"Biotechnol. J.","language":"en","license":"© 2017 WILEY-VCH Verlag GmbH &amp; Co. KGaA, Weinheim","note":"_eprint: https://onlinelibrary.wiley.com/doi/pdf/10.1002/biot.201700080","page":"1-9","source":"Wiley Online Library","title":"Three-Dimensional Laminin Mimetic Peptide Nanofiber Gels for In Vitro Neural Differentiation","URL":"https://onlinelibrary.wiley.com/doi/abs/10.1002/biot.201700080","volume":"12","author":[{"family":"Gunay","given":"Gokhan"},{"family":"Sever","given":"Melike"},{"family":"Tekinay","given":"Ayse B."},{"family":"Guler","given":"Mustafa O."}],"accessed":{"date-parts":[["2020",12,30]]},"issued":{"date-parts":[["2017"]]},"citation-key":"gunayThreeDimensionalLamininMimetic2017"}},{"id":2372,"uris":["http://zotero.org/groups/2667333/items/QVZUHMJ6"],"itemData":{"id":2372,"type":"article-journal","container-title":"Journal of Materials Chemistry B","DOI":"10.1039/C6TB02441F","issue":"3","journalAbbreviation":"J. Mater. Chem. B","language":"en","note":"publisher: Royal Society of Chemistry","page":"517-524","source":"pubs.rsc.org","title":"Bioactive peptide functionalized aligned cyclodextrin nanofibers for neurite outgrowth","URL":"https://pubs.rsc.org/en/content/articlelanding/2017/tb/c6tb02441f","volume":"5","author":[{"family":"Hamsici","given":"Seren"},{"family":"Cinar","given":"Goksu"},{"family":"Celebioglu","given":"Asli"},{"family":"Uyar","given":"Tamer"},{"family":"B. Tekinay","given":"Ayse"},{"family":"O. Guler","given":"Mustafa"}],"accessed":{"date-parts":[["2020",12,30]]},"issued":{"date-parts":[["2017"]]},"citation-key":"hamsiciBioactivePeptideFunctionalized2017"}}],"schema":"https://github.com/citation-style-language/schema/raw/master/csl-citation.json"} </w:instrText>
      </w:r>
      <w:r w:rsidR="00845B6C" w:rsidRPr="0084736C">
        <w:rPr>
          <w:rFonts w:cstheme="minorHAnsi"/>
          <w:sz w:val="24"/>
          <w:szCs w:val="24"/>
        </w:rPr>
        <w:fldChar w:fldCharType="separate"/>
      </w:r>
      <w:r w:rsidR="008F09C1" w:rsidRPr="008F09C1">
        <w:rPr>
          <w:rFonts w:ascii="Arial" w:cs="Arial"/>
          <w:sz w:val="24"/>
          <w:vertAlign w:val="superscript"/>
        </w:rPr>
        <w:t>106–113</w:t>
      </w:r>
      <w:r w:rsidR="00845B6C" w:rsidRPr="0084736C">
        <w:rPr>
          <w:rFonts w:cstheme="minorHAnsi"/>
          <w:sz w:val="24"/>
          <w:szCs w:val="24"/>
        </w:rPr>
        <w:fldChar w:fldCharType="end"/>
      </w:r>
      <w:r w:rsidR="00845B6C" w:rsidRPr="0084736C">
        <w:rPr>
          <w:rFonts w:cstheme="minorHAnsi"/>
          <w:sz w:val="24"/>
          <w:szCs w:val="24"/>
        </w:rPr>
        <w:t xml:space="preserve"> </w:t>
      </w:r>
      <w:r w:rsidRPr="0084736C">
        <w:rPr>
          <w:rFonts w:cstheme="minorHAnsi"/>
          <w:sz w:val="24"/>
          <w:szCs w:val="24"/>
        </w:rPr>
        <w:t>and materials</w:t>
      </w:r>
      <w:r w:rsidR="00845B6C" w:rsidRPr="0084736C">
        <w:rPr>
          <w:rFonts w:cstheme="minorHAnsi"/>
          <w:sz w:val="24"/>
          <w:szCs w:val="24"/>
        </w:rPr>
        <w:t xml:space="preserve"> science.</w:t>
      </w:r>
      <w:r w:rsidR="00845B6C" w:rsidRPr="0084736C">
        <w:rPr>
          <w:rFonts w:cstheme="minorHAnsi"/>
          <w:sz w:val="24"/>
          <w:szCs w:val="24"/>
        </w:rPr>
        <w:fldChar w:fldCharType="begin"/>
      </w:r>
      <w:r w:rsidR="008F09C1">
        <w:rPr>
          <w:rFonts w:cstheme="minorHAnsi"/>
          <w:sz w:val="24"/>
          <w:szCs w:val="24"/>
        </w:rPr>
        <w:instrText xml:space="preserve"> ADDIN ZOTERO_ITEM CSL_CITATION {"citationID":"hrAcUaW0","properties":{"formattedCitation":"\\super 14,114,115\\nosupersub{}","plainCitation":"14,114,115","noteIndex":0},"citationItems":[{"id":3572,"uris":["http://zotero.org/groups/2667333/items/47XN9NFH"],"itemData":{"id":3572,"type":"article-journal","abstract":"The formation of ordered nanostructures by molecular self-assembly of proteins and peptides represents one of the principal directions in nanotechnology. Indeed, polyamides provide superior features as materials with diverse physical properties. A reductionist approach allowed the identiﬁcation of extremely short peptide sequences, as short as dipeptides, which could form well-ordered amyloid-like β-sheet-rich assemblies comparable to supramolecular structures made of much larger proteins. Some of the peptide assemblies show remarkable mechanical, optical, and electrical characteristics. Another direction of reductionism utilized a natural noncoded amino acid, α-aminoisobutryic acid, to form short superhelical assemblies. The use of this exceptional helix inducer motif allowed the fabrication of single heptad repeats used in various biointerfaces, including their use as surfactants and DNA-binding agents. Two additional directions of the reductionist approach include the use of peptide nucleic acids (PNAs) and coassembly techniques. The diversiﬁed accomplishments of the reductionist approach, as well as the exciting future advances it bears, are discussed.","container-title":"Annual Review of Biochemistry","DOI":"10.1146/annurev-biochem-062917-012541","ISSN":"0066-4154, 1545-4509","issue":"1","journalAbbreviation":"Annu. Rev. Biochem.","language":"en","page":"533-553","source":"DOI.org (Crossref)","title":"Reductionist Approach in Peptide-Based Nanotechnology","URL":"https://www.annualreviews.org/doi/10.1146/annurev-biochem-062917-012541","volume":"87","author":[{"family":"Gazit","given":"Ehud"}],"accessed":{"date-parts":[["2020",12,23]]},"issued":{"date-parts":[["2018",6,20]]},"citation-key":"gazitReductionistApproachPeptideBased2018"}},{"id":9499,"uris":["http://zotero.org/groups/2667333/items/Z3RYSDAT"],"itemData":{"id":9499,"type":"article-journal","abstract":"One-dimensional titania nanostructures can serve as a support for light absorbing molecules and result in an improvement in the short circuit current (Jsc) and open circuit voltage (Voc) as a nanostructured and high-surface-area material in dye-sensitized solar cells. Here, self-assembled amyloid-like peptide nanofibers were exploited as an organic template for the growth of one-dimensional titania nanostructures. Nanostructured titania layers were utilized as anodic materials in dye sensitized solar cells (DSSCs). The photovoltaic performance of the DSSC devices was assessed and an enhancement in the overall cell performance compared to unstructured titania was observed.","container-title":"Journal of Materials Chemistry A","DOI":"10.1039/C3TA11542A","ISSN":"2050-7496","issue":"36","journalAbbreviation":"J. Mater. Chem. A","language":"en","note":"publisher: The Royal Society of Chemistry","page":"10979-10984","source":"pubs.rsc.org","title":"Amyloid-like peptide nanofiber templated titania nanostructures as dye sensitized solar cell anodic materials","URL":"https://pubs.rsc.org/en/content/articlelanding/2013/ta/c3ta11542a","volume":"1","author":[{"family":"Acar","given":"Handan"},{"family":"Garifullin","given":"Ruslan"},{"family":"Aygun","given":"Levent E."},{"family":"Okyay","given":"Ali K."},{"family":"Guler","given":"Mustafa O."}],"accessed":{"date-parts":[["2021",9,1]]},"issued":{"date-parts":[["2013",8,20]]},"citation-key":"acarAmyloidlikePeptideNanofiber2013"}},{"id":4977,"uris":["http://zotero.org/groups/2667333/items/ZX2UXL5E"],"itemData":{"id":4977,"type":"thesis","abstract":"Engineering at the nano scale has been an active area of science and technology \nover the last decade. Inspired by nature, synthesis of functional inorganic materials \nusing synthetic organic templates constitutes the theme of this thesis. Developing \norganic template directed synthesis approach for inorganic nanomaterial synthesis \nwas aimed. For this purpose, an amyloid like peptide sequence which is capable of \nself-assembling into nanofibers in convenient conditions was designed and decorated \nwith functional groups showing relatively high affinity to special inorganic ions, \nwhich are presented at the periphery of the one-dimensional peptide nanofiber. These \nchemical groups facilitated the deposition of targeted inorganic monomers onto the \nnanofibers yielding one-dimensional organic-inorganic core-shell nanostructures. The physical and chemical properties of the synthesized peptide nanofibers and \ninorganic nanostructures were characterized using both qualitative and quantitative \nmethods. \nFirst, silica nanotubes were obtained by silica mineralization around these peptide \nnanofiber templates for the construction of sensors for explosives. The fluorescence \ndye was used to coat the silica nanotubes to detect explosive vapor. The surface of \nthe silica nanotubes were porous enough to adsorb more dye compared to the silica \nnanoparticles and silica film, and causes faster fluorescence quenching in the \npresence of explosives like trinitrotoluene and dinitrotoluene. The silica nanotubes \nwhich synthesized with this peptide nanofiber templates can be used in catalysis and \nsensors in which high surface area is advantageous. In the second part of the thesis, \ntitanium dioxide nanotubes were obtained from titania mineralization. They are wellknown \nwith their fascinating properties as a result of the one-dimensional \nnanostructure, such as more efficient electron transfer and less electron-hole \nrecombination. The sufficient photoactivity of titanium dioxide makes them suitable \nmaterials for Dye-Sensitized Solar-Cell construction. It is demonstrated that the \npeptide nanofiber templated titanium dioxide nanotubes have more than two times \nmore efficiency compared to template-free synthesized titanium dioxide particles. \nFinally, designed peptide sequence was conducted to a multi-step seeding mediated \ngrowth method for gold mineralization around peptide nanofibers. The gold-peptide \nhybrid nanostructures with different packing characteristics and sizes were \nsynthesized and fully characterized. Further, it was demonstrated that the dry film of \nthese nanostructures showed a resistive switching dominant conductivity, due to the nanogaps in between gold nanoparticles as a result of particle alignment driven by \nthe peptide nanofiber. \nThe results obtained in this thesis encourage use of a new “bottom-up” synthesis \napproach. Specially designed peptides with desired properties and functional groups \nwere synthesized and peptide nanofibers formed were further used as templates for \ninorganic mineralization. Not only it is possible to synthesis high amount of \nnanostructure with this approach, but also formed one-dimensional nanostructures \nshow advance functionalities used in several applications as a part of the thesis \nscope. This methodology is suitable for many metals and metal oxide based \napplications.","genre":"Thesis","language":"English","license":"info:eu-repo/semantics/openAccess","publisher":"Bilkent University","source":"repository.bilkent.edu.tr","title":"Self-assembled peptide template directed synthesis of one-dimensional inorganic nanostructures and their applications","URL":"http://repository.bilkent.edu.tr/handle/11693/16921","author":[{"family":"Acar","given":"Handan"}],"accessed":{"date-parts":[["2020",2,8]]},"issued":{"date-parts":[["2012"]]},"citation-key":"acarSelfassembledPeptideTemplate2012"}}],"schema":"https://github.com/citation-style-language/schema/raw/master/csl-citation.json"} </w:instrText>
      </w:r>
      <w:r w:rsidR="00845B6C" w:rsidRPr="0084736C">
        <w:rPr>
          <w:rFonts w:cstheme="minorHAnsi"/>
          <w:sz w:val="24"/>
          <w:szCs w:val="24"/>
        </w:rPr>
        <w:fldChar w:fldCharType="separate"/>
      </w:r>
      <w:r w:rsidR="008F09C1" w:rsidRPr="008F09C1">
        <w:rPr>
          <w:rFonts w:ascii="Arial" w:cs="Arial"/>
          <w:sz w:val="24"/>
          <w:vertAlign w:val="superscript"/>
        </w:rPr>
        <w:t>14,114,115</w:t>
      </w:r>
      <w:r w:rsidR="00845B6C" w:rsidRPr="0084736C">
        <w:rPr>
          <w:rFonts w:cstheme="minorHAnsi"/>
          <w:sz w:val="24"/>
          <w:szCs w:val="24"/>
        </w:rPr>
        <w:fldChar w:fldCharType="end"/>
      </w:r>
      <w:r w:rsidR="00845B6C" w:rsidRPr="0084736C">
        <w:rPr>
          <w:rFonts w:cstheme="minorHAnsi"/>
          <w:sz w:val="24"/>
          <w:szCs w:val="24"/>
        </w:rPr>
        <w:t xml:space="preserve"> </w:t>
      </w:r>
      <w:r w:rsidRPr="0084736C">
        <w:rPr>
          <w:rFonts w:cstheme="minorHAnsi"/>
          <w:sz w:val="24"/>
          <w:szCs w:val="24"/>
        </w:rPr>
        <w:t>The organization of peptide assemblies emerges from small changes in the amino acid sequence that provides non-covalent interactions, such as electrostatic forces, hydrogen bonds, hydrophobic effects, and aromatic stacking</w:t>
      </w:r>
      <w:r w:rsidR="00845B6C" w:rsidRPr="0084736C">
        <w:rPr>
          <w:rFonts w:cstheme="minorHAnsi"/>
          <w:sz w:val="24"/>
          <w:szCs w:val="24"/>
        </w:rPr>
        <w:t>.</w:t>
      </w:r>
      <w:r w:rsidR="00845B6C" w:rsidRPr="0084736C">
        <w:rPr>
          <w:rFonts w:cstheme="minorHAnsi"/>
          <w:sz w:val="24"/>
          <w:szCs w:val="24"/>
        </w:rPr>
        <w:fldChar w:fldCharType="begin"/>
      </w:r>
      <w:r w:rsidR="008F09C1">
        <w:rPr>
          <w:rFonts w:cstheme="minorHAnsi"/>
          <w:sz w:val="24"/>
          <w:szCs w:val="24"/>
        </w:rPr>
        <w:instrText xml:space="preserve"> ADDIN ZOTERO_ITEM CSL_CITATION {"citationID":"eVgmsOqf","properties":{"formattedCitation":"\\super 116,117\\nosupersub{}","plainCitation":"116,117","noteIndex":0},"citationItems":[{"id":4666,"uris":["http://zotero.org/groups/2667333/items/AE4BFMA4"],"itemData":{"id":4666,"type":"chapter","abstract":"Peptides play an essential role in biotechnological applications as therapeutic and diagnostic agents due to their tunable activity for desired function. So far, a variety of peptide therapeutics and their peptide-based carriers have been engineered for drug delivery applications. However, in order to design and develop such systems for tissue-specific applications, the cellular microenvironment must be properly considered. Peptide-based materials have vast potential applications, particularly for cancer-related systems. Thus, in this chapter, we first focus on different design strategies and considerations for drug-release mechanisms in peptide-based materials. Then, we explain how tumor microenvironments may be distinguished from healthy tissue, including discussion of tumor-specific drug delivery strategies. Finally, the growing significance of peptide chemotherapeutics will be emphasized in terms of design concerns and current applications.","container-title":"Peptide-based Biomaterials","ISBN":"978-1-78801-729-9","note":"DOI: 10.1039/9781839161148-00291","page":"291-334","publisher":"The Royal Society of Chemistry","title":"CHAPTER 9 Drug Delivery Applications of Peptide Materials","URL":"https://doi.org/10.1039/9781839161148-00291","author":[{"family":"Hamsici","given":"Seren"},{"family":"Gunay","given":"Gokhan"},{"family":"Kirit","given":"Hande"},{"family":"Kamatar","given":"Advika"},{"family":"Loving","given":"Kendrick"},{"family":"Acar","given":"Handan"}],"issued":{"date-parts":[["2021"]]},"citation-key":"hamsici_chapter_2021"}},{"id":4902,"uris":["http://zotero.org/groups/2667333/items/86PWHY9S"],"itemData":{"id":4902,"type":"article-journal","abstract":"Hydrogels prepared via self-assembly offer scalable and tunable platforms for drug delivery applications. Molecular-scale self-assembly leverages an interplay of attractive and repulsive forces; drugs and other active molecules can be incorporated into such materials by partitioning in hydrophobic domains, affinity-mediated binding, or covalent integration. Peptides have been widely used as building blocks for self-assembly due to facile synthesis, ease of modification with bioactive molecules, and precise molecular-scale control over material properties through tunable interactions. Additional opportunities are manifest in stimuli-responsive self-assembly for more precise drug action. Hydrogels can likewise be fabricated from macromolecular self-assembly, with both synthetic polymers and biopolymers used to prepare materials with controlled mechanical properties and tunable drug release. These include clinical approaches for solubilization and delivery of hydrophobic drugs. To further enhance mechanical properties of hydrogels prepared through self-assembly, recent work has integrated self-assembly motifs with polymeric networks. For example, double-network hydrogels capture the beneficial properties of both self-assembled and covalent networks. The expanding ability to fabricate complex and precise materials, coupled with an improved understanding of biology, will lead to new classes of hydrogels specifically tailored for drug delivery applications.","container-title":"Advanced Drug Delivery Reviews","DOI":"10.1016/j.addr.2021.01.006","ISSN":"0169-409X","journalAbbreviation":"Adv. Drug Deliv. Rev.","language":"en","page":"275-295","source":"ScienceDirect","title":"(Macro)molecular self-assembly for hydrogel drug delivery","URL":"https://www.sciencedirect.com/science/article/pii/S0169409X21000065","volume":"172","author":[{"family":"Webber","given":"Matthew J."},{"family":"Pashuck","given":"E. Thomas"}],"accessed":{"date-parts":[["2021",3,15]]},"issued":{"date-parts":[["2021"]]},"citation-key":"webberMacroMolecularSelfassembly2021"}}],"schema":"https://github.com/citation-style-language/schema/raw/master/csl-citation.json"} </w:instrText>
      </w:r>
      <w:r w:rsidR="00845B6C" w:rsidRPr="0084736C">
        <w:rPr>
          <w:rFonts w:cstheme="minorHAnsi"/>
          <w:sz w:val="24"/>
          <w:szCs w:val="24"/>
        </w:rPr>
        <w:fldChar w:fldCharType="separate"/>
      </w:r>
      <w:r w:rsidR="008F09C1" w:rsidRPr="008F09C1">
        <w:rPr>
          <w:rFonts w:ascii="Arial" w:cs="Arial"/>
          <w:sz w:val="24"/>
          <w:vertAlign w:val="superscript"/>
        </w:rPr>
        <w:t>116,117</w:t>
      </w:r>
      <w:r w:rsidR="00845B6C" w:rsidRPr="0084736C">
        <w:rPr>
          <w:rFonts w:cstheme="minorHAnsi"/>
          <w:sz w:val="24"/>
          <w:szCs w:val="24"/>
        </w:rPr>
        <w:fldChar w:fldCharType="end"/>
      </w:r>
      <w:r w:rsidR="00845B6C" w:rsidRPr="0084736C">
        <w:rPr>
          <w:rFonts w:cstheme="minorHAnsi"/>
          <w:sz w:val="24"/>
          <w:szCs w:val="24"/>
        </w:rPr>
        <w:t xml:space="preserve"> </w:t>
      </w:r>
      <w:r w:rsidRPr="0084736C">
        <w:rPr>
          <w:rFonts w:cstheme="minorHAnsi"/>
          <w:sz w:val="24"/>
          <w:szCs w:val="24"/>
        </w:rPr>
        <w:t>Understanding the effects of these small changes is essential to identify the structure - property relation and create small peptides that do not simply mimic natural sequences but instead are rationally designed for the desired properties. Studies based on editing the peptide sequences of natural designs typically have an initial focus on a particular type of interactions for the property of interest, which may restrict the achievable materials properties</w:t>
      </w:r>
      <w:r w:rsidR="00845B6C" w:rsidRPr="0084736C">
        <w:rPr>
          <w:rFonts w:cstheme="minorHAnsi"/>
          <w:sz w:val="24"/>
          <w:szCs w:val="24"/>
        </w:rPr>
        <w:t>.</w:t>
      </w:r>
      <w:r w:rsidR="00845B6C" w:rsidRPr="0084736C">
        <w:rPr>
          <w:rFonts w:cstheme="minorHAnsi"/>
          <w:sz w:val="24"/>
          <w:szCs w:val="24"/>
        </w:rPr>
        <w:fldChar w:fldCharType="begin"/>
      </w:r>
      <w:r w:rsidR="008F09C1">
        <w:rPr>
          <w:rFonts w:cstheme="minorHAnsi"/>
          <w:sz w:val="24"/>
          <w:szCs w:val="24"/>
        </w:rPr>
        <w:instrText xml:space="preserve"> ADDIN ZOTERO_ITEM CSL_CITATION {"citationID":"mjP1pWWQ","properties":{"formattedCitation":"\\super 35\\nosupersub{}","plainCitation":"35","noteIndex":0},"citationItems":[{"id":2394,"uris":["http://zotero.org/groups/2667333/items/ARK7DUEJ"],"itemData":{"id":2394,"type":"article-journal","container-title":"Nature Chemistry","DOI":"10.1038/nchem.2122","ISSN":"1755-4330, 1755-4349","issue":"1","journalAbbreviation":"Nat. Chem.","language":"en","note":"tex.ids: frederix_exploring_2015-4\nCitation Key: frederix_exploring_2015","page":"30-37","source":"DOI.org (Crossref)","title":"Exploring the sequence space for (tri-)peptide self-assembly to design and discover new hydrogels","URL":"http://www.nature.com/articles/nchem.2122","volume":"7","author":[{"family":"Frederix","given":"Pim W. J. M."},{"family":"Scott","given":"Gary G."},{"family":"Abul-Haija","given":"Yousef M."},{"family":"Kalafatovic","given":"Daniela"},{"family":"Pappas","given":"Charalampos G."},{"family":"Javid","given":"Nadeem"},{"family":"Hunt","given":"Neil T."},{"family":"Ulijn","given":"Rein V."},{"family":"Tuttle","given":"Tell"}],"accessed":{"date-parts":[["2020",12,23]]},"issued":{"date-parts":[["2015",1]]},"citation-key":"frederix_exploring_2015"}}],"schema":"https://github.com/citation-style-language/schema/raw/master/csl-citation.json"} </w:instrText>
      </w:r>
      <w:r w:rsidR="00845B6C" w:rsidRPr="0084736C">
        <w:rPr>
          <w:rFonts w:cstheme="minorHAnsi"/>
          <w:sz w:val="24"/>
          <w:szCs w:val="24"/>
        </w:rPr>
        <w:fldChar w:fldCharType="separate"/>
      </w:r>
      <w:r w:rsidR="008F09C1" w:rsidRPr="008F09C1">
        <w:rPr>
          <w:rFonts w:ascii="Arial" w:cs="Arial"/>
          <w:sz w:val="24"/>
          <w:vertAlign w:val="superscript"/>
        </w:rPr>
        <w:t>35</w:t>
      </w:r>
      <w:r w:rsidR="00845B6C" w:rsidRPr="0084736C">
        <w:rPr>
          <w:rFonts w:cstheme="minorHAnsi"/>
          <w:sz w:val="24"/>
          <w:szCs w:val="24"/>
        </w:rPr>
        <w:fldChar w:fldCharType="end"/>
      </w:r>
      <w:r w:rsidR="00845B6C" w:rsidRPr="0084736C">
        <w:rPr>
          <w:rFonts w:cstheme="minorHAnsi"/>
          <w:sz w:val="24"/>
          <w:szCs w:val="24"/>
        </w:rPr>
        <w:t xml:space="preserve"> </w:t>
      </w:r>
      <w:r w:rsidRPr="0084736C">
        <w:rPr>
          <w:rFonts w:cstheme="minorHAnsi"/>
          <w:sz w:val="24"/>
          <w:szCs w:val="24"/>
        </w:rPr>
        <w:t>Screening all possible amino acids to create a wider range of properties, on the other hand, may encounter vast design spaces even for small peptides and is therefore impractical for full experimental exploration. Additional co-assembly strategies are beneficial as they can provide wider optimization of nanomaterials for various applications, but such approaches risk expanding the already vast design space</w:t>
      </w:r>
      <w:r w:rsidR="00845B6C" w:rsidRPr="0084736C">
        <w:rPr>
          <w:rFonts w:cstheme="minorHAnsi"/>
          <w:sz w:val="24"/>
          <w:szCs w:val="24"/>
        </w:rPr>
        <w:t>.</w:t>
      </w:r>
      <w:r w:rsidR="00845B6C" w:rsidRPr="0084736C">
        <w:rPr>
          <w:rFonts w:cstheme="minorHAnsi"/>
          <w:sz w:val="24"/>
          <w:szCs w:val="24"/>
        </w:rPr>
        <w:fldChar w:fldCharType="begin"/>
      </w:r>
      <w:r w:rsidR="008F09C1">
        <w:rPr>
          <w:rFonts w:cstheme="minorHAnsi"/>
          <w:sz w:val="24"/>
          <w:szCs w:val="24"/>
        </w:rPr>
        <w:instrText xml:space="preserve"> ADDIN ZOTERO_ITEM CSL_CITATION {"citationID":"wB5sH4O2","properties":{"formattedCitation":"\\super 43,105\\nosupersub{}","plainCitation":"43,105","noteIndex":0},"citationItems":[{"id":2092,"uris":["http://zotero.org/groups/2667333/items/FKDGC9HA"],"itemData":{"id":2092,"type":"article-journal","abstract":"Conformational transition of proteins and peptides into highly stable, β-sheet-rich structures is observed in many amyloid-associated neurodegenerative disorders, yet the precise mechanism of amyloid formation at the molecular level remains poorly understood due to the complex molecular structures. Short peptides provide simplified models for studying the molecular basis of the assembly mechanism that governs β-sheet fibrillation processes underlying the formation and inhibition of amyloid-like structures. Herein, we report a supramolecular coassembly strategy for the inhibition and transformation of stable β-sheet-rich amyloid-derived dipeptide self-assemblies into adaptable secondary structural fibrillar assemblies by mixing with bipyridine derivatives. The interplay between the type and mixing ratio of bipyridine derivatives allowed the variable coassembly process with stimuli-responsive functional properties, studied by various experimental characterizations and computational methods. Furthermore, the resulting coassemblies showed functional redox- and photoresponsive properties, making them promising candidates for controllable drug release and fluorescent imprint. This work presents a coassembly strategy not only to explore the mechanism of amyloid-like structure formation and inhibition at the molecular level but also to manipulate amyloid-like structures into responsive supramolecular coassemblies for material science and biotechnology applications.","container-title":"ACS Nano","DOI":"10.1021/acsnano.0c02138","ISSN":"1936-0851","issue":"6","journalAbbreviation":"ACS Nano","note":"publisher: American Chemical Society\nCitation Key: ji_coassembly-induced_2020","page":"7181-7190","source":"ACS Publications","title":"Coassembly-Induced Transformation of Dipeptide Amyloid-Like Structures into Stimuli-Responsive Supramolecular Materials","URL":"https://doi.org/10.1021/acsnano.0c02138","volume":"14","author":[{"family":"Ji","given":"Wei"},{"family":"Yuan","given":"Chengqian"},{"family":"Chakraborty","given":"Priyadarshi"},{"family":"Makam","given":"Pandeeswar"},{"family":"Bera","given":"Santu"},{"family":"Rencus-Lazar","given":"Sigal"},{"family":"Li","given":"Junbai"},{"family":"Yan","given":"Xuehai"},{"family":"Gazit","given":"Ehud"}],"accessed":{"date-parts":[["2021",8,12]]},"issued":{"date-parts":[["2020",6,23]]},"citation-key":"ji_coassembly-induced_2020"}},{"id":3496,"uris":["http://zotero.org/groups/2667333/items/X5MA7SCP"],"itemData":{"id":3496,"type":"article-journal","abstract":"The coassembly of small molecules is a useful means of increasing the complexity and functionality of their resultant supramolecular constructs in a modular fashion. In this study, we explore the assembly and coassembly of serine surfactants and tyrosine-leucine hydrogelators, capped at the N-termini with either fluorenyl-9-methoxycarbonyl (Fmoc) or pyrene. These systems all exhibit self-assembly behavior, which is influenced by aromatic stacking interactions, while the hydrogelators also exhibit β-sheet-type arrangements, which reinforce their supramolecular structures. We provide evidence for three distinct supramolecular coassembly models; cooperative, disruptive, and orthogonal. The coassembly mode adopted depends on whether the individual constituents (I) are sufficiently different, such that effective segregation and orthogonal assembly occurs; (II) adhere to a communal mode of self-assembly; or (III) act to compromise the assembly of one another via incorporation and disruption. We find that a greater scope for controllable coassembly exists within orthogonal systems; which show minimal relative changes in the native gelator’s supramolecular structure by Fourier transform infrared spectroscopy (FTIR), circular dichroism (CD), and fluorescence spectroscopy. This is indicative of the segregation of orthogonal coassembly constituents into distinct domains, where surfactant chemical functionality is presented at the surface of the gelator’s supramolecular fibers. Overall, this work provides new insights into the design of modular coassembly systems, which have the potential to augment the chemical and physical properties of existing gelator systems.","container-title":"Biomacromolecules","DOI":"10.1021/bm401720z","ISSN":"1525-7797","issue":"4","journalAbbreviation":"Biomacromolecules","note":"publisher: American Chemical Society","page":"1171-1184","source":"ACS Publications","title":"Insights into the Coassembly of Hydrogelators and Surfactants Based on Aromatic Peptide Amphiphiles","URL":"https://doi.org/10.1021/bm401720z","volume":"15","author":[{"family":"Fleming","given":"Scott"},{"family":"Debnath","given":"Sisir"},{"family":"Frederix","given":"Pim W. J. M."},{"family":"Hunt","given":"Neil T."},{"family":"Ulijn","given":"Rein V."}],"accessed":{"date-parts":[["2020",5,15]]},"issued":{"date-parts":[["2014",4,14]]},"citation-key":"flemingInsightsCoassemblyHydrogelators2014"}}],"schema":"https://github.com/citation-style-language/schema/raw/master/csl-citation.json"} </w:instrText>
      </w:r>
      <w:r w:rsidR="00845B6C" w:rsidRPr="0084736C">
        <w:rPr>
          <w:rFonts w:cstheme="minorHAnsi"/>
          <w:sz w:val="24"/>
          <w:szCs w:val="24"/>
        </w:rPr>
        <w:fldChar w:fldCharType="separate"/>
      </w:r>
      <w:r w:rsidR="008F09C1" w:rsidRPr="008F09C1">
        <w:rPr>
          <w:rFonts w:ascii="Arial" w:cs="Arial"/>
          <w:sz w:val="24"/>
          <w:vertAlign w:val="superscript"/>
        </w:rPr>
        <w:t>43,105</w:t>
      </w:r>
      <w:r w:rsidR="00845B6C" w:rsidRPr="0084736C">
        <w:rPr>
          <w:rFonts w:cstheme="minorHAnsi"/>
          <w:sz w:val="24"/>
          <w:szCs w:val="24"/>
        </w:rPr>
        <w:fldChar w:fldCharType="end"/>
      </w:r>
      <w:r w:rsidR="00845B6C" w:rsidRPr="0084736C">
        <w:rPr>
          <w:rFonts w:cstheme="minorHAnsi"/>
          <w:sz w:val="24"/>
          <w:szCs w:val="24"/>
        </w:rPr>
        <w:t xml:space="preserve"> </w:t>
      </w:r>
      <w:r w:rsidRPr="0084736C">
        <w:rPr>
          <w:rFonts w:cstheme="minorHAnsi"/>
          <w:sz w:val="24"/>
          <w:szCs w:val="24"/>
        </w:rPr>
        <w:t>As a result, there is a need for an approach that can bridge the combinatorial explosion of amino acid sequence space with the benefits of editing known sequences to map and search new peptides for new functionalities.</w:t>
      </w:r>
    </w:p>
    <w:p w14:paraId="1FF1E29A" w14:textId="0B16F2B2" w:rsidR="00845B6C" w:rsidRPr="0084736C" w:rsidRDefault="00845B6C" w:rsidP="00E44507">
      <w:pPr>
        <w:spacing w:line="480" w:lineRule="auto"/>
        <w:rPr>
          <w:rFonts w:cstheme="minorHAnsi"/>
          <w:sz w:val="24"/>
          <w:szCs w:val="24"/>
        </w:rPr>
      </w:pPr>
      <w:r w:rsidRPr="0084736C">
        <w:rPr>
          <w:rFonts w:cstheme="minorHAnsi"/>
          <w:sz w:val="24"/>
          <w:szCs w:val="24"/>
        </w:rPr>
        <w:lastRenderedPageBreak/>
        <w:t>Minimalist peptide designs that incorporate rational modification to produce robust structures have attracted significant interest over the past two decades.</w:t>
      </w:r>
      <w:r w:rsidRPr="0084736C">
        <w:rPr>
          <w:rFonts w:cstheme="minorHAnsi"/>
          <w:sz w:val="24"/>
          <w:szCs w:val="24"/>
        </w:rPr>
        <w:fldChar w:fldCharType="begin"/>
      </w:r>
      <w:r w:rsidR="008F09C1">
        <w:rPr>
          <w:rFonts w:cstheme="minorHAnsi"/>
          <w:sz w:val="24"/>
          <w:szCs w:val="24"/>
        </w:rPr>
        <w:instrText xml:space="preserve"> ADDIN ZOTERO_ITEM CSL_CITATION {"citationID":"jv8cF9vO","properties":{"formattedCitation":"\\super 35\\nosupersub{}","plainCitation":"35","noteIndex":0},"citationItems":[{"id":2394,"uris":["http://zotero.org/groups/2667333/items/ARK7DUEJ"],"itemData":{"id":2394,"type":"article-journal","container-title":"Nature Chemistry","DOI":"10.1038/nchem.2122","ISSN":"1755-4330, 1755-4349","issue":"1","journalAbbreviation":"Nat. Chem.","language":"en","note":"tex.ids: frederix_exploring_2015-4\nCitation Key: frederix_exploring_2015","page":"30-37","source":"DOI.org (Crossref)","title":"Exploring the sequence space for (tri-)peptide self-assembly to design and discover new hydrogels","URL":"http://www.nature.com/articles/nchem.2122","volume":"7","author":[{"family":"Frederix","given":"Pim W. J. M."},{"family":"Scott","given":"Gary G."},{"family":"Abul-Haija","given":"Yousef M."},{"family":"Kalafatovic","given":"Daniela"},{"family":"Pappas","given":"Charalampos G."},{"family":"Javid","given":"Nadeem"},{"family":"Hunt","given":"Neil T."},{"family":"Ulijn","given":"Rein V."},{"family":"Tuttle","given":"Tell"}],"accessed":{"date-parts":[["2020",12,23]]},"issued":{"date-parts":[["2015",1]]},"citation-key":"frederix_exploring_2015"}}],"schema":"https://github.com/citation-style-language/schema/raw/master/csl-citation.json"}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35</w:t>
      </w:r>
      <w:r w:rsidRPr="0084736C">
        <w:rPr>
          <w:rFonts w:cstheme="minorHAnsi"/>
          <w:sz w:val="24"/>
          <w:szCs w:val="24"/>
        </w:rPr>
        <w:fldChar w:fldCharType="end"/>
      </w:r>
      <w:r w:rsidRPr="0084736C">
        <w:rPr>
          <w:rFonts w:cstheme="minorHAnsi"/>
          <w:sz w:val="24"/>
          <w:szCs w:val="24"/>
        </w:rPr>
        <w:t xml:space="preserve"> Diphenylalanine (FF), a motif found in amyloid-</w:t>
      </w:r>
      <w:r w:rsidRPr="0084736C">
        <w:rPr>
          <w:rFonts w:cstheme="minorHAnsi"/>
          <w:sz w:val="24"/>
          <w:szCs w:val="24"/>
        </w:rPr>
        <w:sym w:font="Symbol" w:char="F062"/>
      </w:r>
      <w:r w:rsidRPr="0084736C">
        <w:rPr>
          <w:rFonts w:cstheme="minorHAnsi"/>
          <w:sz w:val="24"/>
          <w:szCs w:val="24"/>
        </w:rPr>
        <w:t xml:space="preserve"> peptides, plays an important role in fiber formation via </w:t>
      </w:r>
      <w:r w:rsidRPr="0084736C">
        <w:rPr>
          <w:rFonts w:cstheme="minorHAnsi"/>
          <w:sz w:val="24"/>
          <w:szCs w:val="24"/>
        </w:rPr>
        <w:sym w:font="Symbol" w:char="F074"/>
      </w:r>
      <w:r w:rsidRPr="0084736C">
        <w:rPr>
          <w:rFonts w:cstheme="minorHAnsi"/>
          <w:sz w:val="24"/>
          <w:szCs w:val="24"/>
        </w:rPr>
        <w:t>-</w:t>
      </w:r>
      <w:r w:rsidRPr="0084736C">
        <w:rPr>
          <w:rFonts w:cstheme="minorHAnsi"/>
          <w:sz w:val="24"/>
          <w:szCs w:val="24"/>
        </w:rPr>
        <w:sym w:font="Symbol" w:char="F074"/>
      </w:r>
      <w:r w:rsidRPr="0084736C">
        <w:rPr>
          <w:rFonts w:cstheme="minorHAnsi"/>
          <w:sz w:val="24"/>
          <w:szCs w:val="24"/>
        </w:rPr>
        <w:t xml:space="preserve"> stacking.</w:t>
      </w:r>
      <w:r w:rsidRPr="0084736C">
        <w:rPr>
          <w:rFonts w:cstheme="minorHAnsi"/>
          <w:sz w:val="24"/>
          <w:szCs w:val="24"/>
        </w:rPr>
        <w:fldChar w:fldCharType="begin"/>
      </w:r>
      <w:r w:rsidR="008678B2">
        <w:rPr>
          <w:rFonts w:cstheme="minorHAnsi"/>
          <w:sz w:val="24"/>
          <w:szCs w:val="24"/>
        </w:rPr>
        <w:instrText xml:space="preserve"> ADDIN ZOTERO_ITEM CSL_CITATION {"citationID":"krAV4YpD","properties":{"formattedCitation":"\\super 17\\nosupersub{}","plainCitation":"17","noteIndex":0},"citationItems":[{"id":4275,"uris":["http://zotero.org/groups/2667333/items/IE8U3TAY"],"itemData":{"id":4275,"type":"article-journal","container-title":"The FASEB Journal","DOI":"10.1096/fj.01-0442hyp","ISSN":"0892-6638, 1530-6860","issue":"1","journalAbbreviation":"The FASEB Journal","language":"en","page":"77-83","source":"DOI.org (Crossref)","title":"A possible role for π-stacking in the self-assembly of amyloid fibrils","URL":"http://www.fasebj.org/doi/10.1096/fj.01-0442hyp","volume":"16","author":[{"family":"Gazit","given":"Ehud"}],"accessed":{"date-parts":[["2019",8,15]]},"issued":{"date-parts":[["2002",1]]},"citation-key":"gazitPossibleRolePstacking2002"}}],"schema":"https://github.com/citation-style-language/schema/raw/master/csl-citation.json"} </w:instrText>
      </w:r>
      <w:r w:rsidRPr="0084736C">
        <w:rPr>
          <w:rFonts w:cstheme="minorHAnsi"/>
          <w:sz w:val="24"/>
          <w:szCs w:val="24"/>
        </w:rPr>
        <w:fldChar w:fldCharType="separate"/>
      </w:r>
      <w:r w:rsidR="008678B2" w:rsidRPr="008678B2">
        <w:rPr>
          <w:rFonts w:ascii="Arial" w:cs="Arial"/>
          <w:sz w:val="24"/>
          <w:vertAlign w:val="superscript"/>
        </w:rPr>
        <w:t>17</w:t>
      </w:r>
      <w:r w:rsidRPr="0084736C">
        <w:rPr>
          <w:rFonts w:cstheme="minorHAnsi"/>
          <w:sz w:val="24"/>
          <w:szCs w:val="24"/>
        </w:rPr>
        <w:fldChar w:fldCharType="end"/>
      </w:r>
      <w:r w:rsidRPr="0084736C">
        <w:rPr>
          <w:rFonts w:cstheme="minorHAnsi"/>
          <w:sz w:val="24"/>
          <w:szCs w:val="24"/>
        </w:rPr>
        <w:t xml:space="preserve"> Peptides with an FF motif have spurred the investigation of hierarchical structures and have been used in synthetic materials for various applications from biomedical research to energy harvesting and conversion.</w:t>
      </w:r>
      <w:r w:rsidRPr="0084736C">
        <w:rPr>
          <w:rFonts w:cstheme="minorHAnsi"/>
          <w:sz w:val="24"/>
          <w:szCs w:val="24"/>
        </w:rPr>
        <w:fldChar w:fldCharType="begin"/>
      </w:r>
      <w:r w:rsidR="008F09C1">
        <w:rPr>
          <w:rFonts w:cstheme="minorHAnsi"/>
          <w:sz w:val="24"/>
          <w:szCs w:val="24"/>
        </w:rPr>
        <w:instrText xml:space="preserve"> ADDIN ZOTERO_ITEM CSL_CITATION {"citationID":"V1eCgp1h","properties":{"formattedCitation":"\\super 114,118\\nosupersub{}","plainCitation":"114,118","noteIndex":0},"citationItems":[{"id":9499,"uris":["http://zotero.org/groups/2667333/items/Z3RYSDAT"],"itemData":{"id":9499,"type":"article-journal","abstract":"One-dimensional titania nanostructures can serve as a support for light absorbing molecules and result in an improvement in the short circuit current (Jsc) and open circuit voltage (Voc) as a nanostructured and high-surface-area material in dye-sensitized solar cells. Here, self-assembled amyloid-like peptide nanofibers were exploited as an organic template for the growth of one-dimensional titania nanostructures. Nanostructured titania layers were utilized as anodic materials in dye sensitized solar cells (DSSCs). The photovoltaic performance of the DSSC devices was assessed and an enhancement in the overall cell performance compared to unstructured titania was observed.","container-title":"Journal of Materials Chemistry A","DOI":"10.1039/C3TA11542A","ISSN":"2050-7496","issue":"36","journalAbbreviation":"J. Mater. Chem. A","language":"en","note":"publisher: The Royal Society of Chemistry","page":"10979-10984","source":"pubs.rsc.org","title":"Amyloid-like peptide nanofiber templated titania nanostructures as dye sensitized solar cell anodic materials","URL":"https://pubs.rsc.org/en/content/articlelanding/2013/ta/c3ta11542a","volume":"1","author":[{"family":"Acar","given":"Handan"},{"family":"Garifullin","given":"Ruslan"},{"family":"Aygun","given":"Levent E."},{"family":"Okyay","given":"Ali K."},{"family":"Guler","given":"Mustafa O."}],"accessed":{"date-parts":[["2021",9,1]]},"issued":{"date-parts":[["2013",8,20]]},"citation-key":"acarAmyloidlikePeptideNanofiber2013"}},{"id":4725,"uris":["http://zotero.org/groups/2667333/items/I76ZZLAL"],"itemData":{"id":4725,"type":"article-journal","container-title":"Chemical Society Reviews","DOI":"10.1039/C6CS00542J","issue":"15","journalAbbreviation":"Chem Soc Rev","language":"en","note":"publisher: Royal Society of Chemistry","page":"4661-4708","source":"pubs.rsc.org","title":"Self-assembling peptide and protein amyloids: from structure to tailored function in nanotechnology","title-short":"Self-assembling peptide and protein amyloids","URL":"https://pubs.rsc.org/en/content/articlelanding/2017/cs/c6cs00542j","volume":"46","author":[{"family":"Wei","given":"Gang"},{"family":"Su","given":"Zhiqiang"},{"family":"P. Reynolds","given":"Nicholas"},{"family":"Arosio","given":"Paolo"},{"family":"W. Hamley","given":"Ian"},{"family":"Gazit","given":"Ehud"},{"family":"Mezzenga","given":"Raffaele"}],"accessed":{"date-parts":[["2020",8,15]]},"issued":{"date-parts":[["2017"]]},"citation-key":"weiSelfassemblingPeptideProtein2017"}}],"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114,118</w:t>
      </w:r>
      <w:r w:rsidRPr="0084736C">
        <w:rPr>
          <w:rFonts w:cstheme="minorHAnsi"/>
          <w:sz w:val="24"/>
          <w:szCs w:val="24"/>
        </w:rPr>
        <w:fldChar w:fldCharType="end"/>
      </w:r>
      <w:r w:rsidRPr="0084736C">
        <w:rPr>
          <w:rFonts w:cstheme="minorHAnsi"/>
          <w:sz w:val="24"/>
          <w:szCs w:val="24"/>
        </w:rPr>
        <w:t xml:space="preserve"> Consequently, identification of 1D assembly driven by FF domain has well-established tools that provide standardization and comparison of the results.</w:t>
      </w:r>
      <w:r w:rsidRPr="0084736C">
        <w:rPr>
          <w:rFonts w:cstheme="minorHAnsi"/>
          <w:sz w:val="24"/>
          <w:szCs w:val="24"/>
        </w:rPr>
        <w:fldChar w:fldCharType="begin"/>
      </w:r>
      <w:r w:rsidR="008F09C1">
        <w:rPr>
          <w:rFonts w:cstheme="minorHAnsi"/>
          <w:sz w:val="24"/>
          <w:szCs w:val="24"/>
        </w:rPr>
        <w:instrText xml:space="preserve"> ADDIN ZOTERO_ITEM CSL_CITATION {"citationID":"mQ4RgmWu","properties":{"formattedCitation":"\\super 119\\nosupersub{}","plainCitation":"119","noteIndex":0},"citationItems":[{"id":5083,"uris":["http://zotero.org/groups/2667333/items/5ITN4NB5"],"itemData":{"id":5083,"type":"article-journal","abstract":"Amyloids are a broad class of proteins and peptides that can misfold and assemble into long unbranched fibrils with a cross-β conformation. These misfolding and aggregation events are associated with the onset of a variety of human diseases, among them, Alzheimer’s disease, Parkinson’s disease, and Huntington disease. Our understanding of amyloids has been greatly supported by fluorescent molecular probes, such as thioflavin-T, which shows an increase in fluorescence emission upon binding to fibrillar aggregates. Since the first application of thioflavin-T in amyloid studies nearly 30 years ago, many probes have emerged exhibiting a variety of responses to amyloids, such as intensity changes, shifts in fluorescence maxima, and variations in lifetimes, among many others. These probes have shed light on a variety of topics including the kinetics of amyloid aggregation, the effectiveness of amyloid aggregation inhibitors, the elucidation of binding sites in amyloid structures, and the staining of amyloids aggregates in vitro, ex vivo, and in vivo. In this Review, we discuss the design, properties, and application of photoactive probes used to study amyloid aggregation, as well as the challenges faced by current probes and techniques, and the novel approaches that are emerging to address these challenges.","container-title":"Chemical Reviews","DOI":"10.1021/acs.chemrev.9b00404","ISSN":"0009-2665","issue":"23","journalAbbreviation":"Chem. Rev.","note":"publisher: American Chemical Society","page":"11819-11856","source":"ACS Publications","title":"Interrogating Amyloid Aggregates using Fluorescent Probes","URL":"https://doi.org/10.1021/acs.chemrev.9b00404","volume":"119","author":[{"family":"Aliyan","given":"Amir"},{"family":"Cook","given":"Nathan P."},{"family":"Martí","given":"Angel A."}],"accessed":{"date-parts":[["2021",1,27]]},"issued":{"date-parts":[["2019",12,11]]},"citation-key":"aliyanInterrogatingAmyloidAggregates2019"}}],"schema":"https://github.com/citation-style-language/schema/raw/master/csl-citation.json"}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119</w:t>
      </w:r>
      <w:r w:rsidRPr="0084736C">
        <w:rPr>
          <w:rFonts w:cstheme="minorHAnsi"/>
          <w:sz w:val="24"/>
          <w:szCs w:val="24"/>
        </w:rPr>
        <w:fldChar w:fldCharType="end"/>
      </w:r>
    </w:p>
    <w:p w14:paraId="08F9EFB6" w14:textId="68C3C716" w:rsidR="007835DA" w:rsidRPr="0084736C" w:rsidRDefault="007835DA" w:rsidP="00E44507">
      <w:pPr>
        <w:spacing w:line="480" w:lineRule="auto"/>
        <w:rPr>
          <w:rFonts w:cstheme="minorHAnsi"/>
          <w:sz w:val="24"/>
          <w:szCs w:val="24"/>
        </w:rPr>
      </w:pPr>
      <w:r w:rsidRPr="0084736C">
        <w:rPr>
          <w:rFonts w:cstheme="minorHAnsi"/>
          <w:sz w:val="24"/>
          <w:szCs w:val="24"/>
        </w:rPr>
        <w:t>Non-covalent interactions (ranging from 1 to 5 kcal/mol)</w:t>
      </w:r>
      <w:r w:rsidRPr="0084736C">
        <w:rPr>
          <w:rFonts w:cstheme="minorHAnsi"/>
          <w:sz w:val="24"/>
          <w:szCs w:val="24"/>
        </w:rPr>
        <w:fldChar w:fldCharType="begin"/>
      </w:r>
      <w:r w:rsidR="008F09C1">
        <w:rPr>
          <w:rFonts w:cstheme="minorHAnsi"/>
          <w:sz w:val="24"/>
          <w:szCs w:val="24"/>
        </w:rPr>
        <w:instrText xml:space="preserve"> ADDIN ZOTERO_ITEM CSL_CITATION {"citationID":"UfqG64xl","properties":{"formattedCitation":"\\super 120\\nosupersub{}","plainCitation":"120","noteIndex":0},"citationItems":[{"id":9502,"uris":["http://zotero.org/groups/2667333/items/MAL8TCQC"],"itemData":{"id":9502,"type":"chapter","abstract":"Carbohydrates illustrate the importance of subtle differences in covalent bonds in generating molecules with different biological activities. However, several types of noncovalent bonds are critical in maintaining the three-dimensional structures of large molecules such as proteins and nucleic acids (see Figure 2-1b). Noncovalent bonds also enable one large molecule to bind specifically but transiently to another, making them the basis of many dynamic biological processes.","container-title":"Molecular Cell Biology. 4th edition","edition":"4","language":"en","note":"publisher: W. H. Freeman","publisher":"WH Freeman","source":"www.ncbi.nlm.nih.gov","title":"Noncovalent Bonds","URL":"https://www.ncbi.nlm.nih.gov/books/NBK21726/","author":[{"family":"Lodish","given":"Harvey"},{"family":"Berk","given":"Arnold"},{"family":"Zipursky","given":"S. Lawrence"},{"family":"Matsudaira","given":"Paul"},{"family":"Baltimore","given":"David"},{"family":"Darnell","given":"James"}],"accessed":{"date-parts":[["2021",9,1]]},"issued":{"date-parts":[["2000"]]},"citation-key":"lodishNoncovalentBonds2000"}}],"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120</w:t>
      </w:r>
      <w:r w:rsidRPr="0084736C">
        <w:rPr>
          <w:rFonts w:cstheme="minorHAnsi"/>
          <w:sz w:val="24"/>
          <w:szCs w:val="24"/>
        </w:rPr>
        <w:fldChar w:fldCharType="end"/>
      </w:r>
      <w:r w:rsidRPr="0084736C">
        <w:rPr>
          <w:rFonts w:cstheme="minorHAnsi"/>
          <w:sz w:val="24"/>
          <w:szCs w:val="24"/>
        </w:rPr>
        <w:t xml:space="preserve"> are naturally weak and may not be sufficient for stable and highly ordered assemblies of minimalist peptide designs. To alleviate the low thermodynamic advantage for assembled structures, </w:t>
      </w:r>
      <w:r w:rsidR="006A6ED2" w:rsidRPr="0084736C">
        <w:rPr>
          <w:rFonts w:cstheme="minorHAnsi"/>
          <w:sz w:val="24"/>
          <w:szCs w:val="24"/>
        </w:rPr>
        <w:t>proximity</w:t>
      </w:r>
      <w:r w:rsidRPr="0084736C">
        <w:rPr>
          <w:rFonts w:cstheme="minorHAnsi"/>
          <w:sz w:val="24"/>
          <w:szCs w:val="24"/>
        </w:rPr>
        <w:t xml:space="preserve"> (high concentration) in solution is required (kinetic threshold). Addition of hydrophobic groups may provide proximity via spontaneous aggregation in water to assist in assembly, but this approach can reduce or eliminate entirely the solubility of minimalist peptides, which can drastically reduce the utility of any potential application in aqueous environments.</w:t>
      </w:r>
      <w:r w:rsidRPr="0084736C">
        <w:rPr>
          <w:rFonts w:cstheme="minorHAnsi"/>
          <w:sz w:val="24"/>
          <w:szCs w:val="24"/>
        </w:rPr>
        <w:fldChar w:fldCharType="begin"/>
      </w:r>
      <w:r w:rsidR="008F09C1">
        <w:rPr>
          <w:rFonts w:cstheme="minorHAnsi"/>
          <w:sz w:val="24"/>
          <w:szCs w:val="24"/>
        </w:rPr>
        <w:instrText xml:space="preserve"> ADDIN ZOTERO_ITEM CSL_CITATION {"citationID":"SfrlKbwK","properties":{"formattedCitation":"\\super 35\\nosupersub{}","plainCitation":"35","noteIndex":0},"citationItems":[{"id":2394,"uris":["http://zotero.org/groups/2667333/items/ARK7DUEJ"],"itemData":{"id":2394,"type":"article-journal","container-title":"Nature Chemistry","DOI":"10.1038/nchem.2122","ISSN":"1755-4330, 1755-4349","issue":"1","journalAbbreviation":"Nat. Chem.","language":"en","note":"tex.ids: frederix_exploring_2015-4\nCitation Key: frederix_exploring_2015","page":"30-37","source":"DOI.org (Crossref)","title":"Exploring the sequence space for (tri-)peptide self-assembly to design and discover new hydrogels","URL":"http://www.nature.com/articles/nchem.2122","volume":"7","author":[{"family":"Frederix","given":"Pim W. J. M."},{"family":"Scott","given":"Gary G."},{"family":"Abul-Haija","given":"Yousef M."},{"family":"Kalafatovic","given":"Daniela"},{"family":"Pappas","given":"Charalampos G."},{"family":"Javid","given":"Nadeem"},{"family":"Hunt","given":"Neil T."},{"family":"Ulijn","given":"Rein V."},{"family":"Tuttle","given":"Tell"}],"accessed":{"date-parts":[["2020",12,23]]},"issued":{"date-parts":[["2015",1]]},"citation-key":"frederix_exploring_2015"}}],"schema":"https://github.com/citation-style-language/schema/raw/master/csl-citation.json"}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35</w:t>
      </w:r>
      <w:r w:rsidRPr="0084736C">
        <w:rPr>
          <w:rFonts w:cstheme="minorHAnsi"/>
          <w:sz w:val="24"/>
          <w:szCs w:val="24"/>
        </w:rPr>
        <w:fldChar w:fldCharType="end"/>
      </w:r>
      <w:r w:rsidRPr="0084736C">
        <w:rPr>
          <w:rFonts w:cstheme="minorHAnsi"/>
          <w:sz w:val="24"/>
          <w:szCs w:val="24"/>
        </w:rPr>
        <w:t xml:space="preserve"> Therefore, a key challenge to the use of traditional minimalist peptides is to address the kinetic threshold for the aggregation. </w:t>
      </w:r>
    </w:p>
    <w:p w14:paraId="4BA4C580" w14:textId="458D5425" w:rsidR="007835DA" w:rsidRPr="0084736C" w:rsidRDefault="007835DA" w:rsidP="00E44507">
      <w:pPr>
        <w:spacing w:line="480" w:lineRule="auto"/>
        <w:rPr>
          <w:rFonts w:cstheme="minorHAnsi"/>
          <w:sz w:val="24"/>
          <w:szCs w:val="24"/>
        </w:rPr>
      </w:pPr>
      <w:r w:rsidRPr="0084736C">
        <w:rPr>
          <w:rFonts w:cstheme="minorHAnsi"/>
          <w:sz w:val="24"/>
          <w:szCs w:val="24"/>
        </w:rPr>
        <w:t xml:space="preserve">Here, we overcome the kinetic threshold with enhanced solubility in a hexapeptide, by combining charged and hydrophobic amino acids in a new design of Co-assembling Oppositely Charged Peptides (CoOP). Because of the relatively small number of interacting groups in a hexapeptide, the kinetic threshold is high. The oppositely charged system addresses this weakness in typical small peptide systems; charges not only assist with aqueous solubility, but also provide a relatively long-ranged attractive force to </w:t>
      </w:r>
      <w:r w:rsidRPr="0084736C">
        <w:rPr>
          <w:rFonts w:cstheme="minorHAnsi"/>
          <w:sz w:val="24"/>
          <w:szCs w:val="24"/>
        </w:rPr>
        <w:lastRenderedPageBreak/>
        <w:t>encourage peptides to come together. This effect is analogous to increasing the concentration of peptides without such charged groups.</w:t>
      </w:r>
    </w:p>
    <w:p w14:paraId="7D40D77C" w14:textId="4ACBF34C" w:rsidR="007835DA" w:rsidRPr="0084736C" w:rsidRDefault="007835DA" w:rsidP="00E44507">
      <w:pPr>
        <w:spacing w:line="480" w:lineRule="auto"/>
        <w:rPr>
          <w:rFonts w:cstheme="minorHAnsi"/>
          <w:sz w:val="24"/>
          <w:szCs w:val="24"/>
        </w:rPr>
      </w:pPr>
      <w:r w:rsidRPr="0084736C">
        <w:rPr>
          <w:rFonts w:cstheme="minorHAnsi"/>
          <w:sz w:val="24"/>
          <w:szCs w:val="24"/>
        </w:rPr>
        <w:t>In this paper, we introduce the CoOP strategy and explore the effects of alanine (A), tryptophan (W), and isoleucine (I) (we will use the standard single-letter amino-acid codes throughout) in this framework. We integrate computational methods to analyze, rather than to predict, the peptide assembly mechanism; atomic-resolution simulations are used to probe the free energy of association and probability of amino acid contact during co-assembly. The effects of the substitution domain on the aggregation kinetics are investigated via pyrene, Congo red staining, and dynamic light scattering. We use FTIR and circular dichroism to understand the secondary structures of peptides for understanding assembly mechanism and identify the physical properties of the emergent materials via TEM, AFM, and rheology. We combine the results to understand the relation of peptide sequence, association of intermolecular interactions on assembly kinetics, and structural and mechanical properties of the end products. Here, CoOP is shown to provide a valuable molecular discovery tool that is simple, water soluble, and assembles into 1D structure with quantifiable properties for exploring intermolecular interactions and harnessing the rules for peptide assembly phenomena.</w:t>
      </w:r>
    </w:p>
    <w:p w14:paraId="46378A7A" w14:textId="02FFD19C" w:rsidR="00CD2127" w:rsidRPr="00DD25AA" w:rsidRDefault="008678B2">
      <w:pPr>
        <w:pStyle w:val="Heading2"/>
        <w:numPr>
          <w:ilvl w:val="1"/>
          <w:numId w:val="8"/>
        </w:numPr>
        <w:rPr>
          <w:rStyle w:val="BookTitle"/>
          <w:rFonts w:asciiTheme="minorHAnsi" w:eastAsiaTheme="minorEastAsia" w:hAnsiTheme="minorHAnsi" w:cstheme="minorBidi"/>
          <w:i w:val="0"/>
          <w:iCs w:val="0"/>
          <w:sz w:val="28"/>
          <w:szCs w:val="28"/>
        </w:rPr>
      </w:pPr>
      <w:bookmarkStart w:id="37" w:name="_Toc121134623"/>
      <w:r>
        <w:rPr>
          <w:rStyle w:val="BookTitle"/>
          <w:rFonts w:asciiTheme="minorHAnsi" w:eastAsiaTheme="minorEastAsia" w:hAnsiTheme="minorHAnsi" w:cstheme="minorBidi"/>
          <w:i w:val="0"/>
          <w:iCs w:val="0"/>
          <w:sz w:val="28"/>
          <w:szCs w:val="28"/>
        </w:rPr>
        <w:t>RESULTS</w:t>
      </w:r>
      <w:bookmarkEnd w:id="37"/>
    </w:p>
    <w:p w14:paraId="772A48F7" w14:textId="42E48E1B" w:rsidR="007835DA" w:rsidRDefault="00E351D0">
      <w:pPr>
        <w:pStyle w:val="Heading3"/>
        <w:numPr>
          <w:ilvl w:val="2"/>
          <w:numId w:val="8"/>
        </w:numPr>
        <w:rPr>
          <w:rStyle w:val="BookTitle"/>
          <w:rFonts w:asciiTheme="minorHAnsi" w:eastAsiaTheme="minorEastAsia" w:hAnsiTheme="minorHAnsi" w:cstheme="minorBidi"/>
          <w:i w:val="0"/>
          <w:iCs w:val="0"/>
          <w:sz w:val="24"/>
          <w:szCs w:val="24"/>
        </w:rPr>
      </w:pPr>
      <w:bookmarkStart w:id="38" w:name="_Toc114946702"/>
      <w:bookmarkStart w:id="39" w:name="_Toc121134624"/>
      <w:r>
        <w:rPr>
          <w:rStyle w:val="BookTitle"/>
          <w:rFonts w:asciiTheme="minorHAnsi" w:eastAsiaTheme="minorEastAsia" w:hAnsiTheme="minorHAnsi" w:cstheme="minorBidi"/>
          <w:i w:val="0"/>
          <w:iCs w:val="0"/>
          <w:sz w:val="24"/>
          <w:szCs w:val="24"/>
        </w:rPr>
        <w:t>C</w:t>
      </w:r>
      <w:r w:rsidR="00DD25AA" w:rsidRPr="00DD25AA">
        <w:rPr>
          <w:rStyle w:val="BookTitle"/>
          <w:rFonts w:asciiTheme="minorHAnsi" w:eastAsiaTheme="minorEastAsia" w:hAnsiTheme="minorHAnsi" w:cstheme="minorBidi"/>
          <w:i w:val="0"/>
          <w:iCs w:val="0"/>
          <w:sz w:val="24"/>
          <w:szCs w:val="24"/>
        </w:rPr>
        <w:t>o</w:t>
      </w:r>
      <w:r w:rsidR="004367B3">
        <w:rPr>
          <w:rStyle w:val="BookTitle"/>
          <w:rFonts w:asciiTheme="minorHAnsi" w:eastAsiaTheme="minorEastAsia" w:hAnsiTheme="minorHAnsi" w:cstheme="minorBidi"/>
          <w:i w:val="0"/>
          <w:iCs w:val="0"/>
          <w:sz w:val="24"/>
          <w:szCs w:val="24"/>
        </w:rPr>
        <w:t>-assembled Peptide</w:t>
      </w:r>
      <w:r w:rsidR="00DD25AA" w:rsidRPr="00DD25AA">
        <w:rPr>
          <w:rStyle w:val="BookTitle"/>
          <w:rFonts w:asciiTheme="minorHAnsi" w:eastAsiaTheme="minorEastAsia" w:hAnsiTheme="minorHAnsi" w:cstheme="minorBidi"/>
          <w:i w:val="0"/>
          <w:iCs w:val="0"/>
          <w:sz w:val="24"/>
          <w:szCs w:val="24"/>
        </w:rPr>
        <w:t xml:space="preserve"> </w:t>
      </w:r>
      <w:r w:rsidR="004367B3">
        <w:rPr>
          <w:rStyle w:val="BookTitle"/>
          <w:rFonts w:asciiTheme="minorHAnsi" w:eastAsiaTheme="minorEastAsia" w:hAnsiTheme="minorHAnsi" w:cstheme="minorBidi"/>
          <w:i w:val="0"/>
          <w:iCs w:val="0"/>
          <w:sz w:val="24"/>
          <w:szCs w:val="24"/>
        </w:rPr>
        <w:t>D</w:t>
      </w:r>
      <w:r w:rsidR="007835DA" w:rsidRPr="00DD25AA">
        <w:rPr>
          <w:rStyle w:val="BookTitle"/>
          <w:rFonts w:asciiTheme="minorHAnsi" w:eastAsiaTheme="minorEastAsia" w:hAnsiTheme="minorHAnsi" w:cstheme="minorBidi"/>
          <w:i w:val="0"/>
          <w:iCs w:val="0"/>
          <w:sz w:val="24"/>
          <w:szCs w:val="24"/>
        </w:rPr>
        <w:t xml:space="preserve">esign and </w:t>
      </w:r>
      <w:r w:rsidR="004367B3">
        <w:rPr>
          <w:rStyle w:val="BookTitle"/>
          <w:rFonts w:asciiTheme="minorHAnsi" w:eastAsiaTheme="minorEastAsia" w:hAnsiTheme="minorHAnsi" w:cstheme="minorBidi"/>
          <w:i w:val="0"/>
          <w:iCs w:val="0"/>
          <w:sz w:val="24"/>
          <w:szCs w:val="24"/>
        </w:rPr>
        <w:t>V</w:t>
      </w:r>
      <w:r w:rsidR="007835DA" w:rsidRPr="00DD25AA">
        <w:rPr>
          <w:rStyle w:val="BookTitle"/>
          <w:rFonts w:asciiTheme="minorHAnsi" w:eastAsiaTheme="minorEastAsia" w:hAnsiTheme="minorHAnsi" w:cstheme="minorBidi"/>
          <w:i w:val="0"/>
          <w:iCs w:val="0"/>
          <w:sz w:val="24"/>
          <w:szCs w:val="24"/>
        </w:rPr>
        <w:t xml:space="preserve">alidation with </w:t>
      </w:r>
      <w:r w:rsidR="004367B3">
        <w:rPr>
          <w:rStyle w:val="BookTitle"/>
          <w:rFonts w:asciiTheme="minorHAnsi" w:eastAsiaTheme="minorEastAsia" w:hAnsiTheme="minorHAnsi" w:cstheme="minorBidi"/>
          <w:i w:val="0"/>
          <w:iCs w:val="0"/>
          <w:sz w:val="24"/>
          <w:szCs w:val="24"/>
        </w:rPr>
        <w:t>M</w:t>
      </w:r>
      <w:r w:rsidR="007835DA" w:rsidRPr="00DD25AA">
        <w:rPr>
          <w:rStyle w:val="BookTitle"/>
          <w:rFonts w:asciiTheme="minorHAnsi" w:eastAsiaTheme="minorEastAsia" w:hAnsiTheme="minorHAnsi" w:cstheme="minorBidi"/>
          <w:i w:val="0"/>
          <w:iCs w:val="0"/>
          <w:sz w:val="24"/>
          <w:szCs w:val="24"/>
        </w:rPr>
        <w:t xml:space="preserve">olecular </w:t>
      </w:r>
      <w:r w:rsidR="004367B3">
        <w:rPr>
          <w:rStyle w:val="BookTitle"/>
          <w:rFonts w:asciiTheme="minorHAnsi" w:eastAsiaTheme="minorEastAsia" w:hAnsiTheme="minorHAnsi" w:cstheme="minorBidi"/>
          <w:i w:val="0"/>
          <w:iCs w:val="0"/>
          <w:sz w:val="24"/>
          <w:szCs w:val="24"/>
        </w:rPr>
        <w:t>D</w:t>
      </w:r>
      <w:r w:rsidR="007835DA" w:rsidRPr="00DD25AA">
        <w:rPr>
          <w:rStyle w:val="BookTitle"/>
          <w:rFonts w:asciiTheme="minorHAnsi" w:eastAsiaTheme="minorEastAsia" w:hAnsiTheme="minorHAnsi" w:cstheme="minorBidi"/>
          <w:i w:val="0"/>
          <w:iCs w:val="0"/>
          <w:sz w:val="24"/>
          <w:szCs w:val="24"/>
        </w:rPr>
        <w:t>ynamics</w:t>
      </w:r>
      <w:bookmarkEnd w:id="38"/>
      <w:bookmarkEnd w:id="39"/>
    </w:p>
    <w:p w14:paraId="7233BE52" w14:textId="77777777" w:rsidR="00DD25AA" w:rsidRPr="00DD25AA" w:rsidRDefault="00DD25AA" w:rsidP="00DD25AA"/>
    <w:p w14:paraId="017313E5" w14:textId="2C5F0321" w:rsidR="00CC0180" w:rsidRPr="0084736C" w:rsidRDefault="007835DA" w:rsidP="00E44507">
      <w:pPr>
        <w:spacing w:line="480" w:lineRule="auto"/>
        <w:rPr>
          <w:rFonts w:eastAsia="Times New Roman"/>
          <w:sz w:val="24"/>
          <w:szCs w:val="24"/>
        </w:rPr>
      </w:pPr>
      <w:r w:rsidRPr="0084736C">
        <w:rPr>
          <w:rFonts w:eastAsia="Times New Roman"/>
          <w:sz w:val="24"/>
          <w:szCs w:val="24"/>
        </w:rPr>
        <w:t>We have designed a remarkably simple framework composed of soluble hexapeptides</w:t>
      </w:r>
      <w:r w:rsidR="001E4946">
        <w:rPr>
          <w:rFonts w:eastAsia="Times New Roman"/>
          <w:sz w:val="24"/>
          <w:szCs w:val="24"/>
        </w:rPr>
        <w:t xml:space="preserve"> </w:t>
      </w:r>
      <w:r w:rsidRPr="0084736C">
        <w:rPr>
          <w:rFonts w:eastAsia="Times New Roman"/>
          <w:sz w:val="24"/>
          <w:szCs w:val="24"/>
        </w:rPr>
        <w:t>that</w:t>
      </w:r>
      <w:r w:rsidR="001E4946">
        <w:rPr>
          <w:rFonts w:ascii="Lato" w:eastAsia="Times New Roman" w:hAnsi="Lato" w:cs="Times New Roman"/>
          <w:sz w:val="36"/>
          <w:szCs w:val="36"/>
        </w:rPr>
        <w:t xml:space="preserve"> </w:t>
      </w:r>
      <w:r w:rsidRPr="0084736C">
        <w:rPr>
          <w:rFonts w:eastAsia="Times New Roman"/>
          <w:sz w:val="24"/>
          <w:szCs w:val="24"/>
        </w:rPr>
        <w:t>assemble into 1D structures upon mixing via co-assembly of opposite charged peptides</w:t>
      </w:r>
      <w:r w:rsidR="001E4946">
        <w:rPr>
          <w:rFonts w:ascii="Lato" w:eastAsia="Times New Roman" w:hAnsi="Lato" w:cs="Times New Roman"/>
          <w:sz w:val="36"/>
          <w:szCs w:val="36"/>
        </w:rPr>
        <w:t xml:space="preserve"> </w:t>
      </w:r>
      <w:r w:rsidRPr="0084736C">
        <w:rPr>
          <w:rFonts w:eastAsia="Times New Roman"/>
          <w:sz w:val="24"/>
          <w:szCs w:val="24"/>
        </w:rPr>
        <w:t xml:space="preserve">(CoOP) (Fig. 2.1). Hexapeptides are composed of three domains; charged, </w:t>
      </w:r>
      <w:r w:rsidRPr="0084736C">
        <w:rPr>
          <w:rFonts w:eastAsia="Times New Roman"/>
          <w:sz w:val="24"/>
          <w:szCs w:val="24"/>
        </w:rPr>
        <w:lastRenderedPageBreak/>
        <w:t>diphenylalanine (FF), and substitution domain [XX]. The sequences of the co-assembling hexapeptide</w:t>
      </w:r>
      <w:r w:rsidR="009F4348">
        <w:rPr>
          <w:rFonts w:ascii="Lato" w:eastAsia="Times New Roman" w:hAnsi="Lato" w:cs="Times New Roman"/>
          <w:sz w:val="36"/>
          <w:szCs w:val="36"/>
        </w:rPr>
        <w:t xml:space="preserve"> </w:t>
      </w:r>
      <w:r w:rsidRPr="0084736C">
        <w:rPr>
          <w:rFonts w:eastAsia="Times New Roman"/>
          <w:sz w:val="24"/>
          <w:szCs w:val="24"/>
        </w:rPr>
        <w:t>system is given by Table 2.1, and chemical structures are in Fig. 2.1B. Framework</w:t>
      </w:r>
      <w:r w:rsidR="009F4348">
        <w:rPr>
          <w:rFonts w:ascii="Lato" w:eastAsia="Times New Roman" w:hAnsi="Lato" w:cs="Times New Roman"/>
          <w:sz w:val="36"/>
          <w:szCs w:val="36"/>
        </w:rPr>
        <w:t xml:space="preserve"> </w:t>
      </w:r>
      <w:r w:rsidRPr="0084736C">
        <w:rPr>
          <w:rFonts w:eastAsia="Times New Roman"/>
          <w:sz w:val="24"/>
          <w:szCs w:val="24"/>
        </w:rPr>
        <w:t>sequence kept constant to enable the accurate assessment of the effects of inserting a specific two-amino-acid group into the substitution domain, [XX]. As shown in Fig. 2.1B,</w:t>
      </w:r>
      <w:r w:rsidR="009F4348">
        <w:rPr>
          <w:rFonts w:ascii="Lato" w:eastAsia="Times New Roman" w:hAnsi="Lato" w:cs="Times New Roman"/>
          <w:sz w:val="36"/>
          <w:szCs w:val="36"/>
        </w:rPr>
        <w:t xml:space="preserve"> </w:t>
      </w:r>
      <w:r w:rsidRPr="0084736C">
        <w:rPr>
          <w:rFonts w:eastAsia="Times New Roman"/>
          <w:sz w:val="24"/>
          <w:szCs w:val="24"/>
        </w:rPr>
        <w:t>the partners of CoOP system have complementary charged amino acids on both ends of</w:t>
      </w:r>
      <w:r w:rsidR="009F4348">
        <w:rPr>
          <w:rFonts w:ascii="Lato" w:eastAsia="Times New Roman" w:hAnsi="Lato" w:cs="Times New Roman"/>
          <w:sz w:val="36"/>
          <w:szCs w:val="36"/>
        </w:rPr>
        <w:t xml:space="preserve"> </w:t>
      </w:r>
      <w:r w:rsidRPr="0084736C">
        <w:rPr>
          <w:rFonts w:eastAsia="Times New Roman"/>
          <w:sz w:val="24"/>
          <w:szCs w:val="24"/>
        </w:rPr>
        <w:t>the peptides: KFFXXK sequence is the positive partner (pos) and EFFXXE is the</w:t>
      </w:r>
      <w:r w:rsidR="009F4348">
        <w:rPr>
          <w:rFonts w:ascii="Lato" w:eastAsia="Times New Roman" w:hAnsi="Lato" w:cs="Times New Roman"/>
          <w:sz w:val="36"/>
          <w:szCs w:val="36"/>
        </w:rPr>
        <w:t xml:space="preserve"> </w:t>
      </w:r>
      <w:r w:rsidRPr="0084736C">
        <w:rPr>
          <w:rFonts w:eastAsia="Times New Roman"/>
          <w:sz w:val="24"/>
          <w:szCs w:val="24"/>
        </w:rPr>
        <w:t>negative partner (neg).</w:t>
      </w:r>
    </w:p>
    <w:p w14:paraId="56AE3CC8" w14:textId="1C4015BC" w:rsidR="007835DA" w:rsidRPr="00D4639D" w:rsidRDefault="007835DA" w:rsidP="00CC0180">
      <w:pPr>
        <w:rPr>
          <w:sz w:val="24"/>
          <w:szCs w:val="24"/>
        </w:rPr>
      </w:pPr>
      <w:bookmarkStart w:id="40" w:name="_Toc120782131"/>
      <w:r w:rsidRPr="00D4639D">
        <w:rPr>
          <w:b/>
          <w:bCs/>
          <w:sz w:val="24"/>
          <w:szCs w:val="24"/>
        </w:rPr>
        <w:t xml:space="preserve">Table 2. </w:t>
      </w:r>
      <w:r w:rsidRPr="00D4639D">
        <w:rPr>
          <w:b/>
          <w:bCs/>
          <w:sz w:val="24"/>
          <w:szCs w:val="24"/>
        </w:rPr>
        <w:fldChar w:fldCharType="begin"/>
      </w:r>
      <w:r w:rsidRPr="00D4639D">
        <w:rPr>
          <w:b/>
          <w:bCs/>
          <w:sz w:val="24"/>
          <w:szCs w:val="24"/>
        </w:rPr>
        <w:instrText xml:space="preserve"> SEQ Table_2. \* ARABIC </w:instrText>
      </w:r>
      <w:r w:rsidRPr="00D4639D">
        <w:rPr>
          <w:b/>
          <w:bCs/>
          <w:sz w:val="24"/>
          <w:szCs w:val="24"/>
        </w:rPr>
        <w:fldChar w:fldCharType="separate"/>
      </w:r>
      <w:r w:rsidR="00785166">
        <w:rPr>
          <w:b/>
          <w:bCs/>
          <w:noProof/>
          <w:sz w:val="24"/>
          <w:szCs w:val="24"/>
        </w:rPr>
        <w:t>1</w:t>
      </w:r>
      <w:r w:rsidRPr="00D4639D">
        <w:rPr>
          <w:b/>
          <w:bCs/>
          <w:sz w:val="24"/>
          <w:szCs w:val="24"/>
        </w:rPr>
        <w:fldChar w:fldCharType="end"/>
      </w:r>
      <w:r w:rsidRPr="00D4639D">
        <w:rPr>
          <w:b/>
          <w:bCs/>
          <w:sz w:val="24"/>
          <w:szCs w:val="24"/>
        </w:rPr>
        <w:t xml:space="preserve"> Sequences of the CoOPs used in this study.</w:t>
      </w:r>
      <w:r w:rsidRPr="00D4639D">
        <w:rPr>
          <w:sz w:val="24"/>
          <w:szCs w:val="24"/>
        </w:rPr>
        <w:t xml:space="preserve"> Each CoOPs has negatively and positively charged counterparts.</w:t>
      </w:r>
      <w:bookmarkEnd w:id="40"/>
    </w:p>
    <w:tbl>
      <w:tblPr>
        <w:tblStyle w:val="TableGridLight"/>
        <w:tblW w:w="0" w:type="auto"/>
        <w:tblLook w:val="04A0" w:firstRow="1" w:lastRow="0" w:firstColumn="1" w:lastColumn="0" w:noHBand="0" w:noVBand="1"/>
      </w:tblPr>
      <w:tblGrid>
        <w:gridCol w:w="3116"/>
        <w:gridCol w:w="3117"/>
        <w:gridCol w:w="3117"/>
      </w:tblGrid>
      <w:tr w:rsidR="007835DA" w14:paraId="19E93FA3" w14:textId="77777777" w:rsidTr="007835DA">
        <w:tc>
          <w:tcPr>
            <w:tcW w:w="3116" w:type="dxa"/>
          </w:tcPr>
          <w:p w14:paraId="3D1E7633" w14:textId="2B7E10CD" w:rsidR="007835DA" w:rsidRPr="007835DA" w:rsidRDefault="007835DA" w:rsidP="00E44507">
            <w:pPr>
              <w:spacing w:line="480" w:lineRule="auto"/>
              <w:rPr>
                <w:rFonts w:eastAsia="Times New Roman"/>
                <w:b/>
                <w:bCs/>
              </w:rPr>
            </w:pPr>
            <w:r w:rsidRPr="007835DA">
              <w:rPr>
                <w:rFonts w:eastAsia="Times New Roman"/>
                <w:b/>
                <w:bCs/>
              </w:rPr>
              <w:t>Nomenclature</w:t>
            </w:r>
          </w:p>
        </w:tc>
        <w:tc>
          <w:tcPr>
            <w:tcW w:w="3117" w:type="dxa"/>
          </w:tcPr>
          <w:p w14:paraId="54A963EF" w14:textId="236C579E" w:rsidR="007835DA" w:rsidRPr="007835DA" w:rsidRDefault="007835DA" w:rsidP="00E44507">
            <w:pPr>
              <w:spacing w:line="480" w:lineRule="auto"/>
              <w:rPr>
                <w:rFonts w:eastAsia="Times New Roman"/>
                <w:b/>
                <w:bCs/>
              </w:rPr>
            </w:pPr>
            <w:r w:rsidRPr="007835DA">
              <w:rPr>
                <w:rFonts w:eastAsia="Times New Roman"/>
                <w:b/>
                <w:bCs/>
              </w:rPr>
              <w:t>(-) charged peptide</w:t>
            </w:r>
          </w:p>
        </w:tc>
        <w:tc>
          <w:tcPr>
            <w:tcW w:w="3117" w:type="dxa"/>
          </w:tcPr>
          <w:p w14:paraId="016BA6C3" w14:textId="0B7322AF" w:rsidR="007835DA" w:rsidRPr="007835DA" w:rsidRDefault="007835DA" w:rsidP="00E44507">
            <w:pPr>
              <w:spacing w:line="480" w:lineRule="auto"/>
              <w:rPr>
                <w:rFonts w:eastAsia="Times New Roman"/>
                <w:b/>
                <w:bCs/>
              </w:rPr>
            </w:pPr>
            <w:r w:rsidRPr="007835DA">
              <w:rPr>
                <w:rFonts w:eastAsia="Times New Roman"/>
                <w:b/>
                <w:bCs/>
              </w:rPr>
              <w:t>(+) charged peptide</w:t>
            </w:r>
          </w:p>
        </w:tc>
      </w:tr>
      <w:tr w:rsidR="007835DA" w14:paraId="1EA7BB3F" w14:textId="77777777" w:rsidTr="007835DA">
        <w:tc>
          <w:tcPr>
            <w:tcW w:w="3116" w:type="dxa"/>
          </w:tcPr>
          <w:p w14:paraId="243B1DEB" w14:textId="4039ACBF" w:rsidR="007835DA" w:rsidRPr="009F4348" w:rsidRDefault="007835DA" w:rsidP="00E44507">
            <w:pPr>
              <w:spacing w:line="480" w:lineRule="auto"/>
              <w:rPr>
                <w:rFonts w:eastAsia="Times New Roman"/>
                <w:color w:val="C00000"/>
              </w:rPr>
            </w:pPr>
            <w:r w:rsidRPr="009F4348">
              <w:rPr>
                <w:rFonts w:eastAsia="Times New Roman"/>
                <w:color w:val="C00000"/>
              </w:rPr>
              <w:t>[AA]</w:t>
            </w:r>
          </w:p>
        </w:tc>
        <w:tc>
          <w:tcPr>
            <w:tcW w:w="3117" w:type="dxa"/>
          </w:tcPr>
          <w:p w14:paraId="0AF78D37" w14:textId="5693FB9D" w:rsidR="007835DA" w:rsidRPr="009F4348" w:rsidRDefault="007835DA" w:rsidP="00E44507">
            <w:pPr>
              <w:spacing w:line="480" w:lineRule="auto"/>
              <w:rPr>
                <w:rFonts w:eastAsia="Times New Roman"/>
                <w:color w:val="C00000"/>
              </w:rPr>
            </w:pPr>
            <w:r w:rsidRPr="009F4348">
              <w:rPr>
                <w:rFonts w:eastAsia="Times New Roman"/>
                <w:color w:val="C00000"/>
              </w:rPr>
              <w:t>Ac-EFFAAE-Am</w:t>
            </w:r>
          </w:p>
        </w:tc>
        <w:tc>
          <w:tcPr>
            <w:tcW w:w="3117" w:type="dxa"/>
          </w:tcPr>
          <w:p w14:paraId="55F121BA" w14:textId="72C33D66" w:rsidR="007835DA" w:rsidRPr="009F4348" w:rsidRDefault="007835DA" w:rsidP="00E44507">
            <w:pPr>
              <w:spacing w:line="480" w:lineRule="auto"/>
              <w:rPr>
                <w:rFonts w:eastAsia="Times New Roman"/>
                <w:color w:val="C00000"/>
              </w:rPr>
            </w:pPr>
            <w:r w:rsidRPr="009F4348">
              <w:rPr>
                <w:rFonts w:eastAsia="Times New Roman"/>
                <w:color w:val="C00000"/>
              </w:rPr>
              <w:t>Ac-KFFAAK-Am</w:t>
            </w:r>
          </w:p>
        </w:tc>
      </w:tr>
      <w:tr w:rsidR="007835DA" w14:paraId="6524949E" w14:textId="77777777" w:rsidTr="007835DA">
        <w:tc>
          <w:tcPr>
            <w:tcW w:w="3116" w:type="dxa"/>
          </w:tcPr>
          <w:p w14:paraId="23C71370" w14:textId="2E455778" w:rsidR="007835DA" w:rsidRPr="009F4348" w:rsidRDefault="007835DA" w:rsidP="00E44507">
            <w:pPr>
              <w:spacing w:line="480" w:lineRule="auto"/>
              <w:rPr>
                <w:rFonts w:eastAsia="Times New Roman"/>
                <w:color w:val="002060"/>
              </w:rPr>
            </w:pPr>
            <w:r w:rsidRPr="009F4348">
              <w:rPr>
                <w:rFonts w:eastAsia="Times New Roman"/>
                <w:color w:val="002060"/>
              </w:rPr>
              <w:t>[WW]</w:t>
            </w:r>
          </w:p>
        </w:tc>
        <w:tc>
          <w:tcPr>
            <w:tcW w:w="3117" w:type="dxa"/>
          </w:tcPr>
          <w:p w14:paraId="27418854" w14:textId="11B5EBF2" w:rsidR="007835DA" w:rsidRPr="009F4348" w:rsidRDefault="007835DA" w:rsidP="00E44507">
            <w:pPr>
              <w:spacing w:line="480" w:lineRule="auto"/>
              <w:rPr>
                <w:rFonts w:eastAsia="Times New Roman"/>
                <w:color w:val="002060"/>
              </w:rPr>
            </w:pPr>
            <w:r w:rsidRPr="009F4348">
              <w:rPr>
                <w:rFonts w:eastAsia="Times New Roman"/>
                <w:color w:val="002060"/>
              </w:rPr>
              <w:t>Ac-EFFWWE-Am</w:t>
            </w:r>
          </w:p>
        </w:tc>
        <w:tc>
          <w:tcPr>
            <w:tcW w:w="3117" w:type="dxa"/>
          </w:tcPr>
          <w:p w14:paraId="1817D3C9" w14:textId="761E9A90" w:rsidR="007835DA" w:rsidRPr="009F4348" w:rsidRDefault="007835DA" w:rsidP="00E44507">
            <w:pPr>
              <w:spacing w:line="480" w:lineRule="auto"/>
              <w:rPr>
                <w:rFonts w:eastAsia="Times New Roman"/>
                <w:color w:val="002060"/>
              </w:rPr>
            </w:pPr>
            <w:r w:rsidRPr="009F4348">
              <w:rPr>
                <w:rFonts w:eastAsia="Times New Roman"/>
                <w:color w:val="002060"/>
              </w:rPr>
              <w:t>Ac-KFFWWK-Am</w:t>
            </w:r>
          </w:p>
        </w:tc>
      </w:tr>
      <w:tr w:rsidR="007835DA" w14:paraId="16CE23F6" w14:textId="77777777" w:rsidTr="007835DA">
        <w:tc>
          <w:tcPr>
            <w:tcW w:w="3116" w:type="dxa"/>
          </w:tcPr>
          <w:p w14:paraId="47665FFE" w14:textId="573C7A0B" w:rsidR="007835DA" w:rsidRPr="009F4348" w:rsidRDefault="007835DA" w:rsidP="00E44507">
            <w:pPr>
              <w:spacing w:line="480" w:lineRule="auto"/>
              <w:rPr>
                <w:rFonts w:eastAsia="Times New Roman"/>
                <w:color w:val="385623" w:themeColor="accent6" w:themeShade="80"/>
              </w:rPr>
            </w:pPr>
            <w:r w:rsidRPr="009F4348">
              <w:rPr>
                <w:rFonts w:eastAsia="Times New Roman"/>
                <w:color w:val="385623" w:themeColor="accent6" w:themeShade="80"/>
              </w:rPr>
              <w:t>[II]</w:t>
            </w:r>
          </w:p>
        </w:tc>
        <w:tc>
          <w:tcPr>
            <w:tcW w:w="3117" w:type="dxa"/>
          </w:tcPr>
          <w:p w14:paraId="3D7D7102" w14:textId="4B09E0E9" w:rsidR="007835DA" w:rsidRPr="009F4348" w:rsidRDefault="007835DA" w:rsidP="00E44507">
            <w:pPr>
              <w:spacing w:line="480" w:lineRule="auto"/>
              <w:rPr>
                <w:rFonts w:eastAsia="Times New Roman"/>
                <w:color w:val="385623" w:themeColor="accent6" w:themeShade="80"/>
              </w:rPr>
            </w:pPr>
            <w:r w:rsidRPr="009F4348">
              <w:rPr>
                <w:rFonts w:eastAsia="Times New Roman"/>
                <w:color w:val="385623" w:themeColor="accent6" w:themeShade="80"/>
              </w:rPr>
              <w:t>Ac-EFFIIE-Am</w:t>
            </w:r>
          </w:p>
        </w:tc>
        <w:tc>
          <w:tcPr>
            <w:tcW w:w="3117" w:type="dxa"/>
          </w:tcPr>
          <w:p w14:paraId="10653C7C" w14:textId="47073709" w:rsidR="007835DA" w:rsidRPr="009F4348" w:rsidRDefault="007835DA" w:rsidP="00E44507">
            <w:pPr>
              <w:spacing w:line="480" w:lineRule="auto"/>
              <w:rPr>
                <w:rFonts w:eastAsia="Times New Roman"/>
                <w:color w:val="385623" w:themeColor="accent6" w:themeShade="80"/>
              </w:rPr>
            </w:pPr>
            <w:r w:rsidRPr="009F4348">
              <w:rPr>
                <w:rFonts w:eastAsia="Times New Roman"/>
                <w:color w:val="385623" w:themeColor="accent6" w:themeShade="80"/>
              </w:rPr>
              <w:t>Ac-KFFIIK-Am</w:t>
            </w:r>
          </w:p>
        </w:tc>
      </w:tr>
    </w:tbl>
    <w:p w14:paraId="3F9D4415" w14:textId="77777777" w:rsidR="00027B95" w:rsidRDefault="00027B95" w:rsidP="00E44507">
      <w:pPr>
        <w:spacing w:line="480" w:lineRule="auto"/>
        <w:rPr>
          <w:rFonts w:cstheme="minorHAnsi"/>
          <w:sz w:val="22"/>
          <w:szCs w:val="22"/>
        </w:rPr>
      </w:pPr>
    </w:p>
    <w:p w14:paraId="7E99FF09" w14:textId="7509C31E" w:rsidR="007835DA" w:rsidRPr="0084736C" w:rsidRDefault="007835DA" w:rsidP="00E44507">
      <w:pPr>
        <w:spacing w:line="480" w:lineRule="auto"/>
        <w:rPr>
          <w:rFonts w:cstheme="minorHAnsi"/>
          <w:sz w:val="24"/>
          <w:szCs w:val="24"/>
        </w:rPr>
      </w:pPr>
      <w:r w:rsidRPr="0084736C">
        <w:rPr>
          <w:rFonts w:cstheme="minorHAnsi"/>
          <w:sz w:val="24"/>
          <w:szCs w:val="24"/>
        </w:rPr>
        <w:t xml:space="preserve">Charged amino acids on the peptide termini induce the initial aggregation, followed by subsequent hierarchical assembly of 1D structure enables screening interactions of substitution domain and applying established methods to compare their effects on the properties of the resulted network. By introducing charged amino acids at both termini of the peptides, we increase solubility and allow the creation of </w:t>
      </w:r>
      <w:r w:rsidR="00D81776">
        <w:rPr>
          <w:rFonts w:cstheme="minorHAnsi"/>
          <w:sz w:val="24"/>
          <w:szCs w:val="24"/>
        </w:rPr>
        <w:t>“</w:t>
      </w:r>
      <w:r w:rsidRPr="0084736C">
        <w:rPr>
          <w:rFonts w:cstheme="minorHAnsi"/>
          <w:sz w:val="24"/>
          <w:szCs w:val="24"/>
        </w:rPr>
        <w:t>electrostatic mirror partners</w:t>
      </w:r>
      <w:r w:rsidR="00D81776">
        <w:rPr>
          <w:rFonts w:cstheme="minorHAnsi"/>
          <w:sz w:val="24"/>
          <w:szCs w:val="24"/>
        </w:rPr>
        <w:t xml:space="preserve">” </w:t>
      </w:r>
      <w:r w:rsidRPr="0084736C">
        <w:rPr>
          <w:rFonts w:cstheme="minorHAnsi"/>
          <w:sz w:val="24"/>
          <w:szCs w:val="24"/>
        </w:rPr>
        <w:t>(i.e., peptides with opposite net charge) that enhance aggregation by boosting initial peptide contacts.</w:t>
      </w:r>
      <w:r w:rsidRPr="0084736C">
        <w:rPr>
          <w:rFonts w:cstheme="minorHAnsi"/>
          <w:sz w:val="24"/>
          <w:szCs w:val="24"/>
        </w:rPr>
        <w:fldChar w:fldCharType="begin"/>
      </w:r>
      <w:r w:rsidR="008F09C1">
        <w:rPr>
          <w:rFonts w:cstheme="minorHAnsi"/>
          <w:sz w:val="24"/>
          <w:szCs w:val="24"/>
        </w:rPr>
        <w:instrText xml:space="preserve"> ADDIN ZOTERO_ITEM CSL_CITATION {"citationID":"81QEuGUV","properties":{"formattedCitation":"\\super 121\\nosupersub{}","plainCitation":"121","noteIndex":0},"citationItems":[{"id":2404,"uris":["http://zotero.org/groups/2667333/items/2N42S9R9"],"itemData":{"id":2404,"type":"article-journal","abstract":"We establish size limitations for assembling structures of controlled size and shape out of colloidal particles with short-ranged interactions. Through simulations we show that structures with highly variable shapes made out of dozens of particles can form with high yield, as long as each particle in the structure binds only to the particles in their local environment. To understand this, we identify the excited states that compete with the ground-state structure and demonstrate that these excited states have a completely topological characterization, valid when the interparticle interactions are short-ranged. This allows complete enumeration of the energy landscape and gives bounds on how large a colloidal structure can assemble with high yield. For large structures the yield can be significant, even with hundreds of particles.","container-title":"Proceedings of the National Academy of Sciences","DOI":"10.1073/pnas.1411765111","ISSN":"0027-8424, 1091-6490","issue":"45","journalAbbreviation":"PNAS","language":"en","note":"publisher: National Academy of Sciences\nsection: Physical Sciences\nPMID: 25349380","page":"15918-15923","source":"www-pnas-org.webproxy2.ouhsc.edu","title":"Size limits of self-assembled colloidal structures made using specific interactions","URL":"https://www.pnas.org/content/111/45/15918","volume":"111","author":[{"family":"Zeravcic","given":"Zorana"},{"family":"Manoharan","given":"Vinothan N."},{"family":"Brenner","given":"Michael P."}],"accessed":{"date-parts":[["2020",12,27]]},"issued":{"date-parts":[["2014",11,11]]},"citation-key":"zeravcicSizeLimitsSelfassembled2014"}}],"schema":"https://github.com/citation-style-language/schema/raw/master/csl-citation.json"}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121</w:t>
      </w:r>
      <w:r w:rsidRPr="0084736C">
        <w:rPr>
          <w:rFonts w:cstheme="minorHAnsi"/>
          <w:sz w:val="24"/>
          <w:szCs w:val="24"/>
        </w:rPr>
        <w:fldChar w:fldCharType="end"/>
      </w:r>
      <w:r w:rsidRPr="0084736C">
        <w:rPr>
          <w:rFonts w:cstheme="minorHAnsi"/>
          <w:sz w:val="24"/>
          <w:szCs w:val="24"/>
        </w:rPr>
        <w:t xml:space="preserve"> We select E and K to provide negative and positive charges, respectively. Our choice is informed by three key observations: first, salt bridges between K and E are known to enhance oligomer stability in amyloid-</w:t>
      </w:r>
      <w:r w:rsidRPr="0084736C">
        <w:rPr>
          <w:rFonts w:cstheme="minorHAnsi"/>
          <w:sz w:val="24"/>
          <w:szCs w:val="24"/>
        </w:rPr>
        <w:sym w:font="Symbol" w:char="F062"/>
      </w:r>
      <w:r w:rsidRPr="0084736C">
        <w:rPr>
          <w:rFonts w:cstheme="minorHAnsi"/>
          <w:sz w:val="24"/>
          <w:szCs w:val="24"/>
        </w:rPr>
        <w:t xml:space="preserve"> peptides;</w:t>
      </w:r>
      <w:r w:rsidRPr="0084736C">
        <w:rPr>
          <w:rFonts w:cstheme="minorHAnsi"/>
          <w:sz w:val="24"/>
          <w:szCs w:val="24"/>
        </w:rPr>
        <w:fldChar w:fldCharType="begin"/>
      </w:r>
      <w:r w:rsidR="008F09C1">
        <w:rPr>
          <w:rFonts w:cstheme="minorHAnsi"/>
          <w:sz w:val="24"/>
          <w:szCs w:val="24"/>
        </w:rPr>
        <w:instrText xml:space="preserve"> ADDIN ZOTERO_ITEM CSL_CITATION {"citationID":"lRKYI1Hn","properties":{"formattedCitation":"\\super 122\\nosupersub{}","plainCitation":"122","noteIndex":0},"citationItems":[{"id":3155,"uris":["http://zotero.org/groups/2667333/items/9UB9A99H"],"itemData":{"id":3155,"type":"article-journal","container-title":"Structure","DOI":"10.1016/S0969-2126(03)00031-5.","issue":"3","language":"en","page":"295–307","title":"Dissecting the Assembly of Aβ16–22 Amyloid Peptides into Antipar-allel β Sheets","URL":"https://doi.org/10.1016/S0969-2126(03)00031-5.","volume":"11","author":[{"family":"Klimov","given":"D.K."},{"family":"Thirumalai","given":"D."}],"issued":{"date-parts":[["2003"]]},"citation-key":"klimovDissectingAssemblyAv162003"}}],"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122</w:t>
      </w:r>
      <w:r w:rsidRPr="0084736C">
        <w:rPr>
          <w:rFonts w:cstheme="minorHAnsi"/>
          <w:sz w:val="24"/>
          <w:szCs w:val="24"/>
        </w:rPr>
        <w:fldChar w:fldCharType="end"/>
      </w:r>
      <w:r w:rsidRPr="0084736C">
        <w:rPr>
          <w:rFonts w:cstheme="minorHAnsi"/>
          <w:sz w:val="24"/>
          <w:szCs w:val="24"/>
        </w:rPr>
        <w:t xml:space="preserve"> second, the interaction of R with E is stronger than with K in a very specific direction, providing </w:t>
      </w:r>
      <w:r w:rsidRPr="0084736C">
        <w:rPr>
          <w:rFonts w:cstheme="minorHAnsi"/>
          <w:sz w:val="24"/>
          <w:szCs w:val="24"/>
        </w:rPr>
        <w:lastRenderedPageBreak/>
        <w:t>molecular orientation of binding partners, whereas K salt bridges are effectively isotropic;</w:t>
      </w:r>
      <w:r w:rsidRPr="0084736C">
        <w:rPr>
          <w:rFonts w:cstheme="minorHAnsi"/>
          <w:sz w:val="24"/>
          <w:szCs w:val="24"/>
        </w:rPr>
        <w:fldChar w:fldCharType="begin"/>
      </w:r>
      <w:r w:rsidR="008F09C1">
        <w:rPr>
          <w:rFonts w:cstheme="minorHAnsi"/>
          <w:sz w:val="24"/>
          <w:szCs w:val="24"/>
        </w:rPr>
        <w:instrText xml:space="preserve"> ADDIN ZOTERO_ITEM CSL_CITATION {"citationID":"FFmC5vUB","properties":{"formattedCitation":"\\super 123\\nosupersub{}","plainCitation":"123","noteIndex":0},"citationItems":[{"id":2811,"uris":["http://zotero.org/groups/2667333/items/9V4USUSF"],"itemData":{"id":2811,"type":"article-journal","abstract":"Charged amino acids are the most common on surfaces of proteins and understanding the interactions between these charged amino acids, salt bridging, is crucial for understanding protein–protein interactions. Previous simulations have been limited to implicit solvent or fixed binding geometry due to the sampling required for converged free energies. Using well-tempered metadynamics, we have calculated salt bridge free energy surfaces in water and confirmed the results with NMR experiments. The simulations give binding free energies, quantitative ranking of salt bridging strength, and insights into the hydration of the salt bridges. The arginine–aspartate salt bridge was found to be the weakest and arginine-glutamate the strongest, showing that arginine can discriminate between aspartate and glutamate, whereas the salt bridges with lysine are indistinguishable in their free energy. The salt bridging hydration is found to be complementary to salt bridge orientation with arginine having specific orientations.","container-title":"The Journal of Physical Chemistry B","DOI":"10.1021/jp4024469","ISSN":"1520-6106","issue":"24","journalAbbreviation":"J. Phys. Chem. B","note":"publisher: American Chemical Society","page":"7254-7259","source":"ACS Publications","title":"Free Energy of Solvated Salt Bridges: A Simulation and Experimental Study","title-short":"Free Energy of Solvated Salt Bridges","URL":"https://doi.org/10.1021/jp4024469","volume":"117","author":[{"family":"White","given":"Andrew D."},{"family":"Keefe","given":"Andrew J."},{"family":"Ella-Menye","given":"Jean-Rene"},{"family":"Nowinski","given":"Ann K."},{"family":"Shao","given":"Qing"},{"family":"Pfaendtner","given":"Jim"},{"family":"Jiang","given":"Shaoyi"}],"accessed":{"date-parts":[["2020",12,18]]},"issued":{"date-parts":[["2013",6,20]]},"citation-key":"whiteFreeEnergySolvated2013"}}],"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123</w:t>
      </w:r>
      <w:r w:rsidRPr="0084736C">
        <w:rPr>
          <w:rFonts w:cstheme="minorHAnsi"/>
          <w:sz w:val="24"/>
          <w:szCs w:val="24"/>
        </w:rPr>
        <w:fldChar w:fldCharType="end"/>
      </w:r>
      <w:r w:rsidRPr="0084736C">
        <w:rPr>
          <w:rFonts w:cstheme="minorHAnsi"/>
          <w:sz w:val="24"/>
          <w:szCs w:val="24"/>
        </w:rPr>
        <w:t xml:space="preserve"> finally, the additional methylene group of R can contribute non-specific interactions such as H-bonding with the backbone of the partner peptide.</w:t>
      </w:r>
      <w:r w:rsidRPr="0084736C">
        <w:rPr>
          <w:rFonts w:cstheme="minorHAnsi"/>
          <w:sz w:val="24"/>
          <w:szCs w:val="24"/>
        </w:rPr>
        <w:fldChar w:fldCharType="begin"/>
      </w:r>
      <w:r w:rsidR="008F09C1">
        <w:rPr>
          <w:rFonts w:cstheme="minorHAnsi"/>
          <w:sz w:val="24"/>
          <w:szCs w:val="24"/>
        </w:rPr>
        <w:instrText xml:space="preserve"> ADDIN ZOTERO_ITEM CSL_CITATION {"citationID":"92McxB4V","properties":{"formattedCitation":"\\super 124,125\\nosupersub{}","plainCitation":"124,125","noteIndex":0},"citationItems":[{"id":3160,"uris":["http://zotero.org/groups/2667333/items/I9Q98IV4"],"itemData":{"id":3160,"type":"article-journal","container-title":"Current Opinion in Chemical Biology","DOI":"10.1016/j.cbpa.2013.10.019.","issue":"6","journalAbbreviation":"Curr Opin Chem Biol","language":"en","page":"960–967","title":"Pairwise Interactions in Collagen and the Design of Heterotrimeric Helices","URL":"https://doi.org/10.1016/j.cbpa.2013.10.019.","volume":"17","author":[{"family":"Jalan","given":"A.A."},{"family":"Hartgerink","given":"J.D."}],"issued":{"date-parts":[["2013"]]},"citation-key":"jalanPairwiseInteractionsCollagen2013"}},{"id":3152,"uris":["http://zotero.org/groups/2667333/items/E6SFSQTT"],"itemData":{"id":3152,"type":"article-journal","container-title":"Interface Focus","DOI":"10.1098/rsfs.2016.0138.","issue":"6","language":"en","page":"20160138","title":"Crafting of Functional Biomaterials by Directed Molecular Self-Assembly of Triple Helical Peptide Building Blocks","URL":"https://doi.org/10.1098/rsfs.2016.0138.","volume":"7","author":[{"family":"Banerjee","given":"J."},{"family":"Azevedo","given":"H.S."}],"issued":{"date-parts":[["2017"]]},"citation-key":"banerjeeCraftingFunctionalBiomaterials2017"}}],"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124,125</w:t>
      </w:r>
      <w:r w:rsidRPr="0084736C">
        <w:rPr>
          <w:rFonts w:cstheme="minorHAnsi"/>
          <w:sz w:val="24"/>
          <w:szCs w:val="24"/>
        </w:rPr>
        <w:fldChar w:fldCharType="end"/>
      </w:r>
      <w:r w:rsidRPr="0084736C">
        <w:rPr>
          <w:rFonts w:cstheme="minorHAnsi"/>
          <w:sz w:val="24"/>
          <w:szCs w:val="24"/>
        </w:rPr>
        <w:t xml:space="preserve"> Acetylation on N-termini and amide group on C-termini restricts charged interactions to only the amino acid side chains. </w:t>
      </w:r>
    </w:p>
    <w:p w14:paraId="0000C77B" w14:textId="555C5D84" w:rsidR="007835DA" w:rsidRPr="0084736C" w:rsidRDefault="007835DA" w:rsidP="00E44507">
      <w:pPr>
        <w:spacing w:line="480" w:lineRule="auto"/>
        <w:rPr>
          <w:rFonts w:cstheme="minorHAnsi"/>
          <w:sz w:val="24"/>
          <w:szCs w:val="24"/>
        </w:rPr>
      </w:pPr>
      <w:r w:rsidRPr="0084736C">
        <w:rPr>
          <w:rFonts w:cstheme="minorHAnsi"/>
          <w:sz w:val="24"/>
          <w:szCs w:val="24"/>
        </w:rPr>
        <w:t xml:space="preserve">The substitution domain ([XX]) in the CoOP system in this paper is designed to be small but display measurable effects to demonstrate the capabilities of the strategy. We studied dialanine ([AA]), ditryptophan ([WW]), and diisoleucine ([II]), as shown in </w:t>
      </w:r>
      <w:r w:rsidRPr="0084736C">
        <w:rPr>
          <w:rFonts w:eastAsia="Times New Roman" w:cstheme="minorHAnsi"/>
          <w:sz w:val="24"/>
          <w:szCs w:val="24"/>
        </w:rPr>
        <w:t>Fig. 2.1B</w:t>
      </w:r>
      <w:r w:rsidRPr="0084736C">
        <w:rPr>
          <w:rFonts w:cstheme="minorHAnsi"/>
          <w:sz w:val="24"/>
          <w:szCs w:val="24"/>
        </w:rPr>
        <w:t>, each having a different hydrophobicity index (I &gt; W &gt; A) due to the importance of this parameter for peptide aggregation.</w:t>
      </w:r>
      <w:r w:rsidRPr="0084736C">
        <w:rPr>
          <w:rFonts w:cstheme="minorHAnsi"/>
          <w:sz w:val="24"/>
          <w:szCs w:val="24"/>
        </w:rPr>
        <w:fldChar w:fldCharType="begin"/>
      </w:r>
      <w:r w:rsidR="008F09C1">
        <w:rPr>
          <w:rFonts w:cstheme="minorHAnsi"/>
          <w:sz w:val="24"/>
          <w:szCs w:val="24"/>
        </w:rPr>
        <w:instrText xml:space="preserve"> ADDIN ZOTERO_ITEM CSL_CITATION {"citationID":"21R3nQ2Y","properties":{"formattedCitation":"\\super 126,127\\nosupersub{}","plainCitation":"126,127","noteIndex":0},"citationItems":[{"id":2382,"uris":["http://zotero.org/groups/2667333/items/IBJYUB9Y"],"itemData":{"id":2382,"type":"article-journal","abstract":"The aim of the present investigation is to determine the effect of α-helical propensity and sidechain hydrophobicity on the stability of amphipathic α-helices. Accordingly, a series of 18-residue amphipathic α-helical peptides has been synthesized as a model system where all 20 amino acid residues were substituted on the hydrophobic face of the amphipathic α-helix. In these experiments, all three parameters (sidechain hydrophobicity, α-helical propensity and helix stability) were measured on the same set of peptide analogues. For these peptide analogues that differ by only one amino acid residue, there was a 0.96 kcal/mole difference in α-helical propensity between the most (Ala) and the least (Gly) α-helical analogue, a 12.1-minute difference between the most (Phe) and the least (Asp) retentive analogue on the reversed-phase column, and a 32.3°C difference in melting temperatures between the most (Leu) and the least (Asp) stable analogue. The results show that the hydrophobicity and α-helical propensity of an amino acid sidechain are not correlated with each other, but each contributes to the stability of the amphipathic α-helix. More importantly, the combined effects of α-helical propensity and sidechain hydrophobicity at a ratio of about 2:1 had optimal correlation with α-helix stability. These results suggest that both α-helical propensity and sidechain hydrophobicity should be taken into consideration in the design of α-helical proteins with the desired stability.","container-title":"Journal of Peptide Science","DOI":"https://doi.org/10.1002/psc.310010507","ISSN":"1099-1387","issue":"5","journalAbbreviation":"J. Pept. Sci","language":"en","license":"Copyright © 1995 European Peptide Society and John Wiley &amp; Sons Ltd.","note":"_eprint: https://onlinelibrary.wiley.com/doi/pdf/10.1002/psc.310010507","page":"319-329","source":"Wiley Online Library","title":"Relationship of sidechain hydrophobicity and α-helical propensity on the stability of the single-stranded amphipathic α-helix","URL":"https://onlinelibrary.wiley.com/doi/abs/10.1002/psc.310010507","volume":"1","author":[{"family":"Monera","given":"Oscar D."},{"family":"Sereda","given":"Terrance J."},{"family":"Zhou","given":"Nian E."},{"family":"Kay","given":"Cyril M."},{"family":"Hodges","given":"Robert S."}],"accessed":{"date-parts":[["2020",12,29]]},"issued":{"date-parts":[["1995"]]},"citation-key":"moneraRelationshipSidechainHydrophobicity1995"}},{"id":3164,"uris":["http://zotero.org/groups/2667333/items/RIBH5HSW"],"itemData":{"id":3164,"type":"article-journal","container-title":"Soft Matter","DOI":"10.1039/C4SM00378K.","issue":"27","language":"en","page":"4956–4965","title":"Effects of Hydrophobic Interaction Strength on the Self-Assembled Structures of Model Peptides","URL":"https://doi.org/10.1039/C4SM00378K.","volume":"10","author":[{"family":"Mu","given":"Y."},{"family":"Yu","given":"M."}],"issued":{"date-parts":[["2014"]]},"citation-key":"muEffectsHydrophobicInteraction2014a"}}],"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126,127</w:t>
      </w:r>
      <w:r w:rsidRPr="0084736C">
        <w:rPr>
          <w:rFonts w:cstheme="minorHAnsi"/>
          <w:sz w:val="24"/>
          <w:szCs w:val="24"/>
        </w:rPr>
        <w:fldChar w:fldCharType="end"/>
      </w:r>
      <w:r w:rsidRPr="0084736C">
        <w:rPr>
          <w:rFonts w:cstheme="minorHAnsi"/>
          <w:sz w:val="24"/>
          <w:szCs w:val="24"/>
        </w:rPr>
        <w:t xml:space="preserve"> Hydrophobicity index is related to solvent accessible surface area (ASA), which defines as the exposed surface area of an amino acid to solvent.</w:t>
      </w:r>
      <w:r w:rsidRPr="0084736C">
        <w:rPr>
          <w:rFonts w:cstheme="minorHAnsi"/>
          <w:sz w:val="24"/>
          <w:szCs w:val="24"/>
        </w:rPr>
        <w:fldChar w:fldCharType="begin"/>
      </w:r>
      <w:r w:rsidR="008F09C1">
        <w:rPr>
          <w:rFonts w:cstheme="minorHAnsi"/>
          <w:sz w:val="24"/>
          <w:szCs w:val="24"/>
        </w:rPr>
        <w:instrText xml:space="preserve"> ADDIN ZOTERO_ITEM CSL_CITATION {"citationID":"arZU9gPU","properties":{"formattedCitation":"\\super 128\\nosupersub{}","plainCitation":"128","noteIndex":0},"citationItems":[{"id":3563,"uris":["http://zotero.org/groups/2667333/items/UKGXPX22"],"itemData":{"id":3563,"type":"article-journal","container-title":"Scientific Reports","DOI":"10.1038/srep11476","ISSN":"2045-2322","issue":"1","journalAbbreviation":"Sci. Rep.","language":"en","note":"tex.ids= heffernan_improving_2015","page":"11476","source":"DOI.org (Crossref)","title":"Improving prediction of secondary structure, local backbone angles and solvent accessible surface area of proteins by iterative deep learning","URL":"http://www.nature.com/articles/srep11476","volume":"5","author":[{"family":"Heffernan","given":"Rhys"},{"family":"Paliwal","given":"Kuldip"},{"family":"Lyons","given":"James"},{"family":"Dehzangi","given":"Abdollah"},{"family":"Sharma","given":"Alok"},{"family":"Wang","given":"Jihua"},{"family":"Sattar","given":"Abdul"},{"family":"Yang","given":"Yuedong"},{"family":"Zhou","given":"Yaoqi"}],"accessed":{"date-parts":[["2020",12,23]]},"issued":{"date-parts":[["2015",9]]},"citation-key":"heffernanImprovingPredictionSecondary2015"}}],"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128</w:t>
      </w:r>
      <w:r w:rsidRPr="0084736C">
        <w:rPr>
          <w:rFonts w:cstheme="minorHAnsi"/>
          <w:sz w:val="24"/>
          <w:szCs w:val="24"/>
        </w:rPr>
        <w:fldChar w:fldCharType="end"/>
      </w:r>
      <w:r w:rsidRPr="0084736C">
        <w:rPr>
          <w:rFonts w:cstheme="minorHAnsi"/>
          <w:sz w:val="24"/>
          <w:szCs w:val="24"/>
        </w:rPr>
        <w:t xml:space="preserve"> A comparison of the substituted residues based on the ratio of hydrophobic and hydrophilic ASA (ASA ratio) is I (3.9) &gt; W (2.3) &gt; A (1.5).</w:t>
      </w:r>
      <w:r w:rsidRPr="0084736C">
        <w:rPr>
          <w:rFonts w:cstheme="minorHAnsi"/>
          <w:sz w:val="24"/>
          <w:szCs w:val="24"/>
        </w:rPr>
        <w:fldChar w:fldCharType="begin"/>
      </w:r>
      <w:r w:rsidR="008F09C1">
        <w:rPr>
          <w:rFonts w:cstheme="minorHAnsi"/>
          <w:sz w:val="24"/>
          <w:szCs w:val="24"/>
        </w:rPr>
        <w:instrText xml:space="preserve"> ADDIN ZOTERO_ITEM CSL_CITATION {"citationID":"oNjfL2Un","properties":{"formattedCitation":"\\super 129\\nosupersub{}","plainCitation":"129","noteIndex":0},"citationItems":[{"id":4171,"uris":["http://zotero.org/groups/2667333/items/UUK33ML5"],"itemData":{"id":4171,"type":"article-journal","abstract":"We analyzed the total, hydrophobic, and hydrophilic accessible surfaces (ASAs) of residues from a nonredundant bank of 587 3D structure proteins. In an extended fold, residues are classified into three families with respect to their hydrophobicity balance. As expected, residues lose part of their solvent-accessible surface with folding but the three groups remain. The decrease of accessibility is more pronounced for hydrophobic than hydrophilic residues. Amazingly, Lysine is the residue with the largest hydrophobic accessible surface in folded structures. Our analysis points out a clear difference between the mean (other studies) and median (this study) ASA values of hydrophobic residues, which should be taken into consideration for future investigations on a protein-accessible surface, in order to improve predictions requiring ASA values. The different secondary structures correspond to different accessibility of residues. Random coils, turns, and β-structures (outside β-sheets) are the most accessible folds, with an average of 30% accessibility. The helical residues are about 20% accessible, and the difference between the hydrophobic and the hydrophilic residues illustrates the amphipathy of many helices. Residues from β-sheets are the most inaccessible to solvent (10% accessible). Hence, β-sheets are the most appropriate structures to shield the hydrophobic parts of residues from water. We also show that there is an equal balance between the hydrophobic and the hydrophilic accessible surfaces of the 3D protein surfaces irrespective of the protein size. This results in a patchwork surface of hydrophobic and hydrophilic areas, which could be important for protein interactions and/or activity.","container-title":"Protein Science","DOI":"10.1110/ps.0304803","ISSN":"1469-896X","issue":"7","language":"en","note":"_eprint: https://onlinelibrary.wiley.com/doi/pdf/10.1110/ps.0304803","page":"1406-1417","source":"Wiley Online Library","title":"Analysis of accessible surface of residues in proteins","URL":"https://onlinelibrary.wiley.com/doi/abs/10.1110/ps.0304803","volume":"12","author":[{"family":"Lins","given":"Laurence"},{"family":"Thomas","given":"Annick"},{"family":"Brasseur","given":"Robert"}],"accessed":{"date-parts":[["2020",8,29]]},"issued":{"date-parts":[["2003"]]},"citation-key":"linsAnalysisAccessibleSurface2003"}}],"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129</w:t>
      </w:r>
      <w:r w:rsidRPr="0084736C">
        <w:rPr>
          <w:rFonts w:cstheme="minorHAnsi"/>
          <w:sz w:val="24"/>
          <w:szCs w:val="24"/>
        </w:rPr>
        <w:fldChar w:fldCharType="end"/>
      </w:r>
      <w:r w:rsidRPr="0084736C">
        <w:rPr>
          <w:rFonts w:cstheme="minorHAnsi"/>
          <w:sz w:val="24"/>
          <w:szCs w:val="24"/>
        </w:rPr>
        <w:t xml:space="preserve"> Furthermore, the </w:t>
      </w:r>
      <w:r w:rsidRPr="0084736C">
        <w:rPr>
          <w:rFonts w:eastAsia="Times New Roman" w:cstheme="minorHAnsi"/>
          <w:sz w:val="24"/>
          <w:szCs w:val="24"/>
        </w:rPr>
        <w:sym w:font="Symbol" w:char="F062"/>
      </w:r>
      <w:r w:rsidRPr="0084736C">
        <w:rPr>
          <w:rFonts w:eastAsia="Times New Roman" w:cstheme="minorHAnsi"/>
          <w:sz w:val="24"/>
          <w:szCs w:val="24"/>
        </w:rPr>
        <w:t>-</w:t>
      </w:r>
      <w:r w:rsidRPr="0084736C">
        <w:rPr>
          <w:rFonts w:cstheme="minorHAnsi"/>
          <w:sz w:val="24"/>
          <w:szCs w:val="24"/>
        </w:rPr>
        <w:t xml:space="preserve">sheet propensities of these amino acids that are calculated based on their frequencies of existence in a </w:t>
      </w:r>
      <w:r w:rsidRPr="0084736C">
        <w:rPr>
          <w:rFonts w:eastAsia="Times New Roman" w:cstheme="minorHAnsi"/>
          <w:sz w:val="24"/>
          <w:szCs w:val="24"/>
        </w:rPr>
        <w:sym w:font="Symbol" w:char="F062"/>
      </w:r>
      <w:r w:rsidRPr="0084736C">
        <w:rPr>
          <w:rFonts w:eastAsia="Times New Roman" w:cstheme="minorHAnsi"/>
          <w:sz w:val="24"/>
          <w:szCs w:val="24"/>
        </w:rPr>
        <w:t>-</w:t>
      </w:r>
      <w:r w:rsidRPr="0084736C">
        <w:rPr>
          <w:rFonts w:cstheme="minorHAnsi"/>
          <w:sz w:val="24"/>
          <w:szCs w:val="24"/>
        </w:rPr>
        <w:t>sheet region of analyzed proteins by Chau-Fassman follow a similar trend; I(f:0.274) &gt; W(f:0.203) &gt; A(f:0.167).</w:t>
      </w:r>
      <w:r w:rsidRPr="0084736C">
        <w:rPr>
          <w:rFonts w:cstheme="minorHAnsi"/>
          <w:sz w:val="24"/>
          <w:szCs w:val="24"/>
        </w:rPr>
        <w:fldChar w:fldCharType="begin"/>
      </w:r>
      <w:r w:rsidR="008F09C1">
        <w:rPr>
          <w:rFonts w:cstheme="minorHAnsi"/>
          <w:sz w:val="24"/>
          <w:szCs w:val="24"/>
        </w:rPr>
        <w:instrText xml:space="preserve"> ADDIN ZOTERO_ITEM CSL_CITATION {"citationID":"F03yqCOZ","properties":{"formattedCitation":"\\super 130\\nosupersub{}","plainCitation":"130","noteIndex":0},"citationItems":[{"id":2181,"uris":["http://zotero.org/groups/2667333/items/SWU7ZTCI"],"itemData":{"id":2181,"type":"article-journal","container-title":"Biochemistry","DOI":"10.1021/bi00699a001","ISSN":"0006-2960","issue":"2","journalAbbreviation":"Biochemistry","note":"publisher: American Chemical Society","page":"211-222","source":"ACS Publications","title":"Conformational parameters for amino acids in helical, β-sheet, and random coil regions calculated from proteins","URL":"https://doi.org/10.1021/bi00699a001","volume":"13","author":[{"family":"Chou","given":"Peter Y."},{"family":"Fasman","given":"Gerald D."}],"accessed":{"date-parts":[["2021",7,28]]},"issued":{"date-parts":[["1974",1,15]]},"citation-key":"chouConformationalParametersAmino1974"}}],"schema":"https://github.com/citation-style-language/schema/raw/master/csl-citation.json"}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130</w:t>
      </w:r>
      <w:r w:rsidRPr="0084736C">
        <w:rPr>
          <w:rFonts w:cstheme="minorHAnsi"/>
          <w:sz w:val="24"/>
          <w:szCs w:val="24"/>
        </w:rPr>
        <w:fldChar w:fldCharType="end"/>
      </w:r>
    </w:p>
    <w:p w14:paraId="0F15D0B3" w14:textId="41A71846" w:rsidR="007835DA" w:rsidRPr="0084736C" w:rsidRDefault="007835DA" w:rsidP="00E44507">
      <w:pPr>
        <w:spacing w:line="480" w:lineRule="auto"/>
        <w:rPr>
          <w:sz w:val="24"/>
          <w:szCs w:val="24"/>
        </w:rPr>
      </w:pPr>
      <w:r w:rsidRPr="0084736C">
        <w:rPr>
          <w:sz w:val="24"/>
          <w:szCs w:val="24"/>
        </w:rPr>
        <w:t xml:space="preserve">The assembly pathway and peptide-peptide orientation are defined by the basic molecular framework of CoOP (i.e., the FF domain and terminal charges) while the intermolecular interactions provided by the substitution domain influence the assembly kinetics and mechanism, as well as the physical properties of the hierarchical assembly of the fibrillar structure and its resultant network. As a result, this CoOP system is designed as a tool to screen different canonical and non-canonical amino acids to identify </w:t>
      </w:r>
      <w:r w:rsidRPr="0084736C">
        <w:rPr>
          <w:sz w:val="24"/>
          <w:szCs w:val="24"/>
        </w:rPr>
        <w:lastRenderedPageBreak/>
        <w:t>their effects on intermolecular interactions and to correlate them with the initial interactions and properties of the final hydrogel network.</w:t>
      </w:r>
    </w:p>
    <w:p w14:paraId="36962193" w14:textId="77777777" w:rsidR="007835DA" w:rsidRDefault="007835DA" w:rsidP="00E44507">
      <w:pPr>
        <w:keepNext/>
        <w:spacing w:line="480" w:lineRule="auto"/>
      </w:pPr>
      <w:r>
        <w:rPr>
          <w:noProof/>
        </w:rPr>
        <w:drawing>
          <wp:inline distT="0" distB="0" distL="0" distR="0" wp14:anchorId="5C8CA2CA" wp14:editId="3137FE24">
            <wp:extent cx="5943600" cy="3847465"/>
            <wp:effectExtent l="0" t="0" r="0" b="635"/>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847465"/>
                    </a:xfrm>
                    <a:prstGeom prst="rect">
                      <a:avLst/>
                    </a:prstGeom>
                  </pic:spPr>
                </pic:pic>
              </a:graphicData>
            </a:graphic>
          </wp:inline>
        </w:drawing>
      </w:r>
    </w:p>
    <w:p w14:paraId="7939088B" w14:textId="44564DBF" w:rsidR="007835DA" w:rsidRPr="00D4639D" w:rsidRDefault="007835DA" w:rsidP="008A3EF7">
      <w:pPr>
        <w:pStyle w:val="Caption"/>
        <w:rPr>
          <w:b/>
          <w:bCs/>
        </w:rPr>
      </w:pPr>
      <w:bookmarkStart w:id="41" w:name="_Toc113560029"/>
      <w:bookmarkStart w:id="42" w:name="_Toc115118617"/>
      <w:r w:rsidRPr="00D4639D">
        <w:t xml:space="preserve">Figure 2. </w:t>
      </w:r>
      <w:fldSimple w:instr=" SEQ Figure_2. \* ARABIC ">
        <w:r w:rsidR="00785166">
          <w:rPr>
            <w:noProof/>
          </w:rPr>
          <w:t>1</w:t>
        </w:r>
      </w:fldSimple>
      <w:r w:rsidRPr="00D4639D">
        <w:t xml:space="preserve"> CoOP design composed of oppositely charged hexapeptide units which represent the minimalistic assembly template</w:t>
      </w:r>
      <w:r w:rsidRPr="00D4639D">
        <w:rPr>
          <w:bCs/>
        </w:rPr>
        <w:t>.</w:t>
      </w:r>
      <w:r w:rsidR="00B21E63" w:rsidRPr="00D4639D">
        <w:rPr>
          <w:bCs/>
        </w:rPr>
        <w:t xml:space="preserve"> </w:t>
      </w:r>
      <w:r w:rsidRPr="00D4639D">
        <w:rPr>
          <w:bCs/>
        </w:rPr>
        <w:t xml:space="preserve">Schematic description of peptide co-assembly triggered by oppositely charged hexapeptides (A). Chemical representation of hexapeptides (B). E and K residues at both ends provided electrostatic interactions, FF at the core contributed self-assembly with </w:t>
      </w:r>
      <w:r w:rsidRPr="00D4639D">
        <w:rPr>
          <w:bCs/>
        </w:rPr>
        <w:sym w:font="Symbol" w:char="F070"/>
      </w:r>
      <w:r w:rsidRPr="00D4639D">
        <w:rPr>
          <w:bCs/>
        </w:rPr>
        <w:t>-stacking and replacing [XX] with either dialanine, ditryptophan or diisoleucine to enable tunable hydrophobic interactions.</w:t>
      </w:r>
      <w:bookmarkEnd w:id="41"/>
      <w:bookmarkEnd w:id="42"/>
    </w:p>
    <w:p w14:paraId="3C625328" w14:textId="77777777" w:rsidR="007835DA" w:rsidRPr="00B21E63" w:rsidRDefault="007835DA" w:rsidP="00E44507">
      <w:pPr>
        <w:spacing w:line="480" w:lineRule="auto"/>
        <w:rPr>
          <w:bCs/>
        </w:rPr>
      </w:pPr>
    </w:p>
    <w:p w14:paraId="0DA5CF19" w14:textId="77777777" w:rsidR="007835DA" w:rsidRDefault="007835DA" w:rsidP="00E44507">
      <w:pPr>
        <w:keepNext/>
        <w:spacing w:line="480" w:lineRule="auto"/>
        <w:jc w:val="center"/>
      </w:pPr>
      <w:r>
        <w:rPr>
          <w:noProof/>
        </w:rPr>
        <w:lastRenderedPageBreak/>
        <w:drawing>
          <wp:inline distT="0" distB="0" distL="0" distR="0" wp14:anchorId="6BEB5259" wp14:editId="6678083D">
            <wp:extent cx="4699322" cy="4132993"/>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17301" cy="4148806"/>
                    </a:xfrm>
                    <a:prstGeom prst="rect">
                      <a:avLst/>
                    </a:prstGeom>
                  </pic:spPr>
                </pic:pic>
              </a:graphicData>
            </a:graphic>
          </wp:inline>
        </w:drawing>
      </w:r>
    </w:p>
    <w:p w14:paraId="3CED6293" w14:textId="2304FB54" w:rsidR="007835DA" w:rsidRPr="00D4639D" w:rsidRDefault="007835DA" w:rsidP="00AF1814">
      <w:pPr>
        <w:rPr>
          <w:sz w:val="24"/>
          <w:szCs w:val="24"/>
        </w:rPr>
      </w:pPr>
      <w:bookmarkStart w:id="43" w:name="_Toc113560030"/>
      <w:bookmarkStart w:id="44" w:name="_Toc115118618"/>
      <w:r w:rsidRPr="00D4639D">
        <w:rPr>
          <w:b/>
          <w:bCs/>
          <w:sz w:val="24"/>
          <w:szCs w:val="24"/>
        </w:rPr>
        <w:t xml:space="preserve">Figure 2. </w:t>
      </w:r>
      <w:r w:rsidRPr="00D4639D">
        <w:rPr>
          <w:b/>
          <w:bCs/>
          <w:sz w:val="24"/>
          <w:szCs w:val="24"/>
        </w:rPr>
        <w:fldChar w:fldCharType="begin"/>
      </w:r>
      <w:r w:rsidRPr="00D4639D">
        <w:rPr>
          <w:b/>
          <w:bCs/>
          <w:sz w:val="24"/>
          <w:szCs w:val="24"/>
        </w:rPr>
        <w:instrText xml:space="preserve"> SEQ Figure_2. \* ARABIC </w:instrText>
      </w:r>
      <w:r w:rsidRPr="00D4639D">
        <w:rPr>
          <w:b/>
          <w:bCs/>
          <w:sz w:val="24"/>
          <w:szCs w:val="24"/>
        </w:rPr>
        <w:fldChar w:fldCharType="separate"/>
      </w:r>
      <w:r w:rsidR="00785166">
        <w:rPr>
          <w:b/>
          <w:bCs/>
          <w:noProof/>
          <w:sz w:val="24"/>
          <w:szCs w:val="24"/>
        </w:rPr>
        <w:t>2</w:t>
      </w:r>
      <w:r w:rsidRPr="00D4639D">
        <w:rPr>
          <w:b/>
          <w:bCs/>
          <w:sz w:val="24"/>
          <w:szCs w:val="24"/>
        </w:rPr>
        <w:fldChar w:fldCharType="end"/>
      </w:r>
      <w:r w:rsidRPr="00D4639D">
        <w:rPr>
          <w:b/>
          <w:bCs/>
          <w:sz w:val="24"/>
          <w:szCs w:val="24"/>
        </w:rPr>
        <w:t xml:space="preserve"> Free energy surfaces of three co-assembly systems from a metadynamics calculation.</w:t>
      </w:r>
      <w:r w:rsidRPr="00D4639D">
        <w:rPr>
          <w:sz w:val="24"/>
          <w:szCs w:val="24"/>
        </w:rPr>
        <w:t xml:space="preserve"> </w:t>
      </w:r>
      <w:r w:rsidRPr="00D4639D">
        <w:rPr>
          <w:i/>
          <w:iCs/>
          <w:sz w:val="24"/>
          <w:szCs w:val="24"/>
        </w:rPr>
        <w:t>r</w:t>
      </w:r>
      <w:r w:rsidRPr="00D4639D">
        <w:rPr>
          <w:sz w:val="24"/>
          <w:szCs w:val="24"/>
        </w:rPr>
        <w:t xml:space="preserve"> is average distance between all centers of mass and R</w:t>
      </w:r>
      <w:r w:rsidRPr="00D4639D">
        <w:rPr>
          <w:sz w:val="24"/>
          <w:szCs w:val="24"/>
          <w:vertAlign w:val="subscript"/>
        </w:rPr>
        <w:t>g</w:t>
      </w:r>
      <w:r w:rsidRPr="00D4639D">
        <w:rPr>
          <w:sz w:val="24"/>
          <w:szCs w:val="24"/>
        </w:rPr>
        <w:t xml:space="preserve"> is the average radii of gyration (both only consider backbone atoms). Panels A-C show free energy as computed via the metadynamics bias. Panel D shows the integrated free energy surface along the average distance. This plot does not predict the occurrence of self-assembly but is instead a measure of solvated peptide aggregation.</w:t>
      </w:r>
      <w:bookmarkEnd w:id="43"/>
      <w:bookmarkEnd w:id="44"/>
    </w:p>
    <w:p w14:paraId="1AC58FC6" w14:textId="143A36FC" w:rsidR="007835DA" w:rsidRPr="0084736C" w:rsidRDefault="007835DA" w:rsidP="00E44507">
      <w:pPr>
        <w:spacing w:line="480" w:lineRule="auto"/>
        <w:rPr>
          <w:rFonts w:cstheme="minorHAnsi"/>
          <w:sz w:val="24"/>
          <w:szCs w:val="24"/>
        </w:rPr>
      </w:pPr>
      <w:r w:rsidRPr="0084736C">
        <w:rPr>
          <w:rFonts w:cstheme="minorHAnsi"/>
          <w:sz w:val="24"/>
          <w:szCs w:val="24"/>
        </w:rPr>
        <w:t xml:space="preserve">First, we validated the design via molecular dynamics simulations (MD). All-atom MD was used to access microscopic details that are otherwise difficult to attain in experimental techniques. Specifically, we sought information regarding the initial contact and interactions between amino acid side chains during assembly to assess our design rationale instead of prediction of entire process. We do not intend the molecular simulations to provide a fully predictive view of the entire process of assembly as the time and length-scales accessible to molecular simulations cannot adequately reproduce </w:t>
      </w:r>
      <w:r w:rsidRPr="0084736C">
        <w:rPr>
          <w:rFonts w:cstheme="minorHAnsi"/>
          <w:sz w:val="24"/>
          <w:szCs w:val="24"/>
        </w:rPr>
        <w:lastRenderedPageBreak/>
        <w:t>experimental systems. Nonetheless, such techniques can help to examine reliability of our initial assumptions about the assembly process and measure free energies of pre-aggregated peptides.</w:t>
      </w:r>
    </w:p>
    <w:p w14:paraId="4259E35A" w14:textId="13E49D16" w:rsidR="007835DA" w:rsidRPr="0084736C" w:rsidRDefault="007835DA" w:rsidP="00E44507">
      <w:pPr>
        <w:spacing w:line="480" w:lineRule="auto"/>
        <w:rPr>
          <w:sz w:val="24"/>
          <w:szCs w:val="24"/>
        </w:rPr>
      </w:pPr>
      <w:r w:rsidRPr="0084736C">
        <w:rPr>
          <w:rFonts w:cstheme="minorHAnsi"/>
          <w:sz w:val="24"/>
          <w:szCs w:val="24"/>
        </w:rPr>
        <w:t>Enhanced sampling or additional phenomenological modeling must be used to connect the relatively short timescales accessible using MD to the co-assembly experiments. For example, Amirkulava et al.</w:t>
      </w:r>
      <w:r w:rsidRPr="0084736C">
        <w:rPr>
          <w:rFonts w:cstheme="minorHAnsi"/>
          <w:sz w:val="24"/>
          <w:szCs w:val="24"/>
        </w:rPr>
        <w:fldChar w:fldCharType="begin"/>
      </w:r>
      <w:r w:rsidR="008F09C1">
        <w:rPr>
          <w:rFonts w:cstheme="minorHAnsi"/>
          <w:sz w:val="24"/>
          <w:szCs w:val="24"/>
        </w:rPr>
        <w:instrText xml:space="preserve"> ADDIN ZOTERO_ITEM CSL_CITATION {"citationID":"YkKcHXSA","properties":{"formattedCitation":"\\super 131\\nosupersub{}","plainCitation":"131","noteIndex":0},"citationItems":[{"id":2207,"uris":["http://zotero.org/groups/2667333/items/PTVGX3UZ"],"itemData":{"id":2207,"type":"article-journal","abstract":"Misfolded amyloid peptides are neurotoxic molecules associated with Alzheimer’s disease. The Aβ21–30 peptide fragment is a decapeptide fragment of the complete Aβ42 peptide which is a hypothesized cause of Alzheimer’s disease via amyloid fibrillogenesis. Aβ21–30 is investigated here with a combination of NMR (nuclear magnetic resonance) spectroscopy experiments and molecular dynamics simulations with experiment directed simulation (EDS). EDS is a maximum entropy biasing method that augments a molecular dynamics simulation with experimental data (NMR chemical shifts) to improve agreement with experiments and thus accuracy. EDS molecular dynamics shows that the Aβ21–30 monomer has a β turn stabilized by the following interactions: S26–K28, D23–S26, and D23–K28. NMR, total correlation spectroscopy, and rotating frame Overhauser effect spectroscopy experiments provide independent agreement. Subsequent two- and four-monomer EDS simulations show aggregation. Diffusion coefficients calculated from molecular simulation also agreed with experimentally measured values only after using EDS, providing independent assessment of accuracy. This work demonstrates how accuracy can be improved by directly using experimental data in molecular dynamics of complex processes like self-assembly.","container-title":"The Journal of Physical Chemistry B","DOI":"10.1021/acs.jpcb.0c07129","ISSN":"1520-6106","issue":"38","journalAbbreviation":"J. Phys. Chem. B","note":"publisher: American Chemical Society","page":"8266-8277","source":"ACS Publications","title":"Experimentally Consistent Simulation of Aβ21–30 Peptides with a Minimal NMR Bias","URL":"https://doi.org/10.1021/acs.jpcb.0c07129","volume":"124","author":[{"family":"Amirkulova","given":"Dilnoza B."},{"family":"Chakraborty","given":"Maghesree"},{"family":"White","given":"Andrew D."}],"accessed":{"date-parts":[["2021",7,11]]},"issued":{"date-parts":[["2020",9,24]]},"citation-key":"amirkulova_experimentally_2020"}}],"schema":"https://github.com/citation-style-language/schema/raw/master/csl-citation.json"}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131</w:t>
      </w:r>
      <w:r w:rsidRPr="0084736C">
        <w:rPr>
          <w:rFonts w:cstheme="minorHAnsi"/>
          <w:sz w:val="24"/>
          <w:szCs w:val="24"/>
        </w:rPr>
        <w:fldChar w:fldCharType="end"/>
      </w:r>
      <w:r w:rsidRPr="0084736C">
        <w:rPr>
          <w:rFonts w:cstheme="minorHAnsi"/>
          <w:sz w:val="24"/>
          <w:szCs w:val="24"/>
        </w:rPr>
        <w:t xml:space="preserve"> relied on biasing methods to induce a small four peptide system to aggregate into structures consistent with experimental NMR measurements. Thurston et al.</w:t>
      </w:r>
      <w:r w:rsidRPr="0084736C">
        <w:rPr>
          <w:rFonts w:cstheme="minorHAnsi"/>
          <w:sz w:val="24"/>
          <w:szCs w:val="24"/>
        </w:rPr>
        <w:fldChar w:fldCharType="begin"/>
      </w:r>
      <w:r w:rsidR="008F09C1">
        <w:rPr>
          <w:rFonts w:cstheme="minorHAnsi"/>
          <w:sz w:val="24"/>
          <w:szCs w:val="24"/>
        </w:rPr>
        <w:instrText xml:space="preserve"> ADDIN ZOTERO_ITEM CSL_CITATION {"citationID":"htoY6c3M","properties":{"formattedCitation":"\\super 132\\nosupersub{}","plainCitation":"132","noteIndex":0},"citationItems":[{"id":11809,"uris":["http://zotero.org/groups/2667333/items/B6AZ8Y47"],"itemData":{"id":11809,"type":"article-journal","abstract":"Synthetic oligopeptides containing -conjugated cores self-assemble novel materials with attractive electronic and photophysical properties. All-atom, explicit solvent molecular dynamics simulations of Asp-Phe-Ala-Gly-OPV3-Gly-Ala-Phe-Asp peptides were used to parameterise an implicit solvent model to simulate early-stage self-assembly. Under low-pH conditions, peptides assemble into -sheet-like stacks with strongly favorable monomer association free energies of . Aggregation at high-pH produces disordered aggregates destabilised by Coulombic repulsion between negatively charged Asp termini . In simulations of hundreds of monomers over 70 ns we observe the spontaneous formation of up to undecameric aggregates under low-pH conditions. Modeling assembly as a continuous-time Markov process, we infer transition rates between different aggregate sizes and microsecond relaxation times for early-stage assembly. Our data suggests a hierarchical model of assembly in which peptides coalesce into small clusters over tens of nanoseconds followed by structural ripening and diffusion limited aggregation on longer time scales. This work provides new molecular-level understanding of early-stage assembly, and a means to study the impact of peptide sequence and aromatic core chemistry upon the thermodynamics, assembly kinetics, and morphology of the supramolecular aggregates.","container-title":"Molecular Simulation","DOI":"10.1080/08927022.2015.1125997","ISSN":"0892-7022","issue":"12","note":"publisher: Taylor &amp; Francis\n_eprint: https://doi.org/10.1080/08927022.2015.1125997","page":"955-975","source":"Taylor and Francis+NEJM","title":"Thermodynamics, morphology, and kinetics of early-stage self-assembly of π-conjugated oligopeptides","URL":"https://doi.org/10.1080/08927022.2015.1125997","volume":"42","author":[{"family":"Thurston","given":"Bryce A."},{"family":"Tovar","given":"John D."},{"family":"Ferguson","given":"Andrew L."}],"accessed":{"date-parts":[["2022",7,19]]},"issued":{"date-parts":[["2016",8,12]]},"citation-key":"thurston_thermodynamics_2016"}}],"schema":"https://github.com/citation-style-language/schema/raw/master/csl-citation.json"}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132</w:t>
      </w:r>
      <w:r w:rsidRPr="0084736C">
        <w:rPr>
          <w:rFonts w:cstheme="minorHAnsi"/>
          <w:sz w:val="24"/>
          <w:szCs w:val="24"/>
        </w:rPr>
        <w:fldChar w:fldCharType="end"/>
      </w:r>
      <w:r w:rsidRPr="0084736C">
        <w:rPr>
          <w:rFonts w:cstheme="minorHAnsi"/>
          <w:sz w:val="24"/>
          <w:szCs w:val="24"/>
        </w:rPr>
        <w:t xml:space="preserve"> used Markov state models from all-atom simulations to model the self-assembly of a larger peptide system. Guo et al.</w:t>
      </w:r>
      <w:r w:rsidR="00416EA6" w:rsidRPr="0084736C">
        <w:rPr>
          <w:rFonts w:cstheme="minorHAnsi"/>
          <w:sz w:val="24"/>
          <w:szCs w:val="24"/>
        </w:rPr>
        <w:fldChar w:fldCharType="begin"/>
      </w:r>
      <w:r w:rsidR="008F09C1">
        <w:rPr>
          <w:rFonts w:cstheme="minorHAnsi"/>
          <w:sz w:val="24"/>
          <w:szCs w:val="24"/>
        </w:rPr>
        <w:instrText xml:space="preserve"> ADDIN ZOTERO_ITEM CSL_CITATION {"citationID":"g5fnLlRJ","properties":{"formattedCitation":"\\super 133\\nosupersub{}","plainCitation":"133","noteIndex":0},"citationItems":[{"id":11812,"uris":["http://zotero.org/groups/2667333/items/5FPUMN2I"],"itemData":{"id":11812,"type":"article-journal","abstract":"Amyloid aggregates of human islet amyloid polypeptide (hIAPP or human amylin) have long been implicated in the development of type II diabetes. While hIAPP is known to aggregate into amyloid fibrils, it is the early-stage prefibrillar species that have been proposed to be cytotoxic. A detailed picture of the early-stage aggregation process and relevant intermediates would be valuable in the development of effective therapeutics. Here, we use atomistic molecular dynamics simulations with a combination of enhanced sampling methods to examine the formation of the hIAPP dimer in water. Bias-exchange metadynamics calculations reveal relative conformational stabilities of the hIAPP dimer. Finite temperature string method calculations identify pathways for dimer formation, along with relevant free energy barriers and intermediate structures. We show that the initial stages of dimerization involve crossing a substantial free energy barrier to form an intermediate structure exhibiting transient β-sheet character, before proceeding to form an entropically stabilized dimer structure.","container-title":"The Journal of Chemical Physics","DOI":"10.1063/1.5033458","ISSN":"0021-9606","issue":"2","journalAbbreviation":"J. Chem. Phys.","note":"publisher: American Institute of Physics","page":"025101","source":"aip.scitation.org (Atypon)","title":"Early-stage human islet amyloid polypeptide aggregation: Mechanisms behind dimer formation","title-short":"Early-stage human islet amyloid polypeptide aggregation","URL":"https://aip.scitation.org/doi/10.1063/1.5033458","volume":"149","author":[{"family":"Guo","given":"Ashley Z."},{"family":"Fluitt","given":"Aaron M."},{"family":"Pablo","given":"Juan J.","non-dropping-particle":"de"}],"accessed":{"date-parts":[["2022",7,20]]},"issued":{"date-parts":[["2018",7,14]]},"citation-key":"guo_early-stage_2018"}}],"schema":"https://github.com/citation-style-language/schema/raw/master/csl-citation.json"} </w:instrText>
      </w:r>
      <w:r w:rsidR="00416EA6" w:rsidRPr="0084736C">
        <w:rPr>
          <w:rFonts w:cstheme="minorHAnsi"/>
          <w:sz w:val="24"/>
          <w:szCs w:val="24"/>
        </w:rPr>
        <w:fldChar w:fldCharType="separate"/>
      </w:r>
      <w:r w:rsidR="008F09C1" w:rsidRPr="008F09C1">
        <w:rPr>
          <w:rFonts w:ascii="Arial" w:cs="Arial"/>
          <w:sz w:val="24"/>
          <w:vertAlign w:val="superscript"/>
        </w:rPr>
        <w:t>133</w:t>
      </w:r>
      <w:r w:rsidR="00416EA6" w:rsidRPr="0084736C">
        <w:rPr>
          <w:rFonts w:cstheme="minorHAnsi"/>
          <w:sz w:val="24"/>
          <w:szCs w:val="24"/>
        </w:rPr>
        <w:fldChar w:fldCharType="end"/>
      </w:r>
      <w:r w:rsidR="00416EA6" w:rsidRPr="0084736C">
        <w:rPr>
          <w:rFonts w:cstheme="minorHAnsi"/>
          <w:sz w:val="24"/>
          <w:szCs w:val="24"/>
        </w:rPr>
        <w:t xml:space="preserve"> </w:t>
      </w:r>
      <w:r w:rsidRPr="0084736C">
        <w:rPr>
          <w:rFonts w:cstheme="minorHAnsi"/>
          <w:sz w:val="24"/>
          <w:szCs w:val="24"/>
        </w:rPr>
        <w:t>used enhanced sampling methods to understand the dimerization process that nucleates fibrilization in A</w:t>
      </w:r>
      <w:r w:rsidR="00416EA6" w:rsidRPr="0084736C">
        <w:rPr>
          <w:rFonts w:cstheme="minorHAnsi"/>
          <w:sz w:val="24"/>
          <w:szCs w:val="24"/>
        </w:rPr>
        <w:sym w:font="Symbol" w:char="F062"/>
      </w:r>
      <w:r w:rsidR="00416EA6" w:rsidRPr="0084736C">
        <w:rPr>
          <w:rFonts w:cstheme="minorHAnsi"/>
          <w:sz w:val="24"/>
          <w:szCs w:val="24"/>
        </w:rPr>
        <w:t xml:space="preserve">. </w:t>
      </w:r>
      <w:r w:rsidRPr="0084736C">
        <w:rPr>
          <w:rFonts w:cstheme="minorHAnsi"/>
          <w:sz w:val="24"/>
          <w:szCs w:val="24"/>
        </w:rPr>
        <w:t xml:space="preserve">Building on this past work, we use enhanced sampling of all-atom simulations to understand the free energy of contacts and initial aggregates of the co-assembly process. Then, we performed </w:t>
      </w:r>
      <w:r w:rsidR="00416EA6" w:rsidRPr="0084736C">
        <w:rPr>
          <w:rFonts w:cstheme="minorHAnsi"/>
          <w:sz w:val="24"/>
          <w:szCs w:val="24"/>
        </w:rPr>
        <w:t>unbiased</w:t>
      </w:r>
      <w:r w:rsidRPr="0084736C">
        <w:rPr>
          <w:rFonts w:cstheme="minorHAnsi"/>
          <w:sz w:val="24"/>
          <w:szCs w:val="24"/>
        </w:rPr>
        <w:t xml:space="preserve"> MD to understand the timescales of the peptide interactions. The minimum number of peptides to cover all possible co-assembly interactions is four, and so all MD contained four peptides (two positives, two negatives). To check if our conclusions hold to larger systems, we performed unbiased</w:t>
      </w:r>
      <w:r w:rsidRPr="0084736C">
        <w:rPr>
          <w:sz w:val="24"/>
          <w:szCs w:val="24"/>
        </w:rPr>
        <w:t xml:space="preserve"> MD of the slowest co-assembling peptide system ([WW]) with 16 peptides for 392 ns</w:t>
      </w:r>
      <w:r w:rsidR="00416EA6" w:rsidRPr="0084736C">
        <w:rPr>
          <w:sz w:val="24"/>
          <w:szCs w:val="24"/>
        </w:rPr>
        <w:t xml:space="preserve"> (Fig 2.3).</w:t>
      </w:r>
    </w:p>
    <w:p w14:paraId="0B68B5E1" w14:textId="77777777" w:rsidR="00416EA6" w:rsidRDefault="00416EA6" w:rsidP="00E44507">
      <w:pPr>
        <w:keepNext/>
        <w:spacing w:line="480" w:lineRule="auto"/>
      </w:pPr>
      <w:r>
        <w:rPr>
          <w:noProof/>
        </w:rPr>
        <w:lastRenderedPageBreak/>
        <w:drawing>
          <wp:inline distT="0" distB="0" distL="0" distR="0" wp14:anchorId="2520F90E" wp14:editId="692C6FD8">
            <wp:extent cx="5486400" cy="1524000"/>
            <wp:effectExtent l="0" t="0" r="0" b="0"/>
            <wp:docPr id="3" name="Picture 3" descr="Chart, 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 scatte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1524000"/>
                    </a:xfrm>
                    <a:prstGeom prst="rect">
                      <a:avLst/>
                    </a:prstGeom>
                  </pic:spPr>
                </pic:pic>
              </a:graphicData>
            </a:graphic>
          </wp:inline>
        </w:drawing>
      </w:r>
    </w:p>
    <w:p w14:paraId="3C06B099" w14:textId="20AD9D9A" w:rsidR="00416EA6" w:rsidRPr="00D4639D" w:rsidRDefault="00416EA6" w:rsidP="008A3EF7">
      <w:pPr>
        <w:pStyle w:val="Caption"/>
        <w:rPr>
          <w:b/>
        </w:rPr>
      </w:pPr>
      <w:bookmarkStart w:id="45" w:name="_Toc113560031"/>
      <w:bookmarkStart w:id="46" w:name="_Toc115118619"/>
      <w:r w:rsidRPr="00D4639D">
        <w:t xml:space="preserve">Figure 2. </w:t>
      </w:r>
      <w:fldSimple w:instr=" SEQ Figure_2. \* ARABIC ">
        <w:r w:rsidR="00785166">
          <w:rPr>
            <w:noProof/>
          </w:rPr>
          <w:t>3</w:t>
        </w:r>
      </w:fldSimple>
      <w:r w:rsidRPr="00D4639D">
        <w:t xml:space="preserve"> Free energy of intra- and inter-chain contact between amino acids in the WW sequence. Contact is defined as there being a pair of two heavy atoms in an amino acid within 3.5 </w:t>
      </w:r>
      <w:r w:rsidRPr="00D4639D">
        <w:sym w:font="Symbol" w:char="F041"/>
      </w:r>
      <w:r w:rsidRPr="00D4639D">
        <w:sym w:font="Symbol" w:char="F0B0"/>
      </w:r>
      <w:r w:rsidRPr="00D4639D">
        <w:t>. These are computed from a single 392 ns simulation via F = -kT lnP(c). No enhanced sampling was used, so should not be numerically comparable with main text due to inefficient sampling.</w:t>
      </w:r>
      <w:bookmarkEnd w:id="45"/>
      <w:bookmarkEnd w:id="46"/>
    </w:p>
    <w:p w14:paraId="285D95D4" w14:textId="5F42A0AB" w:rsidR="00416EA6" w:rsidRPr="0084736C" w:rsidRDefault="00416EA6" w:rsidP="00E44507">
      <w:pPr>
        <w:spacing w:line="480" w:lineRule="auto"/>
        <w:rPr>
          <w:sz w:val="24"/>
          <w:szCs w:val="24"/>
        </w:rPr>
      </w:pPr>
      <w:r w:rsidRPr="0084736C">
        <w:rPr>
          <w:sz w:val="24"/>
          <w:szCs w:val="24"/>
        </w:rPr>
        <w:t>Free energy surfaces from 500 ns well-tempered metadynamics simulations of the four peptide co-assembling systems are shown in Fig. 2.4. The collective variables of these free energy surfaces are the average peptide-peptide distance and average intra-chain radius of gyration, which correspond to how close the peptides are and how compact they are, respectively. We observed that the order of distances among the pairs in their lowest energy levels Fig</w:t>
      </w:r>
      <w:r w:rsidR="00544BA8" w:rsidRPr="0084736C">
        <w:rPr>
          <w:sz w:val="24"/>
          <w:szCs w:val="24"/>
        </w:rPr>
        <w:t>.</w:t>
      </w:r>
      <w:r w:rsidRPr="0084736C">
        <w:rPr>
          <w:sz w:val="24"/>
          <w:szCs w:val="24"/>
        </w:rPr>
        <w:t xml:space="preserve"> 2.2D are correlated to the order of their ASA ratios and </w:t>
      </w:r>
      <w:r w:rsidRPr="0084736C">
        <w:rPr>
          <w:sz w:val="24"/>
          <w:szCs w:val="24"/>
        </w:rPr>
        <w:sym w:font="Symbol" w:char="F062"/>
      </w:r>
      <w:r w:rsidRPr="0084736C">
        <w:rPr>
          <w:sz w:val="24"/>
          <w:szCs w:val="24"/>
        </w:rPr>
        <w:t>-sheet propensity constants (Table</w:t>
      </w:r>
      <w:r w:rsidR="004D522A" w:rsidRPr="0084736C">
        <w:rPr>
          <w:sz w:val="24"/>
          <w:szCs w:val="24"/>
        </w:rPr>
        <w:t xml:space="preserve"> 2.2</w:t>
      </w:r>
      <w:r w:rsidRPr="0084736C">
        <w:rPr>
          <w:sz w:val="24"/>
          <w:szCs w:val="24"/>
        </w:rPr>
        <w:t>) Hexapeptides with [AA] in the substitution domain showed a close-packed low free energy aggregate state with the least compact peptide structure among the pairs we studied (R</w:t>
      </w:r>
      <w:r w:rsidRPr="0084736C">
        <w:rPr>
          <w:sz w:val="24"/>
          <w:szCs w:val="24"/>
          <w:vertAlign w:val="subscript"/>
        </w:rPr>
        <w:t>g</w:t>
      </w:r>
      <w:r w:rsidRPr="0084736C">
        <w:rPr>
          <w:sz w:val="24"/>
          <w:szCs w:val="24"/>
        </w:rPr>
        <w:t xml:space="preserve"> ~ 0.48 nm, Fig. 2.2A). The distance between [WW] was greater than that of [AA] in their lowest energy levels, but the [WW] showed the most compact structures (R</w:t>
      </w:r>
      <w:r w:rsidRPr="0084736C">
        <w:rPr>
          <w:sz w:val="24"/>
          <w:szCs w:val="24"/>
          <w:vertAlign w:val="subscript"/>
        </w:rPr>
        <w:t>g</w:t>
      </w:r>
      <w:r w:rsidRPr="0084736C">
        <w:rPr>
          <w:sz w:val="24"/>
          <w:szCs w:val="24"/>
        </w:rPr>
        <w:t xml:space="preserve"> ~ 0.35 - 0.4 nm, Fig. 2.2B} and D). In [WW], we observed two distinct interactions in the lowest level; cation-</w:t>
      </w:r>
      <w:r w:rsidRPr="0084736C">
        <w:rPr>
          <w:sz w:val="24"/>
          <w:szCs w:val="24"/>
        </w:rPr>
        <w:sym w:font="Symbol" w:char="F070"/>
      </w:r>
      <w:r w:rsidRPr="0084736C">
        <w:rPr>
          <w:sz w:val="24"/>
          <w:szCs w:val="24"/>
        </w:rPr>
        <w:t xml:space="preserve"> and </w:t>
      </w:r>
      <w:r w:rsidRPr="0084736C">
        <w:rPr>
          <w:sz w:val="24"/>
          <w:szCs w:val="24"/>
        </w:rPr>
        <w:sym w:font="Symbol" w:char="F070"/>
      </w:r>
      <w:r w:rsidRPr="0084736C">
        <w:rPr>
          <w:sz w:val="24"/>
          <w:szCs w:val="24"/>
        </w:rPr>
        <w:t>-</w:t>
      </w:r>
      <w:r w:rsidRPr="0084736C">
        <w:rPr>
          <w:sz w:val="24"/>
          <w:szCs w:val="24"/>
        </w:rPr>
        <w:sym w:font="Symbol" w:char="F070"/>
      </w:r>
      <w:r w:rsidRPr="0084736C">
        <w:rPr>
          <w:sz w:val="24"/>
          <w:szCs w:val="24"/>
        </w:rPr>
        <w:t xml:space="preserve"> stacking, which leads to two separate local minima (Fig 2.2D). However, the CooP system with [II] in the substitution domain showed the greatest separation between peptides in their lowest energy levels, </w:t>
      </w:r>
      <w:r w:rsidRPr="0084736C">
        <w:rPr>
          <w:sz w:val="24"/>
          <w:szCs w:val="24"/>
        </w:rPr>
        <w:lastRenderedPageBreak/>
        <w:t>while the side chains were packed closer (as indicated by R</w:t>
      </w:r>
      <w:r w:rsidRPr="0084736C">
        <w:rPr>
          <w:sz w:val="24"/>
          <w:szCs w:val="24"/>
          <w:vertAlign w:val="subscript"/>
        </w:rPr>
        <w:t>g</w:t>
      </w:r>
      <w:r w:rsidRPr="0084736C">
        <w:rPr>
          <w:sz w:val="24"/>
          <w:szCs w:val="24"/>
        </w:rPr>
        <w:t xml:space="preserve"> ~ 0.43 nm, see Fig. 2.2B and D).</w:t>
      </w:r>
    </w:p>
    <w:p w14:paraId="2B8A5602" w14:textId="75125281" w:rsidR="007835DA" w:rsidRDefault="007835DA" w:rsidP="00E44507">
      <w:pPr>
        <w:spacing w:line="480" w:lineRule="auto"/>
        <w:jc w:val="center"/>
      </w:pPr>
    </w:p>
    <w:p w14:paraId="5AF41F84" w14:textId="77777777" w:rsidR="007835DA" w:rsidRDefault="007835DA" w:rsidP="00E44507">
      <w:pPr>
        <w:spacing w:line="480" w:lineRule="auto"/>
        <w:jc w:val="center"/>
      </w:pPr>
    </w:p>
    <w:p w14:paraId="56F54116" w14:textId="77777777" w:rsidR="00416EA6" w:rsidRDefault="00416EA6" w:rsidP="00E44507">
      <w:pPr>
        <w:keepNext/>
        <w:spacing w:line="480" w:lineRule="auto"/>
        <w:jc w:val="center"/>
      </w:pPr>
      <w:r>
        <w:rPr>
          <w:noProof/>
        </w:rPr>
        <w:drawing>
          <wp:inline distT="0" distB="0" distL="0" distR="0" wp14:anchorId="3B73FEF3" wp14:editId="17F65FB2">
            <wp:extent cx="4786965" cy="3604437"/>
            <wp:effectExtent l="0" t="0" r="1270" b="2540"/>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01653" cy="3615497"/>
                    </a:xfrm>
                    <a:prstGeom prst="rect">
                      <a:avLst/>
                    </a:prstGeom>
                  </pic:spPr>
                </pic:pic>
              </a:graphicData>
            </a:graphic>
          </wp:inline>
        </w:drawing>
      </w:r>
    </w:p>
    <w:p w14:paraId="2F0CB1F9" w14:textId="113FD83F" w:rsidR="00416EA6" w:rsidRPr="00D4639D" w:rsidRDefault="00416EA6" w:rsidP="008A3EF7">
      <w:pPr>
        <w:pStyle w:val="Caption"/>
        <w:rPr>
          <w:b/>
        </w:rPr>
      </w:pPr>
      <w:bookmarkStart w:id="47" w:name="_Toc113560032"/>
      <w:bookmarkStart w:id="48" w:name="_Toc115118620"/>
      <w:r w:rsidRPr="00D4639D">
        <w:t xml:space="preserve">Figure 2. </w:t>
      </w:r>
      <w:fldSimple w:instr=" SEQ Figure_2. \* ARABIC ">
        <w:r w:rsidR="00785166">
          <w:rPr>
            <w:noProof/>
          </w:rPr>
          <w:t>4</w:t>
        </w:r>
      </w:fldSimple>
      <w:r w:rsidRPr="00D4639D">
        <w:t xml:space="preserve"> Free energy of intra- and inter-chain contact between amino acids. Contact is defined as there is a pair of two side-chain heavy atoms in an amino acid within 3.5 </w:t>
      </w:r>
      <w:r w:rsidRPr="00D4639D">
        <w:sym w:font="Symbol" w:char="F041"/>
      </w:r>
      <w:r w:rsidRPr="00D4639D">
        <w:sym w:font="Symbol" w:char="F0B0"/>
      </w:r>
      <w:r w:rsidRPr="00D4639D">
        <w:t>. These are computed via reweighting the metadynamics simulations. (Bigger size of circles and lighter color defines lower free energy, higher probability of contact).</w:t>
      </w:r>
      <w:bookmarkEnd w:id="47"/>
      <w:bookmarkEnd w:id="48"/>
    </w:p>
    <w:p w14:paraId="496427CF" w14:textId="2A30AE6A" w:rsidR="00BE1273" w:rsidRPr="00D4639D" w:rsidRDefault="00B00ABA" w:rsidP="00E44507">
      <w:pPr>
        <w:spacing w:line="480" w:lineRule="auto"/>
        <w:rPr>
          <w:sz w:val="24"/>
          <w:szCs w:val="24"/>
        </w:rPr>
      </w:pPr>
      <w:r w:rsidRPr="0084736C">
        <w:rPr>
          <w:sz w:val="24"/>
          <w:szCs w:val="24"/>
        </w:rPr>
        <w:t xml:space="preserve">Fig 2.4 shows the free energy of side-chain contact for peptide pairs between hexapeptides of both same and opposite charges (with contacts defined as a distance </w:t>
      </w:r>
      <w:r w:rsidRPr="0084736C">
        <w:rPr>
          <w:sz w:val="24"/>
          <w:szCs w:val="24"/>
        </w:rPr>
        <w:sym w:font="Symbol" w:char="F0A3"/>
      </w:r>
      <w:r w:rsidRPr="0084736C">
        <w:rPr>
          <w:sz w:val="24"/>
          <w:szCs w:val="24"/>
        </w:rPr>
        <w:t xml:space="preserve"> 3.5</w:t>
      </w:r>
      <w:r w:rsidRPr="0084736C">
        <w:rPr>
          <w:sz w:val="24"/>
          <w:szCs w:val="24"/>
        </w:rPr>
        <w:sym w:font="Symbol" w:char="F041"/>
      </w:r>
      <w:r w:rsidRPr="0084736C">
        <w:rPr>
          <w:sz w:val="24"/>
          <w:szCs w:val="24"/>
        </w:rPr>
        <w:sym w:font="Symbol" w:char="F0B0"/>
      </w:r>
      <w:r w:rsidRPr="0084736C">
        <w:rPr>
          <w:sz w:val="24"/>
          <w:szCs w:val="24"/>
        </w:rPr>
        <w:t xml:space="preserve">). The reference state for these free energies is unbound, resulting in all positive free energies because there is not a single favored conformation for the hexapeptide aggregates. Peptide aggregation is still favored, as seen from Fig. 2.2D, but no single side-chain contact is found in all aggregate conformations. </w:t>
      </w:r>
    </w:p>
    <w:p w14:paraId="32B1DFCA" w14:textId="629B57E2" w:rsidR="004D522A" w:rsidRPr="00D4639D" w:rsidRDefault="004D522A" w:rsidP="008A3EF7">
      <w:pPr>
        <w:pStyle w:val="Caption"/>
        <w:rPr>
          <w:b/>
        </w:rPr>
      </w:pPr>
      <w:bookmarkStart w:id="49" w:name="_Toc120782132"/>
      <w:r w:rsidRPr="00D4639D">
        <w:t xml:space="preserve">Table 2. </w:t>
      </w:r>
      <w:fldSimple w:instr=" SEQ Table_2. \* ARABIC ">
        <w:r w:rsidR="00785166">
          <w:rPr>
            <w:noProof/>
          </w:rPr>
          <w:t>2</w:t>
        </w:r>
      </w:fldSimple>
      <w:r w:rsidRPr="00D4639D">
        <w:t xml:space="preserve"> Physical properties of CoOPs. The overall characterization of substitution domains and CAC of CoOP pairs. N/A: not available, Pho: hydrophobic, and Phi: hydrophilic</w:t>
      </w:r>
      <w:bookmarkEnd w:id="49"/>
    </w:p>
    <w:tbl>
      <w:tblPr>
        <w:tblStyle w:val="TableGridLight"/>
        <w:tblW w:w="0" w:type="auto"/>
        <w:tblLook w:val="04A0" w:firstRow="1" w:lastRow="0" w:firstColumn="1" w:lastColumn="0" w:noHBand="0" w:noVBand="1"/>
      </w:tblPr>
      <w:tblGrid>
        <w:gridCol w:w="1387"/>
        <w:gridCol w:w="1130"/>
        <w:gridCol w:w="1122"/>
        <w:gridCol w:w="1122"/>
        <w:gridCol w:w="1163"/>
        <w:gridCol w:w="1451"/>
        <w:gridCol w:w="807"/>
        <w:gridCol w:w="1168"/>
      </w:tblGrid>
      <w:tr w:rsidR="004D522A" w:rsidRPr="004D522A" w14:paraId="55C5C0ED" w14:textId="77777777" w:rsidTr="004D522A">
        <w:tc>
          <w:tcPr>
            <w:tcW w:w="1387" w:type="dxa"/>
          </w:tcPr>
          <w:p w14:paraId="5C1C0F43" w14:textId="196C9A4D" w:rsidR="004D522A" w:rsidRPr="004D522A" w:rsidRDefault="004D522A" w:rsidP="00E44507">
            <w:pPr>
              <w:spacing w:line="480" w:lineRule="auto"/>
              <w:jc w:val="center"/>
              <w:rPr>
                <w:b/>
                <w:bCs/>
                <w:sz w:val="18"/>
                <w:szCs w:val="18"/>
              </w:rPr>
            </w:pPr>
            <w:r w:rsidRPr="004D522A">
              <w:rPr>
                <w:b/>
                <w:bCs/>
                <w:sz w:val="18"/>
                <w:szCs w:val="18"/>
              </w:rPr>
              <w:t>Substitution domain</w:t>
            </w:r>
          </w:p>
        </w:tc>
        <w:tc>
          <w:tcPr>
            <w:tcW w:w="1130" w:type="dxa"/>
          </w:tcPr>
          <w:p w14:paraId="3B826D22" w14:textId="4D79D2E3" w:rsidR="004D522A" w:rsidRPr="004D522A" w:rsidRDefault="004D522A" w:rsidP="00E44507">
            <w:pPr>
              <w:spacing w:line="480" w:lineRule="auto"/>
              <w:jc w:val="center"/>
              <w:rPr>
                <w:b/>
                <w:bCs/>
                <w:sz w:val="18"/>
                <w:szCs w:val="18"/>
              </w:rPr>
            </w:pPr>
            <w:r w:rsidRPr="004D522A">
              <w:rPr>
                <w:b/>
                <w:bCs/>
                <w:sz w:val="18"/>
                <w:szCs w:val="18"/>
              </w:rPr>
              <w:t>Total ASA</w:t>
            </w:r>
          </w:p>
        </w:tc>
        <w:tc>
          <w:tcPr>
            <w:tcW w:w="1122" w:type="dxa"/>
          </w:tcPr>
          <w:p w14:paraId="15A18B7E" w14:textId="46480206" w:rsidR="004D522A" w:rsidRPr="004D522A" w:rsidRDefault="004D522A" w:rsidP="00E44507">
            <w:pPr>
              <w:spacing w:line="480" w:lineRule="auto"/>
              <w:jc w:val="center"/>
              <w:rPr>
                <w:b/>
                <w:bCs/>
                <w:sz w:val="18"/>
                <w:szCs w:val="18"/>
              </w:rPr>
            </w:pPr>
            <w:r w:rsidRPr="004D522A">
              <w:rPr>
                <w:b/>
                <w:bCs/>
                <w:sz w:val="18"/>
                <w:szCs w:val="18"/>
              </w:rPr>
              <w:t>Pho ASA</w:t>
            </w:r>
          </w:p>
        </w:tc>
        <w:tc>
          <w:tcPr>
            <w:tcW w:w="1122" w:type="dxa"/>
          </w:tcPr>
          <w:p w14:paraId="717127F4" w14:textId="7C13638F" w:rsidR="004D522A" w:rsidRPr="004D522A" w:rsidRDefault="004D522A" w:rsidP="00E44507">
            <w:pPr>
              <w:spacing w:line="480" w:lineRule="auto"/>
              <w:jc w:val="center"/>
              <w:rPr>
                <w:b/>
                <w:bCs/>
                <w:sz w:val="18"/>
                <w:szCs w:val="18"/>
              </w:rPr>
            </w:pPr>
            <w:r w:rsidRPr="004D522A">
              <w:rPr>
                <w:b/>
                <w:bCs/>
                <w:sz w:val="18"/>
                <w:szCs w:val="18"/>
              </w:rPr>
              <w:t>Phi ASA</w:t>
            </w:r>
          </w:p>
        </w:tc>
        <w:tc>
          <w:tcPr>
            <w:tcW w:w="1163" w:type="dxa"/>
          </w:tcPr>
          <w:p w14:paraId="1D16AAE9" w14:textId="1342B51A" w:rsidR="004D522A" w:rsidRPr="004D522A" w:rsidRDefault="004D522A" w:rsidP="00E44507">
            <w:pPr>
              <w:spacing w:line="480" w:lineRule="auto"/>
              <w:jc w:val="center"/>
              <w:rPr>
                <w:b/>
                <w:bCs/>
                <w:sz w:val="18"/>
                <w:szCs w:val="18"/>
              </w:rPr>
            </w:pPr>
            <w:r w:rsidRPr="004D522A">
              <w:rPr>
                <w:b/>
                <w:bCs/>
                <w:sz w:val="18"/>
                <w:szCs w:val="18"/>
              </w:rPr>
              <w:t>Ratio (Pho/Phi)</w:t>
            </w:r>
          </w:p>
        </w:tc>
        <w:tc>
          <w:tcPr>
            <w:tcW w:w="1451" w:type="dxa"/>
          </w:tcPr>
          <w:p w14:paraId="09A77C72" w14:textId="7622AE77" w:rsidR="004D522A" w:rsidRPr="004D522A" w:rsidRDefault="004D522A" w:rsidP="00E44507">
            <w:pPr>
              <w:spacing w:line="480" w:lineRule="auto"/>
              <w:jc w:val="center"/>
              <w:rPr>
                <w:b/>
                <w:bCs/>
                <w:sz w:val="18"/>
                <w:szCs w:val="18"/>
              </w:rPr>
            </w:pPr>
            <w:r w:rsidRPr="004D522A">
              <w:rPr>
                <w:b/>
                <w:bCs/>
                <w:sz w:val="18"/>
                <w:szCs w:val="18"/>
              </w:rPr>
              <w:t>Side-chain pho index</w:t>
            </w:r>
          </w:p>
        </w:tc>
        <w:tc>
          <w:tcPr>
            <w:tcW w:w="807" w:type="dxa"/>
          </w:tcPr>
          <w:p w14:paraId="795DE60C" w14:textId="1AF1A322" w:rsidR="004D522A" w:rsidRPr="004D522A" w:rsidRDefault="004D522A" w:rsidP="00E44507">
            <w:pPr>
              <w:spacing w:line="480" w:lineRule="auto"/>
              <w:jc w:val="center"/>
              <w:rPr>
                <w:b/>
                <w:bCs/>
                <w:sz w:val="18"/>
                <w:szCs w:val="18"/>
              </w:rPr>
            </w:pPr>
            <w:r w:rsidRPr="004D522A">
              <w:rPr>
                <w:b/>
                <w:bCs/>
                <w:sz w:val="18"/>
                <w:szCs w:val="18"/>
              </w:rPr>
              <w:t>CAC (</w:t>
            </w:r>
            <w:r w:rsidRPr="004D522A">
              <w:rPr>
                <w:rFonts w:ascii="Symbol" w:hAnsi="Symbol"/>
                <w:b/>
                <w:bCs/>
                <w:sz w:val="18"/>
                <w:szCs w:val="18"/>
              </w:rPr>
              <w:t>m</w:t>
            </w:r>
            <w:r w:rsidRPr="004D522A">
              <w:rPr>
                <w:b/>
                <w:bCs/>
                <w:sz w:val="18"/>
                <w:szCs w:val="18"/>
              </w:rPr>
              <w:t>M)</w:t>
            </w:r>
          </w:p>
        </w:tc>
        <w:tc>
          <w:tcPr>
            <w:tcW w:w="1168" w:type="dxa"/>
          </w:tcPr>
          <w:p w14:paraId="224F42E3" w14:textId="493B05D6" w:rsidR="004D522A" w:rsidRPr="004D522A" w:rsidRDefault="004D522A" w:rsidP="00E44507">
            <w:pPr>
              <w:spacing w:line="480" w:lineRule="auto"/>
              <w:jc w:val="center"/>
              <w:rPr>
                <w:b/>
                <w:bCs/>
                <w:sz w:val="18"/>
                <w:szCs w:val="18"/>
              </w:rPr>
            </w:pPr>
            <w:r w:rsidRPr="004D522A">
              <w:rPr>
                <w:rFonts w:ascii="Symbol" w:hAnsi="Symbol"/>
                <w:b/>
                <w:bCs/>
                <w:sz w:val="18"/>
                <w:szCs w:val="18"/>
              </w:rPr>
              <w:t>b</w:t>
            </w:r>
            <w:r w:rsidRPr="004D522A">
              <w:rPr>
                <w:b/>
                <w:bCs/>
                <w:sz w:val="18"/>
                <w:szCs w:val="18"/>
              </w:rPr>
              <w:t>-sheet frequency</w:t>
            </w:r>
          </w:p>
        </w:tc>
      </w:tr>
      <w:tr w:rsidR="004D522A" w:rsidRPr="004D522A" w14:paraId="3EC0E5CE" w14:textId="77777777" w:rsidTr="004D522A">
        <w:tc>
          <w:tcPr>
            <w:tcW w:w="1387" w:type="dxa"/>
          </w:tcPr>
          <w:p w14:paraId="1E87225C" w14:textId="686ECFE6" w:rsidR="004D522A" w:rsidRPr="004D522A" w:rsidRDefault="004D522A" w:rsidP="00E44507">
            <w:pPr>
              <w:spacing w:line="480" w:lineRule="auto"/>
              <w:jc w:val="center"/>
              <w:rPr>
                <w:sz w:val="18"/>
                <w:szCs w:val="18"/>
              </w:rPr>
            </w:pPr>
            <w:r w:rsidRPr="004D522A">
              <w:rPr>
                <w:sz w:val="18"/>
                <w:szCs w:val="18"/>
              </w:rPr>
              <w:t>A-A</w:t>
            </w:r>
          </w:p>
        </w:tc>
        <w:tc>
          <w:tcPr>
            <w:tcW w:w="1130" w:type="dxa"/>
          </w:tcPr>
          <w:p w14:paraId="413DEA3B" w14:textId="1AA62603" w:rsidR="004D522A" w:rsidRPr="004D522A" w:rsidRDefault="004D522A" w:rsidP="00E44507">
            <w:pPr>
              <w:spacing w:line="480" w:lineRule="auto"/>
              <w:jc w:val="center"/>
              <w:rPr>
                <w:sz w:val="18"/>
                <w:szCs w:val="18"/>
              </w:rPr>
            </w:pPr>
            <w:r>
              <w:rPr>
                <w:sz w:val="18"/>
                <w:szCs w:val="18"/>
              </w:rPr>
              <w:t>111</w:t>
            </w:r>
          </w:p>
        </w:tc>
        <w:tc>
          <w:tcPr>
            <w:tcW w:w="1122" w:type="dxa"/>
          </w:tcPr>
          <w:p w14:paraId="7F4FA5DB" w14:textId="77C33AC7" w:rsidR="004D522A" w:rsidRPr="004D522A" w:rsidRDefault="004D522A" w:rsidP="00E44507">
            <w:pPr>
              <w:spacing w:line="480" w:lineRule="auto"/>
              <w:jc w:val="center"/>
              <w:rPr>
                <w:sz w:val="18"/>
                <w:szCs w:val="18"/>
              </w:rPr>
            </w:pPr>
            <w:r>
              <w:rPr>
                <w:sz w:val="18"/>
                <w:szCs w:val="18"/>
              </w:rPr>
              <w:t>66</w:t>
            </w:r>
          </w:p>
        </w:tc>
        <w:tc>
          <w:tcPr>
            <w:tcW w:w="1122" w:type="dxa"/>
          </w:tcPr>
          <w:p w14:paraId="2D9ACD41" w14:textId="41AA2073" w:rsidR="004D522A" w:rsidRPr="004D522A" w:rsidRDefault="004D522A" w:rsidP="00E44507">
            <w:pPr>
              <w:spacing w:line="480" w:lineRule="auto"/>
              <w:jc w:val="center"/>
              <w:rPr>
                <w:sz w:val="18"/>
                <w:szCs w:val="18"/>
              </w:rPr>
            </w:pPr>
            <w:r>
              <w:rPr>
                <w:sz w:val="18"/>
                <w:szCs w:val="18"/>
              </w:rPr>
              <w:t>45</w:t>
            </w:r>
          </w:p>
        </w:tc>
        <w:tc>
          <w:tcPr>
            <w:tcW w:w="1163" w:type="dxa"/>
          </w:tcPr>
          <w:p w14:paraId="26C0F27C" w14:textId="26CF65C2" w:rsidR="004D522A" w:rsidRPr="004D522A" w:rsidRDefault="004D522A" w:rsidP="00E44507">
            <w:pPr>
              <w:spacing w:line="480" w:lineRule="auto"/>
              <w:jc w:val="center"/>
              <w:rPr>
                <w:sz w:val="18"/>
                <w:szCs w:val="18"/>
              </w:rPr>
            </w:pPr>
            <w:r>
              <w:rPr>
                <w:sz w:val="18"/>
                <w:szCs w:val="18"/>
              </w:rPr>
              <w:t>1.5</w:t>
            </w:r>
          </w:p>
        </w:tc>
        <w:tc>
          <w:tcPr>
            <w:tcW w:w="1451" w:type="dxa"/>
          </w:tcPr>
          <w:p w14:paraId="5323378B" w14:textId="117381F6" w:rsidR="004D522A" w:rsidRPr="004D522A" w:rsidRDefault="004D522A" w:rsidP="00E44507">
            <w:pPr>
              <w:spacing w:line="480" w:lineRule="auto"/>
              <w:jc w:val="center"/>
              <w:rPr>
                <w:sz w:val="18"/>
                <w:szCs w:val="18"/>
              </w:rPr>
            </w:pPr>
            <w:r>
              <w:rPr>
                <w:sz w:val="18"/>
                <w:szCs w:val="18"/>
              </w:rPr>
              <w:t>41</w:t>
            </w:r>
          </w:p>
        </w:tc>
        <w:tc>
          <w:tcPr>
            <w:tcW w:w="807" w:type="dxa"/>
          </w:tcPr>
          <w:p w14:paraId="0916A7B1" w14:textId="5CA16807" w:rsidR="004D522A" w:rsidRPr="004D522A" w:rsidRDefault="004D522A" w:rsidP="00E44507">
            <w:pPr>
              <w:spacing w:line="480" w:lineRule="auto"/>
              <w:jc w:val="center"/>
              <w:rPr>
                <w:sz w:val="18"/>
                <w:szCs w:val="18"/>
              </w:rPr>
            </w:pPr>
            <w:r>
              <w:rPr>
                <w:sz w:val="18"/>
                <w:szCs w:val="18"/>
              </w:rPr>
              <w:t>N/A</w:t>
            </w:r>
          </w:p>
        </w:tc>
        <w:tc>
          <w:tcPr>
            <w:tcW w:w="1168" w:type="dxa"/>
          </w:tcPr>
          <w:p w14:paraId="452BDCC2" w14:textId="4C67C73E" w:rsidR="004D522A" w:rsidRPr="004D522A" w:rsidRDefault="004D522A" w:rsidP="00E44507">
            <w:pPr>
              <w:spacing w:line="480" w:lineRule="auto"/>
              <w:jc w:val="center"/>
              <w:rPr>
                <w:sz w:val="18"/>
                <w:szCs w:val="18"/>
              </w:rPr>
            </w:pPr>
            <w:r>
              <w:rPr>
                <w:sz w:val="18"/>
                <w:szCs w:val="18"/>
              </w:rPr>
              <w:t>0.167</w:t>
            </w:r>
          </w:p>
        </w:tc>
      </w:tr>
      <w:tr w:rsidR="004D522A" w:rsidRPr="004D522A" w14:paraId="1A7ED1E1" w14:textId="77777777" w:rsidTr="004D522A">
        <w:tc>
          <w:tcPr>
            <w:tcW w:w="1387" w:type="dxa"/>
          </w:tcPr>
          <w:p w14:paraId="093CD5D3" w14:textId="1E5AFB10" w:rsidR="004D522A" w:rsidRPr="004D522A" w:rsidRDefault="004D522A" w:rsidP="00E44507">
            <w:pPr>
              <w:spacing w:line="480" w:lineRule="auto"/>
              <w:jc w:val="center"/>
              <w:rPr>
                <w:sz w:val="18"/>
                <w:szCs w:val="18"/>
              </w:rPr>
            </w:pPr>
            <w:r w:rsidRPr="004D522A">
              <w:rPr>
                <w:sz w:val="18"/>
                <w:szCs w:val="18"/>
              </w:rPr>
              <w:t>W-W</w:t>
            </w:r>
          </w:p>
        </w:tc>
        <w:tc>
          <w:tcPr>
            <w:tcW w:w="1130" w:type="dxa"/>
          </w:tcPr>
          <w:p w14:paraId="7DE3A5CA" w14:textId="065B4762" w:rsidR="004D522A" w:rsidRPr="004D522A" w:rsidRDefault="004D522A" w:rsidP="00E44507">
            <w:pPr>
              <w:spacing w:line="480" w:lineRule="auto"/>
              <w:jc w:val="center"/>
              <w:rPr>
                <w:sz w:val="18"/>
                <w:szCs w:val="18"/>
              </w:rPr>
            </w:pPr>
            <w:r>
              <w:rPr>
                <w:sz w:val="18"/>
                <w:szCs w:val="18"/>
              </w:rPr>
              <w:t>249</w:t>
            </w:r>
          </w:p>
        </w:tc>
        <w:tc>
          <w:tcPr>
            <w:tcW w:w="1122" w:type="dxa"/>
          </w:tcPr>
          <w:p w14:paraId="215C21AF" w14:textId="7C44ECED" w:rsidR="004D522A" w:rsidRPr="004D522A" w:rsidRDefault="004D522A" w:rsidP="00E44507">
            <w:pPr>
              <w:spacing w:line="480" w:lineRule="auto"/>
              <w:jc w:val="center"/>
              <w:rPr>
                <w:sz w:val="18"/>
                <w:szCs w:val="18"/>
              </w:rPr>
            </w:pPr>
            <w:r>
              <w:rPr>
                <w:sz w:val="18"/>
                <w:szCs w:val="18"/>
              </w:rPr>
              <w:t>174</w:t>
            </w:r>
          </w:p>
        </w:tc>
        <w:tc>
          <w:tcPr>
            <w:tcW w:w="1122" w:type="dxa"/>
          </w:tcPr>
          <w:p w14:paraId="6684EE3E" w14:textId="74775F2A" w:rsidR="004D522A" w:rsidRPr="004D522A" w:rsidRDefault="004D522A" w:rsidP="00E44507">
            <w:pPr>
              <w:spacing w:line="480" w:lineRule="auto"/>
              <w:jc w:val="center"/>
              <w:rPr>
                <w:sz w:val="18"/>
                <w:szCs w:val="18"/>
              </w:rPr>
            </w:pPr>
            <w:r>
              <w:rPr>
                <w:sz w:val="18"/>
                <w:szCs w:val="18"/>
              </w:rPr>
              <w:t>76</w:t>
            </w:r>
          </w:p>
        </w:tc>
        <w:tc>
          <w:tcPr>
            <w:tcW w:w="1163" w:type="dxa"/>
          </w:tcPr>
          <w:p w14:paraId="14B4BF28" w14:textId="01186A4E" w:rsidR="004D522A" w:rsidRPr="004D522A" w:rsidRDefault="004D522A" w:rsidP="00E44507">
            <w:pPr>
              <w:spacing w:line="480" w:lineRule="auto"/>
              <w:jc w:val="center"/>
              <w:rPr>
                <w:sz w:val="18"/>
                <w:szCs w:val="18"/>
              </w:rPr>
            </w:pPr>
            <w:r>
              <w:rPr>
                <w:sz w:val="18"/>
                <w:szCs w:val="18"/>
              </w:rPr>
              <w:t>2.3</w:t>
            </w:r>
          </w:p>
        </w:tc>
        <w:tc>
          <w:tcPr>
            <w:tcW w:w="1451" w:type="dxa"/>
          </w:tcPr>
          <w:p w14:paraId="751613F5" w14:textId="13392997" w:rsidR="004D522A" w:rsidRPr="004D522A" w:rsidRDefault="004D522A" w:rsidP="00E44507">
            <w:pPr>
              <w:spacing w:line="480" w:lineRule="auto"/>
              <w:jc w:val="center"/>
              <w:rPr>
                <w:sz w:val="18"/>
                <w:szCs w:val="18"/>
              </w:rPr>
            </w:pPr>
            <w:r>
              <w:rPr>
                <w:sz w:val="18"/>
                <w:szCs w:val="18"/>
              </w:rPr>
              <w:t>97</w:t>
            </w:r>
          </w:p>
        </w:tc>
        <w:tc>
          <w:tcPr>
            <w:tcW w:w="807" w:type="dxa"/>
          </w:tcPr>
          <w:p w14:paraId="6B088135" w14:textId="67DA3614" w:rsidR="004D522A" w:rsidRPr="004D522A" w:rsidRDefault="004D522A" w:rsidP="00E44507">
            <w:pPr>
              <w:spacing w:line="480" w:lineRule="auto"/>
              <w:jc w:val="center"/>
              <w:rPr>
                <w:sz w:val="18"/>
                <w:szCs w:val="18"/>
              </w:rPr>
            </w:pPr>
            <w:r>
              <w:rPr>
                <w:sz w:val="18"/>
                <w:szCs w:val="18"/>
              </w:rPr>
              <w:t>79.4</w:t>
            </w:r>
          </w:p>
        </w:tc>
        <w:tc>
          <w:tcPr>
            <w:tcW w:w="1168" w:type="dxa"/>
          </w:tcPr>
          <w:p w14:paraId="4051BAFA" w14:textId="5080AC9A" w:rsidR="004D522A" w:rsidRPr="004D522A" w:rsidRDefault="004D522A" w:rsidP="00E44507">
            <w:pPr>
              <w:spacing w:line="480" w:lineRule="auto"/>
              <w:jc w:val="center"/>
              <w:rPr>
                <w:sz w:val="18"/>
                <w:szCs w:val="18"/>
              </w:rPr>
            </w:pPr>
            <w:r>
              <w:rPr>
                <w:sz w:val="18"/>
                <w:szCs w:val="18"/>
              </w:rPr>
              <w:t>0.203</w:t>
            </w:r>
          </w:p>
        </w:tc>
      </w:tr>
      <w:tr w:rsidR="004D522A" w:rsidRPr="004D522A" w14:paraId="71576EB3" w14:textId="77777777" w:rsidTr="004D522A">
        <w:tc>
          <w:tcPr>
            <w:tcW w:w="1387" w:type="dxa"/>
          </w:tcPr>
          <w:p w14:paraId="0E465C0A" w14:textId="251D84BF" w:rsidR="004D522A" w:rsidRPr="004D522A" w:rsidRDefault="004D522A" w:rsidP="00E44507">
            <w:pPr>
              <w:spacing w:line="480" w:lineRule="auto"/>
              <w:jc w:val="center"/>
              <w:rPr>
                <w:sz w:val="18"/>
                <w:szCs w:val="18"/>
              </w:rPr>
            </w:pPr>
            <w:r w:rsidRPr="004D522A">
              <w:rPr>
                <w:sz w:val="18"/>
                <w:szCs w:val="18"/>
              </w:rPr>
              <w:t>I-I</w:t>
            </w:r>
          </w:p>
        </w:tc>
        <w:tc>
          <w:tcPr>
            <w:tcW w:w="1130" w:type="dxa"/>
          </w:tcPr>
          <w:p w14:paraId="3C45A10F" w14:textId="4F9606C4" w:rsidR="004D522A" w:rsidRPr="004D522A" w:rsidRDefault="004D522A" w:rsidP="00E44507">
            <w:pPr>
              <w:spacing w:line="480" w:lineRule="auto"/>
              <w:jc w:val="center"/>
              <w:rPr>
                <w:sz w:val="18"/>
                <w:szCs w:val="18"/>
              </w:rPr>
            </w:pPr>
            <w:r>
              <w:rPr>
                <w:sz w:val="18"/>
                <w:szCs w:val="18"/>
              </w:rPr>
              <w:t>173</w:t>
            </w:r>
          </w:p>
        </w:tc>
        <w:tc>
          <w:tcPr>
            <w:tcW w:w="1122" w:type="dxa"/>
          </w:tcPr>
          <w:p w14:paraId="5640837B" w14:textId="0CEBC94E" w:rsidR="004D522A" w:rsidRPr="004D522A" w:rsidRDefault="004D522A" w:rsidP="00E44507">
            <w:pPr>
              <w:spacing w:line="480" w:lineRule="auto"/>
              <w:jc w:val="center"/>
              <w:rPr>
                <w:sz w:val="18"/>
                <w:szCs w:val="18"/>
              </w:rPr>
            </w:pPr>
            <w:r>
              <w:rPr>
                <w:sz w:val="18"/>
                <w:szCs w:val="18"/>
              </w:rPr>
              <w:t>137</w:t>
            </w:r>
          </w:p>
        </w:tc>
        <w:tc>
          <w:tcPr>
            <w:tcW w:w="1122" w:type="dxa"/>
          </w:tcPr>
          <w:p w14:paraId="0400E705" w14:textId="3DBB691B" w:rsidR="004D522A" w:rsidRPr="004D522A" w:rsidRDefault="004D522A" w:rsidP="00E44507">
            <w:pPr>
              <w:spacing w:line="480" w:lineRule="auto"/>
              <w:jc w:val="center"/>
              <w:rPr>
                <w:sz w:val="18"/>
                <w:szCs w:val="18"/>
              </w:rPr>
            </w:pPr>
            <w:r>
              <w:rPr>
                <w:sz w:val="18"/>
                <w:szCs w:val="18"/>
              </w:rPr>
              <w:t>35</w:t>
            </w:r>
          </w:p>
        </w:tc>
        <w:tc>
          <w:tcPr>
            <w:tcW w:w="1163" w:type="dxa"/>
          </w:tcPr>
          <w:p w14:paraId="31AB5C6C" w14:textId="60C7B5BD" w:rsidR="004D522A" w:rsidRPr="004D522A" w:rsidRDefault="004D522A" w:rsidP="00E44507">
            <w:pPr>
              <w:spacing w:line="480" w:lineRule="auto"/>
              <w:jc w:val="center"/>
              <w:rPr>
                <w:sz w:val="18"/>
                <w:szCs w:val="18"/>
              </w:rPr>
            </w:pPr>
            <w:r>
              <w:rPr>
                <w:sz w:val="18"/>
                <w:szCs w:val="18"/>
              </w:rPr>
              <w:t>3.9</w:t>
            </w:r>
          </w:p>
        </w:tc>
        <w:tc>
          <w:tcPr>
            <w:tcW w:w="1451" w:type="dxa"/>
          </w:tcPr>
          <w:p w14:paraId="16055827" w14:textId="1645924C" w:rsidR="004D522A" w:rsidRPr="004D522A" w:rsidRDefault="004D522A" w:rsidP="00E44507">
            <w:pPr>
              <w:spacing w:line="480" w:lineRule="auto"/>
              <w:jc w:val="center"/>
              <w:rPr>
                <w:sz w:val="18"/>
                <w:szCs w:val="18"/>
              </w:rPr>
            </w:pPr>
            <w:r>
              <w:rPr>
                <w:sz w:val="18"/>
                <w:szCs w:val="18"/>
              </w:rPr>
              <w:t>99</w:t>
            </w:r>
          </w:p>
        </w:tc>
        <w:tc>
          <w:tcPr>
            <w:tcW w:w="807" w:type="dxa"/>
          </w:tcPr>
          <w:p w14:paraId="66139D7E" w14:textId="40962656" w:rsidR="004D522A" w:rsidRPr="004D522A" w:rsidRDefault="004D522A" w:rsidP="00E44507">
            <w:pPr>
              <w:spacing w:line="480" w:lineRule="auto"/>
              <w:jc w:val="center"/>
              <w:rPr>
                <w:sz w:val="18"/>
                <w:szCs w:val="18"/>
              </w:rPr>
            </w:pPr>
            <w:r>
              <w:rPr>
                <w:sz w:val="18"/>
                <w:szCs w:val="18"/>
              </w:rPr>
              <w:t>24.5</w:t>
            </w:r>
          </w:p>
        </w:tc>
        <w:tc>
          <w:tcPr>
            <w:tcW w:w="1168" w:type="dxa"/>
          </w:tcPr>
          <w:p w14:paraId="198DD600" w14:textId="172A950E" w:rsidR="004D522A" w:rsidRPr="004D522A" w:rsidRDefault="004D522A" w:rsidP="00E44507">
            <w:pPr>
              <w:spacing w:line="480" w:lineRule="auto"/>
              <w:jc w:val="center"/>
              <w:rPr>
                <w:sz w:val="18"/>
                <w:szCs w:val="18"/>
              </w:rPr>
            </w:pPr>
            <w:r>
              <w:rPr>
                <w:sz w:val="18"/>
                <w:szCs w:val="18"/>
              </w:rPr>
              <w:t>0.274</w:t>
            </w:r>
          </w:p>
        </w:tc>
      </w:tr>
    </w:tbl>
    <w:p w14:paraId="5BF215A1" w14:textId="7134AD75" w:rsidR="004D522A" w:rsidRDefault="004D522A" w:rsidP="00E44507">
      <w:pPr>
        <w:spacing w:line="480" w:lineRule="auto"/>
      </w:pPr>
    </w:p>
    <w:p w14:paraId="5283DB08" w14:textId="0AFE4A0F" w:rsidR="00416EA6" w:rsidRPr="0084736C" w:rsidRDefault="00B00ABA" w:rsidP="00E44507">
      <w:pPr>
        <w:spacing w:line="480" w:lineRule="auto"/>
        <w:rPr>
          <w:sz w:val="24"/>
          <w:szCs w:val="24"/>
        </w:rPr>
      </w:pPr>
      <w:r w:rsidRPr="0084736C">
        <w:rPr>
          <w:sz w:val="24"/>
          <w:szCs w:val="24"/>
        </w:rPr>
        <w:t xml:space="preserve">The formation of salt bridges in [AA] is indicated by the favorable free energy for interactions of opposite charges (Fig. 2.4). Moreover, </w:t>
      </w:r>
      <w:r w:rsidRPr="0084736C">
        <w:rPr>
          <w:sz w:val="24"/>
          <w:szCs w:val="24"/>
        </w:rPr>
        <w:sym w:font="Symbol" w:char="F070"/>
      </w:r>
      <w:r w:rsidRPr="0084736C">
        <w:rPr>
          <w:sz w:val="24"/>
          <w:szCs w:val="24"/>
        </w:rPr>
        <w:t>-</w:t>
      </w:r>
      <w:r w:rsidRPr="0084736C">
        <w:rPr>
          <w:sz w:val="24"/>
          <w:szCs w:val="24"/>
        </w:rPr>
        <w:sym w:font="Symbol" w:char="F070"/>
      </w:r>
      <w:r w:rsidRPr="0084736C">
        <w:rPr>
          <w:sz w:val="24"/>
          <w:szCs w:val="24"/>
        </w:rPr>
        <w:t xml:space="preserve"> stacking between F-F also appears to form. However, the hydrophobic core in the region between interacting hexapeptides did not form because of lack of A-A side chain interactions. The A-A interactions are significantly weaker than the I-I (p &lt; 10</w:t>
      </w:r>
      <w:r w:rsidRPr="0084736C">
        <w:rPr>
          <w:sz w:val="24"/>
          <w:szCs w:val="24"/>
          <w:vertAlign w:val="superscript"/>
        </w:rPr>
        <w:t>-5</w:t>
      </w:r>
      <w:r w:rsidRPr="0084736C">
        <w:rPr>
          <w:sz w:val="24"/>
          <w:szCs w:val="24"/>
        </w:rPr>
        <w:t>) and W-W interactions (p &lt; 10</w:t>
      </w:r>
      <w:r w:rsidRPr="0084736C">
        <w:rPr>
          <w:sz w:val="24"/>
          <w:szCs w:val="24"/>
          <w:vertAlign w:val="superscript"/>
        </w:rPr>
        <w:t>-10</w:t>
      </w:r>
      <w:r w:rsidRPr="0084736C">
        <w:rPr>
          <w:sz w:val="24"/>
          <w:szCs w:val="24"/>
        </w:rPr>
        <w:t>) showing indeed that the A-A side-chain interactions contribute little to forming an aggregate hydrophobic core. Additionally, as shown in Table</w:t>
      </w:r>
      <w:r w:rsidR="004D522A" w:rsidRPr="0084736C">
        <w:rPr>
          <w:sz w:val="24"/>
          <w:szCs w:val="24"/>
        </w:rPr>
        <w:t xml:space="preserve"> 2.2</w:t>
      </w:r>
      <w:r w:rsidRPr="0084736C">
        <w:rPr>
          <w:sz w:val="24"/>
          <w:szCs w:val="24"/>
        </w:rPr>
        <w:t xml:space="preserve">, the order of </w:t>
      </w:r>
      <w:r w:rsidRPr="0084736C">
        <w:rPr>
          <w:sz w:val="24"/>
          <w:szCs w:val="24"/>
        </w:rPr>
        <w:sym w:font="Symbol" w:char="F062"/>
      </w:r>
      <w:r w:rsidRPr="0084736C">
        <w:rPr>
          <w:sz w:val="24"/>
          <w:szCs w:val="24"/>
        </w:rPr>
        <w:t>-sheet propensity of these amino acids has a similar trend, which might be decisive in the ordered assembly process after initial aggregation. The [AA] system thus serves as a good control sequence, showing the role of the salt bridge and F-F interactions alone.</w:t>
      </w:r>
    </w:p>
    <w:p w14:paraId="6C8A28DC" w14:textId="0F49AE14" w:rsidR="006A6ED2" w:rsidRPr="0084736C" w:rsidRDefault="006A6ED2" w:rsidP="00E44507">
      <w:pPr>
        <w:spacing w:line="480" w:lineRule="auto"/>
        <w:rPr>
          <w:sz w:val="24"/>
          <w:szCs w:val="24"/>
        </w:rPr>
      </w:pPr>
      <w:r w:rsidRPr="0084736C">
        <w:rPr>
          <w:sz w:val="24"/>
          <w:szCs w:val="24"/>
        </w:rPr>
        <w:t>Unlike [II], [WW] has relatively favorable neg-neg and pos-pos interactions that are dominated by the interactions of W side chains. The pos-neg interactions involve salt bridges, cation-</w:t>
      </w:r>
      <w:r w:rsidRPr="0084736C">
        <w:rPr>
          <w:sz w:val="24"/>
          <w:szCs w:val="24"/>
        </w:rPr>
        <w:sym w:font="Symbol" w:char="F070"/>
      </w:r>
      <w:r w:rsidRPr="0084736C">
        <w:rPr>
          <w:sz w:val="24"/>
          <w:szCs w:val="24"/>
        </w:rPr>
        <w:t xml:space="preserve">, and aromatic W-F interactions. It is important to note that the charged side-chains are also interacting with the core region of the [WW] in all alignments, disrupting the core hydrophobicity; for example, K forms interactions with aromatic groups </w:t>
      </w:r>
      <w:r w:rsidR="00544BA8" w:rsidRPr="0084736C">
        <w:rPr>
          <w:sz w:val="24"/>
          <w:szCs w:val="24"/>
        </w:rPr>
        <w:t xml:space="preserve">(Fig. 2D). </w:t>
      </w:r>
      <w:r w:rsidRPr="0084736C">
        <w:rPr>
          <w:sz w:val="24"/>
          <w:szCs w:val="24"/>
        </w:rPr>
        <w:t xml:space="preserve">The [WW] contact map is qualitatively consistent with the 16-chain system, validating the assumption that the enhanced sampling on four chains is a reasonable approximation for larger systems. To understand the probability of first contacting residues in peptide chains, we ran 40 unbiased MD simulations to assess assembly kinetics, with each simulation terminating once all four chains were aggregating. </w:t>
      </w:r>
      <w:r w:rsidR="00544BA8" w:rsidRPr="0084736C">
        <w:rPr>
          <w:sz w:val="24"/>
          <w:szCs w:val="24"/>
        </w:rPr>
        <w:t>Fig. 2.5</w:t>
      </w:r>
      <w:r w:rsidRPr="0084736C">
        <w:rPr>
          <w:sz w:val="24"/>
          <w:szCs w:val="24"/>
        </w:rPr>
        <w:t xml:space="preserve"> shows the first contact(s) recorded for simulations that resulted in four chains aggregating. These are sampled at a time resolution of 2 picoseconds.</w:t>
      </w:r>
    </w:p>
    <w:p w14:paraId="0CBCE47E" w14:textId="12A42FEA" w:rsidR="00416EA6" w:rsidRPr="0084736C" w:rsidRDefault="006A6ED2" w:rsidP="00E44507">
      <w:pPr>
        <w:spacing w:line="480" w:lineRule="auto"/>
        <w:rPr>
          <w:sz w:val="24"/>
          <w:szCs w:val="24"/>
        </w:rPr>
      </w:pPr>
      <w:r w:rsidRPr="0084736C">
        <w:rPr>
          <w:sz w:val="24"/>
          <w:szCs w:val="24"/>
        </w:rPr>
        <w:t xml:space="preserve">Overall, the [II] and [AA] systems seem to start aggregation frequently with salt bridging. We found the W side chain to be a promiscuous group in the [WW] system, interacting with all residues in the first contacts. These results show that aggregation typically proceeds from pos-neg contact, and this contact can nucleate stable assemblies via either hydrophobic interactions or salt bridging. Such heterogeneous interactions create heterogeneous hierarchical assemblies, and so, fibrillar structures, as can be seen in TEM of [WW]. </w:t>
      </w:r>
      <w:r w:rsidR="00544BA8" w:rsidRPr="0084736C">
        <w:rPr>
          <w:sz w:val="24"/>
          <w:szCs w:val="24"/>
        </w:rPr>
        <w:t>Fig. 2.6</w:t>
      </w:r>
      <w:r w:rsidRPr="0084736C">
        <w:rPr>
          <w:sz w:val="24"/>
          <w:szCs w:val="24"/>
        </w:rPr>
        <w:t xml:space="preserve"> shows the secondary structure of the three systems at initial </w:t>
      </w:r>
      <w:r w:rsidR="00544BA8" w:rsidRPr="0084736C">
        <w:rPr>
          <w:sz w:val="24"/>
          <w:szCs w:val="24"/>
        </w:rPr>
        <w:t>contact and</w:t>
      </w:r>
      <w:r w:rsidRPr="0084736C">
        <w:rPr>
          <w:sz w:val="24"/>
          <w:szCs w:val="24"/>
        </w:rPr>
        <w:t xml:space="preserve"> gives additional evidence of the heterogeneous nature of the [WW] system. Specifically, the negative chains are helical and the positive chains </w:t>
      </w:r>
      <w:r w:rsidR="00544BA8" w:rsidRPr="0084736C">
        <w:rPr>
          <w:sz w:val="24"/>
          <w:szCs w:val="24"/>
        </w:rPr>
        <w:sym w:font="Symbol" w:char="F062"/>
      </w:r>
      <w:r w:rsidRPr="0084736C">
        <w:rPr>
          <w:sz w:val="24"/>
          <w:szCs w:val="24"/>
        </w:rPr>
        <w:t>-sheet like.</w:t>
      </w:r>
    </w:p>
    <w:p w14:paraId="5D20873F" w14:textId="77777777" w:rsidR="00544BA8" w:rsidRDefault="00544BA8" w:rsidP="00E44507">
      <w:pPr>
        <w:keepNext/>
        <w:spacing w:line="480" w:lineRule="auto"/>
        <w:jc w:val="center"/>
      </w:pPr>
      <w:r>
        <w:rPr>
          <w:noProof/>
        </w:rPr>
        <w:drawing>
          <wp:inline distT="0" distB="0" distL="0" distR="0" wp14:anchorId="4109EECF" wp14:editId="7661C87E">
            <wp:extent cx="4297968" cy="3168502"/>
            <wp:effectExtent l="0" t="0" r="0" b="0"/>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10960" cy="3178079"/>
                    </a:xfrm>
                    <a:prstGeom prst="rect">
                      <a:avLst/>
                    </a:prstGeom>
                  </pic:spPr>
                </pic:pic>
              </a:graphicData>
            </a:graphic>
          </wp:inline>
        </w:drawing>
      </w:r>
    </w:p>
    <w:p w14:paraId="1A6A9C78" w14:textId="64FC7621" w:rsidR="00416EA6" w:rsidRPr="00D4639D" w:rsidRDefault="00544BA8" w:rsidP="008A3EF7">
      <w:pPr>
        <w:pStyle w:val="Caption"/>
        <w:rPr>
          <w:b/>
          <w:bCs/>
        </w:rPr>
      </w:pPr>
      <w:bookmarkStart w:id="50" w:name="_Toc113560033"/>
      <w:bookmarkStart w:id="51" w:name="_Toc115118621"/>
      <w:r w:rsidRPr="00D4639D">
        <w:t xml:space="preserve">Figure 2. </w:t>
      </w:r>
      <w:fldSimple w:instr=" SEQ Figure_2. \* ARABIC ">
        <w:r w:rsidR="00785166">
          <w:rPr>
            <w:noProof/>
          </w:rPr>
          <w:t>5</w:t>
        </w:r>
      </w:fldSimple>
      <w:r w:rsidRPr="00D4639D">
        <w:t xml:space="preserve"> Probability of first contacting residues from 40 unbiased molecular dynamics simulations</w:t>
      </w:r>
      <w:r w:rsidRPr="00D4639D">
        <w:rPr>
          <w:bCs/>
        </w:rPr>
        <w:t xml:space="preserve">. Contact is defined as there being a pair of two side-chain heavy atoms in an amino acids within 3.5 </w:t>
      </w:r>
      <w:r w:rsidRPr="00D4639D">
        <w:rPr>
          <w:bCs/>
        </w:rPr>
        <w:sym w:font="Symbol" w:char="F041"/>
      </w:r>
      <w:r w:rsidRPr="00D4639D">
        <w:rPr>
          <w:bCs/>
        </w:rPr>
        <w:sym w:font="Symbol" w:char="F0B0"/>
      </w:r>
      <w:r w:rsidRPr="00D4639D">
        <w:rPr>
          <w:bCs/>
        </w:rPr>
        <w:t>. Simulations ended at a four-chain aggregate and began with the chains at least 2.5 nm apart. Working from end, this plot shows the minimum non-zero contact maps averaged across the 40 simulations. (Lighter color represent more contact).</w:t>
      </w:r>
      <w:bookmarkEnd w:id="50"/>
      <w:bookmarkEnd w:id="51"/>
    </w:p>
    <w:p w14:paraId="30974817" w14:textId="77777777" w:rsidR="00544BA8" w:rsidRDefault="00544BA8" w:rsidP="00E44507">
      <w:pPr>
        <w:keepNext/>
        <w:spacing w:line="480" w:lineRule="auto"/>
      </w:pPr>
      <w:r>
        <w:rPr>
          <w:noProof/>
        </w:rPr>
        <w:drawing>
          <wp:inline distT="0" distB="0" distL="0" distR="0" wp14:anchorId="40CD99CF" wp14:editId="128AC999">
            <wp:extent cx="5943600" cy="1043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3">
                      <a:extLst>
                        <a:ext uri="{28A0092B-C50C-407E-A947-70E740481C1C}">
                          <a14:useLocalDpi xmlns:a14="http://schemas.microsoft.com/office/drawing/2010/main" val="0"/>
                        </a:ext>
                      </a:extLst>
                    </a:blip>
                    <a:stretch>
                      <a:fillRect/>
                    </a:stretch>
                  </pic:blipFill>
                  <pic:spPr>
                    <a:xfrm>
                      <a:off x="0" y="0"/>
                      <a:ext cx="5943600" cy="1043940"/>
                    </a:xfrm>
                    <a:prstGeom prst="rect">
                      <a:avLst/>
                    </a:prstGeom>
                  </pic:spPr>
                </pic:pic>
              </a:graphicData>
            </a:graphic>
          </wp:inline>
        </w:drawing>
      </w:r>
    </w:p>
    <w:p w14:paraId="7FB6FABA" w14:textId="27CC399A" w:rsidR="00416EA6" w:rsidRPr="00D4639D" w:rsidRDefault="00544BA8" w:rsidP="008A3EF7">
      <w:pPr>
        <w:pStyle w:val="Caption"/>
        <w:rPr>
          <w:b/>
        </w:rPr>
      </w:pPr>
      <w:bookmarkStart w:id="52" w:name="_Toc113560034"/>
      <w:bookmarkStart w:id="53" w:name="_Toc115118622"/>
      <w:r w:rsidRPr="00D4639D">
        <w:t xml:space="preserve">Figure 2. </w:t>
      </w:r>
      <w:fldSimple w:instr=" SEQ Figure_2. \* ARABIC ">
        <w:r w:rsidR="00785166">
          <w:rPr>
            <w:noProof/>
          </w:rPr>
          <w:t>6</w:t>
        </w:r>
      </w:fldSimple>
      <w:r w:rsidRPr="00D4639D">
        <w:t xml:space="preserve"> Secondary structure of peptides at initial contact. Coil is random coil, Strand includes beta-sheet forming dihedral angles. Reweighted as described in maintext.</w:t>
      </w:r>
      <w:bookmarkEnd w:id="52"/>
      <w:bookmarkEnd w:id="53"/>
    </w:p>
    <w:p w14:paraId="12F93E55" w14:textId="552C2CD0" w:rsidR="006924D0" w:rsidRPr="0084736C" w:rsidRDefault="00544BA8" w:rsidP="00E44507">
      <w:pPr>
        <w:spacing w:line="480" w:lineRule="auto"/>
        <w:rPr>
          <w:rFonts w:cstheme="minorHAnsi"/>
          <w:sz w:val="24"/>
          <w:szCs w:val="24"/>
        </w:rPr>
      </w:pPr>
      <w:r w:rsidRPr="0084736C">
        <w:rPr>
          <w:rFonts w:cstheme="minorHAnsi"/>
          <w:sz w:val="24"/>
          <w:szCs w:val="24"/>
        </w:rPr>
        <w:t>Perhaps the closest co-assembly modeling work to that described here is the coarse-grained molecular dynamics simulations of conjugate acid/base co-assembly of CATCH peptides</w:t>
      </w:r>
      <w:r w:rsidR="00AC1571" w:rsidRPr="0084736C">
        <w:rPr>
          <w:rFonts w:cstheme="minorHAnsi"/>
          <w:sz w:val="24"/>
          <w:szCs w:val="24"/>
        </w:rPr>
        <w:t>.</w:t>
      </w:r>
      <w:r w:rsidR="00AC1571" w:rsidRPr="0084736C">
        <w:rPr>
          <w:rFonts w:cstheme="minorHAnsi"/>
          <w:sz w:val="24"/>
          <w:szCs w:val="24"/>
        </w:rPr>
        <w:fldChar w:fldCharType="begin"/>
      </w:r>
      <w:r w:rsidR="008F09C1">
        <w:rPr>
          <w:rFonts w:cstheme="minorHAnsi"/>
          <w:sz w:val="24"/>
          <w:szCs w:val="24"/>
        </w:rPr>
        <w:instrText xml:space="preserve"> ADDIN ZOTERO_ITEM CSL_CITATION {"citationID":"qwHy8lCq","properties":{"formattedCitation":"\\super 134\\nosupersub{}","plainCitation":"134","noteIndex":0},"citationItems":[{"id":5065,"uris":["http://zotero.org/groups/2667333/items/645STBP2"],"itemData":{"id":5065,"type":"article-journal","abstract":"Peptide self-assembly, wherein molecule A associates with other A molecules to form fibrillar β-sheet structures, is common in nature and widely used to fabricate synthetic biomaterials. Selective coassembly of peptide pairs A and B with complementary partial charges is gaining interest due to its potential for expanding the form and function of biomaterials that can be realized. It has been hypothesized that charge-complementary peptides organize into alternating ABAB-type arrangements within assembled β-sheets, but no direct molecular-level evidence exists to support this interpretation. We report a computational and experimental approach to characterize molecular-level organization of the established peptide pair, CATCH. Discontinuous molecular dynamics simulations predict that CATCH(+) and CATCH(−) peptides coassemble but do not self-assemble. Two-layer β-sheet amyloid structures predominate, but off-pathway β-barrel oligomers are also predicted. At low concentration, transmission electron microscopy and dynamic light scattering identified nonfibrillar </w:instrText>
      </w:r>
      <w:r w:rsidR="008F09C1">
        <w:rPr>
          <w:rFonts w:ascii="Cambria Math" w:hAnsi="Cambria Math" w:cs="Cambria Math"/>
          <w:sz w:val="24"/>
          <w:szCs w:val="24"/>
        </w:rPr>
        <w:instrText>∼</w:instrText>
      </w:r>
      <w:r w:rsidR="008F09C1">
        <w:rPr>
          <w:rFonts w:cstheme="minorHAnsi"/>
          <w:sz w:val="24"/>
          <w:szCs w:val="24"/>
        </w:rPr>
        <w:instrText xml:space="preserve">20-nm oligomers, while at high concentrations elongated fibers predominated. Thioflavin T fluorimetry estimates rapid and near-stoichiometric coassembly of CATCH(+) and CATCH(−) at concentrations ≥100 μM. Natural abundance 13C NMR and isotope-edited Fourier transform infrared spectroscopy indicate that CATCH(+) and CATCH(−) coassemble into two-component nanofibers instead of self-sorting. However, 13C–13C dipolar recoupling solid-state NMR measurements also identify nonnegligible AA and BB interactions among a majority of AB pairs. Collectively, these results demonstrate that strictly alternating arrangements of β-strands predominate in coassembled CATCH structures, but deviations from perfect alternation occur. Off-pathway β-barrel oligomers are also suggested to occur in coassembled β-strand peptide systems.","container-title":"Proceedings of the National Academy of Sciences","DOI":"10.1073/pnas.1912810117","ISSN":"0027-8424, 1091-6490","issue":"9","journalAbbreviation":"PNAS","language":"en","license":"© 2020 . https://www.pnas.org/site/aboutpnas/licenses.xhtmlPublished under the PNAS license.","note":"tex.ids: shao_anatomy_2020-1, shao_anatomy_2020-2\nPMID: 32071201\npublisher: National Academy of Sciences\nsection: Biological Sciences","page":"4710-4717","source":"www.pnas.org","title":"Anatomy of a selectively coassembled β-sheet peptide nanofiber","URL":"https://www.pnas.org/content/117/9/4710","volume":"117","author":[{"family":"Shao","given":"Qing"},{"family":"Wong","given":"Kong M."},{"family":"Seroski","given":"Dillon T."},{"family":"Wang","given":"Yiming"},{"family":"Liu","given":"Renjie"},{"family":"Paravastu","given":"Anant K."},{"family":"Hudalla","given":"Gregory A."},{"family":"Hall","given":"Carol K."}],"accessed":{"date-parts":[["2020",8,10]]},"issued":{"date-parts":[["2020",3,3]]},"citation-key":"shaoAnatomySelectivelyCoassembled2020"}}],"schema":"https://github.com/citation-style-language/schema/raw/master/csl-citation.json"} </w:instrText>
      </w:r>
      <w:r w:rsidR="00AC1571" w:rsidRPr="0084736C">
        <w:rPr>
          <w:rFonts w:cstheme="minorHAnsi"/>
          <w:sz w:val="24"/>
          <w:szCs w:val="24"/>
        </w:rPr>
        <w:fldChar w:fldCharType="separate"/>
      </w:r>
      <w:r w:rsidR="008F09C1" w:rsidRPr="008F09C1">
        <w:rPr>
          <w:rFonts w:ascii="Arial" w:cs="Arial"/>
          <w:sz w:val="24"/>
          <w:vertAlign w:val="superscript"/>
        </w:rPr>
        <w:t>134</w:t>
      </w:r>
      <w:r w:rsidR="00AC1571" w:rsidRPr="0084736C">
        <w:rPr>
          <w:rFonts w:cstheme="minorHAnsi"/>
          <w:sz w:val="24"/>
          <w:szCs w:val="24"/>
        </w:rPr>
        <w:fldChar w:fldCharType="end"/>
      </w:r>
      <w:r w:rsidR="00AC1571" w:rsidRPr="0084736C">
        <w:rPr>
          <w:rFonts w:cstheme="minorHAnsi"/>
          <w:sz w:val="24"/>
          <w:szCs w:val="24"/>
        </w:rPr>
        <w:t xml:space="preserve"> </w:t>
      </w:r>
      <w:r w:rsidRPr="0084736C">
        <w:rPr>
          <w:rFonts w:cstheme="minorHAnsi"/>
          <w:sz w:val="24"/>
          <w:szCs w:val="24"/>
        </w:rPr>
        <w:t>Shao et al. studied a much larger system and found that co-assembly allows pos-pos and neg-neg pairs as fibers assemble. Regarding the amino acid interactions that drive co-assembly, Frederix et al.</w:t>
      </w:r>
      <w:r w:rsidR="00AC1571" w:rsidRPr="0084736C">
        <w:rPr>
          <w:rFonts w:cstheme="minorHAnsi"/>
          <w:sz w:val="24"/>
          <w:szCs w:val="24"/>
        </w:rPr>
        <w:fldChar w:fldCharType="begin"/>
      </w:r>
      <w:r w:rsidR="008F09C1">
        <w:rPr>
          <w:rFonts w:cstheme="minorHAnsi"/>
          <w:sz w:val="24"/>
          <w:szCs w:val="24"/>
        </w:rPr>
        <w:instrText xml:space="preserve"> ADDIN ZOTERO_ITEM CSL_CITATION {"citationID":"gGjkz5B0","properties":{"formattedCitation":"\\super 35\\nosupersub{}","plainCitation":"35","noteIndex":0},"citationItems":[{"id":2394,"uris":["http://zotero.org/groups/2667333/items/ARK7DUEJ"],"itemData":{"id":2394,"type":"article-journal","container-title":"Nature Chemistry","DOI":"10.1038/nchem.2122","ISSN":"1755-4330, 1755-4349","issue":"1","journalAbbreviation":"Nat. Chem.","language":"en","note":"tex.ids: frederix_exploring_2015-4\nCitation Key: frederix_exploring_2015","page":"30-37","source":"DOI.org (Crossref)","title":"Exploring the sequence space for (tri-)peptide self-assembly to design and discover new hydrogels","URL":"http://www.nature.com/articles/nchem.2122","volume":"7","author":[{"family":"Frederix","given":"Pim W. J. M."},{"family":"Scott","given":"Gary G."},{"family":"Abul-Haija","given":"Yousef M."},{"family":"Kalafatovic","given":"Daniela"},{"family":"Pappas","given":"Charalampos G."},{"family":"Javid","given":"Nadeem"},{"family":"Hunt","given":"Neil T."},{"family":"Ulijn","given":"Rein V."},{"family":"Tuttle","given":"Tell"}],"accessed":{"date-parts":[["2020",12,23]]},"issued":{"date-parts":[["2015",1]]},"citation-key":"frederix_exploring_2015"}}],"schema":"https://github.com/citation-style-language/schema/raw/master/csl-citation.json"} </w:instrText>
      </w:r>
      <w:r w:rsidR="00AC1571" w:rsidRPr="0084736C">
        <w:rPr>
          <w:rFonts w:cstheme="minorHAnsi"/>
          <w:sz w:val="24"/>
          <w:szCs w:val="24"/>
        </w:rPr>
        <w:fldChar w:fldCharType="separate"/>
      </w:r>
      <w:r w:rsidR="008F09C1" w:rsidRPr="008F09C1">
        <w:rPr>
          <w:rFonts w:ascii="Arial" w:cs="Arial"/>
          <w:sz w:val="24"/>
          <w:vertAlign w:val="superscript"/>
        </w:rPr>
        <w:t>35</w:t>
      </w:r>
      <w:r w:rsidR="00AC1571" w:rsidRPr="0084736C">
        <w:rPr>
          <w:rFonts w:cstheme="minorHAnsi"/>
          <w:sz w:val="24"/>
          <w:szCs w:val="24"/>
        </w:rPr>
        <w:fldChar w:fldCharType="end"/>
      </w:r>
      <w:r w:rsidR="00AC1571" w:rsidRPr="0084736C">
        <w:rPr>
          <w:rFonts w:cstheme="minorHAnsi"/>
          <w:sz w:val="24"/>
          <w:szCs w:val="24"/>
        </w:rPr>
        <w:t xml:space="preserve"> </w:t>
      </w:r>
      <w:r w:rsidRPr="0084736C">
        <w:rPr>
          <w:rFonts w:cstheme="minorHAnsi"/>
          <w:sz w:val="24"/>
          <w:szCs w:val="24"/>
        </w:rPr>
        <w:t xml:space="preserve">surveyed coarse grained models of tripeptides and found the FF motif was a consistently strong influence, as expected from its role in </w:t>
      </w:r>
      <w:r w:rsidR="0018567A" w:rsidRPr="0084736C">
        <w:rPr>
          <w:rFonts w:cstheme="minorHAnsi"/>
          <w:sz w:val="24"/>
          <w:szCs w:val="24"/>
        </w:rPr>
        <w:t>Amyloid β</w:t>
      </w:r>
      <w:r w:rsidRPr="0084736C">
        <w:rPr>
          <w:rFonts w:cstheme="minorHAnsi"/>
          <w:sz w:val="24"/>
          <w:szCs w:val="24"/>
        </w:rPr>
        <w:t>eta formation</w:t>
      </w:r>
      <w:r w:rsidR="00AC1571" w:rsidRPr="0084736C">
        <w:rPr>
          <w:rFonts w:cstheme="minorHAnsi"/>
          <w:sz w:val="24"/>
          <w:szCs w:val="24"/>
        </w:rPr>
        <w:t>.</w:t>
      </w:r>
      <w:r w:rsidR="00AC1571" w:rsidRPr="0084736C">
        <w:rPr>
          <w:rFonts w:cstheme="minorHAnsi"/>
          <w:sz w:val="24"/>
          <w:szCs w:val="24"/>
        </w:rPr>
        <w:fldChar w:fldCharType="begin"/>
      </w:r>
      <w:r w:rsidR="008F09C1">
        <w:rPr>
          <w:rFonts w:cstheme="minorHAnsi"/>
          <w:sz w:val="24"/>
          <w:szCs w:val="24"/>
        </w:rPr>
        <w:instrText xml:space="preserve"> ADDIN ZOTERO_ITEM CSL_CITATION {"citationID":"her4WI3k","properties":{"formattedCitation":"\\super 30,135\\nosupersub{}","plainCitation":"30,135","noteIndex":0},"citationItems":[{"id":4357,"uris":["http://zotero.org/groups/2667333/items/MJP6RQT2"],"itemData":{"id":4357,"type":"article-journal","abstract":"We recently presented a novel class of self-assembled diphenylalanine-based peptide nanotubes. Here, for the first time, we present their mechanical properties, which we directly measured through indentation type experiments using atomic force microscopy. We find that the averaged point stiffness of the nanotubes is 160 N/m, and that they have a correspondingly high Young’s modulus of </w:instrText>
      </w:r>
      <w:r w:rsidR="008F09C1">
        <w:rPr>
          <w:rFonts w:ascii="Cambria Math" w:hAnsi="Cambria Math" w:cs="Cambria Math"/>
          <w:sz w:val="24"/>
          <w:szCs w:val="24"/>
        </w:rPr>
        <w:instrText>∼</w:instrText>
      </w:r>
      <w:r w:rsidR="008F09C1">
        <w:rPr>
          <w:rFonts w:cstheme="minorHAnsi"/>
          <w:sz w:val="24"/>
          <w:szCs w:val="24"/>
        </w:rPr>
        <w:instrText xml:space="preserve">19 GPa, as calculated by finite element analysis. This high value places these peptide nanotubes among the stiffest biological materials presently known, making them attractive building blocks for the design and assembly of biocompatible nanodevices.","container-title":"Nano Letters","DOI":"10.1021/nl0505896","ISSN":"1530-6984, 1530-6992","issue":"7","journalAbbreviation":"Nano Lett.","language":"en","page":"1343-1346","source":"DOI.org (Crossref)","title":"Self-Assembled Peptide Nanotubes Are Uniquely Rigid Bioinspired Supramolecular Structures","URL":"https://pubs.acs.org/doi/10.1021/nl0505896","volume":"5","author":[{"family":"Kol","given":"Nitzan"},{"family":"Adler-Abramovich","given":"Lihi"},{"family":"Barlam","given":"David"},{"family":"Shneck","given":"Roni Z."},{"family":"Gazit","given":"Ehud"},{"family":"Rousso","given":"Itay"}],"accessed":{"date-parts":[["2020",12,23]]},"issued":{"date-parts":[["2005",7]]},"citation-key":"kolSelfAssembledPeptideNanotubes2005"}},{"id":2452,"uris":["http://zotero.org/groups/2667333/items/IMYIMHA2"],"itemData":{"id":2452,"type":"article-journal","container-title":"Chemical Society Reviews","DOI":"10.1039/b915765b","ISSN":"0306-0012, 1460-4744","issue":"6","journalAbbreviation":"Chem. Soc. Rev.","language":"en","page":"1877-1890","source":"DOI.org (Crossref)","title":"Self-assembly and application of diphenylalanine-based nanostructures","URL":"http://xlink.rsc.org/?DOI=b915765b","volume":"39","author":[{"family":"Yan","given":"Xuehai"},{"family":"Zhu","given":"Pengli"},{"family":"Li","given":"Junbai"}],"accessed":{"date-parts":[["2020",12,23]]},"issued":{"date-parts":[["2010"]]},"citation-key":"yanSelfassemblyApplicationDiphenylalaninebased2010"}}],"schema":"https://github.com/citation-style-language/schema/raw/master/csl-citation.json"} </w:instrText>
      </w:r>
      <w:r w:rsidR="00AC1571" w:rsidRPr="0084736C">
        <w:rPr>
          <w:rFonts w:cstheme="minorHAnsi"/>
          <w:sz w:val="24"/>
          <w:szCs w:val="24"/>
        </w:rPr>
        <w:fldChar w:fldCharType="separate"/>
      </w:r>
      <w:r w:rsidR="008F09C1" w:rsidRPr="008F09C1">
        <w:rPr>
          <w:rFonts w:ascii="Arial" w:cs="Arial"/>
          <w:sz w:val="24"/>
          <w:vertAlign w:val="superscript"/>
        </w:rPr>
        <w:t>30,135</w:t>
      </w:r>
      <w:r w:rsidR="00AC1571" w:rsidRPr="0084736C">
        <w:rPr>
          <w:rFonts w:cstheme="minorHAnsi"/>
          <w:sz w:val="24"/>
          <w:szCs w:val="24"/>
        </w:rPr>
        <w:fldChar w:fldCharType="end"/>
      </w:r>
      <w:r w:rsidRPr="0084736C">
        <w:rPr>
          <w:rFonts w:cstheme="minorHAnsi"/>
          <w:sz w:val="24"/>
          <w:szCs w:val="24"/>
        </w:rPr>
        <w:t xml:space="preserve"> The same group also showed that K can be a good choice for a positive amino acid in electrostatically-influenced assembly because of its stronger cation-</w:t>
      </w:r>
      <w:r w:rsidR="00AC1571" w:rsidRPr="0084736C">
        <w:rPr>
          <w:rFonts w:cstheme="minorHAnsi"/>
          <w:sz w:val="24"/>
          <w:szCs w:val="24"/>
        </w:rPr>
        <w:sym w:font="Symbol" w:char="F070"/>
      </w:r>
      <w:r w:rsidRPr="0084736C">
        <w:rPr>
          <w:rFonts w:cstheme="minorHAnsi"/>
          <w:sz w:val="24"/>
          <w:szCs w:val="24"/>
        </w:rPr>
        <w:t xml:space="preserve"> interactions relative to R.</w:t>
      </w:r>
    </w:p>
    <w:p w14:paraId="722A3AF7" w14:textId="47BBB079" w:rsidR="00AC1571" w:rsidRDefault="00051FBD">
      <w:pPr>
        <w:pStyle w:val="Heading3"/>
        <w:numPr>
          <w:ilvl w:val="2"/>
          <w:numId w:val="8"/>
        </w:numPr>
        <w:spacing w:line="480" w:lineRule="auto"/>
      </w:pPr>
      <w:bookmarkStart w:id="54" w:name="_Toc114946703"/>
      <w:bookmarkStart w:id="55" w:name="_Toc121134625"/>
      <w:r>
        <w:t>C</w:t>
      </w:r>
      <w:r w:rsidR="00DD25AA">
        <w:t>o</w:t>
      </w:r>
      <w:r w:rsidR="00165F1E">
        <w:t>-assembled Peptide</w:t>
      </w:r>
      <w:r w:rsidR="00DD25AA">
        <w:t xml:space="preserve"> </w:t>
      </w:r>
      <w:r w:rsidR="00165F1E">
        <w:t>C</w:t>
      </w:r>
      <w:r w:rsidR="00AC1571">
        <w:t>haracterization</w:t>
      </w:r>
      <w:bookmarkEnd w:id="54"/>
      <w:bookmarkEnd w:id="55"/>
    </w:p>
    <w:p w14:paraId="45F7A9FB" w14:textId="5D2399AB" w:rsidR="00AC1571" w:rsidRPr="00027B95" w:rsidRDefault="00AC1571" w:rsidP="00E44507">
      <w:pPr>
        <w:spacing w:line="480" w:lineRule="auto"/>
        <w:rPr>
          <w:sz w:val="22"/>
          <w:szCs w:val="22"/>
        </w:rPr>
      </w:pPr>
      <w:r w:rsidRPr="00027B95">
        <w:rPr>
          <w:sz w:val="22"/>
          <w:szCs w:val="22"/>
        </w:rPr>
        <w:t>Upon validation of the design rationale of the CoOP system, we characterized the assembly kinetics and mechanism of the studied pairs experimentally; these aspects are dependent on the substitution domain.</w:t>
      </w:r>
    </w:p>
    <w:p w14:paraId="39CB1242" w14:textId="0F5A94D1" w:rsidR="00AC1571" w:rsidRPr="0084736C" w:rsidRDefault="00AC1571">
      <w:pPr>
        <w:pStyle w:val="Heading4"/>
        <w:numPr>
          <w:ilvl w:val="3"/>
          <w:numId w:val="8"/>
        </w:numPr>
        <w:spacing w:line="480" w:lineRule="auto"/>
        <w:rPr>
          <w:sz w:val="24"/>
          <w:szCs w:val="24"/>
        </w:rPr>
      </w:pPr>
      <w:bookmarkStart w:id="56" w:name="_Toc114946704"/>
      <w:bookmarkStart w:id="57" w:name="_Toc121134626"/>
      <w:r w:rsidRPr="0084736C">
        <w:rPr>
          <w:sz w:val="24"/>
          <w:szCs w:val="24"/>
        </w:rPr>
        <w:t xml:space="preserve">Co-assembly of </w:t>
      </w:r>
      <w:r w:rsidR="00165F1E">
        <w:rPr>
          <w:sz w:val="24"/>
          <w:szCs w:val="24"/>
        </w:rPr>
        <w:t>P</w:t>
      </w:r>
      <w:r w:rsidRPr="0084736C">
        <w:rPr>
          <w:sz w:val="24"/>
          <w:szCs w:val="24"/>
        </w:rPr>
        <w:t>eptides into 1</w:t>
      </w:r>
      <w:r w:rsidR="009B6EE0" w:rsidRPr="0084736C">
        <w:rPr>
          <w:sz w:val="24"/>
          <w:szCs w:val="24"/>
        </w:rPr>
        <w:t>D</w:t>
      </w:r>
      <w:r w:rsidRPr="0084736C">
        <w:rPr>
          <w:sz w:val="24"/>
          <w:szCs w:val="24"/>
        </w:rPr>
        <w:t xml:space="preserve"> </w:t>
      </w:r>
      <w:r w:rsidR="00165F1E">
        <w:rPr>
          <w:sz w:val="24"/>
          <w:szCs w:val="24"/>
        </w:rPr>
        <w:t>S</w:t>
      </w:r>
      <w:r w:rsidRPr="0084736C">
        <w:rPr>
          <w:sz w:val="24"/>
          <w:szCs w:val="24"/>
        </w:rPr>
        <w:t>tructures</w:t>
      </w:r>
      <w:bookmarkEnd w:id="56"/>
      <w:bookmarkEnd w:id="57"/>
    </w:p>
    <w:p w14:paraId="48B58ADD" w14:textId="045AD672" w:rsidR="00AC1571" w:rsidRPr="0084736C" w:rsidRDefault="00AC1571" w:rsidP="00E44507">
      <w:pPr>
        <w:spacing w:line="480" w:lineRule="auto"/>
        <w:rPr>
          <w:rFonts w:cstheme="minorHAnsi"/>
          <w:sz w:val="24"/>
          <w:szCs w:val="24"/>
        </w:rPr>
      </w:pPr>
      <w:r w:rsidRPr="0084736C">
        <w:rPr>
          <w:rFonts w:cstheme="minorHAnsi"/>
          <w:sz w:val="24"/>
          <w:szCs w:val="24"/>
        </w:rPr>
        <w:t>The CoOP framework is designed to form 1D aggregations. At pH 7 all peptides were soluble in water and displayed the expected charges (pKa of (-COO</w:t>
      </w:r>
      <w:r w:rsidRPr="0084736C">
        <w:rPr>
          <w:rFonts w:cstheme="minorHAnsi"/>
          <w:sz w:val="24"/>
          <w:szCs w:val="24"/>
          <w:vertAlign w:val="superscript"/>
        </w:rPr>
        <w:t>-</w:t>
      </w:r>
      <w:r w:rsidRPr="0084736C">
        <w:rPr>
          <w:rFonts w:cstheme="minorHAnsi"/>
          <w:sz w:val="24"/>
          <w:szCs w:val="24"/>
        </w:rPr>
        <w:t>) of E is 4.25 and (-NH</w:t>
      </w:r>
      <w:r w:rsidRPr="0084736C">
        <w:rPr>
          <w:rFonts w:cstheme="minorHAnsi"/>
          <w:sz w:val="24"/>
          <w:szCs w:val="24"/>
          <w:vertAlign w:val="superscript"/>
        </w:rPr>
        <w:t>+</w:t>
      </w:r>
      <w:r w:rsidRPr="0084736C">
        <w:rPr>
          <w:rFonts w:cstheme="minorHAnsi"/>
          <w:sz w:val="24"/>
          <w:szCs w:val="24"/>
        </w:rPr>
        <w:t xml:space="preserve">of K is 10.53). When mixed with equal concentrations and volume, the total charge of the aggregate becomes neutral (Fig. 2.7). Upon simple mixing at room temperature by pipetting, [WW] and [II] rapidly assembled into 1D structures at a monomer concentration of 10mM (Fig, 2.8A) (weight% [AA]= 0.75w%, [WW]= 0.9w%, and [II]= 0.8w%) without temperature increase, sonication and pH adjustment. The diameter of the formed 1D nanostructures was measured at around 5-10 nm for [II] and [WW] (Fig. 2.8 and 2.9B). However, for the [AA] (featuring the narrowest hydrophobic ASA and the lowest </w:t>
      </w:r>
      <w:r w:rsidRPr="0084736C">
        <w:rPr>
          <w:rFonts w:cstheme="minorHAnsi"/>
          <w:sz w:val="24"/>
          <w:szCs w:val="24"/>
        </w:rPr>
        <w:sym w:font="Symbol" w:char="F062"/>
      </w:r>
      <w:r w:rsidRPr="0084736C">
        <w:rPr>
          <w:rFonts w:cstheme="minorHAnsi"/>
          <w:sz w:val="24"/>
          <w:szCs w:val="24"/>
        </w:rPr>
        <w:t>-sheet frequency) no organized structure formed at a concentration of 0.75 w/v% which is lower than previously studied (2w/v %).</w:t>
      </w:r>
      <w:r w:rsidRPr="0084736C">
        <w:rPr>
          <w:rFonts w:cstheme="minorHAnsi"/>
          <w:sz w:val="24"/>
          <w:szCs w:val="24"/>
        </w:rPr>
        <w:fldChar w:fldCharType="begin"/>
      </w:r>
      <w:r w:rsidR="008F09C1">
        <w:rPr>
          <w:rFonts w:cstheme="minorHAnsi"/>
          <w:sz w:val="24"/>
          <w:szCs w:val="24"/>
        </w:rPr>
        <w:instrText xml:space="preserve"> ADDIN ZOTERO_ITEM CSL_CITATION {"citationID":"kUrkWYs7","properties":{"formattedCitation":"\\super 136\\nosupersub{}","plainCitation":"136","noteIndex":0},"citationItems":[{"id":3871,"uris":["http://zotero.org/groups/2667333/items/34GI7LVY"],"itemData":{"id":3871,"type":"article-journal","abstract":"Amyloid peptides are important components in many degenerative diseases as well as in maintaining cellular metabolism. Their unique stable structure provides new insights in developing new materials. Designing bioinspired self-assembling peptides is essential to generate new forms of hierarchical nanostructures. Here we present oppositely charged amyloid inspired peptides (AIPs), which rapidly self-assemble into nanofibers at pH 7 upon mixing in water caused by noncovalent interactions. Mechanical properties of the gels formed by self-assembled AIP nanofibers were analyzed with oscillatory rheology. AIP gels exhibited strong mechanical characteristics superior to gels formed by self-assembly of previously reported synthetic short peptides. Rheological studies of gels composed of oppositely charged mixed AIP molecules (AIP-1 + 2) revealed superior mechanical stability compared to individual peptide networks (AIP-1 and AIP-2) formed by neutralization of net charges through pH change. Adhesion and elasticity properties of AIP mixed nanofibers and charge neutralized AIP-1, AIP-2 nanofibers were analyzed by high resolution force-distance mapping using atomic force microscopy (AFM). Nanomechanical characterization of self-assembled AIP-1 + 2, AIP-1, and AIP-2 nanofibers also confirmed macroscopic rheology results, and mechanical stability of AIP mixed nanofibers was higher compared to individual AIP-1 and AIP-2 nanofibers self-assembled at acidic and basic pH, respectively. Experimental results were supported with molecular dynamics simulations by considering potential noncovalent interactions between the amino acid residues and possible aggregate forms. In addition, HUVEC cells were cultured on AIP mixed nanofibers at pH 7 and biocompatibility and collagen mimetic scaffold properties of the nanofibrous system were observed. Encapsulation of a zwitterionic dye (rhodamine B) within AIP nanofiber network was accomplished at physiological conditions to demonstrate that this network can be utilized for inclusion of soluble factors as a scaffold for cell culture studies.","container-title":"Biomacromolecules","DOI":"10.1021/bm301141h","issue":"10","page":"3377-3387","title":"Amyloid inspired self-assembled peptide nanofibers","volume":"13","author":[{"family":"Cinar","given":"Goksu"},{"family":"Ceylan","given":"Hakan"},{"family":"Urel","given":"Mustafa"},{"family":"Erkal","given":"Turan S."},{"family":"Deniz Tekin","given":"E."},{"family":"Tekinay","given":"Ayse B."},{"family":"Dâna","given":"Aykutlu"},{"family":"Guler","given":"Mustafa O."}],"issued":{"date-parts":[["2012"]]},"citation-key":"cinarAmyloidInspiredSelfassembled2012"}}],"schema":"https://github.com/citation-style-language/schema/raw/master/csl-citation.json"}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136</w:t>
      </w:r>
      <w:r w:rsidRPr="0084736C">
        <w:rPr>
          <w:rFonts w:cstheme="minorHAnsi"/>
          <w:sz w:val="24"/>
          <w:szCs w:val="24"/>
        </w:rPr>
        <w:fldChar w:fldCharType="end"/>
      </w:r>
      <w:r w:rsidRPr="0084736C">
        <w:rPr>
          <w:rFonts w:cstheme="minorHAnsi"/>
          <w:sz w:val="24"/>
          <w:szCs w:val="24"/>
        </w:rPr>
        <w:t xml:space="preserve"> These results indicate CoOP meets the three goals of our design rationale: a simple, water soluble hexapeptide system that assembles into 1D structures when mixed.</w:t>
      </w:r>
    </w:p>
    <w:p w14:paraId="3E443D6C" w14:textId="77777777" w:rsidR="00AC1571" w:rsidRDefault="00AC1571" w:rsidP="00E44507">
      <w:pPr>
        <w:keepNext/>
        <w:spacing w:line="480" w:lineRule="auto"/>
        <w:jc w:val="center"/>
      </w:pPr>
      <w:r>
        <w:rPr>
          <w:noProof/>
        </w:rPr>
        <w:drawing>
          <wp:inline distT="0" distB="0" distL="0" distR="0" wp14:anchorId="1CE2EF14" wp14:editId="3B00EFA7">
            <wp:extent cx="3049714" cy="2607013"/>
            <wp:effectExtent l="0" t="0" r="0" b="0"/>
            <wp:docPr id="8" name="Picture 8" descr="A screen with numbers and letters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 with numbers and letters on it&#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3088158" cy="2639876"/>
                    </a:xfrm>
                    <a:prstGeom prst="rect">
                      <a:avLst/>
                    </a:prstGeom>
                  </pic:spPr>
                </pic:pic>
              </a:graphicData>
            </a:graphic>
          </wp:inline>
        </w:drawing>
      </w:r>
    </w:p>
    <w:p w14:paraId="03EBAA55" w14:textId="3F84E131" w:rsidR="00DB4EEF" w:rsidRPr="00D4639D" w:rsidRDefault="00AC1571" w:rsidP="008A3EF7">
      <w:pPr>
        <w:pStyle w:val="Caption"/>
        <w:rPr>
          <w:b/>
        </w:rPr>
      </w:pPr>
      <w:bookmarkStart w:id="58" w:name="_Toc113560035"/>
      <w:bookmarkStart w:id="59" w:name="_Toc115118623"/>
      <w:r w:rsidRPr="00D4639D">
        <w:t xml:space="preserve">Figure 2. </w:t>
      </w:r>
      <w:fldSimple w:instr=" SEQ Figure_2. \* ARABIC ">
        <w:r w:rsidR="00785166">
          <w:rPr>
            <w:noProof/>
          </w:rPr>
          <w:t>7</w:t>
        </w:r>
      </w:fldSimple>
      <w:r w:rsidRPr="00D4639D">
        <w:t xml:space="preserve"> Zeta potential measurements. Individual positively and negatively charged peptides and 1:1 (molar ratio) mixed forms.</w:t>
      </w:r>
      <w:bookmarkEnd w:id="58"/>
      <w:bookmarkEnd w:id="59"/>
    </w:p>
    <w:p w14:paraId="76BDBDC8" w14:textId="126C58CF" w:rsidR="00AC1571" w:rsidRDefault="00AC1571" w:rsidP="00E44507">
      <w:pPr>
        <w:keepNext/>
        <w:spacing w:line="480" w:lineRule="auto"/>
      </w:pPr>
      <w:r>
        <w:rPr>
          <w:noProof/>
        </w:rPr>
        <w:drawing>
          <wp:inline distT="0" distB="0" distL="0" distR="0" wp14:anchorId="36AD775B" wp14:editId="3668F2E0">
            <wp:extent cx="5943600" cy="18091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809115"/>
                    </a:xfrm>
                    <a:prstGeom prst="rect">
                      <a:avLst/>
                    </a:prstGeom>
                  </pic:spPr>
                </pic:pic>
              </a:graphicData>
            </a:graphic>
          </wp:inline>
        </w:drawing>
      </w:r>
    </w:p>
    <w:p w14:paraId="41411297" w14:textId="733EC3AA" w:rsidR="005A4A69" w:rsidRPr="00D4639D" w:rsidRDefault="00AC1571" w:rsidP="008A3EF7">
      <w:pPr>
        <w:pStyle w:val="Caption"/>
        <w:rPr>
          <w:b/>
        </w:rPr>
      </w:pPr>
      <w:bookmarkStart w:id="60" w:name="_Toc113560036"/>
      <w:bookmarkStart w:id="61" w:name="_Toc115118624"/>
      <w:r w:rsidRPr="00D4639D">
        <w:t xml:space="preserve">Figure 2. </w:t>
      </w:r>
      <w:fldSimple w:instr=" SEQ Figure_2. \* ARABIC ">
        <w:r w:rsidR="00785166">
          <w:rPr>
            <w:noProof/>
          </w:rPr>
          <w:t>8</w:t>
        </w:r>
      </w:fldSimple>
      <w:r w:rsidRPr="00D4639D">
        <w:t xml:space="preserve"> </w:t>
      </w:r>
      <w:r w:rsidR="00C76CD6" w:rsidRPr="00D4639D">
        <w:t xml:space="preserve">Morphological analysis of peptide structures. </w:t>
      </w:r>
      <w:r w:rsidRPr="00D4639D">
        <w:rPr>
          <w:bCs/>
        </w:rPr>
        <w:t xml:space="preserve">AFM images of CoOPs. </w:t>
      </w:r>
      <w:r w:rsidRPr="00D4639D">
        <w:t>Diameter analysis of [AA], [WW] and [II].</w:t>
      </w:r>
      <w:bookmarkEnd w:id="60"/>
      <w:bookmarkEnd w:id="61"/>
    </w:p>
    <w:p w14:paraId="12185C40" w14:textId="77777777" w:rsidR="00C76CD6" w:rsidRPr="00C76CD6" w:rsidRDefault="00C76CD6" w:rsidP="00C76CD6"/>
    <w:p w14:paraId="599B7C49" w14:textId="5A47653C" w:rsidR="00DB4EEF" w:rsidRPr="0084736C" w:rsidRDefault="000E0E3F">
      <w:pPr>
        <w:pStyle w:val="Heading4"/>
        <w:numPr>
          <w:ilvl w:val="3"/>
          <w:numId w:val="8"/>
        </w:numPr>
        <w:spacing w:line="480" w:lineRule="auto"/>
        <w:rPr>
          <w:sz w:val="24"/>
          <w:szCs w:val="24"/>
        </w:rPr>
      </w:pPr>
      <w:bookmarkStart w:id="62" w:name="_Toc114946705"/>
      <w:bookmarkStart w:id="63" w:name="_Toc121134627"/>
      <w:r w:rsidRPr="0084736C">
        <w:rPr>
          <w:sz w:val="24"/>
          <w:szCs w:val="24"/>
        </w:rPr>
        <w:t>C</w:t>
      </w:r>
      <w:r w:rsidR="00DB4EEF" w:rsidRPr="0084736C">
        <w:rPr>
          <w:sz w:val="24"/>
          <w:szCs w:val="24"/>
        </w:rPr>
        <w:t xml:space="preserve">haracterization of </w:t>
      </w:r>
      <w:r w:rsidR="00B5499F">
        <w:rPr>
          <w:sz w:val="24"/>
          <w:szCs w:val="24"/>
        </w:rPr>
        <w:t>A</w:t>
      </w:r>
      <w:r w:rsidR="00DB4EEF" w:rsidRPr="0084736C">
        <w:rPr>
          <w:sz w:val="24"/>
          <w:szCs w:val="24"/>
        </w:rPr>
        <w:t xml:space="preserve">ssembly </w:t>
      </w:r>
      <w:r w:rsidR="00B5499F">
        <w:rPr>
          <w:sz w:val="24"/>
          <w:szCs w:val="24"/>
        </w:rPr>
        <w:t>K</w:t>
      </w:r>
      <w:r w:rsidR="00DB4EEF" w:rsidRPr="0084736C">
        <w:rPr>
          <w:sz w:val="24"/>
          <w:szCs w:val="24"/>
        </w:rPr>
        <w:t>inetic</w:t>
      </w:r>
      <w:r w:rsidR="00B5499F">
        <w:rPr>
          <w:sz w:val="24"/>
          <w:szCs w:val="24"/>
        </w:rPr>
        <w:t>s</w:t>
      </w:r>
      <w:r w:rsidR="00DB4EEF" w:rsidRPr="0084736C">
        <w:rPr>
          <w:sz w:val="24"/>
          <w:szCs w:val="24"/>
        </w:rPr>
        <w:t xml:space="preserve"> and </w:t>
      </w:r>
      <w:r w:rsidR="00B5499F">
        <w:rPr>
          <w:sz w:val="24"/>
          <w:szCs w:val="24"/>
        </w:rPr>
        <w:t>M</w:t>
      </w:r>
      <w:r w:rsidR="00DB4EEF" w:rsidRPr="0084736C">
        <w:rPr>
          <w:sz w:val="24"/>
          <w:szCs w:val="24"/>
        </w:rPr>
        <w:t>echanism</w:t>
      </w:r>
      <w:bookmarkEnd w:id="62"/>
      <w:bookmarkEnd w:id="63"/>
    </w:p>
    <w:p w14:paraId="30E2D233" w14:textId="77777777" w:rsidR="00DB4EEF" w:rsidRPr="0084736C" w:rsidRDefault="00DB4EEF" w:rsidP="00E44507">
      <w:pPr>
        <w:spacing w:line="480" w:lineRule="auto"/>
        <w:rPr>
          <w:rFonts w:cstheme="minorHAnsi"/>
          <w:sz w:val="24"/>
          <w:szCs w:val="24"/>
        </w:rPr>
      </w:pPr>
      <w:r w:rsidRPr="0084736C">
        <w:rPr>
          <w:rFonts w:cstheme="minorHAnsi"/>
          <w:sz w:val="24"/>
          <w:szCs w:val="24"/>
        </w:rPr>
        <w:t xml:space="preserve">The FF domain of the CoOP system provides an amyloid-like 1D assembly that has well-established fluorescent-based analyses methods to compare the assembly kinetics of the system, which is dependent on the substitution domain. </w:t>
      </w:r>
    </w:p>
    <w:p w14:paraId="37C0805A" w14:textId="39C54633" w:rsidR="00AC1571" w:rsidRPr="0084736C" w:rsidRDefault="00DB4EEF" w:rsidP="00E44507">
      <w:pPr>
        <w:spacing w:line="480" w:lineRule="auto"/>
        <w:rPr>
          <w:rFonts w:cstheme="minorHAnsi"/>
          <w:sz w:val="24"/>
          <w:szCs w:val="24"/>
        </w:rPr>
      </w:pPr>
      <w:r w:rsidRPr="0084736C">
        <w:rPr>
          <w:rFonts w:cstheme="minorHAnsi"/>
          <w:sz w:val="24"/>
          <w:szCs w:val="24"/>
        </w:rPr>
        <w:t xml:space="preserve">Critical aggregation concentration (CAC, the minimal concentration required for the onset of aggregation) was analyzed using the hydrophobic probe pyrene (solubility in water: 2-3 </w:t>
      </w:r>
      <w:r w:rsidRPr="0084736C">
        <w:rPr>
          <w:rFonts w:cstheme="minorHAnsi"/>
          <w:sz w:val="24"/>
          <w:szCs w:val="24"/>
        </w:rPr>
        <w:sym w:font="Symbol" w:char="F06D"/>
      </w:r>
      <w:r w:rsidRPr="0084736C">
        <w:rPr>
          <w:rFonts w:cstheme="minorHAnsi"/>
          <w:sz w:val="24"/>
          <w:szCs w:val="24"/>
        </w:rPr>
        <w:t>M). Pyrene preferentially aggregates in the interior hydrophobic regions of the assembled structures.</w:t>
      </w:r>
      <w:r w:rsidRPr="0084736C">
        <w:rPr>
          <w:rFonts w:cstheme="minorHAnsi"/>
          <w:sz w:val="24"/>
          <w:szCs w:val="24"/>
        </w:rPr>
        <w:fldChar w:fldCharType="begin"/>
      </w:r>
      <w:r w:rsidR="008F09C1">
        <w:rPr>
          <w:rFonts w:cstheme="minorHAnsi"/>
          <w:sz w:val="24"/>
          <w:szCs w:val="24"/>
        </w:rPr>
        <w:instrText xml:space="preserve"> ADDIN ZOTERO_ITEM CSL_CITATION {"citationID":"3ux8JFJ5","properties":{"formattedCitation":"\\super 137\\nosupersub{}","plainCitation":"137","noteIndex":0},"citationItems":[{"id":4075,"uris":["http://zotero.org/groups/2667333/items/FEUPSB4M"],"itemData":{"id":4075,"type":"article-journal","container-title":"J. Am. Chem. Soc.","issue":"7","language":"en","page":"2039–2044","title":"Environmental Effects on Vibronic Band Intensities in Pyrene Monomer Fluorescence and Their Application in Studies of Micellar Systems","volume":"99","author":[{"family":"Kalyanasundaram","given":"K."},{"family":"Thomas","given":"J.K."}],"issued":{"date-parts":[["1977"]]},"citation-key":"kalyanasundaramEnvironmentalEffectsVibronic1977"}}],"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137</w:t>
      </w:r>
      <w:r w:rsidRPr="0084736C">
        <w:rPr>
          <w:rFonts w:cstheme="minorHAnsi"/>
          <w:sz w:val="24"/>
          <w:szCs w:val="24"/>
        </w:rPr>
        <w:fldChar w:fldCharType="end"/>
      </w:r>
      <w:r w:rsidRPr="0084736C">
        <w:rPr>
          <w:rFonts w:cstheme="minorHAnsi"/>
          <w:sz w:val="24"/>
          <w:szCs w:val="24"/>
        </w:rPr>
        <w:t xml:space="preserve"> An increase in the ratio of fluorescence intensities of the third and first vibronic peaks of pyrene, I</w:t>
      </w:r>
      <w:r w:rsidRPr="0084736C">
        <w:rPr>
          <w:rFonts w:cstheme="minorHAnsi"/>
          <w:sz w:val="24"/>
          <w:szCs w:val="24"/>
          <w:vertAlign w:val="subscript"/>
        </w:rPr>
        <w:t>3</w:t>
      </w:r>
      <w:r w:rsidRPr="0084736C">
        <w:rPr>
          <w:rFonts w:cstheme="minorHAnsi"/>
          <w:sz w:val="24"/>
          <w:szCs w:val="24"/>
        </w:rPr>
        <w:t>/I</w:t>
      </w:r>
      <w:r w:rsidRPr="0084736C">
        <w:rPr>
          <w:rFonts w:cstheme="minorHAnsi"/>
          <w:sz w:val="24"/>
          <w:szCs w:val="24"/>
          <w:vertAlign w:val="subscript"/>
        </w:rPr>
        <w:t>1</w:t>
      </w:r>
      <w:r w:rsidRPr="0084736C">
        <w:rPr>
          <w:rFonts w:cstheme="minorHAnsi"/>
          <w:sz w:val="24"/>
          <w:szCs w:val="24"/>
        </w:rPr>
        <w:t>, reveals the hydrophobicity of the local environment; the increased polarity of the local environment reduces the I</w:t>
      </w:r>
      <w:r w:rsidRPr="0084736C">
        <w:rPr>
          <w:rFonts w:cstheme="minorHAnsi"/>
          <w:sz w:val="24"/>
          <w:szCs w:val="24"/>
          <w:vertAlign w:val="subscript"/>
        </w:rPr>
        <w:t>3</w:t>
      </w:r>
      <w:r w:rsidRPr="0084736C">
        <w:rPr>
          <w:rFonts w:cstheme="minorHAnsi"/>
          <w:sz w:val="24"/>
          <w:szCs w:val="24"/>
        </w:rPr>
        <w:t>/I</w:t>
      </w:r>
      <w:r w:rsidRPr="0084736C">
        <w:rPr>
          <w:rFonts w:cstheme="minorHAnsi"/>
          <w:sz w:val="24"/>
          <w:szCs w:val="24"/>
          <w:vertAlign w:val="subscript"/>
        </w:rPr>
        <w:t>1</w:t>
      </w:r>
      <w:r w:rsidRPr="0084736C">
        <w:rPr>
          <w:rFonts w:cstheme="minorHAnsi"/>
          <w:sz w:val="24"/>
          <w:szCs w:val="24"/>
        </w:rPr>
        <w:t>ratio. At the CAC, pyrene moves into the hydrophobic inner core and sequesters within the FF domain with a requisite increase in I</w:t>
      </w:r>
      <w:r w:rsidRPr="0084736C">
        <w:rPr>
          <w:rFonts w:cstheme="minorHAnsi"/>
          <w:sz w:val="24"/>
          <w:szCs w:val="24"/>
          <w:vertAlign w:val="subscript"/>
        </w:rPr>
        <w:t>3</w:t>
      </w:r>
      <w:r w:rsidRPr="0084736C">
        <w:rPr>
          <w:rFonts w:cstheme="minorHAnsi"/>
          <w:sz w:val="24"/>
          <w:szCs w:val="24"/>
        </w:rPr>
        <w:t>/I</w:t>
      </w:r>
      <w:r w:rsidRPr="0084736C">
        <w:rPr>
          <w:rFonts w:cstheme="minorHAnsi"/>
          <w:sz w:val="24"/>
          <w:szCs w:val="24"/>
          <w:vertAlign w:val="subscript"/>
        </w:rPr>
        <w:t xml:space="preserve">1 </w:t>
      </w:r>
      <w:r w:rsidRPr="0084736C">
        <w:rPr>
          <w:rFonts w:cstheme="minorHAnsi"/>
          <w:sz w:val="24"/>
          <w:szCs w:val="24"/>
        </w:rPr>
        <w:t>ratio.</w:t>
      </w:r>
      <w:r w:rsidRPr="0084736C">
        <w:rPr>
          <w:rFonts w:cstheme="minorHAnsi"/>
          <w:sz w:val="24"/>
          <w:szCs w:val="24"/>
        </w:rPr>
        <w:fldChar w:fldCharType="begin"/>
      </w:r>
      <w:r w:rsidR="008F09C1">
        <w:rPr>
          <w:rFonts w:cstheme="minorHAnsi"/>
          <w:sz w:val="24"/>
          <w:szCs w:val="24"/>
        </w:rPr>
        <w:instrText xml:space="preserve"> ADDIN ZOTERO_ITEM CSL_CITATION {"citationID":"Oc6JXjTq","properties":{"formattedCitation":"\\super 138\\nosupersub{}","plainCitation":"138","noteIndex":0},"citationItems":[{"id":3615,"uris":["http://zotero.org/groups/2667333/items/4R7FBEDV"],"itemData":{"id":3615,"type":"article-journal","abstract":"There has been great interest recently in peptide amphiphiles and block copolymers containing biomimetic peptide sequences due to applications in bionanotechnology. We investigate the self-assembly of the peptide-PEG amphiphile FFFF-PEG5000 containing the hydrophobic sequence of four phenylalanine residues conjugated to PEG of molar mass 5000. This serves as a simple model peptide amphiphile. At very low concentration, association of hydrophobic aromatic phenylalanine residues occurs, as revealed by circular dichroism and UV/vis fluorescence experiments. A critical aggregation concentration associated with the formation of hydrophobic domains is determined through pyrene fluorescence assays. At higher concentration, defined β-sheets develop as revealed by FTIR spectroscopy and x-ray diffraction. Transmission electron microscopy reveals self-assembled straight fibril structures. These are much shorter than those observed for amyloid peptides, the finite length may be set by the end cap energy due to the hydrophobicity of phenylalanine. The combination of these techniques points to different aggregation processes depending on concentration. Hydrophobic association into irregular aggregates occurs at low concentration, well-developed β-sheets only developing at higher concentration. Drying of FFFF-PEG5000 solutions leads to crystallization of PEG, as confirmed by polarized optical microscopy (POM), FTIR and x-ray diffraction (XRD). PEG crystallization does not disrupt local β-sheet structure (as indicated by FTIR and XRD). However on longer lengthscales the β-sheet fibrillar structure is perturbed because spherulites from PEG crystallization are observed by POM.","container-title":"Biophysical Chemistry","DOI":"10.1016/j.bpc.2009.01.008","ISSN":"03014622","issue":"2-3","journalAbbreviation":"Biophys. Chem.","language":"en","page":"169-174","source":"DOI.org (Crossref)","title":"Self assembly of a model amphiphilic phenylalanine peptide/polyethylene glycol block copolymer in aqueous solution","URL":"https://linkinghub.elsevier.com/retrieve/pii/S0301462209000246","volume":"141","author":[{"family":"Castelletto","given":"Valeria"},{"family":"Hamley","given":"Ian W."}],"accessed":{"date-parts":[["2020",12,23]]},"issued":{"date-parts":[["2009",5]]},"citation-key":"castellettoSelfAssemblyModel2009"}}],"schema":"https://github.com/citation-style-language/schema/raw/master/csl-citation.json"} </w:instrText>
      </w:r>
      <w:r w:rsidRPr="0084736C">
        <w:rPr>
          <w:rFonts w:cstheme="minorHAnsi"/>
          <w:sz w:val="24"/>
          <w:szCs w:val="24"/>
        </w:rPr>
        <w:fldChar w:fldCharType="separate"/>
      </w:r>
      <w:r w:rsidR="008F09C1" w:rsidRPr="008F09C1">
        <w:rPr>
          <w:rFonts w:ascii="Arial" w:cs="Arial"/>
          <w:sz w:val="24"/>
          <w:vertAlign w:val="superscript"/>
        </w:rPr>
        <w:t>138</w:t>
      </w:r>
      <w:r w:rsidRPr="0084736C">
        <w:rPr>
          <w:rFonts w:cstheme="minorHAnsi"/>
          <w:sz w:val="24"/>
          <w:szCs w:val="24"/>
        </w:rPr>
        <w:fldChar w:fldCharType="end"/>
      </w:r>
      <w:r w:rsidRPr="0084736C">
        <w:rPr>
          <w:rFonts w:cstheme="minorHAnsi"/>
          <w:sz w:val="24"/>
          <w:szCs w:val="24"/>
        </w:rPr>
        <w:t xml:space="preserve"> Pyrene assay for our CoOP system showed an increase of I</w:t>
      </w:r>
      <w:r w:rsidRPr="0084736C">
        <w:rPr>
          <w:rFonts w:cstheme="minorHAnsi"/>
          <w:sz w:val="24"/>
          <w:szCs w:val="24"/>
          <w:vertAlign w:val="subscript"/>
        </w:rPr>
        <w:t>3</w:t>
      </w:r>
      <w:r w:rsidRPr="0084736C">
        <w:rPr>
          <w:rFonts w:cstheme="minorHAnsi"/>
          <w:sz w:val="24"/>
          <w:szCs w:val="24"/>
        </w:rPr>
        <w:t>/I</w:t>
      </w:r>
      <w:r w:rsidRPr="0084736C">
        <w:rPr>
          <w:rFonts w:cstheme="minorHAnsi"/>
          <w:sz w:val="24"/>
          <w:szCs w:val="24"/>
          <w:vertAlign w:val="subscript"/>
        </w:rPr>
        <w:t>1</w:t>
      </w:r>
      <w:r w:rsidRPr="0084736C">
        <w:rPr>
          <w:rFonts w:cstheme="minorHAnsi"/>
          <w:sz w:val="24"/>
          <w:szCs w:val="24"/>
        </w:rPr>
        <w:t xml:space="preserve"> fluorescent intensity ratio for [II] and [WW], indicating 1D structure formation, while no increase for [AA] indicates no assembly at this concentration. Measured I</w:t>
      </w:r>
      <w:r w:rsidRPr="0084736C">
        <w:rPr>
          <w:rFonts w:cstheme="minorHAnsi"/>
          <w:sz w:val="24"/>
          <w:szCs w:val="24"/>
          <w:vertAlign w:val="subscript"/>
        </w:rPr>
        <w:t>3</w:t>
      </w:r>
      <w:r w:rsidRPr="0084736C">
        <w:rPr>
          <w:rFonts w:cstheme="minorHAnsi"/>
          <w:sz w:val="24"/>
          <w:szCs w:val="24"/>
        </w:rPr>
        <w:t>/I</w:t>
      </w:r>
      <w:r w:rsidRPr="0084736C">
        <w:rPr>
          <w:rFonts w:cstheme="minorHAnsi"/>
          <w:sz w:val="24"/>
          <w:szCs w:val="24"/>
          <w:vertAlign w:val="subscript"/>
        </w:rPr>
        <w:t xml:space="preserve">1 </w:t>
      </w:r>
      <w:r w:rsidRPr="0084736C">
        <w:rPr>
          <w:rFonts w:cstheme="minorHAnsi"/>
          <w:sz w:val="24"/>
          <w:szCs w:val="24"/>
        </w:rPr>
        <w:t xml:space="preserve">values were plotted against log values of CoOP monomer concentrations and sigmoidal hyperbola of the graphs indicates CAC values for [II] and [WW] as 24.50 </w:t>
      </w:r>
      <w:r w:rsidRPr="0084736C">
        <w:rPr>
          <w:rFonts w:cstheme="minorHAnsi"/>
          <w:sz w:val="24"/>
          <w:szCs w:val="24"/>
        </w:rPr>
        <w:sym w:font="Symbol" w:char="F06D"/>
      </w:r>
      <w:r w:rsidRPr="0084736C">
        <w:rPr>
          <w:rFonts w:cstheme="minorHAnsi"/>
          <w:sz w:val="24"/>
          <w:szCs w:val="24"/>
        </w:rPr>
        <w:t>M (0.002</w:t>
      </w:r>
      <w:r w:rsidR="0084736C">
        <w:rPr>
          <w:rFonts w:cstheme="minorHAnsi"/>
          <w:sz w:val="24"/>
          <w:szCs w:val="24"/>
        </w:rPr>
        <w:t xml:space="preserve"> </w:t>
      </w:r>
      <w:r w:rsidRPr="0084736C">
        <w:rPr>
          <w:rFonts w:cstheme="minorHAnsi"/>
          <w:sz w:val="24"/>
          <w:szCs w:val="24"/>
        </w:rPr>
        <w:t xml:space="preserve">%w) and 79.4 </w:t>
      </w:r>
      <w:r w:rsidRPr="0084736C">
        <w:rPr>
          <w:rFonts w:cstheme="minorHAnsi"/>
          <w:sz w:val="24"/>
          <w:szCs w:val="24"/>
        </w:rPr>
        <w:sym w:font="Symbol" w:char="F06D"/>
      </w:r>
      <w:r w:rsidRPr="0084736C">
        <w:rPr>
          <w:rFonts w:cstheme="minorHAnsi"/>
          <w:sz w:val="24"/>
          <w:szCs w:val="24"/>
        </w:rPr>
        <w:t>M (0.007</w:t>
      </w:r>
      <w:r w:rsidR="0084736C">
        <w:rPr>
          <w:rFonts w:cstheme="minorHAnsi"/>
          <w:sz w:val="24"/>
          <w:szCs w:val="24"/>
        </w:rPr>
        <w:t xml:space="preserve"> </w:t>
      </w:r>
      <w:r w:rsidRPr="0084736C">
        <w:rPr>
          <w:rFonts w:cstheme="minorHAnsi"/>
          <w:sz w:val="24"/>
          <w:szCs w:val="24"/>
        </w:rPr>
        <w:t>%w), respectively (Fig. 2.9C).</w:t>
      </w:r>
    </w:p>
    <w:p w14:paraId="5184A804" w14:textId="77777777" w:rsidR="00DB4EEF" w:rsidRDefault="00AC1571" w:rsidP="00E44507">
      <w:pPr>
        <w:keepNext/>
        <w:spacing w:line="480" w:lineRule="auto"/>
      </w:pPr>
      <w:r>
        <w:rPr>
          <w:noProof/>
        </w:rPr>
        <w:drawing>
          <wp:inline distT="0" distB="0" distL="0" distR="0" wp14:anchorId="29DB55BE" wp14:editId="020D1AAE">
            <wp:extent cx="5943600" cy="3352165"/>
            <wp:effectExtent l="0" t="0" r="0" b="635"/>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352165"/>
                    </a:xfrm>
                    <a:prstGeom prst="rect">
                      <a:avLst/>
                    </a:prstGeom>
                  </pic:spPr>
                </pic:pic>
              </a:graphicData>
            </a:graphic>
          </wp:inline>
        </w:drawing>
      </w:r>
    </w:p>
    <w:p w14:paraId="24276A7E" w14:textId="2952C236" w:rsidR="00DB4EEF" w:rsidRPr="00D4639D" w:rsidRDefault="00DB4EEF" w:rsidP="008A3EF7">
      <w:pPr>
        <w:pStyle w:val="Caption"/>
        <w:rPr>
          <w:b/>
        </w:rPr>
      </w:pPr>
      <w:bookmarkStart w:id="64" w:name="_Toc113560037"/>
      <w:bookmarkStart w:id="65" w:name="_Toc115118625"/>
      <w:r w:rsidRPr="00D4639D">
        <w:t xml:space="preserve">Figure 2. </w:t>
      </w:r>
      <w:fldSimple w:instr=" SEQ Figure_2. \* ARABIC ">
        <w:r w:rsidR="00785166">
          <w:rPr>
            <w:noProof/>
          </w:rPr>
          <w:t>9</w:t>
        </w:r>
      </w:fldSimple>
      <w:r w:rsidRPr="00D4639D">
        <w:t xml:space="preserve"> Hydrogel formation and 1D nanofibrillar assembly kinetics. Upon mixing two oppositely charged peptides, [II] and [WW] formed gels (A) consisting of nanofibers (B) while [AA] did not form any organized structure (A,B). Molecular co-assembly of the peptides was characterized by CAC determination (C). Characterization of amyloid-like aggregation mechanism probed by congo red assay for two days (D)</w:t>
      </w:r>
      <w:bookmarkEnd w:id="64"/>
      <w:bookmarkEnd w:id="65"/>
    </w:p>
    <w:p w14:paraId="5C7B1EBE" w14:textId="172D26FD" w:rsidR="00AC1571" w:rsidRDefault="00AC1571" w:rsidP="008A3EF7">
      <w:pPr>
        <w:pStyle w:val="Caption"/>
      </w:pPr>
    </w:p>
    <w:p w14:paraId="54606D8C" w14:textId="2790BFA4" w:rsidR="00DB4EEF" w:rsidRPr="00904368" w:rsidRDefault="00DB4EEF" w:rsidP="005A4A69">
      <w:pPr>
        <w:spacing w:line="480" w:lineRule="auto"/>
        <w:rPr>
          <w:rFonts w:cstheme="minorHAnsi"/>
          <w:sz w:val="24"/>
          <w:szCs w:val="24"/>
        </w:rPr>
      </w:pPr>
      <w:r w:rsidRPr="00904368">
        <w:rPr>
          <w:rFonts w:cstheme="minorHAnsi"/>
          <w:sz w:val="24"/>
          <w:szCs w:val="24"/>
        </w:rPr>
        <w:t xml:space="preserve">Congo red is an azo dye with a phenyl group, used for characterization of amyloid-like fibrillar assembly which requires specific orientations of FF domain derived </w:t>
      </w:r>
      <w:r w:rsidRPr="00904368">
        <w:rPr>
          <w:rFonts w:cstheme="minorHAnsi"/>
          <w:sz w:val="24"/>
          <w:szCs w:val="24"/>
        </w:rPr>
        <w:sym w:font="Symbol" w:char="F062"/>
      </w:r>
      <w:r w:rsidRPr="00904368">
        <w:rPr>
          <w:rFonts w:cstheme="minorHAnsi"/>
          <w:sz w:val="24"/>
          <w:szCs w:val="24"/>
        </w:rPr>
        <w:t>-sheet rich structures.</w:t>
      </w:r>
      <w:r w:rsidRPr="00904368">
        <w:rPr>
          <w:rFonts w:cstheme="minorHAnsi"/>
          <w:sz w:val="24"/>
          <w:szCs w:val="24"/>
        </w:rPr>
        <w:fldChar w:fldCharType="begin"/>
      </w:r>
      <w:r w:rsidR="008F09C1">
        <w:rPr>
          <w:rFonts w:cstheme="minorHAnsi"/>
          <w:sz w:val="24"/>
          <w:szCs w:val="24"/>
        </w:rPr>
        <w:instrText xml:space="preserve"> ADDIN ZOTERO_ITEM CSL_CITATION {"citationID":"vcXH71cd","properties":{"formattedCitation":"\\super 94\\nosupersub{}","plainCitation":"94","noteIndex":0},"citationItems":[{"id":95,"uris":["http://zotero.org/users/5797676/items/25V2QNSS"],"itemData":{"id":95,"type":"article-journal","abstract":"Congo red (CR) is a commonly used histological amyloid dye and a weak amyloid inhibitor. There is currently no experimentally available structure of CR bound to an amyloid fibril and the binding modes, and the mechanisms governing its inhibitory and optical properties are poorly understood. In this work, we present the first, to our knowledge, atomistically detailed picture of CR binding to protofibrils of the Alzheimer Aβ9–40 peptide. We identify three major binding modes, with the primary mode residing in the grooves formed by the β-sheets, and observe a restriction of the torsional rotation of the CR molecule upon binding. Our simulations reveal a novel, to our knowledge, electrostatic steering mechanism that plays an important role in the initial recognition and binding of CR to the positively charged surface residues of the fibril. Our simulations provide new, to our knowledge, insights into the striking spectrophotometric and inhibitory properties of CR. In particular, we show that birefringence upon CR binding is due to the anisotropic orientation of the CR dipoles resulting from the spatial ordering of these molecules in the grooves along the fibril axis. The fluorescent enhancement of the bound CR, in turn, is associated with the torsional restriction of this molecule upon binding.","container-title":"Biophysical Journal","DOI":"10.1016/j.bpj.2012.07.008","ISSN":"0006-3495","issue":"3","journalAbbreviation":"Biophysical Journal","language":"en","page":"550-557","source":"ScienceDirect","title":"Binding of Congo Red to Amyloid Protofibrils of the Alzheimer Aβ9–40 Peptide Probed by Molecular Dynamics Simulations","URL":"http://www.sciencedirect.com/science/article/pii/S0006349512007801","volume":"103","author":[{"family":"Wu","given":"Chun"},{"family":"Scott","given":"Justin"},{"family":"Shea","given":"Joan-Emma"}],"accessed":{"date-parts":[["2020",8,15]]},"issued":{"date-parts":[["2012",8,8]]},"citation-key":"wuBindingCongoRed2012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94</w:t>
      </w:r>
      <w:r w:rsidRPr="00904368">
        <w:rPr>
          <w:rFonts w:cstheme="minorHAnsi"/>
          <w:sz w:val="24"/>
          <w:szCs w:val="24"/>
        </w:rPr>
        <w:fldChar w:fldCharType="end"/>
      </w:r>
      <w:r w:rsidRPr="00904368">
        <w:rPr>
          <w:rFonts w:cstheme="minorHAnsi"/>
          <w:sz w:val="24"/>
          <w:szCs w:val="24"/>
        </w:rPr>
        <w:t xml:space="preserve"> Congo red molecules participate in the fiber assembly process via H-bonding and </w:t>
      </w:r>
      <w:r w:rsidRPr="00904368">
        <w:rPr>
          <w:rFonts w:cstheme="minorHAnsi"/>
          <w:sz w:val="24"/>
          <w:szCs w:val="24"/>
        </w:rPr>
        <w:sym w:font="Symbol" w:char="F070"/>
      </w:r>
      <w:r w:rsidRPr="00904368">
        <w:rPr>
          <w:rFonts w:cstheme="minorHAnsi"/>
          <w:sz w:val="24"/>
          <w:szCs w:val="24"/>
        </w:rPr>
        <w:t>-stacking.</w:t>
      </w:r>
      <w:r w:rsidRPr="00904368">
        <w:rPr>
          <w:rFonts w:cstheme="minorHAnsi"/>
          <w:sz w:val="24"/>
          <w:szCs w:val="24"/>
        </w:rPr>
        <w:fldChar w:fldCharType="begin"/>
      </w:r>
      <w:r w:rsidR="008F09C1">
        <w:rPr>
          <w:rFonts w:cstheme="minorHAnsi"/>
          <w:sz w:val="24"/>
          <w:szCs w:val="24"/>
        </w:rPr>
        <w:instrText xml:space="preserve"> ADDIN ZOTERO_ITEM CSL_CITATION {"citationID":"Ja5wbQ0D","properties":{"formattedCitation":"\\super 139\\nosupersub{}","plainCitation":"139","noteIndex":0},"citationItems":[{"id":3169,"uris":["http://zotero.org/groups/2667333/items/BUFCU2EB"],"itemData":{"id":3169,"type":"article-journal","container-title":"Micron","DOI":"10.1016/j.micron.2008.10.002.","issue":"3","language":"en","page":"285–301","title":"Optical Properties of Amyloid Stained by Congo Red: History and Mechanisms","URL":"https://doi.org/10.1016/j.micron.2008.10.002.","volume":"40","author":[{"family":"Howie","given":"A.J."},{"family":"Brewer","given":"D.B."}],"issued":{"date-parts":[["2009"]]},"citation-key":"howieOpticalPropertiesAmyloid2009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139</w:t>
      </w:r>
      <w:r w:rsidRPr="00904368">
        <w:rPr>
          <w:rFonts w:cstheme="minorHAnsi"/>
          <w:sz w:val="24"/>
          <w:szCs w:val="24"/>
        </w:rPr>
        <w:fldChar w:fldCharType="end"/>
      </w:r>
      <w:r w:rsidRPr="00904368">
        <w:rPr>
          <w:rFonts w:cstheme="minorHAnsi"/>
          <w:sz w:val="24"/>
          <w:szCs w:val="24"/>
        </w:rPr>
        <w:t xml:space="preserve"> Such arrangement in the fibril assembly causes red shift in Congo red absorption from 498 nm. We observed a red shift in our Congo red analyses for [II] and [WW] (from 498 nm to 540 nm), but no change was observed for [AA] (Fig. 2.9D). The red shift for [II] was observed ~ 15 min after mixing and remained constant for 48 h. By contrast, the red shift of [WW] appeared 20 h after incubation. This indicates that hierarchical assembly into fibrillar structure continues after the initial interactions.</w:t>
      </w:r>
    </w:p>
    <w:p w14:paraId="162C6149" w14:textId="77777777" w:rsidR="00DB4EEF" w:rsidRDefault="00DB4EEF" w:rsidP="00E44507">
      <w:pPr>
        <w:keepNext/>
        <w:spacing w:line="480" w:lineRule="auto"/>
        <w:jc w:val="center"/>
      </w:pPr>
      <w:r>
        <w:rPr>
          <w:noProof/>
        </w:rPr>
        <w:drawing>
          <wp:inline distT="0" distB="0" distL="0" distR="0" wp14:anchorId="7D9FAC37" wp14:editId="7EE6AB68">
            <wp:extent cx="5984475" cy="30060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16830" cy="3022343"/>
                    </a:xfrm>
                    <a:prstGeom prst="rect">
                      <a:avLst/>
                    </a:prstGeom>
                  </pic:spPr>
                </pic:pic>
              </a:graphicData>
            </a:graphic>
          </wp:inline>
        </w:drawing>
      </w:r>
    </w:p>
    <w:p w14:paraId="1E14BFAF" w14:textId="0F0E2508" w:rsidR="00DB4EEF" w:rsidRPr="00D4639D" w:rsidRDefault="00DB4EEF" w:rsidP="008A3EF7">
      <w:pPr>
        <w:pStyle w:val="Caption"/>
        <w:rPr>
          <w:b/>
        </w:rPr>
      </w:pPr>
      <w:bookmarkStart w:id="66" w:name="_Toc113560038"/>
      <w:bookmarkStart w:id="67" w:name="_Toc115118626"/>
      <w:r w:rsidRPr="00D4639D">
        <w:t xml:space="preserve">Figure 2. </w:t>
      </w:r>
      <w:fldSimple w:instr=" SEQ Figure_2. \* ARABIC ">
        <w:r w:rsidR="00785166">
          <w:rPr>
            <w:noProof/>
          </w:rPr>
          <w:t>10</w:t>
        </w:r>
      </w:fldSimple>
      <w:r w:rsidRPr="00D4639D">
        <w:t xml:space="preserve"> Determination of aggregation concentration of CoOPs. Dynamic light scattering (DLS) measurements were performed by co-assembled peptides with immediate incubation.</w:t>
      </w:r>
      <w:bookmarkEnd w:id="66"/>
      <w:bookmarkEnd w:id="67"/>
    </w:p>
    <w:p w14:paraId="002C4B84" w14:textId="5DF3C90A" w:rsidR="00DB4EEF" w:rsidRPr="00904368" w:rsidRDefault="00DB4EEF" w:rsidP="00E44507">
      <w:pPr>
        <w:spacing w:line="480" w:lineRule="auto"/>
        <w:rPr>
          <w:sz w:val="24"/>
          <w:szCs w:val="24"/>
        </w:rPr>
      </w:pPr>
      <w:r w:rsidRPr="00904368">
        <w:rPr>
          <w:sz w:val="24"/>
          <w:szCs w:val="24"/>
        </w:rPr>
        <w:t xml:space="preserve">Furthermore, dynamic light scattering (DLS) was performed for identification of the concentration when aggregates started to form, instead of measuring the size of the aggregates. When mixed, [AA] and [WW] did not show any aggregates at 25 </w:t>
      </w:r>
      <w:r w:rsidRPr="00904368">
        <w:rPr>
          <w:sz w:val="24"/>
          <w:szCs w:val="24"/>
        </w:rPr>
        <w:sym w:font="Symbol" w:char="F06D"/>
      </w:r>
      <w:r w:rsidRPr="00904368">
        <w:rPr>
          <w:sz w:val="24"/>
          <w:szCs w:val="24"/>
        </w:rPr>
        <w:t xml:space="preserve">M, while the signals of scattered light was observed in [II] in this concentration, which is correlated to the measured CAC of [II], 24.5 </w:t>
      </w:r>
      <w:r w:rsidRPr="00904368">
        <w:rPr>
          <w:sz w:val="24"/>
          <w:szCs w:val="24"/>
        </w:rPr>
        <w:sym w:font="Symbol" w:char="F06D"/>
      </w:r>
      <w:r w:rsidRPr="00904368">
        <w:rPr>
          <w:sz w:val="24"/>
          <w:szCs w:val="24"/>
        </w:rPr>
        <w:t xml:space="preserve">M. The intensity of the scattered light and corresponding aggregate sizes did not increase with increasing concentration of [AA] as expected, because no aggregation is observed for [AA] in these concentrations. [WW] system aggregations showed similar results after 50 </w:t>
      </w:r>
      <w:r w:rsidRPr="00904368">
        <w:rPr>
          <w:sz w:val="24"/>
          <w:szCs w:val="24"/>
        </w:rPr>
        <w:sym w:font="Symbol" w:char="F06D"/>
      </w:r>
      <w:r w:rsidRPr="00904368">
        <w:rPr>
          <w:sz w:val="24"/>
          <w:szCs w:val="24"/>
        </w:rPr>
        <w:t xml:space="preserve">M, due to CAC of [WW] being measured as 79.4 </w:t>
      </w:r>
      <w:r w:rsidRPr="00904368">
        <w:rPr>
          <w:sz w:val="24"/>
          <w:szCs w:val="24"/>
        </w:rPr>
        <w:sym w:font="Symbol" w:char="F06D"/>
      </w:r>
      <w:r w:rsidRPr="00904368">
        <w:rPr>
          <w:sz w:val="24"/>
          <w:szCs w:val="24"/>
        </w:rPr>
        <w:t xml:space="preserve">M. The intensity of the scattered light and its corresponding sizes increased with increasing concentrations for [WW], but no saturation is observed. The intensity of the scattered light increased for larger aggregate sizes for [II] with increasing concentration, and over saturated above 200 </w:t>
      </w:r>
      <w:r w:rsidRPr="00904368">
        <w:rPr>
          <w:sz w:val="24"/>
          <w:szCs w:val="24"/>
        </w:rPr>
        <w:sym w:font="Symbol" w:char="F06D"/>
      </w:r>
      <w:r w:rsidRPr="00904368">
        <w:rPr>
          <w:sz w:val="24"/>
          <w:szCs w:val="24"/>
        </w:rPr>
        <w:t>M (i.e., beyond the measurement limits) (Fig. 2.10)</w:t>
      </w:r>
    </w:p>
    <w:p w14:paraId="1FBF4F3E" w14:textId="77777777" w:rsidR="00DB4EEF" w:rsidRDefault="00DB4EEF" w:rsidP="00E44507">
      <w:pPr>
        <w:keepNext/>
        <w:spacing w:line="480" w:lineRule="auto"/>
        <w:jc w:val="center"/>
      </w:pPr>
      <w:r>
        <w:rPr>
          <w:noProof/>
        </w:rPr>
        <w:drawing>
          <wp:inline distT="0" distB="0" distL="0" distR="0" wp14:anchorId="2BD2981E" wp14:editId="17D1000A">
            <wp:extent cx="6023210" cy="3032567"/>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77224" cy="3059762"/>
                    </a:xfrm>
                    <a:prstGeom prst="rect">
                      <a:avLst/>
                    </a:prstGeom>
                  </pic:spPr>
                </pic:pic>
              </a:graphicData>
            </a:graphic>
          </wp:inline>
        </w:drawing>
      </w:r>
    </w:p>
    <w:p w14:paraId="3E59C957" w14:textId="49650778" w:rsidR="00DB4EEF" w:rsidRPr="00D4639D" w:rsidRDefault="00DB4EEF" w:rsidP="008A3EF7">
      <w:pPr>
        <w:pStyle w:val="Caption"/>
        <w:rPr>
          <w:b/>
        </w:rPr>
      </w:pPr>
      <w:bookmarkStart w:id="68" w:name="_Toc113560039"/>
      <w:bookmarkStart w:id="69" w:name="_Toc115118627"/>
      <w:r w:rsidRPr="00D4639D">
        <w:t xml:space="preserve">Figure 2. </w:t>
      </w:r>
      <w:fldSimple w:instr=" SEQ Figure_2. \* ARABIC ">
        <w:r w:rsidR="00785166">
          <w:rPr>
            <w:noProof/>
          </w:rPr>
          <w:t>11</w:t>
        </w:r>
      </w:fldSimple>
      <w:r w:rsidRPr="00D4639D">
        <w:t xml:space="preserve"> DLS measurements of CoOPs. DLS measurements were performed by co-assembled peptides with overnight incubation.</w:t>
      </w:r>
      <w:bookmarkEnd w:id="68"/>
      <w:bookmarkEnd w:id="69"/>
    </w:p>
    <w:p w14:paraId="42F51136" w14:textId="440BCAC9" w:rsidR="00DB4EEF" w:rsidRPr="00904368" w:rsidRDefault="00DB4EEF" w:rsidP="00E44507">
      <w:pPr>
        <w:spacing w:line="480" w:lineRule="auto"/>
        <w:rPr>
          <w:sz w:val="24"/>
          <w:szCs w:val="24"/>
        </w:rPr>
      </w:pPr>
      <w:r w:rsidRPr="00904368">
        <w:rPr>
          <w:sz w:val="24"/>
          <w:szCs w:val="24"/>
        </w:rPr>
        <w:t xml:space="preserve">When the system was incubated overnight, the maturation of the fibrillar structures into network formations was enhanced, and likewise the intensity of the scattered light in DLS (Fig 2.11). The aggregates become larger for [AA] after 200 </w:t>
      </w:r>
      <w:r w:rsidRPr="00904368">
        <w:rPr>
          <w:sz w:val="24"/>
          <w:szCs w:val="24"/>
        </w:rPr>
        <w:sym w:font="Symbol" w:char="F06D"/>
      </w:r>
      <w:r w:rsidRPr="00904368">
        <w:rPr>
          <w:sz w:val="24"/>
          <w:szCs w:val="24"/>
        </w:rPr>
        <w:t xml:space="preserve">M, which might indicate some network formation. Similarly [WW] formed larger aggregates, likely with more uniform size as the intensity of the light increased in a small range of sizes and oversaturated at 500 </w:t>
      </w:r>
      <w:r w:rsidRPr="00904368">
        <w:rPr>
          <w:sz w:val="24"/>
          <w:szCs w:val="24"/>
        </w:rPr>
        <w:sym w:font="Symbol" w:char="F06D"/>
      </w:r>
      <w:r w:rsidRPr="00904368">
        <w:rPr>
          <w:sz w:val="24"/>
          <w:szCs w:val="24"/>
        </w:rPr>
        <w:t xml:space="preserve">M. The saturation concentration is observed at 200 </w:t>
      </w:r>
      <w:r w:rsidRPr="00904368">
        <w:rPr>
          <w:sz w:val="24"/>
          <w:szCs w:val="24"/>
        </w:rPr>
        <w:sym w:font="Symbol" w:char="F06D"/>
      </w:r>
      <w:r w:rsidRPr="00904368">
        <w:rPr>
          <w:sz w:val="24"/>
          <w:szCs w:val="24"/>
        </w:rPr>
        <w:t>M for overnight incubated [II] and the intensity of the scattered light increased in a smaller range for low concentrations.</w:t>
      </w:r>
    </w:p>
    <w:p w14:paraId="0C23E5CD" w14:textId="47FB4C5C" w:rsidR="00DB4EEF" w:rsidRPr="00904368" w:rsidRDefault="00DB4EEF" w:rsidP="00E44507">
      <w:pPr>
        <w:spacing w:line="480" w:lineRule="auto"/>
        <w:rPr>
          <w:sz w:val="24"/>
          <w:szCs w:val="24"/>
        </w:rPr>
      </w:pPr>
      <w:r w:rsidRPr="00904368">
        <w:rPr>
          <w:sz w:val="24"/>
          <w:szCs w:val="24"/>
        </w:rPr>
        <w:t xml:space="preserve">As expected, the individual peptides alone did not show a significant aggregation at 500 </w:t>
      </w:r>
      <w:r w:rsidRPr="00904368">
        <w:rPr>
          <w:sz w:val="24"/>
          <w:szCs w:val="24"/>
        </w:rPr>
        <w:sym w:font="Symbol" w:char="F06D"/>
      </w:r>
      <w:r w:rsidRPr="00904368">
        <w:rPr>
          <w:sz w:val="24"/>
          <w:szCs w:val="24"/>
        </w:rPr>
        <w:t>M, even after overnight incubation</w:t>
      </w:r>
      <w:r w:rsidR="006D2409" w:rsidRPr="00904368">
        <w:rPr>
          <w:sz w:val="24"/>
          <w:szCs w:val="24"/>
        </w:rPr>
        <w:t xml:space="preserve"> (Fig. 2.12).</w:t>
      </w:r>
      <w:r w:rsidRPr="00904368">
        <w:rPr>
          <w:sz w:val="24"/>
          <w:szCs w:val="24"/>
        </w:rPr>
        <w:t xml:space="preserve"> A slight intensity and size changes were observed especially for positively charged groups, in agreement with MD simulation results that indicate the probability of contact points of positively charged peptides were higher than their negatively charged counterparts; however, the intensities were still insufficient to observe a trend with pyrene measurements, and thus the CAC could not be quantified.</w:t>
      </w:r>
    </w:p>
    <w:p w14:paraId="547EEC43" w14:textId="77777777" w:rsidR="00DB4EEF" w:rsidRDefault="00DB4EEF" w:rsidP="00E44507">
      <w:pPr>
        <w:keepNext/>
        <w:spacing w:line="480" w:lineRule="auto"/>
        <w:jc w:val="center"/>
      </w:pPr>
      <w:r>
        <w:rPr>
          <w:noProof/>
        </w:rPr>
        <w:drawing>
          <wp:inline distT="0" distB="0" distL="0" distR="0" wp14:anchorId="19E69106" wp14:editId="474526BE">
            <wp:extent cx="5944990" cy="3530279"/>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90110" cy="3557072"/>
                    </a:xfrm>
                    <a:prstGeom prst="rect">
                      <a:avLst/>
                    </a:prstGeom>
                  </pic:spPr>
                </pic:pic>
              </a:graphicData>
            </a:graphic>
          </wp:inline>
        </w:drawing>
      </w:r>
    </w:p>
    <w:p w14:paraId="5214AE45" w14:textId="5E658A35" w:rsidR="00DB4EEF" w:rsidRPr="00D4639D" w:rsidRDefault="00DB4EEF" w:rsidP="008A3EF7">
      <w:pPr>
        <w:pStyle w:val="Caption"/>
        <w:rPr>
          <w:b/>
        </w:rPr>
      </w:pPr>
      <w:bookmarkStart w:id="70" w:name="_Toc113560040"/>
      <w:bookmarkStart w:id="71" w:name="_Toc115118628"/>
      <w:r w:rsidRPr="00D4639D">
        <w:t xml:space="preserve">Figure 2. </w:t>
      </w:r>
      <w:fldSimple w:instr=" SEQ Figure_2. \* ARABIC ">
        <w:r w:rsidR="00785166">
          <w:rPr>
            <w:noProof/>
          </w:rPr>
          <w:t>12</w:t>
        </w:r>
      </w:fldSimple>
      <w:r w:rsidRPr="00D4639D">
        <w:t xml:space="preserve"> DLS measurements of single peptides. DLS measurements were performed with freshly prepared and overnight incubated samples for both positively (A) and negatively (B) charged peptides at 500 </w:t>
      </w:r>
      <w:r w:rsidRPr="00D4639D">
        <w:sym w:font="Symbol" w:char="F06D"/>
      </w:r>
      <w:r w:rsidRPr="00D4639D">
        <w:t>M.</w:t>
      </w:r>
      <w:bookmarkEnd w:id="70"/>
      <w:bookmarkEnd w:id="71"/>
    </w:p>
    <w:p w14:paraId="4576244E" w14:textId="6E3CA81B" w:rsidR="00DD25AA" w:rsidRPr="00904368" w:rsidRDefault="000E0E3F">
      <w:pPr>
        <w:pStyle w:val="Heading4"/>
        <w:numPr>
          <w:ilvl w:val="3"/>
          <w:numId w:val="8"/>
        </w:numPr>
        <w:spacing w:line="480" w:lineRule="auto"/>
        <w:rPr>
          <w:sz w:val="24"/>
          <w:szCs w:val="24"/>
        </w:rPr>
      </w:pPr>
      <w:bookmarkStart w:id="72" w:name="_Toc114946706"/>
      <w:bookmarkStart w:id="73" w:name="_Toc121134628"/>
      <w:r w:rsidRPr="00904368">
        <w:rPr>
          <w:sz w:val="24"/>
          <w:szCs w:val="24"/>
        </w:rPr>
        <w:t>S</w:t>
      </w:r>
      <w:r w:rsidR="00027B95" w:rsidRPr="00904368">
        <w:rPr>
          <w:sz w:val="24"/>
          <w:szCs w:val="24"/>
        </w:rPr>
        <w:t xml:space="preserve">econdary </w:t>
      </w:r>
      <w:r w:rsidR="000D5D1A">
        <w:rPr>
          <w:sz w:val="24"/>
          <w:szCs w:val="24"/>
        </w:rPr>
        <w:t>S</w:t>
      </w:r>
      <w:r w:rsidR="00027B95" w:rsidRPr="00904368">
        <w:rPr>
          <w:sz w:val="24"/>
          <w:szCs w:val="24"/>
        </w:rPr>
        <w:t xml:space="preserve">tructure </w:t>
      </w:r>
      <w:r w:rsidR="000D5D1A">
        <w:rPr>
          <w:sz w:val="24"/>
          <w:szCs w:val="24"/>
        </w:rPr>
        <w:t>A</w:t>
      </w:r>
      <w:r w:rsidR="00027B95" w:rsidRPr="00904368">
        <w:rPr>
          <w:sz w:val="24"/>
          <w:szCs w:val="24"/>
        </w:rPr>
        <w:t xml:space="preserve">nalysis of 1D </w:t>
      </w:r>
      <w:r w:rsidR="000D5D1A">
        <w:rPr>
          <w:sz w:val="24"/>
          <w:szCs w:val="24"/>
        </w:rPr>
        <w:t>S</w:t>
      </w:r>
      <w:r w:rsidR="00027B95" w:rsidRPr="00904368">
        <w:rPr>
          <w:sz w:val="24"/>
          <w:szCs w:val="24"/>
        </w:rPr>
        <w:t>tructures</w:t>
      </w:r>
      <w:bookmarkEnd w:id="72"/>
      <w:bookmarkEnd w:id="73"/>
    </w:p>
    <w:p w14:paraId="219B2EB9" w14:textId="40662C20" w:rsidR="00DB4EEF" w:rsidRPr="00904368" w:rsidRDefault="00DB4EEF" w:rsidP="00E44507">
      <w:pPr>
        <w:spacing w:line="480" w:lineRule="auto"/>
        <w:rPr>
          <w:rFonts w:cstheme="minorHAnsi"/>
          <w:sz w:val="24"/>
          <w:szCs w:val="24"/>
        </w:rPr>
      </w:pPr>
      <w:r w:rsidRPr="00904368">
        <w:rPr>
          <w:rFonts w:cstheme="minorHAnsi"/>
          <w:sz w:val="24"/>
          <w:szCs w:val="24"/>
        </w:rPr>
        <w:t>Directed assembly of CoOP provides analyses of the effect of the substitution domain on the assembly mechanism. Upon initial aggregation, conformational changes of the amino acids side chains create the secondary structures and maturation of the fibrillar assemblies. We analyzed the secondary structures of these systems with FTIR spectroscopy and circular dichroism (CD) under different concentrations.</w:t>
      </w:r>
    </w:p>
    <w:p w14:paraId="69CD1F28" w14:textId="3A668856" w:rsidR="00DB4EEF" w:rsidRPr="00904368" w:rsidRDefault="00DB4EEF" w:rsidP="00E44507">
      <w:pPr>
        <w:spacing w:line="480" w:lineRule="auto"/>
        <w:rPr>
          <w:rFonts w:cstheme="minorHAnsi"/>
          <w:sz w:val="24"/>
          <w:szCs w:val="24"/>
        </w:rPr>
      </w:pPr>
      <w:r w:rsidRPr="00904368">
        <w:rPr>
          <w:rFonts w:cstheme="minorHAnsi"/>
          <w:sz w:val="24"/>
          <w:szCs w:val="24"/>
        </w:rPr>
        <w:t>Amide I and II are two major bands of FTIR analysis for peptide aggregations as they indicate the conformation of individual peptides. The most sensitive region with regards to a secondary structure is amide I (1600-1700 cm</w:t>
      </w:r>
      <w:r w:rsidRPr="00904368">
        <w:rPr>
          <w:rFonts w:cstheme="minorHAnsi"/>
          <w:sz w:val="24"/>
          <w:szCs w:val="24"/>
          <w:vertAlign w:val="superscript"/>
        </w:rPr>
        <w:t xml:space="preserve">-1 </w:t>
      </w:r>
      <w:r w:rsidRPr="00904368">
        <w:rPr>
          <w:rFonts w:cstheme="minorHAnsi"/>
          <w:sz w:val="24"/>
          <w:szCs w:val="24"/>
        </w:rPr>
        <w:t>as a result of carbonyl (-C=O) stretching of peptide bonds in backbone.</w:t>
      </w:r>
      <w:r w:rsidRPr="00904368">
        <w:rPr>
          <w:rFonts w:cstheme="minorHAnsi"/>
          <w:sz w:val="24"/>
          <w:szCs w:val="24"/>
        </w:rPr>
        <w:fldChar w:fldCharType="begin"/>
      </w:r>
      <w:r w:rsidR="008F09C1">
        <w:rPr>
          <w:rFonts w:cstheme="minorHAnsi"/>
          <w:sz w:val="24"/>
          <w:szCs w:val="24"/>
        </w:rPr>
        <w:instrText xml:space="preserve"> ADDIN ZOTERO_ITEM CSL_CITATION {"citationID":"9qgaXc4y","properties":{"formattedCitation":"\\super 140\\nosupersub{}","plainCitation":"140","noteIndex":0},"citationItems":[{"id":3170,"uris":["http://zotero.org/groups/2667333/items/S27NBTHR"],"itemData":{"id":3170,"type":"article-journal","container-title":"Soft Matter","DOI":"10.1039/C2SM25224D.","issue":"20","language":"en","page":"5595–5602","title":"Sequence/Structure Relationships in Aromatic Dipeptide Hydrogels Formed under Thermodynamic Control by Enzyme-Assisted Self-Assembly","URL":"https://doi.org/10.1039/C2SM25224D.","volume":"8","author":[{"family":"Hughes","given":"M."},{"family":"Frederix","given":"P.W.J.M."},{"family":"Raeburn","given":"J."},{"family":"Birchall","given":"L.S."},{"family":"Sadownik","given":"J."},{"family":"Coomer","given":"F.C."},{"family":"Lin","given":"I.-H."},{"family":"Cussen","given":"E.J."},{"family":"Hunt","given":"N.T."},{"family":"Tuttle","given":"T."},{"family":"Webb","given":"S.J."},{"family":"Adams","given":"D.J."},{"family":"Ulijn","given":"R.V."}],"issued":{"date-parts":[["2012"]]},"citation-key":"hughesSequenceStructureRelationships2012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140</w:t>
      </w:r>
      <w:r w:rsidRPr="00904368">
        <w:rPr>
          <w:rFonts w:cstheme="minorHAnsi"/>
          <w:sz w:val="24"/>
          <w:szCs w:val="24"/>
        </w:rPr>
        <w:fldChar w:fldCharType="end"/>
      </w:r>
      <w:r w:rsidRPr="00904368">
        <w:rPr>
          <w:rFonts w:cstheme="minorHAnsi"/>
          <w:sz w:val="24"/>
          <w:szCs w:val="24"/>
        </w:rPr>
        <w:t xml:space="preserve"> Strong amide I absorption between 1650-1655 cm</w:t>
      </w:r>
      <w:r w:rsidRPr="00904368">
        <w:rPr>
          <w:rFonts w:cstheme="minorHAnsi"/>
          <w:sz w:val="24"/>
          <w:szCs w:val="24"/>
          <w:vertAlign w:val="superscript"/>
        </w:rPr>
        <w:t>-1</w:t>
      </w:r>
      <w:r w:rsidRPr="00904368">
        <w:rPr>
          <w:rFonts w:cstheme="minorHAnsi"/>
          <w:sz w:val="24"/>
          <w:szCs w:val="24"/>
        </w:rPr>
        <w:t xml:space="preserve"> is attributed to </w:t>
      </w:r>
      <w:r w:rsidRPr="00904368">
        <w:rPr>
          <w:rFonts w:cstheme="minorHAnsi"/>
          <w:sz w:val="24"/>
          <w:szCs w:val="24"/>
        </w:rPr>
        <w:sym w:font="Symbol" w:char="F061"/>
      </w:r>
      <w:r w:rsidRPr="00904368">
        <w:rPr>
          <w:rFonts w:cstheme="minorHAnsi"/>
          <w:sz w:val="24"/>
          <w:szCs w:val="24"/>
        </w:rPr>
        <w:t xml:space="preserve">-helical structures, while </w:t>
      </w:r>
      <w:r w:rsidRPr="00904368">
        <w:rPr>
          <w:rFonts w:cstheme="minorHAnsi"/>
          <w:sz w:val="24"/>
          <w:szCs w:val="24"/>
        </w:rPr>
        <w:sym w:font="Symbol" w:char="F062"/>
      </w:r>
      <w:r w:rsidRPr="00904368">
        <w:rPr>
          <w:rFonts w:cstheme="minorHAnsi"/>
          <w:sz w:val="24"/>
          <w:szCs w:val="24"/>
        </w:rPr>
        <w:t>-sheet structures show a strong absorption band between 1612 and 1640 cm</w:t>
      </w:r>
      <w:r w:rsidRPr="00904368">
        <w:rPr>
          <w:rFonts w:cstheme="minorHAnsi"/>
          <w:sz w:val="24"/>
          <w:szCs w:val="24"/>
          <w:vertAlign w:val="superscript"/>
        </w:rPr>
        <w:t>-1</w:t>
      </w:r>
      <w:r w:rsidRPr="00904368">
        <w:rPr>
          <w:rFonts w:cstheme="minorHAnsi"/>
          <w:sz w:val="24"/>
          <w:szCs w:val="24"/>
        </w:rPr>
        <w:t>.</w:t>
      </w:r>
      <w:r w:rsidRPr="00904368">
        <w:rPr>
          <w:rFonts w:cstheme="minorHAnsi"/>
          <w:sz w:val="24"/>
          <w:szCs w:val="24"/>
        </w:rPr>
        <w:fldChar w:fldCharType="begin"/>
      </w:r>
      <w:r w:rsidR="008F09C1">
        <w:rPr>
          <w:rFonts w:cstheme="minorHAnsi"/>
          <w:sz w:val="24"/>
          <w:szCs w:val="24"/>
        </w:rPr>
        <w:instrText xml:space="preserve"> ADDIN ZOTERO_ITEM CSL_CITATION {"citationID":"5ZKie76V","properties":{"formattedCitation":"\\super 141\\nosupersub{}","plainCitation":"141","noteIndex":0},"citationItems":[{"id":3199,"uris":["http://zotero.org/groups/2667333/items/9UBJNAIZ"],"itemData":{"id":3199,"type":"article-journal","container-title":"Analytical Biochemistry","DOI":"10.1006/abio.1999.4320.","issue":"2","journalAbbreviation":"Anal. Biochem.","language":"en","page":"167–176","title":"Spectroscopic Methods for Analysis of Protein Secondary Structure","URL":"https://doi.org/10.1006/abio.1999.4320.","volume":"277","author":[{"family":"Pelton","given":"J.T."},{"family":"McLean","given":"L.R."}],"issued":{"date-parts":[["2000"]]},"citation-key":"peltonSpectroscopicMethodsAnalysis2000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141</w:t>
      </w:r>
      <w:r w:rsidRPr="00904368">
        <w:rPr>
          <w:rFonts w:cstheme="minorHAnsi"/>
          <w:sz w:val="24"/>
          <w:szCs w:val="24"/>
        </w:rPr>
        <w:fldChar w:fldCharType="end"/>
      </w:r>
      <w:r w:rsidRPr="00904368">
        <w:rPr>
          <w:rFonts w:cstheme="minorHAnsi"/>
          <w:sz w:val="24"/>
          <w:szCs w:val="24"/>
        </w:rPr>
        <w:t xml:space="preserve"> Amide II results from (-N-H) bending and (-C-N-) stretching (strong band at 1540-1550 cm</w:t>
      </w:r>
      <w:r w:rsidRPr="00904368">
        <w:rPr>
          <w:rFonts w:cstheme="minorHAnsi"/>
          <w:sz w:val="24"/>
          <w:szCs w:val="24"/>
          <w:vertAlign w:val="superscript"/>
        </w:rPr>
        <w:t xml:space="preserve">-1 </w:t>
      </w:r>
      <w:r w:rsidRPr="00904368">
        <w:rPr>
          <w:rFonts w:cstheme="minorHAnsi"/>
          <w:sz w:val="24"/>
          <w:szCs w:val="24"/>
        </w:rPr>
        <w:t>with a weaker shoulder at 1510-1525 cm</w:t>
      </w:r>
      <w:r w:rsidRPr="00904368">
        <w:rPr>
          <w:rFonts w:cstheme="minorHAnsi"/>
          <w:sz w:val="24"/>
          <w:szCs w:val="24"/>
          <w:vertAlign w:val="superscript"/>
        </w:rPr>
        <w:t>-1</w:t>
      </w:r>
      <w:r w:rsidRPr="00904368">
        <w:rPr>
          <w:rFonts w:cstheme="minorHAnsi"/>
          <w:sz w:val="24"/>
          <w:szCs w:val="24"/>
        </w:rPr>
        <w:t>). FTIR spectrum of [AA] pairs showed a similar trend as in the pyrene and Congo red assays, with no apparent organized assembly at this concentration. The observed broad peak at 1647 cm</w:t>
      </w:r>
      <w:r w:rsidRPr="00904368">
        <w:rPr>
          <w:rFonts w:cstheme="minorHAnsi"/>
          <w:sz w:val="24"/>
          <w:szCs w:val="24"/>
          <w:vertAlign w:val="superscript"/>
        </w:rPr>
        <w:t>-1</w:t>
      </w:r>
      <w:r w:rsidRPr="00904368">
        <w:rPr>
          <w:rFonts w:cstheme="minorHAnsi"/>
          <w:sz w:val="24"/>
          <w:szCs w:val="24"/>
        </w:rPr>
        <w:t xml:space="preserve"> at different [AA] pair concentrations indicate random coil or disorganized structure (Fig. 2.13A). The positive and negative counterparts of [AA] pairs also showed a similar trend (Fig. 2.14) The intensity of the Amide I region at 1625 cm</w:t>
      </w:r>
      <w:r w:rsidRPr="00904368">
        <w:rPr>
          <w:rFonts w:cstheme="minorHAnsi"/>
          <w:sz w:val="24"/>
          <w:szCs w:val="24"/>
          <w:vertAlign w:val="superscript"/>
        </w:rPr>
        <w:t xml:space="preserve">-1 </w:t>
      </w:r>
      <w:r w:rsidRPr="00904368">
        <w:rPr>
          <w:rFonts w:cstheme="minorHAnsi"/>
          <w:sz w:val="24"/>
          <w:szCs w:val="24"/>
        </w:rPr>
        <w:t xml:space="preserve">was observed in [WW] pairs, but this signal was weaker compared to [II] pairs (Fig. 2.13A, blue). No Amide I peak is observed at 50 </w:t>
      </w:r>
      <w:r w:rsidRPr="00904368">
        <w:rPr>
          <w:rFonts w:cstheme="minorHAnsi"/>
          <w:sz w:val="24"/>
          <w:szCs w:val="24"/>
        </w:rPr>
        <w:sym w:font="Symbol" w:char="F06D"/>
      </w:r>
      <w:r w:rsidRPr="00904368">
        <w:rPr>
          <w:rFonts w:cstheme="minorHAnsi"/>
          <w:sz w:val="24"/>
          <w:szCs w:val="24"/>
        </w:rPr>
        <w:t xml:space="preserve">M [WW], which is below the CAC (79.4 </w:t>
      </w:r>
      <w:r w:rsidRPr="00904368">
        <w:rPr>
          <w:rFonts w:cstheme="minorHAnsi"/>
          <w:sz w:val="24"/>
          <w:szCs w:val="24"/>
        </w:rPr>
        <w:sym w:font="Symbol" w:char="F06D"/>
      </w:r>
      <w:r w:rsidRPr="00904368">
        <w:rPr>
          <w:rFonts w:cstheme="minorHAnsi"/>
          <w:sz w:val="24"/>
          <w:szCs w:val="24"/>
        </w:rPr>
        <w:t>M).</w:t>
      </w:r>
    </w:p>
    <w:p w14:paraId="06BB65F9" w14:textId="77777777" w:rsidR="00DB4EEF" w:rsidRDefault="00DB4EEF" w:rsidP="00E44507">
      <w:pPr>
        <w:keepNext/>
        <w:spacing w:line="480" w:lineRule="auto"/>
        <w:jc w:val="center"/>
      </w:pPr>
      <w:r>
        <w:rPr>
          <w:noProof/>
        </w:rPr>
        <w:drawing>
          <wp:inline distT="0" distB="0" distL="0" distR="0" wp14:anchorId="42560BC4" wp14:editId="54755BF2">
            <wp:extent cx="5212773" cy="3822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20548" cy="3828402"/>
                    </a:xfrm>
                    <a:prstGeom prst="rect">
                      <a:avLst/>
                    </a:prstGeom>
                  </pic:spPr>
                </pic:pic>
              </a:graphicData>
            </a:graphic>
          </wp:inline>
        </w:drawing>
      </w:r>
    </w:p>
    <w:p w14:paraId="63A592A2" w14:textId="5A67A0CA" w:rsidR="00DB4EEF" w:rsidRPr="00D4639D" w:rsidRDefault="00DB4EEF" w:rsidP="008A3EF7">
      <w:pPr>
        <w:pStyle w:val="Caption"/>
        <w:rPr>
          <w:b/>
        </w:rPr>
      </w:pPr>
      <w:bookmarkStart w:id="74" w:name="_Toc113560041"/>
      <w:bookmarkStart w:id="75" w:name="_Toc115118629"/>
      <w:r w:rsidRPr="00D4639D">
        <w:t xml:space="preserve">Figure 2. </w:t>
      </w:r>
      <w:fldSimple w:instr=" SEQ Figure_2. \* ARABIC ">
        <w:r w:rsidR="00785166">
          <w:rPr>
            <w:noProof/>
          </w:rPr>
          <w:t>13</w:t>
        </w:r>
      </w:fldSimple>
      <w:r w:rsidRPr="00D4639D">
        <w:t xml:space="preserve"> Structural determination of CoOPs. Secondary structure analysis of CoOPs and the individual counterparts in water with different concentrations by using FTIR and CD measurements (A,B))</w:t>
      </w:r>
      <w:bookmarkEnd w:id="74"/>
      <w:bookmarkEnd w:id="75"/>
    </w:p>
    <w:p w14:paraId="6280EDD8" w14:textId="2E5979DF" w:rsidR="00DB4EEF" w:rsidRPr="00904368" w:rsidRDefault="00DB4EEF" w:rsidP="00E44507">
      <w:pPr>
        <w:spacing w:line="480" w:lineRule="auto"/>
        <w:rPr>
          <w:rFonts w:cstheme="minorHAnsi"/>
          <w:sz w:val="24"/>
          <w:szCs w:val="24"/>
        </w:rPr>
      </w:pPr>
      <w:r w:rsidRPr="00904368">
        <w:rPr>
          <w:rFonts w:cstheme="minorHAnsi"/>
          <w:sz w:val="24"/>
          <w:szCs w:val="24"/>
        </w:rPr>
        <w:t>The strong band for Amide I regions (at 1627 cm</w:t>
      </w:r>
      <w:r w:rsidRPr="00904368">
        <w:rPr>
          <w:rFonts w:cstheme="minorHAnsi"/>
          <w:sz w:val="24"/>
          <w:szCs w:val="24"/>
          <w:vertAlign w:val="superscript"/>
        </w:rPr>
        <w:t>-1</w:t>
      </w:r>
      <w:r w:rsidRPr="00904368">
        <w:rPr>
          <w:rFonts w:cstheme="minorHAnsi"/>
          <w:sz w:val="24"/>
          <w:szCs w:val="24"/>
        </w:rPr>
        <w:t>) of [II] pair FTIR spectrum corresponds to highly ordered peptide assembly (Fig. 2.13A, green). The next band, occurring at 1545 cm</w:t>
      </w:r>
      <w:r w:rsidRPr="00904368">
        <w:rPr>
          <w:rFonts w:cstheme="minorHAnsi"/>
          <w:sz w:val="24"/>
          <w:szCs w:val="24"/>
          <w:vertAlign w:val="superscript"/>
        </w:rPr>
        <w:t>-1</w:t>
      </w:r>
      <w:r w:rsidRPr="00904368">
        <w:rPr>
          <w:rFonts w:cstheme="minorHAnsi"/>
          <w:sz w:val="24"/>
          <w:szCs w:val="24"/>
        </w:rPr>
        <w:t>, corresponds to Amide II regions (N–H bending and C–N stretching, 1450-1550 cm</w:t>
      </w:r>
      <w:r w:rsidRPr="00904368">
        <w:rPr>
          <w:rFonts w:cstheme="minorHAnsi"/>
          <w:sz w:val="24"/>
          <w:szCs w:val="24"/>
          <w:vertAlign w:val="superscript"/>
        </w:rPr>
        <w:t>-1</w:t>
      </w:r>
      <w:r w:rsidRPr="00904368">
        <w:rPr>
          <w:rFonts w:cstheme="minorHAnsi"/>
          <w:sz w:val="24"/>
          <w:szCs w:val="24"/>
        </w:rPr>
        <w:t>) which are hardly affected by side-chain vibrations.</w:t>
      </w:r>
      <w:r w:rsidRPr="00904368">
        <w:rPr>
          <w:rFonts w:cstheme="minorHAnsi"/>
          <w:sz w:val="24"/>
          <w:szCs w:val="24"/>
        </w:rPr>
        <w:fldChar w:fldCharType="begin"/>
      </w:r>
      <w:r w:rsidR="008F09C1">
        <w:rPr>
          <w:rFonts w:cstheme="minorHAnsi"/>
          <w:sz w:val="24"/>
          <w:szCs w:val="24"/>
        </w:rPr>
        <w:instrText xml:space="preserve"> ADDIN ZOTERO_ITEM CSL_CITATION {"citationID":"lBTnPXd8","properties":{"formattedCitation":"\\super 142\\nosupersub{}","plainCitation":"142","noteIndex":0},"citationItems":[{"id":3259,"uris":["http://zotero.org/groups/2667333/items/GUWEKJKX"],"itemData":{"id":3259,"type":"article-journal","abstract":"1. Introduction 3702. Infrared (IR) spectroscopy – general principles 3722.1 Vibrations 3722.2 Information that can be derived from the vibrational spectrum 3722.3 Absorption of IR light 3753. Protein IR absorption 3763.1 Amino-acid side-chain absorption 3763.2 Normal modes of the amide group 3814. Interactions that shape the amide I band 3824.1 Overview 3824.2 Through-bond coupling 3834.3 Hydrogen bonding 3834.4 Transition dipole coupling (TDC) 3835. The polarization and IR activity of amide I modes 3875.1 The coupled oscillator system 3875.2 Optically allowed transitions 3885.3 The infinite parallel β-sheet 3885.4 The infinite antiparallel β-sheet 3895.5 The infinite α-helix 3906. Calculation of the amide I band 3916.1 Overview 3916.2 Perturbation treatment by Miyazawa 3936.3 The parallel β-sheet 3946.4 The antiparallel β-sheet 3956.5 The α-helix 3966.6 Other secondary structures 3987. Experimental analysis of protein secondary structure 3987.1 Band fitting 3987.2 Methods using calibration sets 4017.3 Prediction quality 4038. Protein stability 4048.1 Thermal stability 4048.2 1H/2H exchange 4069. Molecular reaction mechanisms of proteins 4089.1 Reaction-induced IR difference spectroscopy 4089.2 The origin of difference bands 4099.3 The difference spectrum seen as a fingerprint of conformational change 4109.4 Molecular interpretation: strategies of band assignment 41610. Outlook 41911. Acknowledgements 42012. References 420This review deals with current concepts of vibrational spectroscopy for the investigation of protein structure and function. While the focus is on infrared (IR) spectroscopy, some of the general aspects also apply to Raman spectroscopy. Special emphasis is on the amide I vibration of the polypeptide backbone that is used for secondary-structure analysis. Theoretical as well as experimental aspects are covered including transition dipole coupling. Further topics are discussed, namely the absorption of amino-acid side-chains, 1H/2H exchange to study the conformational flexibility and reaction-induced difference spectroscopy for the investigation of reaction mechanisms with a focus on interpretation tools.","container-title":"Q. Rev. Biophys.","DOI":"10.1017/S0033583502003815","ISSN":"1469-8994, 0033-5835","issue":"4","journalAbbreviation":"Q. Rev. Biophys.","language":"en","note":"publisher: Cambridge University Press","page":"369-430","source":"Cambridge University Press","title":"What vibrations tell about proteins","URL":"https://www.cambridge.org/core/journals/quarterly-reviews-of-biophysics/article/abs/what-vibrations-tell-about-proteins/F16333B39A8E96B4941966314BD890CC","volume":"35","author":[{"family":"Barth","given":"Andreas"},{"family":"Zscherp","given":"Christian"}],"accessed":{"date-parts":[["2020",12,18]]},"issued":{"date-parts":[["2002",11]]},"citation-key":"barthWhatVibrationsTell2002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142</w:t>
      </w:r>
      <w:r w:rsidRPr="00904368">
        <w:rPr>
          <w:rFonts w:cstheme="minorHAnsi"/>
          <w:sz w:val="24"/>
          <w:szCs w:val="24"/>
        </w:rPr>
        <w:fldChar w:fldCharType="end"/>
      </w:r>
      <w:r w:rsidRPr="00904368">
        <w:rPr>
          <w:rFonts w:cstheme="minorHAnsi"/>
          <w:sz w:val="24"/>
          <w:szCs w:val="24"/>
        </w:rPr>
        <w:t xml:space="preserve"> While 1 mM [II] showed the strongest intensity in Amide I and II regions, the peaks were observable even at 50 </w:t>
      </w:r>
      <w:r w:rsidRPr="00904368">
        <w:rPr>
          <w:rFonts w:cstheme="minorHAnsi"/>
          <w:sz w:val="24"/>
          <w:szCs w:val="24"/>
        </w:rPr>
        <w:sym w:font="Symbol" w:char="F06D"/>
      </w:r>
      <w:r w:rsidRPr="00904368">
        <w:rPr>
          <w:rFonts w:cstheme="minorHAnsi"/>
          <w:sz w:val="24"/>
          <w:szCs w:val="24"/>
        </w:rPr>
        <w:t xml:space="preserve">M (CAC [II] is 24.50 </w:t>
      </w:r>
      <w:r w:rsidRPr="00904368">
        <w:rPr>
          <w:rFonts w:cstheme="minorHAnsi"/>
          <w:sz w:val="24"/>
          <w:szCs w:val="24"/>
        </w:rPr>
        <w:sym w:font="Symbol" w:char="F06D"/>
      </w:r>
      <w:r w:rsidRPr="00904368">
        <w:rPr>
          <w:rFonts w:cstheme="minorHAnsi"/>
          <w:sz w:val="24"/>
          <w:szCs w:val="24"/>
        </w:rPr>
        <w:t xml:space="preserve">M), indicating that </w:t>
      </w:r>
      <w:r w:rsidRPr="00904368">
        <w:rPr>
          <w:rFonts w:cstheme="minorHAnsi"/>
          <w:sz w:val="24"/>
          <w:szCs w:val="24"/>
        </w:rPr>
        <w:sym w:font="Symbol" w:char="F062"/>
      </w:r>
      <w:r w:rsidRPr="00904368">
        <w:rPr>
          <w:rFonts w:cstheme="minorHAnsi"/>
          <w:sz w:val="24"/>
          <w:szCs w:val="24"/>
        </w:rPr>
        <w:t>-sheet structures form at these low concentrations. In addition, individual counterparts of [II] (KFFIIK and EFFIIE) did not show peaks for any concentration studied, even at 1 mM concentration (Fig 2.14). This suggests that the highly hydrophobic core of this peptide sequence was insufficient to initiate aggregation.</w:t>
      </w:r>
    </w:p>
    <w:p w14:paraId="0D47D000" w14:textId="0D1145D7" w:rsidR="00DB4EEF" w:rsidRPr="00904368" w:rsidRDefault="00DB4EEF" w:rsidP="00E44507">
      <w:pPr>
        <w:spacing w:line="480" w:lineRule="auto"/>
        <w:rPr>
          <w:rFonts w:cstheme="minorHAnsi"/>
          <w:sz w:val="24"/>
          <w:szCs w:val="24"/>
        </w:rPr>
      </w:pPr>
      <w:r w:rsidRPr="00904368">
        <w:rPr>
          <w:rFonts w:cstheme="minorHAnsi"/>
          <w:sz w:val="24"/>
          <w:szCs w:val="24"/>
        </w:rPr>
        <w:t>Circular Dichroism (CD) provides information regarding the secondary structure of the peptide aggregates. CD spectra for different concentrations of [AA] showed negative peaks at 190-200 nm and weak broad shoulders around 217-220 nm, which typically indicates unordered or random coil peptide structures (Fig 2.13B), red).</w:t>
      </w:r>
      <w:r w:rsidRPr="00904368">
        <w:rPr>
          <w:rFonts w:cstheme="minorHAnsi"/>
          <w:sz w:val="24"/>
          <w:szCs w:val="24"/>
        </w:rPr>
        <w:fldChar w:fldCharType="begin"/>
      </w:r>
      <w:r w:rsidR="008F09C1">
        <w:rPr>
          <w:rFonts w:cstheme="minorHAnsi"/>
          <w:sz w:val="24"/>
          <w:szCs w:val="24"/>
        </w:rPr>
        <w:instrText xml:space="preserve"> ADDIN ZOTERO_ITEM CSL_CITATION {"citationID":"8zDCjxCG","properties":{"formattedCitation":"\\super 143\\nosupersub{}","plainCitation":"143","noteIndex":0},"citationItems":[{"id":316,"uris":["http://zotero.org/users/5797676/items/YUAKU572"],"itemData":{"id":316,"type":"article-journal","abstract":"Circular dichroism (CD) is a useful technique for monitoring changes in the conformation of antimicrobial peptides or gelatin. In this study, interactions between cationic peptides and gelatin were observed without affecting the triple helical content of the gelatin, which was more strongly affected by anionic surfactant. The peptides did not adopt a secondary structure in the presence of aqueous solution or Tween 80, but a peptide secondary structure formed upon the addition of sodium dodecyl sulfate (SDS). The peptides bound to the phosphate group of lipopolysaccharide (LPS) and displayed an alpha-helical conformation while (KW)4 adopted a folded conformation. Further, the peptides did not specifically interact with the fungal cell wall components of mannan or laminarin. Tryptophan blue shift assay indicated that these peptides interacted with SDS, LPS, and gelatin but not with Tween 80, mannan, or laminarin. The peptides also displayed antibacterial activity against P. aeruginosa without cytotoxicity against HaCaT cells at MIC, except for HPA3NT3-analog peptide. In this study, we used a CD spectroscopic method to demonstrate the feasibility of peptide characterization in numerous environments. The CD method can thus be used as a screening method of gelatin-peptide interactions for use in wound healing applications.","container-title":"International Journal of Molecular Sciences","DOI":"10.3390/ijms13033229","ISSN":"1422-0067","issue":"3","journalAbbreviation":"Int J Mol Sci","note":"PMID: 22489150\nPMCID: PMC3317711","page":"3229-3244","source":"PubMed Central","title":"Applications of Circular Dichroism for Structural Analysis of Gelatin and Antimicrobial Peptides","URL":"https://www.ncbi.nlm.nih.gov/pmc/articles/PMC3317711/","volume":"13","author":[{"family":"Gopal","given":"Ramamourthy"},{"family":"Park","given":"Jin Soon"},{"family":"Seo","given":"Chang Ho"},{"family":"Park","given":"Yoonkyung"}],"accessed":{"date-parts":[["2020",8,6]]},"issued":{"date-parts":[["2012",3,8]]},"citation-key":"gopalApplicationsCircularDichroism2012"}}],"schema":"https://github.com/citation-style-language/schema/raw/master/csl-citation.json"}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143</w:t>
      </w:r>
      <w:r w:rsidRPr="00904368">
        <w:rPr>
          <w:rFonts w:cstheme="minorHAnsi"/>
          <w:sz w:val="24"/>
          <w:szCs w:val="24"/>
        </w:rPr>
        <w:fldChar w:fldCharType="end"/>
      </w:r>
      <w:r w:rsidRPr="00904368">
        <w:rPr>
          <w:rFonts w:cstheme="minorHAnsi"/>
          <w:sz w:val="24"/>
          <w:szCs w:val="24"/>
        </w:rPr>
        <w:t xml:space="preserve"> Individual members of [AA] pairs also showed the same trend, indicating no observable ordered structure for these peptides.</w:t>
      </w:r>
    </w:p>
    <w:p w14:paraId="0540C5A6" w14:textId="4671FC10" w:rsidR="00DB4EEF" w:rsidRPr="00904368" w:rsidRDefault="00DB4EEF" w:rsidP="00E44507">
      <w:pPr>
        <w:spacing w:line="480" w:lineRule="auto"/>
        <w:rPr>
          <w:rFonts w:cstheme="minorHAnsi"/>
          <w:sz w:val="24"/>
          <w:szCs w:val="24"/>
        </w:rPr>
      </w:pPr>
      <w:r w:rsidRPr="00904368">
        <w:rPr>
          <w:rFonts w:cstheme="minorHAnsi"/>
          <w:sz w:val="24"/>
          <w:szCs w:val="24"/>
        </w:rPr>
        <w:t xml:space="preserve">Peptides with </w:t>
      </w:r>
      <w:r w:rsidRPr="00904368">
        <w:rPr>
          <w:rFonts w:cstheme="minorHAnsi"/>
          <w:sz w:val="24"/>
          <w:szCs w:val="24"/>
        </w:rPr>
        <w:sym w:font="Symbol" w:char="F062"/>
      </w:r>
      <w:r w:rsidRPr="00904368">
        <w:rPr>
          <w:rFonts w:cstheme="minorHAnsi"/>
          <w:sz w:val="24"/>
          <w:szCs w:val="24"/>
        </w:rPr>
        <w:t>-sheet conformation typically show broad positive and negative peaks at 195 and around 216-218 nm, respectively.</w:t>
      </w:r>
      <w:r w:rsidRPr="00904368">
        <w:rPr>
          <w:rFonts w:cstheme="minorHAnsi"/>
          <w:sz w:val="24"/>
          <w:szCs w:val="24"/>
        </w:rPr>
        <w:fldChar w:fldCharType="begin"/>
      </w:r>
      <w:r w:rsidR="008F09C1">
        <w:rPr>
          <w:rFonts w:cstheme="minorHAnsi"/>
          <w:sz w:val="24"/>
          <w:szCs w:val="24"/>
        </w:rPr>
        <w:instrText xml:space="preserve"> ADDIN ZOTERO_ITEM CSL_CITATION {"citationID":"HLCNHrkh","properties":{"formattedCitation":"\\super 105\\nosupersub{}","plainCitation":"105","noteIndex":0},"citationItems":[{"id":2092,"uris":["http://zotero.org/groups/2667333/items/FKDGC9HA"],"itemData":{"id":2092,"type":"article-journal","abstract":"Conformational transition of proteins and peptides into highly stable, β-sheet-rich structures is observed in many amyloid-associated neurodegenerative disorders, yet the precise mechanism of amyloid formation at the molecular level remains poorly understood due to the complex molecular structures. Short peptides provide simplified models for studying the molecular basis of the assembly mechanism that governs β-sheet fibrillation processes underlying the formation and inhibition of amyloid-like structures. Herein, we report a supramolecular coassembly strategy for the inhibition and transformation of stable β-sheet-rich amyloid-derived dipeptide self-assemblies into adaptable secondary structural fibrillar assemblies by mixing with bipyridine derivatives. The interplay between the type and mixing ratio of bipyridine derivatives allowed the variable coassembly process with stimuli-responsive functional properties, studied by various experimental characterizations and computational methods. Furthermore, the resulting coassemblies showed functional redox- and photoresponsive properties, making them promising candidates for controllable drug release and fluorescent imprint. This work presents a coassembly strategy not only to explore the mechanism of amyloid-like structure formation and inhibition at the molecular level but also to manipulate amyloid-like structures into responsive supramolecular coassemblies for material science and biotechnology applications.","container-title":"ACS Nano","DOI":"10.1021/acsnano.0c02138","ISSN":"1936-0851","issue":"6","journalAbbreviation":"ACS Nano","note":"publisher: American Chemical Society\nCitation Key: ji_coassembly-induced_2020","page":"7181-7190","source":"ACS Publications","title":"Coassembly-Induced Transformation of Dipeptide Amyloid-Like Structures into Stimuli-Responsive Supramolecular Materials","URL":"https://doi.org/10.1021/acsnano.0c02138","volume":"14","author":[{"family":"Ji","given":"Wei"},{"family":"Yuan","given":"Chengqian"},{"family":"Chakraborty","given":"Priyadarshi"},{"family":"Makam","given":"Pandeeswar"},{"family":"Bera","given":"Santu"},{"family":"Rencus-Lazar","given":"Sigal"},{"family":"Li","given":"Junbai"},{"family":"Yan","given":"Xuehai"},{"family":"Gazit","given":"Ehud"}],"accessed":{"date-parts":[["2021",8,12]]},"issued":{"date-parts":[["2020",6,23]]},"citation-key":"ji_coassembly-induced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105</w:t>
      </w:r>
      <w:r w:rsidRPr="00904368">
        <w:rPr>
          <w:rFonts w:cstheme="minorHAnsi"/>
          <w:sz w:val="24"/>
          <w:szCs w:val="24"/>
        </w:rPr>
        <w:fldChar w:fldCharType="end"/>
      </w:r>
      <w:r w:rsidRPr="00904368">
        <w:rPr>
          <w:rFonts w:cstheme="minorHAnsi"/>
          <w:sz w:val="24"/>
          <w:szCs w:val="24"/>
        </w:rPr>
        <w:t xml:space="preserve"> [WW] showed a red-shift compared to standard </w:t>
      </w:r>
      <w:r w:rsidRPr="00904368">
        <w:rPr>
          <w:rFonts w:cstheme="minorHAnsi"/>
          <w:sz w:val="24"/>
          <w:szCs w:val="24"/>
        </w:rPr>
        <w:sym w:font="Symbol" w:char="F062"/>
      </w:r>
      <w:r w:rsidRPr="00904368">
        <w:rPr>
          <w:rFonts w:cstheme="minorHAnsi"/>
          <w:sz w:val="24"/>
          <w:szCs w:val="24"/>
        </w:rPr>
        <w:t xml:space="preserve">-sheet peaks; a negative peak at 228 nm and a positive peak at 197 nm were observed for 200 </w:t>
      </w:r>
      <w:r w:rsidRPr="00904368">
        <w:rPr>
          <w:rFonts w:cstheme="minorHAnsi"/>
          <w:sz w:val="24"/>
          <w:szCs w:val="24"/>
        </w:rPr>
        <w:sym w:font="Symbol" w:char="F06D"/>
      </w:r>
      <w:r w:rsidRPr="00904368">
        <w:rPr>
          <w:rFonts w:cstheme="minorHAnsi"/>
          <w:sz w:val="24"/>
          <w:szCs w:val="24"/>
        </w:rPr>
        <w:t>M concentration, with further red-shift observed towards 204 nm as concentration decreases. The resultant shift in CD spectra corresponds to twisted and distorted arrangements, which are known to weaken the intermolecular forces because of increased distances for H-bonding.</w:t>
      </w:r>
      <w:r w:rsidRPr="00904368">
        <w:rPr>
          <w:rFonts w:cstheme="minorHAnsi"/>
          <w:sz w:val="24"/>
          <w:szCs w:val="24"/>
        </w:rPr>
        <w:fldChar w:fldCharType="begin"/>
      </w:r>
      <w:r w:rsidR="008F09C1">
        <w:rPr>
          <w:rFonts w:cstheme="minorHAnsi"/>
          <w:sz w:val="24"/>
          <w:szCs w:val="24"/>
        </w:rPr>
        <w:instrText xml:space="preserve"> ADDIN ZOTERO_ITEM CSL_CITATION {"citationID":"T30XTh1o","properties":{"formattedCitation":"\\super 144\\nosupersub{}","plainCitation":"144","noteIndex":0},"citationItems":[{"id":5055,"uris":["http://zotero.org/groups/2667333/items/UH5SKQT5"],"itemData":{"id":5055,"type":"article-journal","abstract":"Oligopeptide-based supramolecular hydrogels hold promise in a range of applications. The gelation of these systems is hard to control, with minor alterations in the peptide sequence significantly influencing the self-assembly process. We explored three pentapeptide sequences with different charge distributions and discovered that they formed robust, pH-responsive hydrogels. By altering the concentration and charge distribution of the peptide sequence, the stiffness of the hydrogels could be tuned across two orders of magnitude (2–200 kPa). Also, through reassembly of the b-sheet interactions the hydrogels could self-heal and they demonstrated shear-thin behavior. Using spectroscopic and cryo-imaging techniques, we investigated the relationship between peptide sequence and molecular structure, and how these influence the mechanical properties of the hydrogel. These pentapeptide hydrogels with tunable morphology and mechanical properties have promise in tissue engineering, injectable delivery vectors, and 3D printing applications.","container-title":"Angewandte Chemie International Edition","DOI":"10.1002/anie.201801001","ISSN":"14337851","issue":"26","journalAbbreviation":"Angew. Chem. Int. Ed.","language":"en","note":"tex.ids: clarke_tunable_2018","page":"7709-7713","source":"DOI.org (Crossref)","title":"Tunable Pentapeptide Self-Assembled β-Sheet Hydrogels","URL":"http://doi.wiley.com/10.1002/anie.201801001","volume":"57","author":[{"family":"Clarke","given":"David E."},{"family":"Parmenter","given":"Christopher D. J."},{"family":"Scherman","given":"Oren A."}],"accessed":{"date-parts":[["2020",12,23]]},"issued":{"date-parts":[["2018",6,25]]},"citation-key":"clarkeTunablePentapeptideSelfAssembled2018"}}],"schema":"https://github.com/citation-style-language/schema/raw/master/csl-citation.json"}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144</w:t>
      </w:r>
      <w:r w:rsidRPr="00904368">
        <w:rPr>
          <w:rFonts w:cstheme="minorHAnsi"/>
          <w:sz w:val="24"/>
          <w:szCs w:val="24"/>
        </w:rPr>
        <w:fldChar w:fldCharType="end"/>
      </w:r>
      <w:r w:rsidRPr="00904368">
        <w:rPr>
          <w:rFonts w:cstheme="minorHAnsi"/>
          <w:sz w:val="24"/>
          <w:szCs w:val="24"/>
        </w:rPr>
        <w:t xml:space="preserve"> The observation of weakened structure in CD for [WW] is correlated to their FTIR results. The individual members of the [WW] pair showed opposite trends; while EFFWWE did not show any peak related to structured organization, KFFWWK showed similar two peaks at 195 (maximum) and 226 nm (minimum) as in the [WW] pair. The stacking of KFFWWK was also shown by side chains residues with a high probability of contact in Fig. 2.4. The stacking of aromatic rings of W shows a negative CD band around 227 nm.</w:t>
      </w:r>
      <w:r w:rsidRPr="00904368">
        <w:rPr>
          <w:rFonts w:cstheme="minorHAnsi"/>
          <w:sz w:val="24"/>
          <w:szCs w:val="24"/>
        </w:rPr>
        <w:fldChar w:fldCharType="begin"/>
      </w:r>
      <w:r w:rsidR="008F09C1">
        <w:rPr>
          <w:rFonts w:cstheme="minorHAnsi"/>
          <w:sz w:val="24"/>
          <w:szCs w:val="24"/>
        </w:rPr>
        <w:instrText xml:space="preserve"> ADDIN ZOTERO_ITEM CSL_CITATION {"citationID":"rSJYIFT2","properties":{"formattedCitation":"\\super 145\\nosupersub{}","plainCitation":"145","noteIndex":0},"citationItems":[{"id":3167,"uris":["http://zotero.org/groups/2667333/items/CBAZED2N"],"itemData":{"id":3167,"type":"article-journal","container-title":"Bio-chimica et Biophysica Acta (BBA) - Biomembranes","DOI":"10.1016/j.bbamem.2006.07.013.","issue":"10","language":"en","page":"1596–1608","title":"Solvent-Dependent Structure of Two Trypto-phan-Rich Antimicrobial Peptides and Their Analogs Studied by FTIR and CD Spectroscopy","URL":"https://doi.org/10.1016/j.bbamem.2006.07.013.","volume":"1758","author":[{"family":"Andrushchenko","given":"V.V."},{"family":"Vogel","given":"H.J."},{"family":"Prenner","given":"E.J."}],"issued":{"date-parts":[["2006"]]},"citation-key":"andrushchenkoSolventDependentStructureTwo2006"}}],"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145</w:t>
      </w:r>
      <w:r w:rsidRPr="00904368">
        <w:rPr>
          <w:rFonts w:cstheme="minorHAnsi"/>
          <w:sz w:val="24"/>
          <w:szCs w:val="24"/>
        </w:rPr>
        <w:fldChar w:fldCharType="end"/>
      </w:r>
      <w:r w:rsidRPr="00904368">
        <w:rPr>
          <w:rFonts w:cstheme="minorHAnsi"/>
          <w:sz w:val="24"/>
          <w:szCs w:val="24"/>
        </w:rPr>
        <w:t xml:space="preserve"> Among the CoOPs in this study, [II] showed the highest positive and negative peaks at 192 and 214 nm with a slight blue shift (2 nm), with all concentrations indicating </w:t>
      </w:r>
      <w:r w:rsidRPr="00904368">
        <w:rPr>
          <w:rFonts w:cstheme="minorHAnsi"/>
          <w:sz w:val="24"/>
          <w:szCs w:val="24"/>
        </w:rPr>
        <w:sym w:font="Symbol" w:char="F062"/>
      </w:r>
      <w:r w:rsidRPr="00904368">
        <w:rPr>
          <w:rFonts w:cstheme="minorHAnsi"/>
          <w:sz w:val="24"/>
          <w:szCs w:val="24"/>
        </w:rPr>
        <w:t>-sheet rich structure (Fig. 2.13B, green).</w:t>
      </w:r>
      <w:r w:rsidRPr="00904368">
        <w:rPr>
          <w:rFonts w:cstheme="minorHAnsi"/>
          <w:sz w:val="24"/>
          <w:szCs w:val="24"/>
        </w:rPr>
        <w:fldChar w:fldCharType="begin"/>
      </w:r>
      <w:r w:rsidR="008F09C1">
        <w:rPr>
          <w:rFonts w:cstheme="minorHAnsi"/>
          <w:sz w:val="24"/>
          <w:szCs w:val="24"/>
        </w:rPr>
        <w:instrText xml:space="preserve"> ADDIN ZOTERO_ITEM CSL_CITATION {"citationID":"QLhIMOwO","properties":{"formattedCitation":"\\super 105\\nosupersub{}","plainCitation":"105","noteIndex":0},"citationItems":[{"id":2092,"uris":["http://zotero.org/groups/2667333/items/FKDGC9HA"],"itemData":{"id":2092,"type":"article-journal","abstract":"Conformational transition of proteins and peptides into highly stable, β-sheet-rich structures is observed in many amyloid-associated neurodegenerative disorders, yet the precise mechanism of amyloid formation at the molecular level remains poorly understood due to the complex molecular structures. Short peptides provide simplified models for studying the molecular basis of the assembly mechanism that governs β-sheet fibrillation processes underlying the formation and inhibition of amyloid-like structures. Herein, we report a supramolecular coassembly strategy for the inhibition and transformation of stable β-sheet-rich amyloid-derived dipeptide self-assemblies into adaptable secondary structural fibrillar assemblies by mixing with bipyridine derivatives. The interplay between the type and mixing ratio of bipyridine derivatives allowed the variable coassembly process with stimuli-responsive functional properties, studied by various experimental characterizations and computational methods. Furthermore, the resulting coassemblies showed functional redox- and photoresponsive properties, making them promising candidates for controllable drug release and fluorescent imprint. This work presents a coassembly strategy not only to explore the mechanism of amyloid-like structure formation and inhibition at the molecular level but also to manipulate amyloid-like structures into responsive supramolecular coassemblies for material science and biotechnology applications.","container-title":"ACS Nano","DOI":"10.1021/acsnano.0c02138","ISSN":"1936-0851","issue":"6","journalAbbreviation":"ACS Nano","note":"publisher: American Chemical Society\nCitation Key: ji_coassembly-induced_2020","page":"7181-7190","source":"ACS Publications","title":"Coassembly-Induced Transformation of Dipeptide Amyloid-Like Structures into Stimuli-Responsive Supramolecular Materials","URL":"https://doi.org/10.1021/acsnano.0c02138","volume":"14","author":[{"family":"Ji","given":"Wei"},{"family":"Yuan","given":"Chengqian"},{"family":"Chakraborty","given":"Priyadarshi"},{"family":"Makam","given":"Pandeeswar"},{"family":"Bera","given":"Santu"},{"family":"Rencus-Lazar","given":"Sigal"},{"family":"Li","given":"Junbai"},{"family":"Yan","given":"Xuehai"},{"family":"Gazit","given":"Ehud"}],"accessed":{"date-parts":[["2021",8,12]]},"issued":{"date-parts":[["2020",6,23]]},"citation-key":"ji_coassembly-induced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105</w:t>
      </w:r>
      <w:r w:rsidRPr="00904368">
        <w:rPr>
          <w:rFonts w:cstheme="minorHAnsi"/>
          <w:sz w:val="24"/>
          <w:szCs w:val="24"/>
        </w:rPr>
        <w:fldChar w:fldCharType="end"/>
      </w:r>
      <w:r w:rsidRPr="00904368">
        <w:rPr>
          <w:rFonts w:cstheme="minorHAnsi"/>
          <w:sz w:val="24"/>
          <w:szCs w:val="24"/>
        </w:rPr>
        <w:t xml:space="preserve"> As the peptide concentration decreased, slight intensity differences and red shift were observed, indicating the expected weakening of </w:t>
      </w:r>
      <w:r w:rsidRPr="00904368">
        <w:rPr>
          <w:rFonts w:cstheme="minorHAnsi"/>
          <w:sz w:val="24"/>
          <w:szCs w:val="24"/>
        </w:rPr>
        <w:sym w:font="Symbol" w:char="F062"/>
      </w:r>
      <w:r w:rsidRPr="00904368">
        <w:rPr>
          <w:rFonts w:cstheme="minorHAnsi"/>
          <w:sz w:val="24"/>
          <w:szCs w:val="24"/>
        </w:rPr>
        <w:t>- sheet content with decreasing concentration.</w:t>
      </w:r>
      <w:r w:rsidRPr="00904368">
        <w:rPr>
          <w:rFonts w:cstheme="minorHAnsi"/>
          <w:sz w:val="24"/>
          <w:szCs w:val="24"/>
        </w:rPr>
        <w:fldChar w:fldCharType="begin"/>
      </w:r>
      <w:r w:rsidR="008F09C1">
        <w:rPr>
          <w:rFonts w:cstheme="minorHAnsi"/>
          <w:sz w:val="24"/>
          <w:szCs w:val="24"/>
        </w:rPr>
        <w:instrText xml:space="preserve"> ADDIN ZOTERO_ITEM CSL_CITATION {"citationID":"MtcTBuo0","properties":{"formattedCitation":"\\super 146\\nosupersub{}","plainCitation":"146","noteIndex":0},"citationItems":[{"id":4007,"uris":["http://zotero.org/groups/2667333/items/SEV4YNEW"],"itemData":{"id":4007,"type":"article-journal","abstract":"We synthesized a series of peptide amphiphiles (PAs) with systematically modified amino acid sequences to control the mechanical properties of the nanofiber gels they form by self-assembly. By manipulating the number and position of valines and alanines in the peptide sequence, we found that valines increase the stiffness of the gel, while additional alanines decrease the mechanical properties. Vitreous ice cryo-transmission electron microscopy shows that all PA molecules investigated here form nanofibers 8−10 nm in diameter and several micrometers in length. We found through Fourier transform IR experiments a strong correlation between gel stiffness and hydrogen bond alignment along the long axis of the fiber. Molecules that form supramolecular structures with the highest mechanical stiffness were found by circular dichroism to self-assemble into β-sheets with the least amount of twisting and disorder, a result that is consistent with IR experiments. Molecular control of mechanical stiffness in three-dimensional artificial peptide amphiphile matrices offers a chemical strategy to control biological phenomena such as stem cell differentiation and cell morphology.","container-title":"Journal of the American Chemical Society","DOI":"10.1021/ja908560n","ISSN":"0002-7863","issue":"17","journalAbbreviation":"J. Am. Chem. Soc.","note":"publisher: American Chemical Society","page":"6041-6046","source":"ACS Publications","title":"Tuning Supramolecular Rigidity of Peptide Fibers through Molecular Structure","URL":"https://doi.org/10.1021/ja908560n","volume":"132","author":[{"family":"Pashuck","given":"E. Thomas"},{"family":"Cui","given":"Honggang"},{"family":"Stupp","given":"Samuel I."}],"accessed":{"date-parts":[["2020",12,18]]},"issued":{"date-parts":[["2010",5,5]]},"citation-key":"pashuckTuningSupramolecularRigidity2010"}}],"schema":"https://github.com/citation-style-language/schema/raw/master/csl-citation.json"}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146</w:t>
      </w:r>
      <w:r w:rsidRPr="00904368">
        <w:rPr>
          <w:rFonts w:cstheme="minorHAnsi"/>
          <w:sz w:val="24"/>
          <w:szCs w:val="24"/>
        </w:rPr>
        <w:fldChar w:fldCharType="end"/>
      </w:r>
    </w:p>
    <w:p w14:paraId="2F1891FE" w14:textId="77777777" w:rsidR="00DB4EEF" w:rsidRDefault="00DB4EEF" w:rsidP="00E44507">
      <w:pPr>
        <w:keepNext/>
        <w:spacing w:line="480" w:lineRule="auto"/>
        <w:jc w:val="center"/>
      </w:pPr>
      <w:r>
        <w:rPr>
          <w:noProof/>
        </w:rPr>
        <w:drawing>
          <wp:inline distT="0" distB="0" distL="0" distR="0" wp14:anchorId="0E7E7EB5" wp14:editId="0779F9D8">
            <wp:extent cx="6098875" cy="494165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28030" cy="5046301"/>
                    </a:xfrm>
                    <a:prstGeom prst="rect">
                      <a:avLst/>
                    </a:prstGeom>
                  </pic:spPr>
                </pic:pic>
              </a:graphicData>
            </a:graphic>
          </wp:inline>
        </w:drawing>
      </w:r>
    </w:p>
    <w:p w14:paraId="00D6693A" w14:textId="5986B610" w:rsidR="00AF1814" w:rsidRPr="00D4639D" w:rsidRDefault="00DB4EEF" w:rsidP="008A3EF7">
      <w:pPr>
        <w:pStyle w:val="Caption"/>
        <w:rPr>
          <w:b/>
        </w:rPr>
      </w:pPr>
      <w:bookmarkStart w:id="76" w:name="_Toc113560042"/>
      <w:bookmarkStart w:id="77" w:name="_Toc115118630"/>
      <w:r w:rsidRPr="00D4639D">
        <w:t xml:space="preserve">Figure 2. </w:t>
      </w:r>
      <w:fldSimple w:instr=" SEQ Figure_2. \* ARABIC ">
        <w:r w:rsidR="00785166">
          <w:rPr>
            <w:noProof/>
          </w:rPr>
          <w:t>14</w:t>
        </w:r>
      </w:fldSimple>
      <w:r w:rsidRPr="00D4639D">
        <w:t xml:space="preserve"> Secondary structure analysis CoOPs. Positively (A) and negatively charged (B) individual peptides in water by using FTIR.</w:t>
      </w:r>
      <w:bookmarkEnd w:id="76"/>
      <w:bookmarkEnd w:id="77"/>
    </w:p>
    <w:p w14:paraId="34E23279" w14:textId="3293D489" w:rsidR="006D2409" w:rsidRDefault="006D2409">
      <w:pPr>
        <w:pStyle w:val="Heading3"/>
        <w:numPr>
          <w:ilvl w:val="2"/>
          <w:numId w:val="8"/>
        </w:numPr>
        <w:spacing w:line="480" w:lineRule="auto"/>
      </w:pPr>
      <w:bookmarkStart w:id="78" w:name="_Toc114946707"/>
      <w:bookmarkStart w:id="79" w:name="_Toc121134629"/>
      <w:r>
        <w:t xml:space="preserve">Mechanical </w:t>
      </w:r>
      <w:r w:rsidR="00B5499F">
        <w:t>P</w:t>
      </w:r>
      <w:r>
        <w:t xml:space="preserve">roperties of </w:t>
      </w:r>
      <w:bookmarkEnd w:id="78"/>
      <w:r w:rsidR="00B5499F">
        <w:t>Co-assembled Peptides</w:t>
      </w:r>
      <w:bookmarkEnd w:id="79"/>
    </w:p>
    <w:p w14:paraId="54B21223" w14:textId="72AF4ABF" w:rsidR="00DB4EEF" w:rsidRPr="00904368" w:rsidRDefault="006D2409" w:rsidP="00E44507">
      <w:pPr>
        <w:spacing w:line="480" w:lineRule="auto"/>
        <w:rPr>
          <w:rFonts w:cstheme="minorHAnsi"/>
          <w:sz w:val="24"/>
          <w:szCs w:val="24"/>
        </w:rPr>
      </w:pPr>
      <w:r w:rsidRPr="00904368">
        <w:rPr>
          <w:rFonts w:cstheme="minorHAnsi"/>
          <w:sz w:val="24"/>
          <w:szCs w:val="24"/>
        </w:rPr>
        <w:t>The network of 1D structures of CoOP assemblies encapsulate solvent and forms hydrogel at the macro level. The time-dependent mechanical properties of the hydrogels can be correlated to the assembly kinetics and mechanism for each substitution domain. Small amplitude oscillatory shear (SAOS) rheology measurements enable identification the shear storage modulus (G'), loss modulus (G") and loss factor (tan d), which are all critical hydrogel properties monitored as a function of time, frequency, and applied strain. Peptide-based hydrogels show viscoelastic behaviors. Therefore, we initially identified the linear viscoelastic regime (LVR) for all CoOPs (all 10 mM in water), where the moduli are independent of applied shear strain.</w:t>
      </w:r>
    </w:p>
    <w:p w14:paraId="7A1674B5" w14:textId="2FC1C36F" w:rsidR="00DB4EEF" w:rsidRPr="00904368" w:rsidRDefault="006D2409" w:rsidP="00E44507">
      <w:pPr>
        <w:spacing w:line="480" w:lineRule="auto"/>
        <w:rPr>
          <w:rFonts w:cstheme="minorHAnsi"/>
          <w:sz w:val="24"/>
          <w:szCs w:val="24"/>
        </w:rPr>
      </w:pPr>
      <w:r w:rsidRPr="00904368">
        <w:rPr>
          <w:rFonts w:cstheme="minorHAnsi"/>
          <w:sz w:val="24"/>
          <w:szCs w:val="24"/>
        </w:rPr>
        <w:t>We identified the LVR through a strain sweep for two different time points after mixing the oppositely charged peptides: immediate (Fig. 2.15) and overnight (20h) (Fig. 2.16) incubation.</w:t>
      </w:r>
    </w:p>
    <w:p w14:paraId="4DD307C5" w14:textId="77777777" w:rsidR="006D2409" w:rsidRDefault="006D2409" w:rsidP="00E44507">
      <w:pPr>
        <w:keepNext/>
        <w:spacing w:line="480" w:lineRule="auto"/>
      </w:pPr>
      <w:r>
        <w:rPr>
          <w:noProof/>
        </w:rPr>
        <w:drawing>
          <wp:inline distT="0" distB="0" distL="0" distR="0" wp14:anchorId="5D5105BC" wp14:editId="3B598F78">
            <wp:extent cx="5846565" cy="2120629"/>
            <wp:effectExtent l="0" t="0" r="0" b="635"/>
            <wp:docPr id="16" name="Picture 16" descr="A picture containing text, light, dar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light, dark, devi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96486" cy="2138736"/>
                    </a:xfrm>
                    <a:prstGeom prst="rect">
                      <a:avLst/>
                    </a:prstGeom>
                  </pic:spPr>
                </pic:pic>
              </a:graphicData>
            </a:graphic>
          </wp:inline>
        </w:drawing>
      </w:r>
    </w:p>
    <w:p w14:paraId="3FE69C68" w14:textId="47AE30E7" w:rsidR="006D2409" w:rsidRPr="00D4639D" w:rsidRDefault="006D2409" w:rsidP="008A3EF7">
      <w:pPr>
        <w:pStyle w:val="Caption"/>
      </w:pPr>
      <w:bookmarkStart w:id="80" w:name="_Toc113560043"/>
      <w:bookmarkStart w:id="81" w:name="_Toc115118631"/>
      <w:r w:rsidRPr="00D4639D">
        <w:t xml:space="preserve">Figure 2. </w:t>
      </w:r>
      <w:fldSimple w:instr=" SEQ Figure_2. \* ARABIC ">
        <w:r w:rsidR="00785166">
          <w:rPr>
            <w:noProof/>
          </w:rPr>
          <w:t>15</w:t>
        </w:r>
      </w:fldSimple>
      <w:r w:rsidRPr="00D4639D">
        <w:t xml:space="preserve"> Mechanical characterization of CoOPs. </w:t>
      </w:r>
      <w:r w:rsidRPr="00D4639D">
        <w:rPr>
          <w:b/>
        </w:rPr>
        <w:t>Time sweep and strain sweep tests of [AA], [WW] and [II] for immediate analysis</w:t>
      </w:r>
      <w:bookmarkEnd w:id="80"/>
      <w:r w:rsidR="00C76CD6" w:rsidRPr="00D4639D">
        <w:rPr>
          <w:b/>
        </w:rPr>
        <w:t>.</w:t>
      </w:r>
      <w:bookmarkEnd w:id="81"/>
    </w:p>
    <w:p w14:paraId="2AFE5458" w14:textId="77777777" w:rsidR="006D2409" w:rsidRDefault="006D2409" w:rsidP="00E44507">
      <w:pPr>
        <w:keepNext/>
        <w:spacing w:line="480" w:lineRule="auto"/>
      </w:pPr>
      <w:r>
        <w:rPr>
          <w:noProof/>
        </w:rPr>
        <w:drawing>
          <wp:inline distT="0" distB="0" distL="0" distR="0" wp14:anchorId="55DC9333" wp14:editId="2A2F5F9C">
            <wp:extent cx="5922676" cy="2110902"/>
            <wp:effectExtent l="0" t="0" r="0" b="0"/>
            <wp:docPr id="17" name="Picture 1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with low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57717" cy="2123391"/>
                    </a:xfrm>
                    <a:prstGeom prst="rect">
                      <a:avLst/>
                    </a:prstGeom>
                  </pic:spPr>
                </pic:pic>
              </a:graphicData>
            </a:graphic>
          </wp:inline>
        </w:drawing>
      </w:r>
    </w:p>
    <w:p w14:paraId="09C23F47" w14:textId="68DF240C" w:rsidR="006D2409" w:rsidRPr="00D4639D" w:rsidRDefault="006D2409" w:rsidP="008A3EF7">
      <w:pPr>
        <w:pStyle w:val="Caption"/>
        <w:rPr>
          <w:b/>
        </w:rPr>
      </w:pPr>
      <w:bookmarkStart w:id="82" w:name="_Toc113560044"/>
      <w:bookmarkStart w:id="83" w:name="_Toc115118632"/>
      <w:r w:rsidRPr="00D4639D">
        <w:t xml:space="preserve">Figure 2. </w:t>
      </w:r>
      <w:fldSimple w:instr=" SEQ Figure_2. \* ARABIC ">
        <w:r w:rsidR="00785166">
          <w:rPr>
            <w:noProof/>
          </w:rPr>
          <w:t>16</w:t>
        </w:r>
      </w:fldSimple>
      <w:r w:rsidRPr="00D4639D">
        <w:t xml:space="preserve"> Mechanical characterization of CoOPs. Time sweep and strain sweep tests of [AA], [WW] and [II] for overnight characterization.</w:t>
      </w:r>
      <w:bookmarkEnd w:id="82"/>
      <w:bookmarkEnd w:id="83"/>
    </w:p>
    <w:p w14:paraId="6DF07991" w14:textId="51C212EC" w:rsidR="006D2409" w:rsidRPr="00904368" w:rsidRDefault="006D2409" w:rsidP="00E44507">
      <w:pPr>
        <w:spacing w:line="480" w:lineRule="auto"/>
        <w:rPr>
          <w:sz w:val="24"/>
          <w:szCs w:val="24"/>
        </w:rPr>
      </w:pPr>
      <w:r w:rsidRPr="00904368">
        <w:rPr>
          <w:sz w:val="24"/>
          <w:szCs w:val="24"/>
        </w:rPr>
        <w:t xml:space="preserve">For [II] and [WW], LVR was observed at up to 1% strain, the hydrogel responses (G' and G") showed independent magnitudes to the changing strain; hydrogel structure maintained intact. </w:t>
      </w:r>
    </w:p>
    <w:p w14:paraId="01F84744" w14:textId="3E6E8A79" w:rsidR="006D2409" w:rsidRPr="00904368" w:rsidRDefault="006D2409" w:rsidP="00E44507">
      <w:pPr>
        <w:spacing w:line="480" w:lineRule="auto"/>
        <w:rPr>
          <w:sz w:val="24"/>
          <w:szCs w:val="24"/>
        </w:rPr>
      </w:pPr>
      <w:r w:rsidRPr="00904368">
        <w:rPr>
          <w:sz w:val="24"/>
          <w:szCs w:val="24"/>
        </w:rPr>
        <w:t xml:space="preserve">After finding the linear region, time sweep scans were performed at 0.1\% strain for 20 min, again at immediate and overnight (20h) incubation. All peptide groups except [AA] achieved linear regime and showed hydrogel properties (G'&gt;G") in 20 min (Fig. 2.15). We then analyzed the gelation time where G' and G" begin to show linear values as strain is applied in the LVR.  Upon mixing negative and positive counterparts of the CoOP pairs, an immediate increase in G' for [WW] and [II] was observed. We calculated the gelation time by non-linear fitting of G' data to one-phase association as shown in Fig. 2.16. [II] plateaued only 12 min after mixing according to the fitted data, while [WW] did not plateau during the time of the measurement. The gelation time of [II] is correlated to the kinetics information gathered from Congo red assay, where [II] showed the appropriate intensity in 15 min. [WW] showed continuous assembly over </w:t>
      </w:r>
      <w:r w:rsidR="00AC0070">
        <w:rPr>
          <w:sz w:val="24"/>
          <w:szCs w:val="24"/>
        </w:rPr>
        <w:t>24h</w:t>
      </w:r>
      <w:r w:rsidRPr="00904368">
        <w:rPr>
          <w:sz w:val="24"/>
          <w:szCs w:val="24"/>
        </w:rPr>
        <w:t xml:space="preserve"> in Congo red, also indicated by rheology as G' did not plateau in 20 min. G'[II] was estimated as 192</w:t>
      </w:r>
      <w:r w:rsidRPr="00904368">
        <w:rPr>
          <w:sz w:val="24"/>
          <w:szCs w:val="24"/>
        </w:rPr>
        <w:sym w:font="Symbol" w:char="F0B1"/>
      </w:r>
      <w:r w:rsidRPr="00904368">
        <w:rPr>
          <w:sz w:val="24"/>
          <w:szCs w:val="24"/>
        </w:rPr>
        <w:t>7.3 Pa, nearly three times higher than [WW] (44.5</w:t>
      </w:r>
      <w:r w:rsidRPr="00904368">
        <w:rPr>
          <w:sz w:val="24"/>
          <w:szCs w:val="24"/>
        </w:rPr>
        <w:sym w:font="Symbol" w:char="F0B1"/>
      </w:r>
      <w:r w:rsidRPr="00904368">
        <w:rPr>
          <w:sz w:val="24"/>
          <w:szCs w:val="24"/>
        </w:rPr>
        <w:t>22) in measurements performed immediately upon mixing, and also showed faster gelation. These results indicate stronger and faster aggregation, in agreement with the previous characterization of these systems.</w:t>
      </w:r>
    </w:p>
    <w:p w14:paraId="3966D63B" w14:textId="77777777" w:rsidR="006D2409" w:rsidRDefault="006D2409" w:rsidP="00E44507">
      <w:pPr>
        <w:keepNext/>
        <w:spacing w:line="480" w:lineRule="auto"/>
        <w:jc w:val="center"/>
      </w:pPr>
      <w:r>
        <w:rPr>
          <w:noProof/>
        </w:rPr>
        <w:drawing>
          <wp:inline distT="0" distB="0" distL="0" distR="0" wp14:anchorId="11AE0265" wp14:editId="6C52BBB2">
            <wp:extent cx="3708400" cy="270510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aphical user interfac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08400" cy="2705100"/>
                    </a:xfrm>
                    <a:prstGeom prst="rect">
                      <a:avLst/>
                    </a:prstGeom>
                  </pic:spPr>
                </pic:pic>
              </a:graphicData>
            </a:graphic>
          </wp:inline>
        </w:drawing>
      </w:r>
    </w:p>
    <w:p w14:paraId="7ADCB300" w14:textId="100034BB" w:rsidR="006D2409" w:rsidRPr="00D4639D" w:rsidRDefault="006D2409" w:rsidP="008A3EF7">
      <w:pPr>
        <w:pStyle w:val="Caption"/>
        <w:rPr>
          <w:b/>
        </w:rPr>
      </w:pPr>
      <w:bookmarkStart w:id="84" w:name="_Toc113560045"/>
      <w:bookmarkStart w:id="85" w:name="_Toc115118633"/>
      <w:r w:rsidRPr="00D4639D">
        <w:t xml:space="preserve">Figure 2. </w:t>
      </w:r>
      <w:fldSimple w:instr=" SEQ Figure_2. \* ARABIC ">
        <w:r w:rsidR="00785166">
          <w:rPr>
            <w:noProof/>
          </w:rPr>
          <w:t>17</w:t>
        </w:r>
      </w:fldSimple>
      <w:r w:rsidRPr="00D4639D">
        <w:t xml:space="preserve"> </w:t>
      </w:r>
      <w:r w:rsidR="00C76CD6" w:rsidRPr="00D4639D">
        <w:t xml:space="preserve">Storage modulus of [WW] and [II]. </w:t>
      </w:r>
      <w:r w:rsidRPr="00D4639D">
        <w:t>One phase association of storage modulus of [WW] and [II] during 20 min.</w:t>
      </w:r>
      <w:bookmarkEnd w:id="84"/>
      <w:bookmarkEnd w:id="85"/>
    </w:p>
    <w:p w14:paraId="50FDEA7B" w14:textId="236BFADE" w:rsidR="006D2409" w:rsidRPr="00904368" w:rsidRDefault="006D2409" w:rsidP="00E44507">
      <w:pPr>
        <w:spacing w:line="480" w:lineRule="auto"/>
        <w:rPr>
          <w:rFonts w:cstheme="minorHAnsi"/>
          <w:sz w:val="24"/>
          <w:szCs w:val="24"/>
        </w:rPr>
      </w:pPr>
      <w:r w:rsidRPr="00904368">
        <w:rPr>
          <w:rFonts w:cstheme="minorHAnsi"/>
          <w:sz w:val="24"/>
          <w:szCs w:val="24"/>
        </w:rPr>
        <w:t>Mechanical properties and time sweep analysis showed that while [II] showed the fastest and strongest gelation behavior, [AA] was found to be the slowest and weakest. These results were also correlated with a Congo Red assay, which showed no assembly for [AA], ongoing assembly for [WW] and immediate assembly for [II].</w:t>
      </w:r>
    </w:p>
    <w:p w14:paraId="5A5218CA" w14:textId="2A6DE884" w:rsidR="00347387" w:rsidRPr="00904368" w:rsidRDefault="006D2409" w:rsidP="00E44507">
      <w:pPr>
        <w:spacing w:line="480" w:lineRule="auto"/>
        <w:rPr>
          <w:rFonts w:cstheme="minorHAnsi"/>
          <w:sz w:val="24"/>
          <w:szCs w:val="24"/>
        </w:rPr>
      </w:pPr>
      <w:r w:rsidRPr="00904368">
        <w:rPr>
          <w:rFonts w:cstheme="minorHAnsi"/>
          <w:sz w:val="24"/>
          <w:szCs w:val="24"/>
        </w:rPr>
        <w:t>Co-assembly was still ongoing for at least [WW], and thus we measured the mechanical properties of the CoOPs after incubation at room temperature for an overnight interval (20 h, Fig. 2.16). The strain sweep analyses showed no significant change after overnight incubation for assembly of [II] and [WW]. The increased G' value of [AA] indicates some degree of the assembly after 20 h of incubation. The time sweep measurements revealed more significant differences of G' and G" values for all the CoOPs at 0.1% strain. G' of [II] increased approximately 3.5X (from 192</w:t>
      </w:r>
      <w:r w:rsidRPr="00904368">
        <w:rPr>
          <w:rFonts w:cstheme="minorHAnsi"/>
          <w:sz w:val="24"/>
          <w:szCs w:val="24"/>
        </w:rPr>
        <w:sym w:font="Symbol" w:char="F0B1"/>
      </w:r>
      <w:r w:rsidRPr="00904368">
        <w:rPr>
          <w:rFonts w:cstheme="minorHAnsi"/>
          <w:sz w:val="24"/>
          <w:szCs w:val="24"/>
        </w:rPr>
        <w:t>7.3 Pa to 675</w:t>
      </w:r>
      <w:r w:rsidRPr="00904368">
        <w:rPr>
          <w:rFonts w:cstheme="minorHAnsi"/>
          <w:sz w:val="24"/>
          <w:szCs w:val="24"/>
        </w:rPr>
        <w:sym w:font="Symbol" w:char="F0B1"/>
      </w:r>
      <w:r w:rsidRPr="00904368">
        <w:rPr>
          <w:rFonts w:cstheme="minorHAnsi"/>
          <w:sz w:val="24"/>
          <w:szCs w:val="24"/>
        </w:rPr>
        <w:t>55 Pa), indicating a higher degree of assembly after 20 h. The values for [WW] were more than 8X (from 44.5</w:t>
      </w:r>
      <w:r w:rsidRPr="00904368">
        <w:rPr>
          <w:rFonts w:cstheme="minorHAnsi"/>
          <w:sz w:val="24"/>
          <w:szCs w:val="24"/>
        </w:rPr>
        <w:sym w:font="Symbol" w:char="F0B1"/>
      </w:r>
      <w:r w:rsidRPr="00904368">
        <w:rPr>
          <w:rFonts w:cstheme="minorHAnsi"/>
          <w:sz w:val="24"/>
          <w:szCs w:val="24"/>
        </w:rPr>
        <w:t>22 Pa to 453</w:t>
      </w:r>
      <w:r w:rsidRPr="00904368">
        <w:rPr>
          <w:rFonts w:cstheme="minorHAnsi"/>
          <w:sz w:val="24"/>
          <w:szCs w:val="24"/>
        </w:rPr>
        <w:sym w:font="Symbol" w:char="F0B1"/>
      </w:r>
      <w:r w:rsidRPr="00904368">
        <w:rPr>
          <w:rFonts w:cstheme="minorHAnsi"/>
          <w:sz w:val="24"/>
          <w:szCs w:val="24"/>
        </w:rPr>
        <w:t>47.5 Pa). Moreover, [AA] also showed hydrogel properties after overnight assembly (42.5</w:t>
      </w:r>
      <w:r w:rsidRPr="00904368">
        <w:rPr>
          <w:rFonts w:cstheme="minorHAnsi"/>
          <w:sz w:val="24"/>
          <w:szCs w:val="24"/>
        </w:rPr>
        <w:sym w:font="Symbol" w:char="F0B1"/>
      </w:r>
      <w:r w:rsidRPr="00904368">
        <w:rPr>
          <w:rFonts w:cstheme="minorHAnsi"/>
          <w:sz w:val="24"/>
          <w:szCs w:val="24"/>
        </w:rPr>
        <w:t>5.2 Pa). It is important to note that [WW] showed a steep increase of G' and G" overtime for time sweep analysis after overnight incubation, while the measurements were still in the LVR according to the previous strain sweep test. The reason for this slope might be the orientation of the 1D structures. The immediate measurements were performed directly after the addition of the first negative and then positive counterpart of each pair. However, for overnight incubation at room temperature, the pairs were mixed in an Eppendorf tube. The hydrogels were placed onto the rheology plate with a pipette, which might produce shear thinning of the hydrogel.</w:t>
      </w:r>
      <w:r w:rsidRPr="00904368">
        <w:rPr>
          <w:rFonts w:cstheme="minorHAnsi"/>
          <w:sz w:val="24"/>
          <w:szCs w:val="24"/>
        </w:rPr>
        <w:fldChar w:fldCharType="begin"/>
      </w:r>
      <w:r w:rsidR="008F09C1">
        <w:rPr>
          <w:rFonts w:cstheme="minorHAnsi"/>
          <w:sz w:val="24"/>
          <w:szCs w:val="24"/>
        </w:rPr>
        <w:instrText xml:space="preserve"> ADDIN ZOTERO_ITEM CSL_CITATION {"citationID":"SqXquRIa","properties":{"formattedCitation":"\\super 147\\nosupersub{}","plainCitation":"147","noteIndex":0},"citationItems":[{"id":2379,"uris":["http://zotero.org/groups/2667333/items/YRT5DK2F"],"itemData":{"id":2379,"type":"article-journal","abstract":"Peptide hydrogels show immense promise as therapeutic materials. Here we present a rationally designed multidomain peptide that self-assembles into nanofibers approximately 8 nm wide, 2 nm high, and micrometers in length in the presence of Mg2+. At a concentration of 1% by weight, the peptide forms an extensive nanofibers network that results in a physically cross-linked viscoelastic hydrogel. This hydrogel undergoes shear thinning and then quickly recovers nearly 100% of its elastic modulus when the shearing force is released, making it ideal for use as an injectable material. When placed in the presence of human embryonic stem cells (ESCs), the nanofibrous hydrogel acts like a sponge, soaking up the vast array of growth factors and cytokines released by the ESCs. The peptide hydrogel sponge can then be removed from the presence of the ESCs and placed in a therapeutic environment, where it can subsequently release these components. In vitro experiments demonstrate that release of stem cell secretome from these hydrogels in the presence of glomerular epithelial cells treated with high glucose significantly decreased protein permeability in a model of diabetes-induced kidney injury. Tracking experiments were then performed to determine the fate of the hydrogel upon injection in vivo. Hydrogels labeled with a Gd3+ MRI contrast agent were injected into the abdominal cavity of mice and found to remain localized over 24 h. This implies that the hydrogel possesses sufficient rigidity to remain localized and release stem cell secretome over time rather than immediately dissolving in the abdominal cavity. Together, the shear thinning and recovery as observed by rheometry as well as secretome absorption and release in vivo demonstrate the potential of the nanofibrous multidomain peptide hydrogel as an injectable delivery agent.","container-title":"Biomacromolecules","DOI":"10.1021/bm200035r","ISSN":"1525-7797","issue":"5","journalAbbreviation":"Biomacromolecules","note":"publisher: American Chemical Society","page":"1651-1657","source":"ACS Publications","title":"Injectable Multidomain Peptide Nanofiber Hydrogel as a Delivery Agent for Stem Cell Secretome","URL":"https://doi.org/10.1021/bm200035r","volume":"12","author":[{"family":"Bakota","given":"Erica L."},{"family":"Wang","given":"Yin"},{"family":"Danesh","given":"Farhad R."},{"family":"Hartgerink","given":"Jeffrey D."}],"accessed":{"date-parts":[["2020",12,29]]},"issued":{"date-parts":[["2011",5,9]]},"citation-key":"bakotaInjectableMultidomainPeptide2011"}}],"schema":"https://github.com/citation-style-language/schema/raw/master/csl-citation.json"}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147</w:t>
      </w:r>
      <w:r w:rsidRPr="00904368">
        <w:rPr>
          <w:rFonts w:cstheme="minorHAnsi"/>
          <w:sz w:val="24"/>
          <w:szCs w:val="24"/>
        </w:rPr>
        <w:fldChar w:fldCharType="end"/>
      </w:r>
      <w:r w:rsidRPr="00904368">
        <w:rPr>
          <w:rFonts w:cstheme="minorHAnsi"/>
          <w:sz w:val="24"/>
          <w:szCs w:val="24"/>
        </w:rPr>
        <w:t xml:space="preserve"> A similar increase in G' was also observed for [II], but was insignificant compared to [WW] and G' values for the samples plateaued after a short time. In the case of [AA], the G' value reduced throughout the measurement, which might be due to the loss of weak interactions in [AA].</w:t>
      </w:r>
    </w:p>
    <w:p w14:paraId="0DCB9178" w14:textId="2D8C4CC6" w:rsidR="006D2409" w:rsidRDefault="006D2409">
      <w:pPr>
        <w:pStyle w:val="Heading2"/>
        <w:numPr>
          <w:ilvl w:val="1"/>
          <w:numId w:val="8"/>
        </w:numPr>
        <w:spacing w:line="480" w:lineRule="auto"/>
      </w:pPr>
      <w:bookmarkStart w:id="86" w:name="_Toc114946708"/>
      <w:bookmarkStart w:id="87" w:name="_Toc121134630"/>
      <w:r>
        <w:t>DISCUSSION</w:t>
      </w:r>
      <w:bookmarkEnd w:id="86"/>
      <w:bookmarkEnd w:id="87"/>
    </w:p>
    <w:p w14:paraId="06FF26F7" w14:textId="7850A2FE" w:rsidR="006D2409" w:rsidRPr="00904368" w:rsidRDefault="006D2409" w:rsidP="00E44507">
      <w:pPr>
        <w:spacing w:line="480" w:lineRule="auto"/>
        <w:rPr>
          <w:rFonts w:cstheme="minorHAnsi"/>
          <w:sz w:val="24"/>
          <w:szCs w:val="24"/>
        </w:rPr>
      </w:pPr>
      <w:r w:rsidRPr="00904368">
        <w:rPr>
          <w:rFonts w:cstheme="minorHAnsi"/>
          <w:sz w:val="24"/>
          <w:szCs w:val="24"/>
        </w:rPr>
        <w:t>In this study, we introduce CoOPs as a unique and simple molecular discovery tool to identify the effects of intermolecular interactions on the assembly mechanism and mechanical properties of end products. By changing only two amino acids in the appropriate substitution domain of hexapeptides (AA, WW, and II) (Fig 2.1), we show dramatic differences in peptide assembly kinetics, secondary structure, and mechanical properties. The design of this simple molecular framework drives the assembly along a certain pathway, into a 1D structure, to assess, quantify, and compare the effects of different interactions by simple substitutions. There are three important properties of this framework provide quantification: simplicity, assembly into 1D systems, and water solubility.</w:t>
      </w:r>
    </w:p>
    <w:p w14:paraId="50DD328A" w14:textId="3537B47D" w:rsidR="006D2409" w:rsidRPr="00904368" w:rsidRDefault="006D2409" w:rsidP="00E44507">
      <w:pPr>
        <w:spacing w:line="480" w:lineRule="auto"/>
        <w:rPr>
          <w:rFonts w:cstheme="minorHAnsi"/>
          <w:sz w:val="24"/>
          <w:szCs w:val="24"/>
        </w:rPr>
      </w:pPr>
      <w:r w:rsidRPr="00904368">
        <w:rPr>
          <w:rFonts w:cstheme="minorHAnsi"/>
          <w:sz w:val="24"/>
          <w:szCs w:val="24"/>
        </w:rPr>
        <w:t>The analysis of free energy levels through molecular dynamics revealed that charged amino acids in this framework enhance the initial peptide aggregation; however, further assembly and stability are derived from interactions among the amino acid side chains in the core of the framework. Among the CoOPs we studied, [AA] side chains do not form a tight solvent-free core in the lowest free energy state (Fig. 2.2A). This is likely due to the size mismatch of sidechains preventing a compact packing of peptides. A similar side-chain size mismatch was shown previously where co-assembled monomer F and A amino acids phase-separated due to their different intermolecular packing distances.</w:t>
      </w:r>
      <w:r w:rsidRPr="00904368">
        <w:rPr>
          <w:rFonts w:cstheme="minorHAnsi"/>
          <w:sz w:val="24"/>
          <w:szCs w:val="24"/>
        </w:rPr>
        <w:fldChar w:fldCharType="begin"/>
      </w:r>
      <w:r w:rsidR="008F09C1">
        <w:rPr>
          <w:rFonts w:cstheme="minorHAnsi"/>
          <w:sz w:val="24"/>
          <w:szCs w:val="24"/>
        </w:rPr>
        <w:instrText xml:space="preserve"> ADDIN ZOTERO_ITEM CSL_CITATION {"citationID":"ZlBGg3T0","properties":{"formattedCitation":"\\super 148\\nosupersub{}","plainCitation":"148","noteIndex":0},"citationItems":[{"id":3632,"uris":["http://zotero.org/groups/2667333/items/PJ3AFHWI"],"itemData":{"id":3632,"type":"article-journal","abstract":"Metabolite materials are extremely useful to obtain functional bioinspired assemblies with unique physical properties for various applications in the ﬁelds of material science, engineering, and medicine by selfassembly of the simplest biological building blocks. Supramolecular co-assembly has recently emerged as a promising extended approach to further expand the conformational space of metabolite assemblies in terms of structural and functional complexity. Yet, the design of synergistically co-assembled amino acids to produce tailormade functional architectures is still challenging. Herein, we propose a design rule to predict the supramolecular coassembly of naturally occurring amino acids based on their interlayer separation distances observed in single crystals. Using diverse experimental techniques, we demonstrate that amino acids with comparable interlayer separation strongly interact and co-assemble to produce structural composites distinctly di</w:instrText>
      </w:r>
      <w:r w:rsidR="008F09C1">
        <w:rPr>
          <w:rFonts w:ascii="Cambria Math" w:hAnsi="Cambria Math" w:cs="Cambria Math"/>
          <w:sz w:val="24"/>
          <w:szCs w:val="24"/>
        </w:rPr>
        <w:instrText>ﬀ</w:instrText>
      </w:r>
      <w:r w:rsidR="008F09C1">
        <w:rPr>
          <w:rFonts w:cstheme="minorHAnsi"/>
          <w:sz w:val="24"/>
          <w:szCs w:val="24"/>
        </w:rPr>
        <w:instrText>erent from their individual properties. However, such an interaction is hampered in a mixture of di</w:instrText>
      </w:r>
      <w:r w:rsidR="008F09C1">
        <w:rPr>
          <w:rFonts w:ascii="Cambria Math" w:hAnsi="Cambria Math" w:cs="Cambria Math"/>
          <w:sz w:val="24"/>
          <w:szCs w:val="24"/>
        </w:rPr>
        <w:instrText>ﬀ</w:instrText>
      </w:r>
      <w:r w:rsidR="008F09C1">
        <w:rPr>
          <w:rFonts w:cstheme="minorHAnsi"/>
          <w:sz w:val="24"/>
          <w:szCs w:val="24"/>
        </w:rPr>
        <w:instrText>erentially layer-separated amino acids, which self-sort to generate individual characteristic structures. This study provides a di</w:instrText>
      </w:r>
      <w:r w:rsidR="008F09C1">
        <w:rPr>
          <w:rFonts w:ascii="Cambria Math" w:hAnsi="Cambria Math" w:cs="Cambria Math"/>
          <w:sz w:val="24"/>
          <w:szCs w:val="24"/>
        </w:rPr>
        <w:instrText>ﬀ</w:instrText>
      </w:r>
      <w:r w:rsidR="008F09C1">
        <w:rPr>
          <w:rFonts w:cstheme="minorHAnsi"/>
          <w:sz w:val="24"/>
          <w:szCs w:val="24"/>
        </w:rPr>
        <w:instrText xml:space="preserve">erent paradigm for the modular design of supramolecular assemblies based on amino acids with predictable properties.","container-title":"ACS Nano","DOI":"10.1021/acsnano.8b07775","ISSN":"1936-0851, 1936-086X","journalAbbreviation":"ACS Nano","language":"en","page":"1703-1712","title":"Deciphering the Rules for Amino Acid Co-Assembly Based on Interlayer Distances","URL":"https://pubs.acs.org/doi/10.1021/acsnano.8b07775","author":[{"family":"Bera","given":"Santu"},{"family":"Mondal","given":"Sudipta"},{"family":"Tang","given":"Yiming"},{"family":"Jacoby","given":"Guy"},{"family":"Arad","given":"Elad"},{"family":"Guterman","given":"Tom"},{"family":"Jelinek","given":"Raz"},{"family":"Beck","given":"Roy"},{"family":"Wei","given":"Guanghong"},{"family":"Gazit","given":"Ehud"}],"accessed":{"date-parts":[["2020",12,23]]},"issued":{"date-parts":[["2019"]]},"citation-key":"beraDecipheringRulesAmino2019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148</w:t>
      </w:r>
      <w:r w:rsidRPr="00904368">
        <w:rPr>
          <w:rFonts w:cstheme="minorHAnsi"/>
          <w:sz w:val="24"/>
          <w:szCs w:val="24"/>
        </w:rPr>
        <w:fldChar w:fldCharType="end"/>
      </w:r>
      <w:r w:rsidRPr="00904368">
        <w:rPr>
          <w:rFonts w:cstheme="minorHAnsi"/>
          <w:sz w:val="24"/>
          <w:szCs w:val="24"/>
        </w:rPr>
        <w:t xml:space="preserve"> However, [II] side chains were found to be packed closer in their lowest energy levels (Fig. 2.2B). This indicates that, at this distance, the sidechains of [II] are strongly interacting. Previously, co-assembly of I and F amino acids led to merged structures due to their similar hydrophobicity and side-chain lengths.</w:t>
      </w:r>
      <w:r w:rsidRPr="00904368">
        <w:rPr>
          <w:rFonts w:cstheme="minorHAnsi"/>
          <w:sz w:val="24"/>
          <w:szCs w:val="24"/>
        </w:rPr>
        <w:fldChar w:fldCharType="begin"/>
      </w:r>
      <w:r w:rsidR="008F09C1">
        <w:rPr>
          <w:rFonts w:cstheme="minorHAnsi"/>
          <w:sz w:val="24"/>
          <w:szCs w:val="24"/>
        </w:rPr>
        <w:instrText xml:space="preserve"> ADDIN ZOTERO_ITEM CSL_CITATION {"citationID":"HNPwUzC1","properties":{"formattedCitation":"\\super 148\\nosupersub{}","plainCitation":"148","noteIndex":0},"citationItems":[{"id":3632,"uris":["http://zotero.org/groups/2667333/items/PJ3AFHWI"],"itemData":{"id":3632,"type":"article-journal","abstract":"Metabolite materials are extremely useful to obtain functional bioinspired assemblies with unique physical properties for various applications in the ﬁelds of material science, engineering, and medicine by selfassembly of the simplest biological building blocks. Supramolecular co-assembly has recently emerged as a promising extended approach to further expand the conformational space of metabolite assemblies in terms of structural and functional complexity. Yet, the design of synergistically co-assembled amino acids to produce tailormade functional architectures is still challenging. Herein, we propose a design rule to predict the supramolecular coassembly of naturally occurring amino acids based on their interlayer separation distances observed in single crystals. Using diverse experimental techniques, we demonstrate that amino acids with comparable interlayer separation strongly interact and co-assemble to produce structural composites distinctly di</w:instrText>
      </w:r>
      <w:r w:rsidR="008F09C1">
        <w:rPr>
          <w:rFonts w:ascii="Cambria Math" w:hAnsi="Cambria Math" w:cs="Cambria Math"/>
          <w:sz w:val="24"/>
          <w:szCs w:val="24"/>
        </w:rPr>
        <w:instrText>ﬀ</w:instrText>
      </w:r>
      <w:r w:rsidR="008F09C1">
        <w:rPr>
          <w:rFonts w:cstheme="minorHAnsi"/>
          <w:sz w:val="24"/>
          <w:szCs w:val="24"/>
        </w:rPr>
        <w:instrText>erent from their individual properties. However, such an interaction is hampered in a mixture of di</w:instrText>
      </w:r>
      <w:r w:rsidR="008F09C1">
        <w:rPr>
          <w:rFonts w:ascii="Cambria Math" w:hAnsi="Cambria Math" w:cs="Cambria Math"/>
          <w:sz w:val="24"/>
          <w:szCs w:val="24"/>
        </w:rPr>
        <w:instrText>ﬀ</w:instrText>
      </w:r>
      <w:r w:rsidR="008F09C1">
        <w:rPr>
          <w:rFonts w:cstheme="minorHAnsi"/>
          <w:sz w:val="24"/>
          <w:szCs w:val="24"/>
        </w:rPr>
        <w:instrText>erentially layer-separated amino acids, which self-sort to generate individual characteristic structures. This study provides a di</w:instrText>
      </w:r>
      <w:r w:rsidR="008F09C1">
        <w:rPr>
          <w:rFonts w:ascii="Cambria Math" w:hAnsi="Cambria Math" w:cs="Cambria Math"/>
          <w:sz w:val="24"/>
          <w:szCs w:val="24"/>
        </w:rPr>
        <w:instrText>ﬀ</w:instrText>
      </w:r>
      <w:r w:rsidR="008F09C1">
        <w:rPr>
          <w:rFonts w:cstheme="minorHAnsi"/>
          <w:sz w:val="24"/>
          <w:szCs w:val="24"/>
        </w:rPr>
        <w:instrText xml:space="preserve">erent paradigm for the modular design of supramolecular assemblies based on amino acids with predictable properties.","container-title":"ACS Nano","DOI":"10.1021/acsnano.8b07775","ISSN":"1936-0851, 1936-086X","journalAbbreviation":"ACS Nano","language":"en","page":"1703-1712","title":"Deciphering the Rules for Amino Acid Co-Assembly Based on Interlayer Distances","URL":"https://pubs.acs.org/doi/10.1021/acsnano.8b07775","author":[{"family":"Bera","given":"Santu"},{"family":"Mondal","given":"Sudipta"},{"family":"Tang","given":"Yiming"},{"family":"Jacoby","given":"Guy"},{"family":"Arad","given":"Elad"},{"family":"Guterman","given":"Tom"},{"family":"Jelinek","given":"Raz"},{"family":"Beck","given":"Roy"},{"family":"Wei","given":"Guanghong"},{"family":"Gazit","given":"Ehud"}],"accessed":{"date-parts":[["2020",12,23]]},"issued":{"date-parts":[["2019"]]},"citation-key":"beraDecipheringRulesAmino2019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148</w:t>
      </w:r>
      <w:r w:rsidRPr="00904368">
        <w:rPr>
          <w:rFonts w:cstheme="minorHAnsi"/>
          <w:sz w:val="24"/>
          <w:szCs w:val="24"/>
        </w:rPr>
        <w:fldChar w:fldCharType="end"/>
      </w:r>
      <w:r w:rsidRPr="00904368">
        <w:rPr>
          <w:rFonts w:cstheme="minorHAnsi"/>
          <w:sz w:val="24"/>
          <w:szCs w:val="24"/>
        </w:rPr>
        <w:t xml:space="preserve"> Observation of two local minima of distance between [WW] in Fig. 2.2 corresponds to cation-p interactions formed at r ~ 6</w:t>
      </w:r>
      <w:r w:rsidRPr="00904368">
        <w:rPr>
          <w:rFonts w:cstheme="minorHAnsi"/>
          <w:sz w:val="24"/>
          <w:szCs w:val="24"/>
        </w:rPr>
        <w:sym w:font="Symbol" w:char="F041"/>
      </w:r>
      <w:r w:rsidRPr="00904368">
        <w:rPr>
          <w:rFonts w:cstheme="minorHAnsi"/>
          <w:sz w:val="24"/>
          <w:szCs w:val="24"/>
        </w:rPr>
        <w:sym w:font="Symbol" w:char="F0B0"/>
      </w:r>
      <w:r w:rsidRPr="00904368">
        <w:rPr>
          <w:rFonts w:cstheme="minorHAnsi"/>
          <w:sz w:val="24"/>
          <w:szCs w:val="24"/>
        </w:rPr>
        <w:t>,</w:t>
      </w:r>
      <w:r w:rsidRPr="00904368">
        <w:rPr>
          <w:rFonts w:cstheme="minorHAnsi"/>
          <w:sz w:val="24"/>
          <w:szCs w:val="24"/>
        </w:rPr>
        <w:fldChar w:fldCharType="begin"/>
      </w:r>
      <w:r w:rsidR="008F09C1">
        <w:rPr>
          <w:rFonts w:cstheme="minorHAnsi"/>
          <w:sz w:val="24"/>
          <w:szCs w:val="24"/>
        </w:rPr>
        <w:instrText xml:space="preserve"> ADDIN ZOTERO_ITEM CSL_CITATION {"citationID":"Co72pkBD","properties":{"formattedCitation":"\\super 149\\nosupersub{}","plainCitation":"149","noteIndex":0},"citationItems":[{"id":3188,"uris":["http://zotero.org/groups/2667333/items/3PZ3BACV"],"itemData":{"id":3188,"type":"article-journal","abstract":"Cation-π interactions in protein structures are identified and evaluated by using an energy-based criterion for selecting significant sidechain pairs. Cation-π interactions are found to be common among structures in the Protein Data Bank, and it is clearly demonstrated that, when a cationic sidechain (Lys or Arg) is near an aromatic sidechain (Phe, Tyr, or Trp), the geometry is biased toward one that would experience a favorable cation-π interaction. The sidechain of Arg is more likely than that of Lys to be in a cation-π interaction. Among the aromatics, a strong bias toward Trp is clear, such that over one-fourth of all tryptophans in the data bank experience an energetically significant cation-π interaction.","container-title":"Proceedings of the National Academy of Sciences","DOI":"10.1073/pnas.96.17.9459","ISSN":"0027-8424, 1091-6490","issue":"17","journalAbbreviation":"PNAS","language":"en","license":"Copyright © 1999, The National Academy of Sciences","note":"publisher: National Academy of Sciences\nsection: Physical Sciences\nPMID: 10449714","page":"9459-9464","source":"www-pnas-org.webproxy2.ouhsc.edu","title":"Cation-π interactions in structural biology","URL":"https://www.pnas.org/content/96/17/9459","volume":"96","author":[{"family":"Gallivan","given":"Justin P."},{"family":"Dougherty","given":"Dennis A."}],"accessed":{"date-parts":[["2020",12,18]]},"issued":{"date-parts":[["1999",8,17]]},"citation-key":"gallivanCationpInteractionsStructural1999"}}],"schema":"https://github.com/citation-style-language/schema/raw/master/csl-citation.json"}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149</w:t>
      </w:r>
      <w:r w:rsidRPr="00904368">
        <w:rPr>
          <w:rFonts w:cstheme="minorHAnsi"/>
          <w:sz w:val="24"/>
          <w:szCs w:val="24"/>
        </w:rPr>
        <w:fldChar w:fldCharType="end"/>
      </w:r>
      <w:r w:rsidRPr="00904368">
        <w:rPr>
          <w:rFonts w:cstheme="minorHAnsi"/>
          <w:sz w:val="24"/>
          <w:szCs w:val="24"/>
        </w:rPr>
        <w:t xml:space="preserve"> and </w:t>
      </w:r>
      <w:r w:rsidRPr="00904368">
        <w:rPr>
          <w:rFonts w:ascii="Symbol" w:hAnsi="Symbol" w:cstheme="minorHAnsi"/>
          <w:sz w:val="24"/>
          <w:szCs w:val="24"/>
        </w:rPr>
        <w:t>p- p</w:t>
      </w:r>
      <w:r w:rsidRPr="00904368">
        <w:rPr>
          <w:rFonts w:cstheme="minorHAnsi"/>
          <w:sz w:val="24"/>
          <w:szCs w:val="24"/>
        </w:rPr>
        <w:t xml:space="preserve"> stacking at r ~ 3.92 </w:t>
      </w:r>
      <w:r w:rsidRPr="00904368">
        <w:rPr>
          <w:rFonts w:cstheme="minorHAnsi"/>
          <w:sz w:val="24"/>
          <w:szCs w:val="24"/>
        </w:rPr>
        <w:sym w:font="Symbol" w:char="F041"/>
      </w:r>
      <w:r w:rsidRPr="00904368">
        <w:rPr>
          <w:rFonts w:cstheme="minorHAnsi"/>
          <w:sz w:val="24"/>
          <w:szCs w:val="24"/>
        </w:rPr>
        <w:sym w:font="Symbol" w:char="F0B0"/>
      </w:r>
      <w:r w:rsidRPr="00904368">
        <w:rPr>
          <w:rFonts w:cstheme="minorHAnsi"/>
          <w:sz w:val="24"/>
          <w:szCs w:val="24"/>
        </w:rPr>
        <w:t>.</w:t>
      </w:r>
      <w:r w:rsidRPr="00904368">
        <w:rPr>
          <w:rFonts w:cstheme="minorHAnsi"/>
          <w:sz w:val="24"/>
          <w:szCs w:val="24"/>
        </w:rPr>
        <w:fldChar w:fldCharType="begin"/>
      </w:r>
      <w:r w:rsidR="008F09C1">
        <w:rPr>
          <w:rFonts w:cstheme="minorHAnsi"/>
          <w:sz w:val="24"/>
          <w:szCs w:val="24"/>
        </w:rPr>
        <w:instrText xml:space="preserve"> ADDIN ZOTERO_ITEM CSL_CITATION {"citationID":"BQgK3njA","properties":{"formattedCitation":"\\super 150\\nosupersub{}","plainCitation":"150","noteIndex":0},"citationItems":[{"id":4995,"uris":["http://zotero.org/groups/2667333/items/I6SIYH8F"],"itemData":{"id":4995,"type":"article-journal","abstract":"For more than half a century, the phenomenon of π–π stacking has attracted much attention in several research fronts including materials science, chemical synthesis, and even drug design. Despite intense theoretical and experimental exploration, no unified description of the factors contributing to π–π stacking interactions and their weak bonding process has been proposed. In this work, based on calculations of the simplest prototype of π–π stacking, namely the benzene sandwich dimer (together with benzene–phenol, toluene and benzonitrile) using the density functional theory with dispersion correction, previously rarely studied intermolecular orbital interaction is discussed in detail and shown to involve considerable hybridizations of some of the orbitals which make a large contribution to the total interaction energy. We now propose a unified model for the often nebulous π–π stacking process and its analogs: firstly when the two monomers are too far apart, the dispersion effect will play a dominant role in bringing them together, but when they are too close, Pauli repulsion will force them apart. Secondly, at the equilibrium distance, electrostatic interaction, Pauli repulsion, dispersion and intermolecular orbital interaction are all pronounced, with part of the molecular orbitals of the two monomers interacting with each other to form a weak intermolecular bond.","container-title":"Physical Chemistry Chemical Physics","DOI":"10.1039/C6CP05485D","ISSN":"1463-9084","issue":"36","journalAbbreviation":"Phys. Chem. Chem. Phys.","language":"en","note":"publisher: The Royal Society of Chemistry","page":"25452-25457","source":"pubs.rsc.org","title":"A new insight into π–π stacking involving remarkable orbital interactions","URL":"https://pubs.rsc.org/en/content/articlelanding/2016/cp/c6cp05485d","volume":"18","author":[{"family":"Zhao","given":"Rundong"},{"family":"Zhang","given":"Rui-Qin"}],"accessed":{"date-parts":[["2021",2,12]]},"issued":{"date-parts":[["2016",9,14]]},"citation-key":"zhaoNewInsightStacking2016"}}],"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150</w:t>
      </w:r>
      <w:r w:rsidRPr="00904368">
        <w:rPr>
          <w:rFonts w:cstheme="minorHAnsi"/>
          <w:sz w:val="24"/>
          <w:szCs w:val="24"/>
        </w:rPr>
        <w:fldChar w:fldCharType="end"/>
      </w:r>
      <w:r w:rsidRPr="00904368">
        <w:rPr>
          <w:rFonts w:cstheme="minorHAnsi"/>
          <w:sz w:val="24"/>
          <w:szCs w:val="24"/>
        </w:rPr>
        <w:t xml:space="preserve"> Furthermore, [WW] showed a slight local peak in the free energy profile at r ~ 1 nm that may be due to orientation in </w:t>
      </w:r>
      <w:r w:rsidRPr="00904368">
        <w:rPr>
          <w:rFonts w:ascii="Symbol" w:hAnsi="Symbol" w:cstheme="minorHAnsi"/>
          <w:sz w:val="24"/>
          <w:szCs w:val="24"/>
        </w:rPr>
        <w:t>p- p</w:t>
      </w:r>
      <w:r w:rsidRPr="00904368">
        <w:rPr>
          <w:rFonts w:cstheme="minorHAnsi"/>
          <w:sz w:val="24"/>
          <w:szCs w:val="24"/>
        </w:rPr>
        <w:t xml:space="preserve"> stacking. To make the system energetically favorable, the preferred interaction between aromatic rings should be either face-to-face or edge-to-face;</w:t>
      </w:r>
      <w:r w:rsidRPr="00904368">
        <w:rPr>
          <w:rFonts w:cstheme="minorHAnsi"/>
          <w:sz w:val="24"/>
          <w:szCs w:val="24"/>
        </w:rPr>
        <w:fldChar w:fldCharType="begin"/>
      </w:r>
      <w:r w:rsidR="008F09C1">
        <w:rPr>
          <w:rFonts w:cstheme="minorHAnsi"/>
          <w:sz w:val="24"/>
          <w:szCs w:val="24"/>
        </w:rPr>
        <w:instrText xml:space="preserve"> ADDIN ZOTERO_ITEM CSL_CITATION {"citationID":"FKfzLUC1","properties":{"formattedCitation":"\\super 151\\nosupersub{}","plainCitation":"151","noteIndex":0},"citationItems":[{"id":3205,"uris":["http://zotero.org/groups/2667333/items/237SFK3W"],"itemData":{"id":3205,"type":"article-journal","abstract":"The geometry of the interaction of the aromatic side chains of phenylalanine (Phe), tyrosine (Tyr), tryptophan (Trp) and histidine (His) with the indole ring of Trp has been analyzed using the structures in the Protein Data Bank in order to understand the dependence of the packing behaviour on the size and chemical nature of the aromatic rings. The Phe ring prefers to interact either perpendicularly, with its edge pointing towards the Trp face, or in an offset-stacked arrangement. The edge-to-face motif is typical of a Trp–Trp pair. While parallel stacking is the dominant feature of Trp–­His interaction, Tyr packs in a more uniform manner around Trp with a higher than expected occurrence at the edge and a few cases of possible OH–π interaction.","container-title":"Acta Crystallographica Section D: Biological Crystallography","DOI":"10.1107/S090744499900726X","ISSN":"0907-4449","issue":"8","journalAbbreviation":"Acta Cryst D","language":"en","license":"Copyright (c) 1999 International Union of Crystallography","note":"number: 8\npublisher: International Union of Crystallography","page":"1421-1427","source":"scripts.iucr.org","title":"Packing of aromatic rings against tryptophan residues in proteins","URL":"http://scripts.iucr.org/cgi-bin/paper?ad0074","volume":"55","author":[{"family":"Samanta","given":"U."},{"family":"Pal","given":"D."},{"family":"Chakrabarti","given":"P."}],"accessed":{"date-parts":[["2020",12,18]]},"issued":{"date-parts":[["1999",8,1]]},"citation-key":"samantaPackingAromaticRings1999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151</w:t>
      </w:r>
      <w:r w:rsidRPr="00904368">
        <w:rPr>
          <w:rFonts w:cstheme="minorHAnsi"/>
          <w:sz w:val="24"/>
          <w:szCs w:val="24"/>
        </w:rPr>
        <w:fldChar w:fldCharType="end"/>
      </w:r>
      <w:r w:rsidRPr="00904368">
        <w:rPr>
          <w:rFonts w:cstheme="minorHAnsi"/>
          <w:sz w:val="24"/>
          <w:szCs w:val="24"/>
        </w:rPr>
        <w:t xml:space="preserve"> however, if two aromatic rings are different (a heteroaromatic system), the phenol group in the F side-chain may interact with the face of a W side-chain perpendicularly. Such an arrangement could disrupt the system and lead to a decrease in </w:t>
      </w:r>
      <w:r w:rsidRPr="00904368">
        <w:rPr>
          <w:rFonts w:ascii="Symbol" w:hAnsi="Symbol" w:cstheme="minorHAnsi"/>
          <w:sz w:val="24"/>
          <w:szCs w:val="24"/>
        </w:rPr>
        <w:t>p- p</w:t>
      </w:r>
      <w:r w:rsidRPr="00904368">
        <w:rPr>
          <w:rFonts w:cstheme="minorHAnsi"/>
          <w:sz w:val="24"/>
          <w:szCs w:val="24"/>
        </w:rPr>
        <w:t xml:space="preserve"> stacking.</w:t>
      </w:r>
    </w:p>
    <w:p w14:paraId="045C532B" w14:textId="193255EB" w:rsidR="006D2409" w:rsidRPr="00904368" w:rsidRDefault="006D2409" w:rsidP="00E44507">
      <w:pPr>
        <w:spacing w:line="480" w:lineRule="auto"/>
        <w:rPr>
          <w:rFonts w:cstheme="minorHAnsi"/>
          <w:sz w:val="24"/>
          <w:szCs w:val="24"/>
        </w:rPr>
      </w:pPr>
      <w:r w:rsidRPr="00904368">
        <w:rPr>
          <w:rFonts w:cstheme="minorHAnsi"/>
          <w:sz w:val="24"/>
          <w:szCs w:val="24"/>
        </w:rPr>
        <w:t>Further analysis of free energy levels was conducted by considering the side chains of individual hexapeptides and co-assembled forms (Fig. 2.4). For all hexapeptide pairs of the same charge (i.e., either pos-pos or neg-neg) the net charges repel, resulting in higher free energy values. Such repulsion among similar charges correlates with the design rationale for the CoOP system by enhancing the solubility. However, as seen in Fig. 2.4, even for hexapaptides with the same net charge the F-F interactions are more favorable - indicating that the addition of more F side chains to the peptides might eventually overcome electrostatic repulsion (a phenomena known as ``molecular frustration").</w:t>
      </w:r>
      <w:r w:rsidRPr="00904368">
        <w:rPr>
          <w:rFonts w:cstheme="minorHAnsi"/>
          <w:sz w:val="24"/>
          <w:szCs w:val="24"/>
        </w:rPr>
        <w:fldChar w:fldCharType="begin"/>
      </w:r>
      <w:r w:rsidR="008F09C1">
        <w:rPr>
          <w:rFonts w:cstheme="minorHAnsi"/>
          <w:sz w:val="24"/>
          <w:szCs w:val="24"/>
        </w:rPr>
        <w:instrText xml:space="preserve"> ADDIN ZOTERO_ITEM CSL_CITATION {"citationID":"hXMNaP78","properties":{"formattedCitation":"\\super 152\\nosupersub{}","plainCitation":"152","noteIndex":0},"citationItems":[{"id":3935,"uris":["http://zotero.org/groups/2667333/items/88VW8NG9"],"itemData":{"id":3935,"type":"article-journal","abstract":"A series of nine, frustrated, multidomain peptides is described in which forces favoring self-assembly into a nanofiber versus those favoring disassembly could be easily modified. The peptides are organized into an ABA block motif in which the central B block is composed of alternating hydrophilic and hydrophobic amino acids (glutamine and leucine, respectively). This alternation allows the amino acid side chains to segregate on opposite sides of the peptide backbone when it is in a fully extended β-sheet conformation. In water, packing between two such peptides stabilizes the extended conformation by satisfying the desire of the leucine side chains to exclude themselves from the aqueous environment. Once in this conformation intermolecular backbone hydrogen bonding can readily take place between additional peptides eventually growing into high aspect ratio fibers. B block assembly may continue infinitely or until monomeric peptides are depleted from solution which results in an insoluble precipitate. Block A consists of a variable number of positively charged lysine residues whose electrostatic repulsion at pH 7 works against the desire of the B block to assemble. Here we show that balancing the forces of block A against B allows the formation of controlled length, individually dispersed, and fully soluble nanofibers with a width of 6 ± 1 nm and length of 120 ± 30 nm. Analysis by infrared, circular dichroism, and vitreous ice cryo-transmission electron microscopy reveals that the relative sizes of blocks A and B dictate the peptide secondary structure which in turn controls the resulting nanostructure. The system described epitomizes the use of molecular frustration in the design of finite self-assembled structures. These materials, and ones based on their architecture, may find applications where nanostructured control over fiber architecture and chemical functionality is required.","container-title":"Journal of the American Chemical Society","DOI":"10.1021/ja072536r","ISSN":"0002-7863","issue":"41","journalAbbreviation":"J. Am. Chem. Soc.","note":"ZSCC: 0000281 \npublisher: American Chemical Society","page":"12468-12472","source":"ACS Publications","title":"Self-Assembly of Multidomain Peptides:  Balancing Molecular Frustration Controls Conformation and Nanostructure","title-short":"Self-Assembly of Multidomain Peptides","URL":"https://doi.org/10.1021/ja072536r","volume":"129","author":[{"family":"Dong","given":"He"},{"family":"Paramonov","given":"Sergey E."},{"family":"Aulisa","given":"Lorenzo"},{"family":"Bakota","given":"Erica L."},{"family":"Hartgerink","given":"Jeffrey D."}],"accessed":{"date-parts":[["2020",6,27]]},"issued":{"date-parts":[["2007",10,1]]},"citation-key":"dongSelfAssemblyMultidomainPeptides2007"}}],"schema":"https://github.com/citation-style-language/schema/raw/master/csl-citation.json"}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152</w:t>
      </w:r>
      <w:r w:rsidRPr="00904368">
        <w:rPr>
          <w:rFonts w:cstheme="minorHAnsi"/>
          <w:sz w:val="24"/>
          <w:szCs w:val="24"/>
        </w:rPr>
        <w:fldChar w:fldCharType="end"/>
      </w:r>
      <w:r w:rsidRPr="00904368">
        <w:rPr>
          <w:rFonts w:cstheme="minorHAnsi"/>
          <w:sz w:val="24"/>
          <w:szCs w:val="24"/>
        </w:rPr>
        <w:t xml:space="preserve"> Importantly, the same-charged CoOP system using [WW] showed markedly less favorable F-F interactions than indicated by the [AA] and [II] systems; instead the interactions between W-W and K-W appeared more favorable. Since there is no salt bridge formation in the same charged groups, this suggests that F-F did not reach the required distance or orientation to provide the low energy levels seen in other systems. For all groups, the presence of salt bridges appeared to support F-F interactions in co-assembled form as indicated by consistently low energy levels for these interactions compared [AA] and [II]. All these observations show the importance of salt bridges in the CoOP system.</w:t>
      </w:r>
    </w:p>
    <w:p w14:paraId="4DC5500B" w14:textId="123859BA" w:rsidR="006D2409" w:rsidRPr="00904368" w:rsidRDefault="006D2409" w:rsidP="00E44507">
      <w:pPr>
        <w:spacing w:line="480" w:lineRule="auto"/>
        <w:rPr>
          <w:rFonts w:cstheme="minorHAnsi"/>
          <w:sz w:val="24"/>
          <w:szCs w:val="24"/>
        </w:rPr>
      </w:pPr>
      <w:r w:rsidRPr="00904368">
        <w:rPr>
          <w:rFonts w:cstheme="minorHAnsi"/>
          <w:sz w:val="24"/>
          <w:szCs w:val="24"/>
        </w:rPr>
        <w:t>The probability of first contacting side-chain residue analysis via MD as shown in Fig. 2.5 is particularly important as it shows the role of salt chains. In [II] and [AA] systems, the charged residues form the initial interactions. Because of favorable cation-</w:t>
      </w:r>
      <w:r w:rsidR="0018567A" w:rsidRPr="00904368">
        <w:rPr>
          <w:rFonts w:ascii="Symbol" w:hAnsi="Symbol" w:cs="Arial"/>
          <w:sz w:val="24"/>
          <w:szCs w:val="24"/>
        </w:rPr>
        <w:t xml:space="preserve"> p</w:t>
      </w:r>
      <w:r w:rsidR="0018567A" w:rsidRPr="00904368">
        <w:rPr>
          <w:rFonts w:cstheme="minorHAnsi"/>
          <w:sz w:val="24"/>
          <w:szCs w:val="24"/>
        </w:rPr>
        <w:t xml:space="preserve"> </w:t>
      </w:r>
      <w:r w:rsidRPr="00904368">
        <w:rPr>
          <w:rFonts w:cstheme="minorHAnsi"/>
          <w:sz w:val="24"/>
          <w:szCs w:val="24"/>
        </w:rPr>
        <w:t>interactions between the (-NH</w:t>
      </w:r>
      <w:r w:rsidRPr="00904368">
        <w:rPr>
          <w:rFonts w:cstheme="minorHAnsi"/>
          <w:sz w:val="24"/>
          <w:szCs w:val="24"/>
          <w:vertAlign w:val="subscript"/>
        </w:rPr>
        <w:t>3</w:t>
      </w:r>
      <w:r w:rsidRPr="00904368">
        <w:rPr>
          <w:rFonts w:cstheme="minorHAnsi"/>
          <w:sz w:val="24"/>
          <w:szCs w:val="24"/>
          <w:vertAlign w:val="superscript"/>
        </w:rPr>
        <w:t>+</w:t>
      </w:r>
      <w:r w:rsidRPr="00904368">
        <w:rPr>
          <w:rFonts w:cstheme="minorHAnsi"/>
          <w:sz w:val="24"/>
          <w:szCs w:val="24"/>
        </w:rPr>
        <w:t>) of K and high electron density aromatic ring of W,</w:t>
      </w:r>
      <w:r w:rsidRPr="00904368">
        <w:rPr>
          <w:rFonts w:cstheme="minorHAnsi"/>
          <w:sz w:val="24"/>
          <w:szCs w:val="24"/>
        </w:rPr>
        <w:fldChar w:fldCharType="begin"/>
      </w:r>
      <w:r w:rsidR="008F09C1">
        <w:rPr>
          <w:rFonts w:cstheme="minorHAnsi"/>
          <w:sz w:val="24"/>
          <w:szCs w:val="24"/>
        </w:rPr>
        <w:instrText xml:space="preserve"> ADDIN ZOTERO_ITEM CSL_CITATION {"citationID":"UncgZk5A","properties":{"formattedCitation":"\\super 145,149\\nosupersub{}","plainCitation":"145,149","noteIndex":0},"citationItems":[{"id":3167,"uris":["http://zotero.org/groups/2667333/items/CBAZED2N"],"itemData":{"id":3167,"type":"article-journal","container-title":"Bio-chimica et Biophysica Acta (BBA) - Biomembranes","DOI":"10.1016/j.bbamem.2006.07.013.","issue":"10","language":"en","page":"1596–1608","title":"Solvent-Dependent Structure of Two Trypto-phan-Rich Antimicrobial Peptides and Their Analogs Studied by FTIR and CD Spectroscopy","URL":"https://doi.org/10.1016/j.bbamem.2006.07.013.","volume":"1758","author":[{"family":"Andrushchenko","given":"V.V."},{"family":"Vogel","given":"H.J."},{"family":"Prenner","given":"E.J."}],"issued":{"date-parts":[["2006"]]},"citation-key":"andrushchenkoSolventDependentStructureTwo2006"}},{"id":3188,"uris":["http://zotero.org/groups/2667333/items/3PZ3BACV"],"itemData":{"id":3188,"type":"article-journal","abstract":"Cation-π interactions in protein structures are identified and evaluated by using an energy-based criterion for selecting significant sidechain pairs. Cation-π interactions are found to be common among structures in the Protein Data Bank, and it is clearly demonstrated that, when a cationic sidechain (Lys or Arg) is near an aromatic sidechain (Phe, Tyr, or Trp), the geometry is biased toward one that would experience a favorable cation-π interaction. The sidechain of Arg is more likely than that of Lys to be in a cation-π interaction. Among the aromatics, a strong bias toward Trp is clear, such that over one-fourth of all tryptophans in the data bank experience an energetically significant cation-π interaction.","container-title":"Proceedings of the National Academy of Sciences","DOI":"10.1073/pnas.96.17.9459","ISSN":"0027-8424, 1091-6490","issue":"17","journalAbbreviation":"PNAS","language":"en","license":"Copyright © 1999, The National Academy of Sciences","note":"publisher: National Academy of Sciences\nsection: Physical Sciences\nPMID: 10449714","page":"9459-9464","source":"www-pnas-org.webproxy2.ouhsc.edu","title":"Cation-π interactions in structural biology","URL":"https://www.pnas.org/content/96/17/9459","volume":"96","author":[{"family":"Gallivan","given":"Justin P."},{"family":"Dougherty","given":"Dennis A."}],"accessed":{"date-parts":[["2020",12,18]]},"issued":{"date-parts":[["1999",8,17]]},"citation-key":"gallivanCationpInteractionsStructural1999"}}],"schema":"https://github.com/citation-style-language/schema/raw/master/csl-citation.json"}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145,149</w:t>
      </w:r>
      <w:r w:rsidRPr="00904368">
        <w:rPr>
          <w:rFonts w:cstheme="minorHAnsi"/>
          <w:sz w:val="24"/>
          <w:szCs w:val="24"/>
        </w:rPr>
        <w:fldChar w:fldCharType="end"/>
      </w:r>
      <w:r w:rsidRPr="00904368">
        <w:rPr>
          <w:rFonts w:cstheme="minorHAnsi"/>
          <w:sz w:val="24"/>
          <w:szCs w:val="24"/>
        </w:rPr>
        <w:t xml:space="preserve"> the effect of salt bridges is hindered in the [WW] system. In addition, the K sidechain produces a relatively weak repulsion compared to E side-chain, even when present at both ends of a peptide,</w:t>
      </w:r>
      <w:r w:rsidRPr="00904368">
        <w:rPr>
          <w:rFonts w:cstheme="minorHAnsi"/>
          <w:sz w:val="24"/>
          <w:szCs w:val="24"/>
        </w:rPr>
        <w:fldChar w:fldCharType="begin"/>
      </w:r>
      <w:r w:rsidR="008F09C1">
        <w:rPr>
          <w:rFonts w:cstheme="minorHAnsi"/>
          <w:sz w:val="24"/>
          <w:szCs w:val="24"/>
        </w:rPr>
        <w:instrText xml:space="preserve"> ADDIN ZOTERO_ITEM CSL_CITATION {"citationID":"MUc1BAvB","properties":{"formattedCitation":"\\super 153\\nosupersub{}","plainCitation":"153","noteIndex":0},"citationItems":[{"id":3179,"uris":["http://zotero.org/groups/2667333/items/6BSB5JVC"],"itemData":{"id":3179,"type":"article-journal","container-title":"Nanoscale","DOI":"10.1039/C9NR08725G.","issue":"7","language":"en","page":"4506–4518","title":"Molecular Complementarity and Structural Heterogeneity within Co-Assembled Peptide β-Sheet Nanofibers","URL":"https://doi.org/10.1039/C9NR08725G.","volume":"12","author":[{"family":"Wong","given":"K.M."},{"family":"Wang","given":"Y."},{"family":"Seroski","given":"D.T."},{"family":"Larkin","given":"G.E."},{"family":"Mehta","given":"A.K."},{"family":"Hudalla","given":"G.A."},{"family":"Hall","given":"C.K."},{"family":"Paravastu","given":"A.K."}],"issued":{"date-parts":[["2020"]]},"citation-key":"wongMolecularComplementarityStructural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153</w:t>
      </w:r>
      <w:r w:rsidRPr="00904368">
        <w:rPr>
          <w:rFonts w:cstheme="minorHAnsi"/>
          <w:sz w:val="24"/>
          <w:szCs w:val="24"/>
        </w:rPr>
        <w:fldChar w:fldCharType="end"/>
      </w:r>
      <w:r w:rsidRPr="00904368">
        <w:rPr>
          <w:rFonts w:cstheme="minorHAnsi"/>
          <w:sz w:val="24"/>
          <w:szCs w:val="24"/>
        </w:rPr>
        <w:t xml:space="preserve"> which might also enhance the involvement of K in cation-</w:t>
      </w:r>
      <w:r w:rsidR="0018567A" w:rsidRPr="00904368">
        <w:rPr>
          <w:rFonts w:ascii="Symbol" w:hAnsi="Symbol" w:cs="Arial"/>
          <w:sz w:val="24"/>
          <w:szCs w:val="24"/>
        </w:rPr>
        <w:t xml:space="preserve"> p</w:t>
      </w:r>
      <w:r w:rsidRPr="00904368">
        <w:rPr>
          <w:rFonts w:cstheme="minorHAnsi"/>
          <w:sz w:val="24"/>
          <w:szCs w:val="24"/>
        </w:rPr>
        <w:t xml:space="preserve"> interactions. This involvement may reduce salt bridge formation by moderating the interactions between K and E, causing the final co-assembled structure to be more amorphous. Previously, hydrophobic core regions were found to dominate for a ``reverse assembly" process and salt bridges were the first to break, indicating that salt bridges are likely not essential for stability after co-assembly. Here we find that electrostatic interactions / salt bridges are important to initiate aggregation in the co-assembly of these peptides, but the subsequent assembly and stability are derived from the amino acids in the core of the hexapeptide. As a result, the computational analyses of the free energy levels revealed that the interactions among [AA] are the least favorable compared to [WW] and [II] systems. The ASA trend and </w:t>
      </w:r>
      <w:r w:rsidR="005B4478" w:rsidRPr="00904368">
        <w:rPr>
          <w:rFonts w:cstheme="minorHAnsi"/>
          <w:sz w:val="24"/>
          <w:szCs w:val="24"/>
        </w:rPr>
        <w:t>β-sheet</w:t>
      </w:r>
      <w:r w:rsidRPr="00904368">
        <w:rPr>
          <w:rFonts w:cstheme="minorHAnsi"/>
          <w:sz w:val="24"/>
          <w:szCs w:val="24"/>
        </w:rPr>
        <w:t xml:space="preserve"> propensity of chosen amino acids defined the favorability of their CoOP systems, while the initial interactions are likely to happen between the electrostatic groups. The distance between the peptides is inversely correlated to their ASA, the higher the hydrophobicity of the substitution domain amino acid, the longer the distance between the peptides. </w:t>
      </w:r>
    </w:p>
    <w:p w14:paraId="0315CD1B" w14:textId="02E118BD" w:rsidR="006D2409" w:rsidRPr="00904368" w:rsidRDefault="006D2409" w:rsidP="00E44507">
      <w:pPr>
        <w:spacing w:line="480" w:lineRule="auto"/>
        <w:rPr>
          <w:rFonts w:cstheme="minorHAnsi"/>
          <w:sz w:val="24"/>
          <w:szCs w:val="24"/>
        </w:rPr>
      </w:pPr>
      <w:r w:rsidRPr="00904368">
        <w:rPr>
          <w:rFonts w:cstheme="minorHAnsi"/>
          <w:sz w:val="24"/>
          <w:szCs w:val="24"/>
        </w:rPr>
        <w:t>The CAC values followed the trend of the distance between the peptides measured in the simulations (Table</w:t>
      </w:r>
      <w:r w:rsidR="004D522A" w:rsidRPr="00904368">
        <w:rPr>
          <w:rFonts w:cstheme="minorHAnsi"/>
          <w:sz w:val="24"/>
          <w:szCs w:val="24"/>
        </w:rPr>
        <w:t xml:space="preserve"> 2.2</w:t>
      </w:r>
      <w:r w:rsidRPr="00904368">
        <w:rPr>
          <w:rFonts w:cstheme="minorHAnsi"/>
          <w:sz w:val="24"/>
          <w:szCs w:val="24"/>
        </w:rPr>
        <w:t xml:space="preserve">). The closer proximity of the peptides for the formation of interactions require higher concentrations, while interactions that act over even longer distances are more favorable (as in [II] system). Therefore, the most favorable [II] system showed the lowest CAC, while the least favorable [AA] interactions did not show CAC at the concentrations studied (Fig. 2.9). As shown in simulations, [AA] requires the closest proximity for the full interactions, which requires higher concentration, the CAC was not observed above 1 mM working conditions. Similarly, the simulations showed [WW] peptides in closer proximity than [II] peptides, as correlated to the narrower hydrophobic ASA of [WW] domain, which resulted in higher CAC concentration than [II]. The kinetics of the assembly of these systems are also relevant to the distance between the interacting peptides, which makes them also more favorable in terms of the free energy differences of the assembled systems. Inevitably, [II] assembles more rapidly than [WW], while [AA] does not assemble into hierarchical order at comparable timescales. Importantly, the simulation results indicate that interactions between the [AA] peptides might lead to short and instantaneous oligomers instead of large order assemblies without stable </w:t>
      </w:r>
      <w:r w:rsidR="005B4478" w:rsidRPr="00904368">
        <w:rPr>
          <w:rFonts w:cstheme="minorHAnsi"/>
          <w:sz w:val="24"/>
          <w:szCs w:val="24"/>
        </w:rPr>
        <w:t>β-sheet</w:t>
      </w:r>
      <w:r w:rsidRPr="00904368">
        <w:rPr>
          <w:rFonts w:cstheme="minorHAnsi"/>
          <w:sz w:val="24"/>
          <w:szCs w:val="24"/>
        </w:rPr>
        <w:t xml:space="preserve"> structure. Furthermore, above the CAC, [II] gave the strongest intensity at 50 and 100 mM within the peptide groups in immediate DLS analysis (Fig. 2.10). Incubation for overnight (Fig. 2.11) did not change in intensity levels for 50 and 100 mM since the co-assembly of [II] was the highest among other peptide groups and [II] reached the stable state within 15 min as we observed with Congo red assay Fig. 2.9D). However, [WW] reached the stable state at 20 h (Congo red assay) and therefore we saw a dramatic increase in DLS measurement of aggregation for overnight incubation (Fig. 2.11). The results of experimental kinetics measurement are found to correlate to the distances between interacting peptides and the thermodynamic free energy measurements, and thus, the experimental and computational analyses are integrated to explain the complex assembly kinetics, demonstrating the advantage of the CoOP system's simple design. </w:t>
      </w:r>
    </w:p>
    <w:p w14:paraId="2601800E" w14:textId="1E987B79" w:rsidR="006D2409" w:rsidRPr="00904368" w:rsidRDefault="006D2409" w:rsidP="00E44507">
      <w:pPr>
        <w:spacing w:line="480" w:lineRule="auto"/>
        <w:rPr>
          <w:rFonts w:cstheme="minorHAnsi"/>
          <w:sz w:val="24"/>
          <w:szCs w:val="24"/>
        </w:rPr>
      </w:pPr>
      <w:r w:rsidRPr="00904368">
        <w:rPr>
          <w:rFonts w:cstheme="minorHAnsi"/>
          <w:sz w:val="24"/>
          <w:szCs w:val="24"/>
        </w:rPr>
        <w:t xml:space="preserve">Upon assembly, the [II] system showed ordered </w:t>
      </w:r>
      <w:r w:rsidR="005B4478" w:rsidRPr="00904368">
        <w:rPr>
          <w:rFonts w:cstheme="minorHAnsi"/>
          <w:sz w:val="24"/>
          <w:szCs w:val="24"/>
        </w:rPr>
        <w:t>β-sheet</w:t>
      </w:r>
      <w:r w:rsidRPr="00904368">
        <w:rPr>
          <w:rFonts w:cstheme="minorHAnsi"/>
          <w:sz w:val="24"/>
          <w:szCs w:val="24"/>
        </w:rPr>
        <w:t xml:space="preserve"> structures despite the longest distances between the interaction of KFFIIK and EFFIIE (Fig. 2.13B, green). It can be speculated that the distance between [II] peptides in their lowest energy level might be appropriate for salt bridge formation between K and E, and further favorable conformation of the hydrophobic I side chains. This also suggests that despite the slightly lower free energies and the shorter distance between [AA] and [WW] peptides, they do not form organized assemblies as [II] does at this low concentration. However, more studies are necessary to add further support for this speculation. </w:t>
      </w:r>
    </w:p>
    <w:p w14:paraId="19B66598" w14:textId="59907D87" w:rsidR="006D2409" w:rsidRPr="00904368" w:rsidRDefault="006D2409" w:rsidP="00E44507">
      <w:pPr>
        <w:spacing w:line="480" w:lineRule="auto"/>
        <w:rPr>
          <w:rFonts w:cstheme="minorHAnsi"/>
          <w:sz w:val="24"/>
          <w:szCs w:val="24"/>
        </w:rPr>
      </w:pPr>
      <w:r w:rsidRPr="00904368">
        <w:rPr>
          <w:rFonts w:cstheme="minorHAnsi"/>
          <w:sz w:val="24"/>
          <w:szCs w:val="24"/>
        </w:rPr>
        <w:t xml:space="preserve">Finally, the connection between the mechanical properties of the assembled end products and the results of the MD analyses is identified with the CoOP system. Analyses were performed immediately upon mixing the peptides to show the effects of the initial interactions over mechanical properties, which was also studied in MD simulations. The trend of the mechanical properties measured in the experiment was similar to the MD results, and to previous characterizations: [II] showed the fastest assembly and highest storage modulus upon mixing, followed by [WW], while [AA] did not show a hydrogel formation at this concentration. Overnight incubation increased the mechanical properties of all systems, including [AA], which shows the systems were dynamic and assembly continued, but the amplitude of change was still lowest for [II] system, showing that the conformation of the peptides in this system occurs fastest. The MD simulations indicate that the initial interactions (electrostatic, in these examples) are necessary for aggregation. The assembly into fibrillar structures requires conformational changes of the side-chains of the amino acids in the core, as well as hierarchical assembly of the fibrils. All of these assemblies are time-dependent and affect the length of the fibrils and their entanglement, and thus the mechanical properties of the overall structure. The enhanced mechanical properties of the network after overnight incubation at room temperature indicates time-dependent enhancement of the fibrillar and network structure, and thus the thermodynamic influences on this self-assembly (Fig. 2.15 and Fig. 2.16). As such, the time has a strong effect on fibrillar maturation (Fig. 2.10 and Fig 2.11). </w:t>
      </w:r>
    </w:p>
    <w:p w14:paraId="6BDA8F57" w14:textId="285CB180" w:rsidR="006D2409" w:rsidRPr="00904368" w:rsidRDefault="006D2409" w:rsidP="00E44507">
      <w:pPr>
        <w:spacing w:line="480" w:lineRule="auto"/>
        <w:rPr>
          <w:rFonts w:cstheme="minorHAnsi"/>
          <w:sz w:val="24"/>
          <w:szCs w:val="24"/>
        </w:rPr>
      </w:pPr>
      <w:r w:rsidRPr="00904368">
        <w:rPr>
          <w:rFonts w:cstheme="minorHAnsi"/>
          <w:sz w:val="24"/>
          <w:szCs w:val="24"/>
        </w:rPr>
        <w:t>The hydrophobic ASA is directly affecting the interactions between the peptides (the lowest free energy and assembly kinetics), structural organizations (ordered $\beta$-sheet), as well as mechanical properties. Moreover, these results are highlighting the importance of salt bridges on stability in mechanical properties; [II] has the opposite charges around the hydrophobic core, the charges are interacting with each other rather than the hydrophobic core amino acids. In the [WW] case, charges are also interacting with the core, disrupting the hydrophobic core and make [WW] harder to be stabilized and change the mechanical properties the most significant way. This effect can also be seen in individual DLS measurements (Fig. 2.12). In immediate analysis, KFFWWK was the only group that resulted in the highest aggregation level. Furthermore, TEM and AFM images of [WW] showed more heterogenous fibrillar structures. Therefore, an undisrupted hydrophobic core was shown to be an important parameter for establishing the assembly in CoOP, while charges around the hydrophobic region enhance the stability.</w:t>
      </w:r>
    </w:p>
    <w:p w14:paraId="07125245" w14:textId="5DE852B1" w:rsidR="00AA30C9" w:rsidRDefault="00AA30C9">
      <w:pPr>
        <w:pStyle w:val="Heading2"/>
        <w:numPr>
          <w:ilvl w:val="1"/>
          <w:numId w:val="8"/>
        </w:numPr>
      </w:pPr>
      <w:bookmarkStart w:id="88" w:name="_Toc114946709"/>
      <w:bookmarkStart w:id="89" w:name="_Toc121134631"/>
      <w:r w:rsidRPr="00027B95">
        <w:t>CONCLUSIONS</w:t>
      </w:r>
      <w:bookmarkEnd w:id="88"/>
      <w:bookmarkEnd w:id="89"/>
    </w:p>
    <w:p w14:paraId="5A6BE9D1" w14:textId="77777777" w:rsidR="00027B95" w:rsidRPr="00027B95" w:rsidRDefault="00027B95" w:rsidP="00027B95"/>
    <w:p w14:paraId="08AF0AC8" w14:textId="69ABE01D" w:rsidR="006D2409" w:rsidRPr="00904368" w:rsidRDefault="006D2409" w:rsidP="00E44507">
      <w:pPr>
        <w:spacing w:line="480" w:lineRule="auto"/>
        <w:rPr>
          <w:rFonts w:cstheme="minorHAnsi"/>
          <w:sz w:val="24"/>
          <w:szCs w:val="24"/>
        </w:rPr>
      </w:pPr>
      <w:r w:rsidRPr="00904368">
        <w:rPr>
          <w:rFonts w:cstheme="minorHAnsi"/>
          <w:sz w:val="24"/>
          <w:szCs w:val="24"/>
        </w:rPr>
        <w:t xml:space="preserve">In this study, we introduced a new approach to analyze the intermolecular interactions by combining computational simulations and experimental methods. We leverage MD to reveal information on the initial interactions between peptide sidechains at a molecular level to confirm our design principles, rather than ``predicting" the entire assembly process. Without appropriate sampling, the full time-and length-scale of the molecular simulations cannot fully reproduce the experimental systems. The rapid assembly process of CoOP systems is a problem for practical experimental sampling, but analysis of the initial interactions via MD confirmed our design rationale for the addition of charged peptides on both sides. Moreover, this approach enables the discovery of new peptide sequences and functionalities by combining both screening and editing of various amino acids with MD and experimental techniques. The strategy we describe here provides screening of both natural and non-canonical amino acids in a special substitution domain of the predetermined assembly framework, with the kinetics and assembly mechanism dependent on the substitution domain. </w:t>
      </w:r>
    </w:p>
    <w:p w14:paraId="3D286AE8" w14:textId="68378DE6" w:rsidR="006D2409" w:rsidRDefault="006D2409" w:rsidP="00E44507">
      <w:pPr>
        <w:spacing w:line="480" w:lineRule="auto"/>
        <w:rPr>
          <w:rFonts w:cstheme="minorHAnsi"/>
          <w:sz w:val="24"/>
          <w:szCs w:val="24"/>
        </w:rPr>
      </w:pPr>
      <w:r w:rsidRPr="00904368">
        <w:rPr>
          <w:rFonts w:cstheme="minorHAnsi"/>
          <w:sz w:val="24"/>
          <w:szCs w:val="24"/>
        </w:rPr>
        <w:t xml:space="preserve"> Applications of peptide-based nanostructures are growing, and it is, therefore, valuable to combine experimental, theoretical, and computational methods to explore and define structure-property relationships.</w:t>
      </w:r>
      <w:r w:rsidRPr="00904368">
        <w:rPr>
          <w:rFonts w:cstheme="minorHAnsi"/>
          <w:sz w:val="24"/>
          <w:szCs w:val="24"/>
        </w:rPr>
        <w:fldChar w:fldCharType="begin"/>
      </w:r>
      <w:r w:rsidR="008F09C1">
        <w:rPr>
          <w:rFonts w:cstheme="minorHAnsi"/>
          <w:sz w:val="24"/>
          <w:szCs w:val="24"/>
        </w:rPr>
        <w:instrText xml:space="preserve"> ADDIN ZOTERO_ITEM CSL_CITATION {"citationID":"7mqmmddq","properties":{"formattedCitation":"\\super 154\\nosupersub{}","plainCitation":"154","noteIndex":0},"citationItems":[{"id":2406,"uris":["http://zotero.org/groups/2667333/items/CF9ZNXVT"],"itemData":{"id":2406,"type":"article-journal","abstract":"The Materials Genome Initiative (MGI) advanced a new paradigm for materials discovery and design, namely that the pace of new materials deployment could be accelerated through complementary efforts in theory, computation, and experiment. Along with numerous successes, new challenges are inviting researchers to refocus the efforts and approaches that were originally inspired by the MGI. In May 2017, the National Science Foundation sponsored the workshop “Advancing and Accelerating Materials Innovation Through the Synergistic Interaction among Computation, Experiment, and Theory: Opening New Frontiers” to review accomplishments that emerged from investments in science and infrastructure under the MGI, identify scientific opportunities in this new environment, examine how to effectively utilize new materials innovation infrastructure, and discuss challenges in achieving accelerated materials research through the seamless integration of experiment, computation, and theory. This article summarizes key findings from the workshop and provides perspectives that aim to guide the direction of future materials research and its translation into societal impacts.","container-title":"npj Computational Materials","DOI":"10.1038/s41524-019-0173-4","ISSN":"2057-3960","issue":"1","journalAbbreviation":"Npj Comput. Mater.","language":"en","license":"2019 The Author(s)","note":"number: 1\npublisher: Nature Publishing Group","page":"1-23","source":"www-nature-com.webproxy2.ouhsc.edu","title":"New frontiers for the materials genome initiative","URL":"https://www.nature.com/articles/s41524-019-0173-4","volume":"5","author":[{"family":"Pablo","given":"Juan J.","non-dropping-particle":"de"},{"family":"Jackson","given":"Nicholas E."},{"family":"Webb","given":"Michael A."},{"family":"Chen","given":"Long-Qing"},{"family":"Moore","given":"Joel E."},{"family":"Morgan","given":"Dane"},{"family":"Jacobs","given":"Ryan"},{"family":"Pollock","given":"Tresa"},{"family":"Schlom","given":"Darrell G."},{"family":"Toberer","given":"Eric S."},{"family":"Analytis","given":"James"},{"family":"Dabo","given":"Ismaila"},{"family":"DeLongchamp","given":"Dean M."},{"family":"Fiete","given":"Gregory A."},{"family":"Grason","given":"Gregory M."},{"family":"Hautier","given":"Geoffroy"},{"family":"Mo","given":"Yifei"},{"family":"Rajan","given":"Krishna"},{"family":"Reed","given":"Evan J."},{"family":"Rodriguez","given":"Efrain"},{"family":"Stevanovic","given":"Vladan"},{"family":"Suntivich","given":"Jin"},{"family":"Thornton","given":"Katsuyo"},{"family":"Zhao","given":"Ji-Cheng"}],"accessed":{"date-parts":[["2020",12,27]]},"issued":{"date-parts":[["2019",4,5]]},"citation-key":"depabloNewFrontiersMaterials2019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154</w:t>
      </w:r>
      <w:r w:rsidRPr="00904368">
        <w:rPr>
          <w:rFonts w:cstheme="minorHAnsi"/>
          <w:sz w:val="24"/>
          <w:szCs w:val="24"/>
        </w:rPr>
        <w:fldChar w:fldCharType="end"/>
      </w:r>
      <w:r w:rsidRPr="00904368">
        <w:rPr>
          <w:rFonts w:cstheme="minorHAnsi"/>
          <w:sz w:val="24"/>
          <w:szCs w:val="24"/>
        </w:rPr>
        <w:t xml:space="preserve"> A fundamental understanding of intermolecular interactions is the key to engineer complex soft materials that translate effectively from laboratory conditions into everyday life.</w:t>
      </w:r>
      <w:r w:rsidRPr="00904368">
        <w:rPr>
          <w:rFonts w:cstheme="minorHAnsi"/>
          <w:sz w:val="24"/>
          <w:szCs w:val="24"/>
        </w:rPr>
        <w:fldChar w:fldCharType="begin"/>
      </w:r>
      <w:r w:rsidR="008F09C1">
        <w:rPr>
          <w:rFonts w:cstheme="minorHAnsi"/>
          <w:sz w:val="24"/>
          <w:szCs w:val="24"/>
        </w:rPr>
        <w:instrText xml:space="preserve"> ADDIN ZOTERO_ITEM CSL_CITATION {"citationID":"ycne2l0Q","properties":{"formattedCitation":"\\super 118\\nosupersub{}","plainCitation":"118","noteIndex":0},"citationItems":[{"id":4725,"uris":["http://zotero.org/groups/2667333/items/I76ZZLAL"],"itemData":{"id":4725,"type":"article-journal","container-title":"Chemical Society Reviews","DOI":"10.1039/C6CS00542J","issue":"15","journalAbbreviation":"Chem Soc Rev","language":"en","note":"publisher: Royal Society of Chemistry","page":"4661-4708","source":"pubs.rsc.org","title":"Self-assembling peptide and protein amyloids: from structure to tailored function in nanotechnology","title-short":"Self-assembling peptide and protein amyloids","URL":"https://pubs.rsc.org/en/content/articlelanding/2017/cs/c6cs00542j","volume":"46","author":[{"family":"Wei","given":"Gang"},{"family":"Su","given":"Zhiqiang"},{"family":"P. Reynolds","given":"Nicholas"},{"family":"Arosio","given":"Paolo"},{"family":"W. Hamley","given":"Ian"},{"family":"Gazit","given":"Ehud"},{"family":"Mezzenga","given":"Raffaele"}],"accessed":{"date-parts":[["2020",8,15]]},"issued":{"date-parts":[["2017"]]},"citation-key":"weiSelfassemblingPeptideProtein2017"}}],"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118</w:t>
      </w:r>
      <w:r w:rsidRPr="00904368">
        <w:rPr>
          <w:rFonts w:cstheme="minorHAnsi"/>
          <w:sz w:val="24"/>
          <w:szCs w:val="24"/>
        </w:rPr>
        <w:fldChar w:fldCharType="end"/>
      </w:r>
      <w:r w:rsidRPr="00904368">
        <w:rPr>
          <w:rFonts w:cstheme="minorHAnsi"/>
          <w:sz w:val="24"/>
          <w:szCs w:val="24"/>
        </w:rPr>
        <w:t xml:space="preserve"> A simple, carefully designed peptide platform that can deconvolute the otherwise complicated influence of non-covalent interactions on bulk material properties will therefore provide an important tool for molecular engineering. In this regard, the CoOP system is a minimalist approach (experimentally and computationally) for peptide assembly studies. CoOP provides a flexible and robust platform to study and compare the effects of intermolecular interactions and correlates the computational thermodynamic and experimental kinetic analyses to mechanical properties. Therefore, our results can provide the foundation for engineering peptides to produce soft materials with desired and predictable properties. CoOP thus has the potential to pave the way for a materials genome atlas for peptide-based materials.</w:t>
      </w:r>
      <w:r w:rsidRPr="00904368">
        <w:rPr>
          <w:rFonts w:cstheme="minorHAnsi"/>
          <w:sz w:val="24"/>
          <w:szCs w:val="24"/>
        </w:rPr>
        <w:fldChar w:fldCharType="begin"/>
      </w:r>
      <w:r w:rsidR="008F09C1">
        <w:rPr>
          <w:rFonts w:cstheme="minorHAnsi"/>
          <w:sz w:val="24"/>
          <w:szCs w:val="24"/>
        </w:rPr>
        <w:instrText xml:space="preserve"> ADDIN ZOTERO_ITEM CSL_CITATION {"citationID":"B54VpvBI","properties":{"formattedCitation":"\\super 154\\nosupersub{}","plainCitation":"154","noteIndex":0},"citationItems":[{"id":2406,"uris":["http://zotero.org/groups/2667333/items/CF9ZNXVT"],"itemData":{"id":2406,"type":"article-journal","abstract":"The Materials Genome Initiative (MGI) advanced a new paradigm for materials discovery and design, namely that the pace of new materials deployment could be accelerated through complementary efforts in theory, computation, and experiment. Along with numerous successes, new challenges are inviting researchers to refocus the efforts and approaches that were originally inspired by the MGI. In May 2017, the National Science Foundation sponsored the workshop “Advancing and Accelerating Materials Innovation Through the Synergistic Interaction among Computation, Experiment, and Theory: Opening New Frontiers” to review accomplishments that emerged from investments in science and infrastructure under the MGI, identify scientific opportunities in this new environment, examine how to effectively utilize new materials innovation infrastructure, and discuss challenges in achieving accelerated materials research through the seamless integration of experiment, computation, and theory. This article summarizes key findings from the workshop and provides perspectives that aim to guide the direction of future materials research and its translation into societal impacts.","container-title":"npj Computational Materials","DOI":"10.1038/s41524-019-0173-4","ISSN":"2057-3960","issue":"1","journalAbbreviation":"Npj Comput. Mater.","language":"en","license":"2019 The Author(s)","note":"number: 1\npublisher: Nature Publishing Group","page":"1-23","source":"www-nature-com.webproxy2.ouhsc.edu","title":"New frontiers for the materials genome initiative","URL":"https://www.nature.com/articles/s41524-019-0173-4","volume":"5","author":[{"family":"Pablo","given":"Juan J.","non-dropping-particle":"de"},{"family":"Jackson","given":"Nicholas E."},{"family":"Webb","given":"Michael A."},{"family":"Chen","given":"Long-Qing"},{"family":"Moore","given":"Joel E."},{"family":"Morgan","given":"Dane"},{"family":"Jacobs","given":"Ryan"},{"family":"Pollock","given":"Tresa"},{"family":"Schlom","given":"Darrell G."},{"family":"Toberer","given":"Eric S."},{"family":"Analytis","given":"James"},{"family":"Dabo","given":"Ismaila"},{"family":"DeLongchamp","given":"Dean M."},{"family":"Fiete","given":"Gregory A."},{"family":"Grason","given":"Gregory M."},{"family":"Hautier","given":"Geoffroy"},{"family":"Mo","given":"Yifei"},{"family":"Rajan","given":"Krishna"},{"family":"Reed","given":"Evan J."},{"family":"Rodriguez","given":"Efrain"},{"family":"Stevanovic","given":"Vladan"},{"family":"Suntivich","given":"Jin"},{"family":"Thornton","given":"Katsuyo"},{"family":"Zhao","given":"Ji-Cheng"}],"accessed":{"date-parts":[["2020",12,27]]},"issued":{"date-parts":[["2019",4,5]]},"citation-key":"depabloNewFrontiersMaterials2019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154</w:t>
      </w:r>
      <w:r w:rsidRPr="00904368">
        <w:rPr>
          <w:rFonts w:cstheme="minorHAnsi"/>
          <w:sz w:val="24"/>
          <w:szCs w:val="24"/>
        </w:rPr>
        <w:fldChar w:fldCharType="end"/>
      </w:r>
    </w:p>
    <w:p w14:paraId="29B728A5" w14:textId="519750B3" w:rsidR="00904368" w:rsidRDefault="00904368" w:rsidP="00E44507">
      <w:pPr>
        <w:spacing w:line="480" w:lineRule="auto"/>
        <w:rPr>
          <w:rFonts w:cstheme="minorHAnsi"/>
          <w:sz w:val="24"/>
          <w:szCs w:val="24"/>
        </w:rPr>
      </w:pPr>
    </w:p>
    <w:p w14:paraId="34FFD06C" w14:textId="77777777" w:rsidR="00904368" w:rsidRPr="00904368" w:rsidRDefault="00904368" w:rsidP="00E44507">
      <w:pPr>
        <w:spacing w:line="480" w:lineRule="auto"/>
        <w:rPr>
          <w:rFonts w:cstheme="minorHAnsi"/>
          <w:sz w:val="24"/>
          <w:szCs w:val="24"/>
        </w:rPr>
      </w:pPr>
    </w:p>
    <w:p w14:paraId="42E5A895" w14:textId="220AE651" w:rsidR="006D2409" w:rsidRDefault="006D2409">
      <w:pPr>
        <w:pStyle w:val="Heading2"/>
        <w:numPr>
          <w:ilvl w:val="1"/>
          <w:numId w:val="8"/>
        </w:numPr>
        <w:spacing w:line="480" w:lineRule="auto"/>
      </w:pPr>
      <w:bookmarkStart w:id="90" w:name="_Toc114946710"/>
      <w:bookmarkStart w:id="91" w:name="_Toc121134632"/>
      <w:r>
        <w:t>MATERIALS AND METHODS</w:t>
      </w:r>
      <w:bookmarkEnd w:id="90"/>
      <w:bookmarkEnd w:id="91"/>
    </w:p>
    <w:p w14:paraId="6298C3EF" w14:textId="4F5CD37C" w:rsidR="006D2409" w:rsidRPr="00904368" w:rsidRDefault="006D2409" w:rsidP="00E44507">
      <w:pPr>
        <w:spacing w:line="480" w:lineRule="auto"/>
        <w:rPr>
          <w:rFonts w:cstheme="minorHAnsi"/>
          <w:sz w:val="24"/>
          <w:szCs w:val="24"/>
        </w:rPr>
      </w:pPr>
      <w:r w:rsidRPr="00904368">
        <w:rPr>
          <w:rFonts w:cstheme="minorHAnsi"/>
          <w:b/>
          <w:bCs/>
          <w:sz w:val="24"/>
          <w:szCs w:val="24"/>
        </w:rPr>
        <w:t>Materials.</w:t>
      </w:r>
      <w:r w:rsidRPr="00904368">
        <w:rPr>
          <w:rFonts w:cstheme="minorHAnsi"/>
          <w:sz w:val="24"/>
          <w:szCs w:val="24"/>
        </w:rPr>
        <w:t xml:space="preserve"> Congo red dye and pyrene were purchased from Sigma-Aldrich. Deionized water (resistance of 18.2 M</w:t>
      </w:r>
      <w:r w:rsidRPr="00904368">
        <w:rPr>
          <w:rFonts w:cstheme="minorHAnsi"/>
          <w:sz w:val="24"/>
          <w:szCs w:val="24"/>
        </w:rPr>
        <w:sym w:font="Symbol" w:char="F057"/>
      </w:r>
      <w:r w:rsidRPr="00904368">
        <w:rPr>
          <w:rFonts w:cstheme="minorHAnsi"/>
          <w:sz w:val="24"/>
          <w:szCs w:val="24"/>
        </w:rPr>
        <w:t xml:space="preserve">.cm) was used during the experiments. Peptides were purchased from Biomatik (Biomatik Corporation, Canada) with higher than 95% purity. </w:t>
      </w:r>
    </w:p>
    <w:p w14:paraId="19A1A508" w14:textId="7F451B8A" w:rsidR="006D2409" w:rsidRPr="00904368" w:rsidRDefault="006D2409" w:rsidP="00E44507">
      <w:pPr>
        <w:spacing w:line="480" w:lineRule="auto"/>
        <w:rPr>
          <w:rFonts w:cstheme="minorHAnsi"/>
          <w:sz w:val="24"/>
          <w:szCs w:val="24"/>
        </w:rPr>
      </w:pPr>
      <w:r w:rsidRPr="00904368">
        <w:rPr>
          <w:rFonts w:cstheme="minorHAnsi"/>
          <w:b/>
          <w:bCs/>
          <w:sz w:val="24"/>
          <w:szCs w:val="24"/>
        </w:rPr>
        <w:t>Critical Aggregation Concentration (CAC) determination.</w:t>
      </w:r>
      <w:r w:rsidRPr="00904368">
        <w:rPr>
          <w:rFonts w:cstheme="minorHAnsi"/>
          <w:sz w:val="24"/>
          <w:szCs w:val="24"/>
        </w:rPr>
        <w:t xml:space="preserve"> CAC of peptides were examined using pyrene based on previously published procedures with slight modifications.</w:t>
      </w:r>
      <w:r w:rsidRPr="00904368">
        <w:rPr>
          <w:rFonts w:cstheme="minorHAnsi"/>
          <w:sz w:val="24"/>
          <w:szCs w:val="24"/>
        </w:rPr>
        <w:fldChar w:fldCharType="begin"/>
      </w:r>
      <w:r w:rsidR="008F09C1">
        <w:rPr>
          <w:rFonts w:cstheme="minorHAnsi"/>
          <w:sz w:val="24"/>
          <w:szCs w:val="24"/>
        </w:rPr>
        <w:instrText xml:space="preserve"> ADDIN ZOTERO_ITEM CSL_CITATION {"citationID":"MaKQpep3","properties":{"formattedCitation":"\\super 155\\nosupersub{}","plainCitation":"155","noteIndex":0},"citationItems":[{"id":3181,"uris":["http://zotero.org/groups/2667333/items/8YFRHA4B"],"itemData":{"id":3181,"type":"article-journal","container-title":"Chem. Commun","DOI":"10.1039/C0CC03796F.","issue":"2","language":"fr","page":"728–730","title":"Micelle to Fibre Biocatalytic Supramolecular Transfor-mation of an Aromatic Peptide Amphiphile","URL":"https://doi.org/10.1039/C0CC03796F","volume":"47","author":[{"family":"Sadownik","given":"J.W."},{"family":"Leckie","given":"J."},{"family":"Ulijn","given":"R.V."}],"issued":{"date-parts":[["2010"]]},"citation-key":"sadownikMicelleFibreBiocatalytic2010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155</w:t>
      </w:r>
      <w:r w:rsidRPr="00904368">
        <w:rPr>
          <w:rFonts w:cstheme="minorHAnsi"/>
          <w:sz w:val="24"/>
          <w:szCs w:val="24"/>
        </w:rPr>
        <w:fldChar w:fldCharType="end"/>
      </w:r>
      <w:r w:rsidRPr="00904368">
        <w:rPr>
          <w:rFonts w:cstheme="minorHAnsi"/>
          <w:sz w:val="24"/>
          <w:szCs w:val="24"/>
        </w:rPr>
        <w:t xml:space="preserve"> Aliquots of pyrene solutions (225 mM in acetone, 4 mL) were added to positively charged peptide (500, 250, 125, 62.5, 31.25, 15.6, 7.81, 3.9 mM) before the addition of negatively charged peptide (500, 250, 125, 62.5, 31.25, 15.6, 7.81, 3.9 mM). The final pyrene concentration in the system was 4.5 mM in micro-plates. Solutions were left for 30 min to reach equilibrium. Excitation was carried out at 334 nm, and emission spectra were recorded ranging from 360 to 600 nm with a microplate reader (BioTek Neo2SM). Both excitation and emission bandwidths were 9 nm. From the pyrene emission spectra, the fluorescence intensity ratio of the vibronic bands (I397/I380) was plotted against the logarithm of the concentration of the self-assembled peptides. Fitting of the data set was performed with a model of four-parameter logistic curve by using GraphPad Prism 9.0.0. Then CAC value was calculated from the intersection of the tangents. </w:t>
      </w:r>
    </w:p>
    <w:p w14:paraId="5868D16D" w14:textId="7713A974" w:rsidR="006D2409" w:rsidRPr="00904368" w:rsidRDefault="006D2409" w:rsidP="00E44507">
      <w:pPr>
        <w:spacing w:line="480" w:lineRule="auto"/>
        <w:rPr>
          <w:rFonts w:cstheme="minorHAnsi"/>
          <w:sz w:val="24"/>
          <w:szCs w:val="24"/>
        </w:rPr>
      </w:pPr>
      <w:r w:rsidRPr="00904368">
        <w:rPr>
          <w:rFonts w:cstheme="minorHAnsi"/>
          <w:b/>
          <w:bCs/>
          <w:sz w:val="24"/>
          <w:szCs w:val="24"/>
        </w:rPr>
        <w:t>Congo Red Assay.</w:t>
      </w:r>
      <w:r w:rsidRPr="00904368">
        <w:rPr>
          <w:rFonts w:cstheme="minorHAnsi"/>
          <w:sz w:val="24"/>
          <w:szCs w:val="24"/>
        </w:rPr>
        <w:t xml:space="preserve"> Congo red assay is used for amyloid fibril detection. In the presence of high </w:t>
      </w:r>
      <w:r w:rsidR="005B4478" w:rsidRPr="00904368">
        <w:rPr>
          <w:rFonts w:cstheme="minorHAnsi"/>
          <w:sz w:val="24"/>
          <w:szCs w:val="24"/>
        </w:rPr>
        <w:t>β-sheet</w:t>
      </w:r>
      <w:r w:rsidRPr="00904368">
        <w:rPr>
          <w:rFonts w:cstheme="minorHAnsi"/>
          <w:sz w:val="24"/>
          <w:szCs w:val="24"/>
        </w:rPr>
        <w:t xml:space="preserve"> organization, Congo red lies parallel to the fibril axis and induces a red shift in the absorption maximum (498 nm). Congo red dye was dissolved in water to a final concentration of 500 mM. For sample preparation, stock peptides in water (10 mM) diluted to 1 mM in water. Then 1 mM of negative peptide (50 mL) added to 96 black well plate, then 1 mM of positively charged peptide (50 mL) added to the same place. 2 mL of 500 mM Congo red is immediately added to the solution and read at microplate reader (Bio-Tek Neo2SM) at room temperature, spectral scanning for absorbance was adjusted between 400- 600 nm. The control group of only Congo red dye in water was also prepared with a final concentration of 10 mM. The analysis was performed for 2 days with 10 time points. Spectral shift was calculated based on Congo red only absorption maximum. </w:t>
      </w:r>
    </w:p>
    <w:p w14:paraId="6F7373A0" w14:textId="31FCD42C" w:rsidR="006D2409" w:rsidRPr="00904368" w:rsidRDefault="006D2409" w:rsidP="00E44507">
      <w:pPr>
        <w:spacing w:line="480" w:lineRule="auto"/>
        <w:rPr>
          <w:rFonts w:cstheme="minorHAnsi"/>
          <w:sz w:val="24"/>
          <w:szCs w:val="24"/>
        </w:rPr>
      </w:pPr>
      <w:r w:rsidRPr="00904368">
        <w:rPr>
          <w:rFonts w:cstheme="minorHAnsi"/>
          <w:b/>
          <w:bCs/>
          <w:sz w:val="24"/>
          <w:szCs w:val="24"/>
        </w:rPr>
        <w:t>DLS measurements.</w:t>
      </w:r>
      <w:r w:rsidRPr="00904368">
        <w:rPr>
          <w:rFonts w:cstheme="minorHAnsi"/>
          <w:sz w:val="24"/>
          <w:szCs w:val="24"/>
        </w:rPr>
        <w:t xml:space="preserve"> Hydrodynamic size and zeta potential of single and mixed peptides were measured by dynamic light scattering (DLS). A The ZetaSizer Nano ZS (Malvern, UK) instrument with detector angle of 173° was used for analysis. Clear disposable cell cuvettes first washed three times with 0.22 mm filtered deionized water (resistance of 18.2 M</w:t>
      </w:r>
      <w:r w:rsidRPr="00904368">
        <w:rPr>
          <w:rFonts w:cstheme="minorHAnsi"/>
          <w:sz w:val="24"/>
          <w:szCs w:val="24"/>
        </w:rPr>
        <w:sym w:font="Symbol" w:char="F057"/>
      </w:r>
      <w:r w:rsidRPr="00904368">
        <w:rPr>
          <w:rFonts w:cstheme="minorHAnsi"/>
          <w:sz w:val="24"/>
          <w:szCs w:val="24"/>
        </w:rPr>
        <w:t>.cm). Before measurements, peptide solutions in PBS were also filtered with 0.22 mM filter to avoid any dust that can alter the measurements. For individual peptides, 500 mM (500 mL) positively and negatively charged peptides were used. For mixed peptides, equimolar (500, 200, 100, 50 and 25 mM with 200) of positively (250 mL) and negatively (250 mL) charged peptides were mixed. The analysis was performed with 3 scans and 21 measurements in each scan.</w:t>
      </w:r>
    </w:p>
    <w:p w14:paraId="3B27A6A7" w14:textId="4C0E05DA" w:rsidR="006D2409" w:rsidRPr="00904368" w:rsidRDefault="006D2409" w:rsidP="00E44507">
      <w:pPr>
        <w:spacing w:line="480" w:lineRule="auto"/>
        <w:rPr>
          <w:rFonts w:cstheme="minorHAnsi"/>
          <w:sz w:val="24"/>
          <w:szCs w:val="24"/>
        </w:rPr>
      </w:pPr>
      <w:r w:rsidRPr="00904368">
        <w:rPr>
          <w:rFonts w:cstheme="minorHAnsi"/>
          <w:b/>
          <w:bCs/>
          <w:sz w:val="24"/>
          <w:szCs w:val="24"/>
        </w:rPr>
        <w:t>Rheology Measurements.</w:t>
      </w:r>
      <w:r w:rsidRPr="00904368">
        <w:rPr>
          <w:rFonts w:cstheme="minorHAnsi"/>
          <w:sz w:val="24"/>
          <w:szCs w:val="24"/>
        </w:rPr>
        <w:t xml:space="preserve"> Rheology measurements of 10 mM samples at pH 7 were performed to understand the mechanical properties of the resulting gels. At rheometer stage first negatively charged and then positively charged peptide was added then immediate analysis was performed. For overnight analysis, 10 mM equal volumes (200 mL each) of oppositely charged peptides were mixed in Eppendorf tubes and incubated at room temperature overnight (21 h). Total volume of samples was 200 mL (100 mL positively charged, 100 mL negatively charged peptide). A Discovery Hybrid Rheometer-2 (TA Instruments, New Castle, DE) equipped with parallel 20-mm plate was used for the analysis. Measuring distance was determined as 0.5 mm. Time sweep tests of each sample were carried out for 20 min. Angular frequency and strain magnitudes were determined as w = 10 rad/s and g= 0.1%, respectively. To determine linear viscoelastic region (LVE), amplitude sweep tests of 10 mM samples at pH 7 were performed in the same configuration and concentration. Strain value logarithmically increased from 0.1 to 10%, total of 17 value was measured. Angular frequency was kept as constant at w = 10 rad/s. </w:t>
      </w:r>
    </w:p>
    <w:p w14:paraId="7B31334D" w14:textId="3EC61051" w:rsidR="006D2409" w:rsidRPr="00904368" w:rsidRDefault="006D2409" w:rsidP="00E44507">
      <w:pPr>
        <w:spacing w:line="480" w:lineRule="auto"/>
        <w:rPr>
          <w:rFonts w:cstheme="minorHAnsi"/>
          <w:sz w:val="24"/>
          <w:szCs w:val="24"/>
        </w:rPr>
      </w:pPr>
      <w:r w:rsidRPr="00904368">
        <w:rPr>
          <w:rFonts w:cstheme="minorHAnsi"/>
          <w:b/>
          <w:bCs/>
          <w:sz w:val="24"/>
          <w:szCs w:val="24"/>
        </w:rPr>
        <w:t>FTIR and CD measurements.</w:t>
      </w:r>
      <w:r w:rsidRPr="00904368">
        <w:rPr>
          <w:rFonts w:cstheme="minorHAnsi"/>
          <w:sz w:val="24"/>
          <w:szCs w:val="24"/>
        </w:rPr>
        <w:t xml:space="preserve"> Peptides with different concentrations (1000, 500, 200, 100 and 50 mM) were prepared in water and analysis was performed immediately. For [AA], [WW] and [II] groups, equal volumes of charged peptides were mixed (as a total of 20 mL) and put directly into FTIR stage. Analysis was performed with Bruker Tensor II with BioATR II unit. For background spectrum, water was measured first then peptides in water subtracted automatically in the device. Analysis was performed between 1800 and 900 cm</w:t>
      </w:r>
      <w:r w:rsidRPr="00904368">
        <w:rPr>
          <w:rFonts w:cstheme="minorHAnsi"/>
          <w:sz w:val="24"/>
          <w:szCs w:val="24"/>
          <w:vertAlign w:val="superscript"/>
        </w:rPr>
        <w:t>-1</w:t>
      </w:r>
      <w:r w:rsidRPr="00904368">
        <w:rPr>
          <w:rFonts w:cstheme="minorHAnsi"/>
          <w:sz w:val="24"/>
          <w:szCs w:val="24"/>
        </w:rPr>
        <w:t xml:space="preserve"> with 4 cm</w:t>
      </w:r>
      <w:r w:rsidRPr="00904368">
        <w:rPr>
          <w:rFonts w:cstheme="minorHAnsi"/>
          <w:sz w:val="24"/>
          <w:szCs w:val="24"/>
          <w:vertAlign w:val="superscript"/>
        </w:rPr>
        <w:t>-1</w:t>
      </w:r>
      <w:r w:rsidRPr="00904368">
        <w:rPr>
          <w:rFonts w:cstheme="minorHAnsi"/>
          <w:sz w:val="24"/>
          <w:szCs w:val="24"/>
        </w:rPr>
        <w:t xml:space="preserve"> resolution and 60 scans. For CD measurements, analysis was performed in water with a concentration of 200, 100 and 50 </w:t>
      </w:r>
      <w:r w:rsidRPr="00904368">
        <w:rPr>
          <w:rFonts w:cstheme="minorHAnsi"/>
          <w:sz w:val="24"/>
          <w:szCs w:val="24"/>
        </w:rPr>
        <w:t xml:space="preserve">M for co-assembled peptides and 200 mM for individual peptides with a volume of 1 mL. Jasco J-715 was used to collect spectra from 190 to 400 nm with 0.1 nm data pitch and bandwidth arranged as 1.0 nm. </w:t>
      </w:r>
    </w:p>
    <w:p w14:paraId="2989FAA0" w14:textId="094B3CAC" w:rsidR="006D2409" w:rsidRPr="00904368" w:rsidRDefault="006D2409" w:rsidP="00E44507">
      <w:pPr>
        <w:spacing w:line="480" w:lineRule="auto"/>
        <w:rPr>
          <w:rFonts w:cstheme="minorHAnsi"/>
          <w:sz w:val="24"/>
          <w:szCs w:val="24"/>
        </w:rPr>
      </w:pPr>
      <w:r w:rsidRPr="00904368">
        <w:rPr>
          <w:rFonts w:cstheme="minorHAnsi"/>
          <w:b/>
          <w:bCs/>
          <w:sz w:val="24"/>
          <w:szCs w:val="24"/>
        </w:rPr>
        <w:t>AFM measurements.</w:t>
      </w:r>
      <w:r w:rsidRPr="00904368">
        <w:rPr>
          <w:rFonts w:cstheme="minorHAnsi"/>
          <w:sz w:val="24"/>
          <w:szCs w:val="24"/>
        </w:rPr>
        <w:t xml:space="preserve"> Peptide samples were prepared by dilution of 10 mM of co-assembled samples to 0.2 mM with water. Then, 20 mL of diluted peptide samples were dropped onto silicon wafer and dried at room temperature. Topographic imaging was performed in contact mode using an Asylum Research MFP-3D AFM with an Asylum Research cantilever probe (Model: TR400PB, Lot number: 3733FB). Scanning frequency was 2 kHz and data points were taken in a 128x128 grid over 3x3 mm</w:t>
      </w:r>
      <w:r w:rsidRPr="00904368">
        <w:rPr>
          <w:rFonts w:cstheme="minorHAnsi"/>
          <w:sz w:val="24"/>
          <w:szCs w:val="24"/>
          <w:vertAlign w:val="superscript"/>
        </w:rPr>
        <w:t>2</w:t>
      </w:r>
      <w:r w:rsidRPr="00904368">
        <w:rPr>
          <w:rFonts w:cstheme="minorHAnsi"/>
          <w:sz w:val="24"/>
          <w:szCs w:val="24"/>
        </w:rPr>
        <w:t xml:space="preserve"> area.</w:t>
      </w:r>
    </w:p>
    <w:p w14:paraId="4AEE7F39" w14:textId="5D17DD1A" w:rsidR="006D2409" w:rsidRPr="00904368" w:rsidRDefault="006D2409" w:rsidP="00E44507">
      <w:pPr>
        <w:spacing w:line="480" w:lineRule="auto"/>
        <w:rPr>
          <w:rFonts w:cstheme="minorHAnsi"/>
          <w:sz w:val="24"/>
          <w:szCs w:val="24"/>
        </w:rPr>
      </w:pPr>
      <w:r w:rsidRPr="00904368">
        <w:rPr>
          <w:rFonts w:cstheme="minorHAnsi"/>
          <w:b/>
          <w:bCs/>
          <w:sz w:val="24"/>
          <w:szCs w:val="24"/>
        </w:rPr>
        <w:t>Molecular Dynamics.</w:t>
      </w:r>
      <w:r w:rsidRPr="00904368">
        <w:rPr>
          <w:rFonts w:cstheme="minorHAnsi"/>
          <w:sz w:val="24"/>
          <w:szCs w:val="24"/>
        </w:rPr>
        <w:t xml:space="preserve"> Molecular dynamics calculations used Gromacs 2020.03 as driven by GromacsWrapper. The CHARMM27 forcefield was used for modeling the peptides because it has good parameters for acetylated and amidated N/C termini. A time step of 2 fs was used to integrate the forces and simulations were performed in the NVT ensemble using the Canonical Sampling through Velocity Rescaling (CSVR) thermostat. Long-range electrostatic forces were calculated with the particle mesh Ewald method. Shifted Van der Waals and short-range electrostatics were used with a cutoff distance of 1 nm. Hydrogen containing covalent bonds were constrained using the LINear Constraint Solver (LINCS) algorithm. Initial structures of peptides were generated with PeptideBuilder and Packmol was used to pack together multiple peptide chains into a single coordinates file under the constraint that peptides were at least 2.5 nm apart. Water and NaCl counter-ions were added to reach a peptide concentration of 25 mg/mL and a salt concentration of 10 mM. Although the concentration is relatively high, aggregation thermodynamics are relatively independent of box size. The PLUMED2 package was used to calculate radii of gyration, center of mass distances, and perform metadynamics enhanced sampling. MDTraj was used to compute contact maps, which were reweighed to account for the metadynamics bias. All systems were energy minimized. Metadynamics simulations were additionally equilibrated for 2 ns in the Berendsen isotropic NPT ensemble. Unbiased simulation used for kinetics analysis were run until all four peptide chains had a center of mass distance of less than 1.25 nm among their closes neighbor (~5-50 ns). Metadynamics simulations were run for 500 ns. The 16 peptide chain WW simulations were run for 392 ns. Metadynamics simulations were biased with the enhanced sampling well-tempered metadynamics method with a bias factor of 5, pace of 1 ns, and a hill height of 5 kJ/mol. The biased collective variables are average center of mass distances between chains (s=0.05 nm) and average radius of gyration of the chains (s=0.01 nm) with only backbone atoms considered.</w:t>
      </w:r>
    </w:p>
    <w:p w14:paraId="098D744E" w14:textId="77777777" w:rsidR="006D2409" w:rsidRDefault="006D2409" w:rsidP="00E44507">
      <w:pPr>
        <w:spacing w:line="480" w:lineRule="auto"/>
      </w:pPr>
    </w:p>
    <w:p w14:paraId="0E11B55B" w14:textId="77777777" w:rsidR="006D2409" w:rsidRDefault="006D2409" w:rsidP="00E44507">
      <w:pPr>
        <w:spacing w:line="480" w:lineRule="auto"/>
      </w:pPr>
    </w:p>
    <w:p w14:paraId="4746B933" w14:textId="5AC59A4F" w:rsidR="00416EA6" w:rsidRDefault="00416EA6" w:rsidP="00E44507">
      <w:pPr>
        <w:spacing w:line="480" w:lineRule="auto"/>
      </w:pPr>
    </w:p>
    <w:p w14:paraId="69BDC23B" w14:textId="2FD1431A" w:rsidR="00A56065" w:rsidRDefault="00A56065" w:rsidP="00E44507">
      <w:pPr>
        <w:spacing w:line="480" w:lineRule="auto"/>
      </w:pPr>
    </w:p>
    <w:p w14:paraId="0A0804FB" w14:textId="2A0D5457" w:rsidR="00A56065" w:rsidRDefault="00A56065" w:rsidP="00E44507">
      <w:pPr>
        <w:spacing w:line="480" w:lineRule="auto"/>
      </w:pPr>
    </w:p>
    <w:p w14:paraId="5C6948CC" w14:textId="53172DE5" w:rsidR="00A56065" w:rsidRDefault="00A56065" w:rsidP="00E44507">
      <w:pPr>
        <w:spacing w:line="480" w:lineRule="auto"/>
      </w:pPr>
    </w:p>
    <w:p w14:paraId="3B488AED" w14:textId="07C2E26A" w:rsidR="00A56065" w:rsidRDefault="00A56065" w:rsidP="00E44507">
      <w:pPr>
        <w:spacing w:line="480" w:lineRule="auto"/>
      </w:pPr>
    </w:p>
    <w:p w14:paraId="5A74B72D" w14:textId="5D439EFC" w:rsidR="00A56065" w:rsidRDefault="00A56065" w:rsidP="00E44507">
      <w:pPr>
        <w:spacing w:line="480" w:lineRule="auto"/>
      </w:pPr>
    </w:p>
    <w:p w14:paraId="063722DC" w14:textId="47B239B2" w:rsidR="00A56065" w:rsidRDefault="00A56065" w:rsidP="00E44507">
      <w:pPr>
        <w:spacing w:line="480" w:lineRule="auto"/>
      </w:pPr>
    </w:p>
    <w:p w14:paraId="1B5C3E81" w14:textId="08B6B53C" w:rsidR="00A56065" w:rsidRDefault="00A56065" w:rsidP="00E44507">
      <w:pPr>
        <w:spacing w:line="480" w:lineRule="auto"/>
      </w:pPr>
    </w:p>
    <w:p w14:paraId="645370C6" w14:textId="32D0E2FD" w:rsidR="00A56065" w:rsidRDefault="00A56065" w:rsidP="00E44507">
      <w:pPr>
        <w:spacing w:line="480" w:lineRule="auto"/>
      </w:pPr>
    </w:p>
    <w:p w14:paraId="12A0D057" w14:textId="7CF13686" w:rsidR="00A56065" w:rsidRDefault="00A56065" w:rsidP="00E44507">
      <w:pPr>
        <w:spacing w:line="480" w:lineRule="auto"/>
      </w:pPr>
    </w:p>
    <w:p w14:paraId="4CC5BB93" w14:textId="58B9CAD8" w:rsidR="00837BC8" w:rsidRDefault="00837BC8" w:rsidP="00E44507">
      <w:pPr>
        <w:spacing w:line="480" w:lineRule="auto"/>
      </w:pPr>
    </w:p>
    <w:p w14:paraId="046B0167" w14:textId="77777777" w:rsidR="00A56065" w:rsidRDefault="00A56065" w:rsidP="00E44507">
      <w:pPr>
        <w:spacing w:line="480" w:lineRule="auto"/>
      </w:pPr>
    </w:p>
    <w:p w14:paraId="0E9A41CC" w14:textId="2AB12E09" w:rsidR="006B41BA" w:rsidRDefault="006B41BA" w:rsidP="00E44507">
      <w:pPr>
        <w:pStyle w:val="Heading1"/>
        <w:spacing w:line="480" w:lineRule="auto"/>
      </w:pPr>
      <w:bookmarkStart w:id="92" w:name="_Toc121134633"/>
      <w:bookmarkStart w:id="93" w:name="_Toc114946711"/>
      <w:r>
        <w:t xml:space="preserve">CHAPTER </w:t>
      </w:r>
      <w:r w:rsidR="00347387">
        <w:t>3</w:t>
      </w:r>
      <w:r>
        <w:t>. CONTROLLABLE MEMBRANE DAMAGE BY TUNABLE AGGREGATION</w:t>
      </w:r>
      <w:bookmarkEnd w:id="92"/>
      <w:r>
        <w:t xml:space="preserve"> </w:t>
      </w:r>
      <w:bookmarkEnd w:id="93"/>
    </w:p>
    <w:p w14:paraId="79B39008" w14:textId="07892BAC" w:rsidR="00347387" w:rsidRPr="00904368" w:rsidRDefault="00347387" w:rsidP="00DA0813">
      <w:pPr>
        <w:spacing w:line="480" w:lineRule="auto"/>
        <w:rPr>
          <w:sz w:val="24"/>
          <w:szCs w:val="24"/>
        </w:rPr>
      </w:pPr>
      <w:r w:rsidRPr="00904368">
        <w:rPr>
          <w:sz w:val="24"/>
          <w:szCs w:val="24"/>
        </w:rPr>
        <w:t>This section is adapted from the following publication</w:t>
      </w:r>
      <w:r w:rsidR="008519BC" w:rsidRPr="00904368">
        <w:rPr>
          <w:sz w:val="24"/>
          <w:szCs w:val="24"/>
        </w:rPr>
        <w:t>s</w:t>
      </w:r>
      <w:r w:rsidRPr="00904368">
        <w:rPr>
          <w:sz w:val="24"/>
          <w:szCs w:val="24"/>
        </w:rPr>
        <w:t xml:space="preserve">: </w:t>
      </w:r>
    </w:p>
    <w:p w14:paraId="236BEF27" w14:textId="1846C3EC" w:rsidR="00C15996" w:rsidRPr="00904368" w:rsidRDefault="006B41BA" w:rsidP="003F573B">
      <w:pPr>
        <w:spacing w:line="480" w:lineRule="auto"/>
        <w:rPr>
          <w:rStyle w:val="SubtleReference"/>
          <w:b w:val="0"/>
          <w:bCs/>
          <w:sz w:val="24"/>
          <w:szCs w:val="24"/>
        </w:rPr>
      </w:pPr>
      <w:r w:rsidRPr="00904368">
        <w:rPr>
          <w:rStyle w:val="SubtleReference"/>
          <w:b w:val="0"/>
          <w:bCs/>
          <w:sz w:val="24"/>
          <w:szCs w:val="24"/>
        </w:rPr>
        <w:t>From: Hamsici</w:t>
      </w:r>
      <w:r w:rsidR="004D522A" w:rsidRPr="00904368">
        <w:rPr>
          <w:rStyle w:val="SubtleReference"/>
          <w:b w:val="0"/>
          <w:bCs/>
          <w:sz w:val="24"/>
          <w:szCs w:val="24"/>
          <w:vertAlign w:val="superscript"/>
        </w:rPr>
        <w:t>#</w:t>
      </w:r>
      <w:r w:rsidRPr="00904368">
        <w:rPr>
          <w:rStyle w:val="SubtleReference"/>
          <w:b w:val="0"/>
          <w:bCs/>
          <w:sz w:val="24"/>
          <w:szCs w:val="24"/>
        </w:rPr>
        <w:t>, S., Gunay, G.</w:t>
      </w:r>
      <w:r w:rsidR="004D522A" w:rsidRPr="00904368">
        <w:rPr>
          <w:rStyle w:val="SubtleReference"/>
          <w:b w:val="0"/>
          <w:bCs/>
          <w:sz w:val="24"/>
          <w:szCs w:val="24"/>
          <w:vertAlign w:val="superscript"/>
        </w:rPr>
        <w:t>#</w:t>
      </w:r>
      <w:r w:rsidRPr="00904368">
        <w:rPr>
          <w:rStyle w:val="SubtleReference"/>
          <w:b w:val="0"/>
          <w:bCs/>
          <w:sz w:val="24"/>
          <w:szCs w:val="24"/>
        </w:rPr>
        <w:t>, &amp; Acar, H. (2022). Controllable membrane damage by tunable aggregation of PAIIR with albumin. AIChE</w:t>
      </w:r>
      <w:r w:rsidR="00B91FF7" w:rsidRPr="00904368">
        <w:rPr>
          <w:rStyle w:val="SubtleReference"/>
          <w:b w:val="0"/>
          <w:bCs/>
          <w:sz w:val="24"/>
          <w:szCs w:val="24"/>
        </w:rPr>
        <w:t xml:space="preserve"> Journal, e17893</w:t>
      </w:r>
      <w:r w:rsidR="004D522A" w:rsidRPr="00904368">
        <w:rPr>
          <w:rStyle w:val="SubtleReference"/>
          <w:b w:val="0"/>
          <w:bCs/>
          <w:sz w:val="24"/>
          <w:szCs w:val="24"/>
        </w:rPr>
        <w:t xml:space="preserve"> </w:t>
      </w:r>
      <w:r w:rsidR="004D522A" w:rsidRPr="00904368">
        <w:rPr>
          <w:rStyle w:val="SubtleReference"/>
          <w:b w:val="0"/>
          <w:bCs/>
          <w:sz w:val="24"/>
          <w:szCs w:val="24"/>
          <w:vertAlign w:val="superscript"/>
        </w:rPr>
        <w:t>#</w:t>
      </w:r>
      <w:r w:rsidR="004D522A" w:rsidRPr="00904368">
        <w:rPr>
          <w:rStyle w:val="SubtleReference"/>
          <w:b w:val="0"/>
          <w:bCs/>
          <w:sz w:val="24"/>
          <w:szCs w:val="24"/>
        </w:rPr>
        <w:t>Contributed equally</w:t>
      </w:r>
    </w:p>
    <w:p w14:paraId="6DD6E8CF" w14:textId="68AE3041" w:rsidR="008519BC" w:rsidRPr="00904368" w:rsidRDefault="008519BC" w:rsidP="003F573B">
      <w:pPr>
        <w:spacing w:line="480" w:lineRule="auto"/>
        <w:rPr>
          <w:rStyle w:val="IntenseEmphasis"/>
          <w:b w:val="0"/>
          <w:bCs/>
          <w:i w:val="0"/>
          <w:color w:val="000000" w:themeColor="text1"/>
          <w:spacing w:val="0"/>
          <w:sz w:val="24"/>
          <w:szCs w:val="24"/>
        </w:rPr>
      </w:pPr>
      <w:r w:rsidRPr="00904368">
        <w:rPr>
          <w:rFonts w:ascii="Arial" w:hAnsi="Arial" w:cs="Arial"/>
          <w:color w:val="000000" w:themeColor="text1"/>
          <w:sz w:val="24"/>
          <w:szCs w:val="24"/>
          <w:shd w:val="clear" w:color="auto" w:fill="FFFFFF"/>
        </w:rPr>
        <w:t>Gunay, G., Hamsici, S., Lang, G. A., Lang, M. L., Kovats, S., &amp; Acar, H. (2022). Peptide Aggregation Induced Immunogenic Rupture (PAIIR).</w:t>
      </w:r>
      <w:r w:rsidRPr="00904368">
        <w:rPr>
          <w:rStyle w:val="apple-converted-space"/>
          <w:rFonts w:ascii="Arial" w:hAnsi="Arial" w:cs="Arial"/>
          <w:color w:val="000000" w:themeColor="text1"/>
          <w:sz w:val="24"/>
          <w:szCs w:val="24"/>
          <w:shd w:val="clear" w:color="auto" w:fill="FFFFFF"/>
        </w:rPr>
        <w:t> </w:t>
      </w:r>
      <w:r w:rsidRPr="00904368">
        <w:rPr>
          <w:rFonts w:ascii="Arial" w:hAnsi="Arial" w:cs="Arial"/>
          <w:i/>
          <w:iCs/>
          <w:color w:val="000000" w:themeColor="text1"/>
          <w:sz w:val="24"/>
          <w:szCs w:val="24"/>
        </w:rPr>
        <w:t>Advanced Science</w:t>
      </w:r>
      <w:r w:rsidRPr="00904368">
        <w:rPr>
          <w:rFonts w:ascii="Arial" w:hAnsi="Arial" w:cs="Arial"/>
          <w:color w:val="000000" w:themeColor="text1"/>
          <w:sz w:val="24"/>
          <w:szCs w:val="24"/>
          <w:shd w:val="clear" w:color="auto" w:fill="FFFFFF"/>
        </w:rPr>
        <w:t>,</w:t>
      </w:r>
      <w:r w:rsidRPr="00904368">
        <w:rPr>
          <w:rStyle w:val="apple-converted-space"/>
          <w:rFonts w:ascii="Arial" w:hAnsi="Arial" w:cs="Arial"/>
          <w:color w:val="000000" w:themeColor="text1"/>
          <w:sz w:val="24"/>
          <w:szCs w:val="24"/>
          <w:shd w:val="clear" w:color="auto" w:fill="FFFFFF"/>
        </w:rPr>
        <w:t> </w:t>
      </w:r>
      <w:r w:rsidRPr="00904368">
        <w:rPr>
          <w:rFonts w:ascii="Arial" w:hAnsi="Arial" w:cs="Arial"/>
          <w:i/>
          <w:iCs/>
          <w:color w:val="000000" w:themeColor="text1"/>
          <w:sz w:val="24"/>
          <w:szCs w:val="24"/>
        </w:rPr>
        <w:t>9</w:t>
      </w:r>
      <w:r w:rsidRPr="00904368">
        <w:rPr>
          <w:rFonts w:ascii="Arial" w:hAnsi="Arial" w:cs="Arial"/>
          <w:color w:val="000000" w:themeColor="text1"/>
          <w:sz w:val="24"/>
          <w:szCs w:val="24"/>
          <w:shd w:val="clear" w:color="auto" w:fill="FFFFFF"/>
        </w:rPr>
        <w:t>(21), 2105868.</w:t>
      </w:r>
    </w:p>
    <w:p w14:paraId="6138BBD0" w14:textId="1A8120DC" w:rsidR="008519BC" w:rsidRPr="00904368" w:rsidRDefault="006B41BA" w:rsidP="00E44507">
      <w:pPr>
        <w:spacing w:line="480" w:lineRule="auto"/>
        <w:rPr>
          <w:rFonts w:cstheme="minorHAnsi"/>
          <w:i/>
          <w:iCs/>
          <w:sz w:val="24"/>
          <w:szCs w:val="24"/>
        </w:rPr>
      </w:pPr>
      <w:r w:rsidRPr="00904368">
        <w:rPr>
          <w:rFonts w:cstheme="minorHAnsi"/>
          <w:i/>
          <w:iCs/>
          <w:sz w:val="24"/>
          <w:szCs w:val="24"/>
        </w:rPr>
        <w:t>Aggregation of otherwise soluble proteins into amyloid structures is a hallmark of many disorders, such as Alzheimer's and Parkinson's diseases. There is increasing evidence and acceptance that instead of ordered amyloid assemblies, the misfolded oligomer aggregations are the main toxic structures. However, there is no tool to be used to study the mechanism and kinetics of aggregation, differentiation of ordered structures from misfolded oligomers, and correlate it to the toxicity of the amyloid structures. Thus, their exact roles in the pathological process remain to be elucidated. This study shows the use of an engineered co-assembling oppositely charged amyloid-like peptide pair ([II]) to establish a correlation between its aggregation process and toxicity. The toxicity mechanism of [II] is through damage on cell membrane and stress as shown with YAP and eIF2</w:t>
      </w:r>
      <w:r w:rsidRPr="000E6385">
        <w:rPr>
          <w:rFonts w:ascii="Symbol" w:hAnsi="Symbol" w:cstheme="minorHAnsi"/>
          <w:i/>
          <w:iCs/>
          <w:sz w:val="24"/>
          <w:szCs w:val="24"/>
        </w:rPr>
        <w:t>a</w:t>
      </w:r>
      <w:r w:rsidRPr="00904368">
        <w:rPr>
          <w:rFonts w:cstheme="minorHAnsi"/>
          <w:i/>
          <w:iCs/>
          <w:sz w:val="24"/>
          <w:szCs w:val="24"/>
        </w:rPr>
        <w:t xml:space="preserve"> biomarkers, as in the amyloid protein-initiated diseases. Albumin is used to control over the aggregation mechanism of [II], and so toxicity. This study represents a molecular engineering strategy to study the aggregation process of amyloid-like structures in diseases. Understanding the nature of protein aggregation through engineered peptides can facilitate new designs and impact the future drug development applications.</w:t>
      </w:r>
    </w:p>
    <w:p w14:paraId="425B4A39" w14:textId="2DD204B6" w:rsidR="00416EA6" w:rsidRDefault="006B41BA" w:rsidP="00E44507">
      <w:pPr>
        <w:pStyle w:val="Heading2"/>
        <w:spacing w:line="480" w:lineRule="auto"/>
      </w:pPr>
      <w:bookmarkStart w:id="94" w:name="_Toc114946712"/>
      <w:bookmarkStart w:id="95" w:name="_Toc121134634"/>
      <w:r>
        <w:t>3.1 INTRODUCTION</w:t>
      </w:r>
      <w:bookmarkEnd w:id="94"/>
      <w:bookmarkEnd w:id="95"/>
    </w:p>
    <w:p w14:paraId="1CEEFA51" w14:textId="5333C6D7" w:rsidR="006B41BA" w:rsidRPr="00904368" w:rsidRDefault="006B41BA" w:rsidP="00E44507">
      <w:pPr>
        <w:spacing w:line="480" w:lineRule="auto"/>
        <w:rPr>
          <w:rFonts w:cstheme="minorHAnsi"/>
          <w:sz w:val="24"/>
          <w:szCs w:val="24"/>
        </w:rPr>
      </w:pPr>
      <w:r w:rsidRPr="00904368">
        <w:rPr>
          <w:rFonts w:cstheme="minorHAnsi"/>
          <w:sz w:val="24"/>
          <w:szCs w:val="24"/>
        </w:rPr>
        <w:t xml:space="preserve">Wide range of proteins aggregate into amyloids, cross </w:t>
      </w:r>
      <w:r w:rsidR="005B4478" w:rsidRPr="00904368">
        <w:rPr>
          <w:rFonts w:cstheme="minorHAnsi"/>
          <w:sz w:val="24"/>
          <w:szCs w:val="24"/>
        </w:rPr>
        <w:t>β-sheet</w:t>
      </w:r>
      <w:r w:rsidRPr="00904368">
        <w:rPr>
          <w:rFonts w:cstheme="minorHAnsi"/>
          <w:sz w:val="24"/>
          <w:szCs w:val="24"/>
        </w:rPr>
        <w:t xml:space="preserve"> fibrillar structures, that are linked to numerous diseases, such as Alzheimer and Parkinson. Although for many decades the accumulation of amyloids plaques were associated to the pathology of the diseases, increasing evidence suggests that the misfolded protein aggregates, </w:t>
      </w:r>
      <w:r w:rsidR="0000533B">
        <w:rPr>
          <w:rFonts w:cstheme="minorHAnsi"/>
          <w:sz w:val="24"/>
          <w:szCs w:val="24"/>
        </w:rPr>
        <w:t>globular structures</w:t>
      </w:r>
      <w:r w:rsidRPr="00904368">
        <w:rPr>
          <w:rFonts w:cstheme="minorHAnsi"/>
          <w:sz w:val="24"/>
          <w:szCs w:val="24"/>
        </w:rPr>
        <w:t>, that are soluble and form in the process of fibrillization, are the main cause of the toxicity.</w:t>
      </w:r>
      <w:r w:rsidRPr="00904368">
        <w:rPr>
          <w:rFonts w:cstheme="minorHAnsi"/>
          <w:sz w:val="24"/>
          <w:szCs w:val="24"/>
        </w:rPr>
        <w:fldChar w:fldCharType="begin"/>
      </w:r>
      <w:r w:rsidR="008F09C1">
        <w:rPr>
          <w:rFonts w:cstheme="minorHAnsi"/>
          <w:sz w:val="24"/>
          <w:szCs w:val="24"/>
        </w:rPr>
        <w:instrText xml:space="preserve"> ADDIN ZOTERO_ITEM CSL_CITATION {"citationID":"10dpVzwT","properties":{"formattedCitation":"\\super 156\\uc0\\u8211{}159\\nosupersub{}","plainCitation":"156–159","noteIndex":0},"citationItems":[{"id":4966,"uris":["http://zotero.org/groups/2667333/items/RSEZU86E"],"itemData":{"id":4966,"type":"article-journal","abstract":"The aggregation of proteins into amyloid fibrils and their deposition into plaques and intracellular inclusions is the hallmark of amyloid disease. The accumulation and deposition of amyloid fibrils, collectively known as amyloidosis, is associated with many pathological conditions that can be associated with ageing, such as Alzheimer disease, Parkinson disease, type II diabetes and dialysis-related amyloidosis. However, elucidation of the atomic structure of amyloid fibrils formed from their intact protein precursors and how fibril formation relates to disease has remained elusive. Recent advances in structural biology techniques, including cryo-electron microscopy and solid-state NMR spectroscopy, have finally broken this impasse. The first near-atomic-resolution structures of amyloid fibrils formed in vitro, seeded from plaque material and analysed directly ex vivo are now available. The results reveal cross-β structures that are far more intricate than anticipated. Here, we describe these structures, highlighting their similarities and differences, and the basis for their toxicity. We discuss how amyloid structure may affect the ability of fibrils to spread to different sites in the cell and between organisms in a prion-like manner, along with their roles in disease. These molecular insights will aid in understanding the development and spread of amyloid diseases and are inspiring new strategies for therapeutic intervention.","container-title":"Nature Reviews Molecular Cell Biology","DOI":"10.1038/s41580-018-0060-8","ISSN":"1471-0080","issue":"12","language":"en","license":"2018 Springer Nature Limited","note":"number: 12\npublisher: Nature Publishing Group\ntex.ids= iadanza_new_2018-1","page":"755-773","source":"www.nature.com","title":"A new era for understanding amyloid structures and disease","URL":"https://www.nature.com/articles/s41580-018-0060-8","volume":"19","author":[{"family":"Iadanza","given":"Matthew G."},{"family":"Jackson","given":"Matthew P."},{"family":"Hewitt","given":"Eric W."},{"family":"Ranson","given":"Neil A."},{"family":"Radford","given":"Sheena E."}],"accessed":{"date-parts":[["2021",2,13]]},"issued":{"date-parts":[["2018",12]]},"citation-key":"iadanza_new_2018"}},{"id":10754,"uris":["http://zotero.org/groups/2667333/items/UW3XKBHQ"],"itemData":{"id":10754,"type":"article-journal","abstract":"In recent years our understanding of amyloid structure has been revolutionised by innovations in cryo-electron microscopy, electron diffraction and solid-state NMR. These techniques have yielded high-resolution structures of fibrils isolated from patients with neurodegenerative disease, as well as those formed from amyloidogenic proteins in vitro. The results not only show the expected cross-β amyloid structure, but also reveal that the amyloid fold is unexpectedly diverse and complex. Here, we discuss this diversity, highlighting dynamic regions, ligand binding motifs, cavities, non-protein components, and structural polymorphism. Collectively, these variations combine to allow the generic amyloid fold to be realised in three dimensions in different ways, and this diversity may be related to the roles of fibrils in disease.","collection-title":"Folding and Binding ● Proteins","container-title":"Current Opinion in Structural Biology","DOI":"10.1016/j.sbi.2019.09.001","ISSN":"0959-440X","journalAbbreviation":"Current Opinion in Structural Biology","language":"en","page":"7-16","source":"ScienceDirect","title":"Amyloid structures: much more than just a cross-β fold","title-short":"Amyloid structures","URL":"https://www.sciencedirect.com/science/article/pii/S0959440X19301022","volume":"60","author":[{"family":"Gallardo","given":"Rodrigo"},{"family":"Ranson","given":"Neil A"},{"family":"Radford","given":"Sheena E"}],"accessed":{"date-parts":[["2022",4,17]]},"issued":{"date-parts":[["2020",2,1]]},"citation-key":"gallardoAmyloidStructuresMuch2020"}},{"id":10787,"uris":["http://zotero.org/groups/2667333/items/8ZTZJ36Y"],"itemData":{"id":10787,"type":"article-journal","container-title":"Proceedings of the National Academy of Sciences","DOI":"10.1073/pnas.1911153117","issue":"19","note":"publisher: Proceedings of the National Academy of Sciences","page":"10322-10328","source":"pnas.org (Atypon)","title":"Amyloid assembly is dominated by misregistered kinetic traps on an unbiased energy landscape","URL":"https://www.pnas.org/doi/10.1073/pnas.1911153117","volume":"117","author":[{"family":"Jia","given":"Zhiguang"},{"family":"Schmit","given":"Jeremy D."},{"family":"Chen","given":"Jianhan"}],"accessed":{"date-parts":[["2022",4,19]]},"issued":{"date-parts":[["2020",5,12]]},"citation-key":"jia_amyloid_2020"}},{"id":11152,"uris":["http://zotero.org/groups/2667333/items/3DN8MQD4"],"itemData":{"id":11152,"type":"article-journal","abstract":"Protein misfolding and aggregation are characteristic of a wide range of neurodegenerative disorders, including Alzheimer and Parkinson diseases. A hallmark of these diseases is the aggregation of otherwise soluble and functional proteins into amyloid aggregates. Although for many decades such amyloid deposits have been thought to be responsible for disease progression, it is now increasingly recognized that the misfolded protein oligomers formed during aggregation are, instead, the main agents causing pathological processes. These oligomers are transient and heterogeneous, which makes it difficult to detect and quantify them, generating confusion about their exact role in disease. The lack of suitable methods to address these challenges has hampered efforts to investigate the molecular mechanisms of oligomer toxicity and to develop oligomer-based diagnostic and therapeutic tools to combat protein misfolding diseases. In this Review, we describe methods to quantify misfolded protein oligomers, with particular emphasis on diagnostic applications as disease biomarkers and on therapeutic applications as target biomarkers. The development of these methods is ongoing, and we discuss the challenges that remain to be addressed to establish measurement tools capable of overcoming existing limitations and to meet present needs.","container-title":"Nature Reviews Chemistry","DOI":"10.1038/s41570-021-00254-9","ISSN":"2397-3358","issue":"4","journalAbbreviation":"Nat Rev Chem","language":"en","license":"2021 Springer Nature Limited","note":"number: 4\npublisher: Nature Publishing Group","page":"277-294","source":"www.nature.com","title":"Quantifying misfolded protein oligomers as drug targets and biomarkers in Alzheimer and Parkinson diseases","URL":"https://www.nature.com/articles/s41570-021-00254-9","volume":"5","author":[{"family":"Kulenkampff","given":"Klara"},{"family":"Wolf Perez","given":"Adriana-M."},{"family":"Sormanni","given":"Pietro"},{"family":"Habchi","given":"Johnny"},{"family":"Vendruscolo","given":"Michele"}],"accessed":{"date-parts":[["2022",5,28]]},"issued":{"date-parts":[["2021",4]]},"citation-key":"kulenkampff_quantifying_2021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156–159</w:t>
      </w:r>
      <w:r w:rsidRPr="00904368">
        <w:rPr>
          <w:rFonts w:cstheme="minorHAnsi"/>
          <w:sz w:val="24"/>
          <w:szCs w:val="24"/>
        </w:rPr>
        <w:fldChar w:fldCharType="end"/>
      </w:r>
      <w:r w:rsidRPr="00904368">
        <w:rPr>
          <w:rFonts w:cstheme="minorHAnsi"/>
          <w:sz w:val="24"/>
          <w:szCs w:val="24"/>
        </w:rPr>
        <w:t xml:space="preserve"> A part of their toxicity process occur through the interactions of oligomers of amyloid-</w:t>
      </w:r>
      <w:r w:rsidRPr="0000533B">
        <w:rPr>
          <w:rFonts w:ascii="Symbol" w:hAnsi="Symbol" w:cstheme="minorHAnsi"/>
          <w:sz w:val="24"/>
          <w:szCs w:val="24"/>
        </w:rPr>
        <w:t xml:space="preserve"> b</w:t>
      </w:r>
      <w:r w:rsidRPr="00904368">
        <w:rPr>
          <w:rFonts w:cstheme="minorHAnsi"/>
          <w:sz w:val="24"/>
          <w:szCs w:val="24"/>
        </w:rPr>
        <w:t xml:space="preserve"> or a-synuclein with the lipid membranes of cells, which initiates a damage.</w:t>
      </w:r>
      <w:r w:rsidRPr="00904368">
        <w:rPr>
          <w:rFonts w:cstheme="minorHAnsi"/>
          <w:sz w:val="24"/>
          <w:szCs w:val="24"/>
        </w:rPr>
        <w:fldChar w:fldCharType="begin"/>
      </w:r>
      <w:r w:rsidR="008F09C1">
        <w:rPr>
          <w:rFonts w:cstheme="minorHAnsi"/>
          <w:sz w:val="24"/>
          <w:szCs w:val="24"/>
        </w:rPr>
        <w:instrText xml:space="preserve"> ADDIN ZOTERO_ITEM CSL_CITATION {"citationID":"JEJ0wMhh","properties":{"formattedCitation":"\\super 62,160\\nosupersub{}","plainCitation":"62,160","noteIndex":0},"citationItems":[{"id":11150,"uris":["http://zotero.org/groups/2667333/items/TFLI7XN2"],"itemData":{"id":11150,"type":"article-journal","container-title":"Science","DOI":"10.1126/science.aan6160","issue":"6369","note":"publisher: American Association for the Advancement of Science\ntex.ids= fusco_structural_2017-1","page":"1440-1443","source":"science.org (Atypon)","title":"Structural basis of membrane disruption and cellular toxicity by α-synuclein oligomers","URL":"https://www.science.org/doi/10.1126/science.aan6160","volume":"358","author":[{"family":"Fusco","given":"Giuliana"},{"family":"Chen","given":"Serene W."},{"family":"Williamson","given":"Philip T. F."},{"family":"Cascella","given":"Roberta"},{"family":"Perni","given":"Michele"},{"family":"Jarvis","given":"James A."},{"family":"Cecchi","given":"Cristina"},{"family":"Vendruscolo","given":"Michele"},{"family":"Chiti","given":"Fabrizio"},{"family":"Cremades","given":"Nunilo"},{"family":"Ying","given":"Liming"},{"family":"Dobson","given":"Christopher M."},{"family":"De Simone","given":"Alfonso"}],"accessed":{"date-parts":[["2022",5,28]]},"issued":{"date-parts":[["2017",12,15]]},"citation-key":"fusco_structural_2017"}},{"id":5248,"uris":["http://zotero.org/groups/2667333/items/PN5VJF9M"],"itemData":{"id":5248,"type":"article-journal","abstract":"Background Amyloid β protein (Aβ) molecules that may contribute to Alzheimer's disease (AD) form low molecular weight (LMW-Aβ), high molecular weight oligomer (HMW-Aβ) such as protofibrils, and ultimately fibrils. Recent evidence suggests that oxidative stress and plasma membrane damage induced by soluble Aβ oligomers elicit neurotoxicity and play an initiating role in the development of AD pathology. But the precise mechanisms still remain unclear. In this study, we focused on clarifying the detailed mechanism of the HMW-Aβ neurotoxicity. Method The elution of LMW-Aβ and HMW-Aβ was carried out using size exclusion chromatography. SH-SY5Y cells (Human glioblastoma) were exposed to 5 μM of LMW-Aβ and HMW-Aβ for 30 min. To detect cytotoxicity, Aβexposed-cells were measured mitochondrial activity and release of lactate dehydrogenase. Oxidative stress biomarkers (reactive oxygen species and phospholipid peroxidation of plasma membrane) were assessed. We also assayed intracellular Ca2+ ([Ca2+]i) level and membrane fluidity, and membrane electrical resistance by whole-cell patch-clamp. Result SH-SY5Y cells exposed to Aβ oligomers had significantly increased cytotoxicity and oxidative stress compared to untreated cells. The damaging effects of HMW-Aβ were significantly greater than those of LMW-Aβ. Exposure of SH-SY5Y cells to LMW-Aβ or HMW-Aβ triggered an elevation in [Ca2+]i. [Ca2+]i levels in SH-SY5Y cells exposed to HMW-Aβ rose and maintained high level of [Ca2+]i , while pretreatment with nicardipine and memantine suppressed this continuous rising. Furthermore, both HMW-Aβ and LMW-Aβ significantly reduced SH-SY5Y cell membrane fluidity compared with untreated control cell while, HMW-Aβ produced a larger decrease in fluidity than did LMW-Aβ. The resting potential was significantly elevated in SH-SY5Y cells exposed to HMW-Aβ compared with untreated control cells and LMW-Aβ exposed cells and the input resistance was significantly lower following HMW-Aβ exposure. Conclusion These results suggest that HMW-Aβchanged the structure of lipid bilayer due to cell membrane phospholipid peroxidation and disrupted the homeostasis of ions across the cell membrane. It was speculated that HMW-Aβ induced neurotoxicity was induced by membrane structural changes such as the formation of small pores in the cell membrane. Accordingly, we propose that the therapeutic reduction of HMW-Aβ has important implications for the development of AD therapies.","container-title":"Alzheimer's &amp; Dementia","DOI":"https://doi.org/10.1002/alz.037546","ISSN":"1552-5279","issue":"S2","language":"en","license":"© 2020 the Alzheimer's Association","note":"_eprint: https://alz-journals.onlinelibrary.wiley.com/doi/pdf/10.1002/alz.037546","page":"e037546","source":"Wiley Online Library","title":"High molecular weight amyloid β1-42 oligomers induce neurotoxicity via plasma membrane damage","URL":"https://alz-journals.onlinelibrary.wiley.com/doi/abs/10.1002/alz.037546","volume":"16","author":[{"family":"Yasumoto","given":"Taro"},{"family":"Takamura","given":"Yusaku"},{"family":"Tsuji","given":"Mayumi"},{"family":"Nakayama","given":"Takahiro"},{"family":"Imamura","given":"Keiko"},{"family":"Inoue","given":"Haruhisa"},{"family":"Nakamura","given":"Shiro"},{"family":"Inoue","given":"Tomio"},{"family":"Kimura","given":"Atsushi Michael"},{"family":"Yano","given":"Satoshi"},{"family":"Nishijo","given":"Hisao"},{"family":"Kiuchi","given":"Yuji"},{"family":"Teplow","given":"David B."},{"family":"Ono","given":"Kenjiro"}],"accessed":{"date-parts":[["2021",5,22]]},"issued":{"date-parts":[["2020"]]},"citation-key":"yasumotoHighMolecularWeight2020"}}],"schema":"https://github.com/citation-style-language/schema/raw/master/csl-citation.json"}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62,160</w:t>
      </w:r>
      <w:r w:rsidRPr="00904368">
        <w:rPr>
          <w:rFonts w:cstheme="minorHAnsi"/>
          <w:sz w:val="24"/>
          <w:szCs w:val="24"/>
        </w:rPr>
        <w:fldChar w:fldCharType="end"/>
      </w:r>
      <w:r w:rsidRPr="00904368">
        <w:rPr>
          <w:rFonts w:cstheme="minorHAnsi"/>
          <w:sz w:val="24"/>
          <w:szCs w:val="24"/>
        </w:rPr>
        <w:t xml:space="preserve">  The membrane damage often induces immunogenic cell death and inflammation.</w:t>
      </w:r>
      <w:r w:rsidRPr="00904368">
        <w:rPr>
          <w:rFonts w:cstheme="minorHAnsi"/>
          <w:sz w:val="24"/>
          <w:szCs w:val="24"/>
        </w:rPr>
        <w:fldChar w:fldCharType="begin"/>
      </w:r>
      <w:r w:rsidR="008F09C1">
        <w:rPr>
          <w:rFonts w:cstheme="minorHAnsi"/>
          <w:sz w:val="24"/>
          <w:szCs w:val="24"/>
        </w:rPr>
        <w:instrText xml:space="preserve"> ADDIN ZOTERO_ITEM CSL_CITATION {"citationID":"TgGxJ66Y","properties":{"formattedCitation":"\\super 161\\uc0\\u8211{}163\\nosupersub{}","plainCitation":"161–163","noteIndex":0},"citationItems":[{"id":5112,"uris":["http://zotero.org/groups/2667333/items/YZ6H4JXJ"],"itemData":{"id":5112,"type":"article-journal","abstract":"To maintain homeostasis, an organism must detect and resolve sterile tissue damage. The NLRP3 inflammasome coordinates such processes to clear tissue damage and induce repair. Dysregulated NLRP3 inflammasome activity, however, drives many conditions including Alzheimer’s disease (AD). Recent reports posit that β-amyloid and tau aggregates trigger destructive NLRP3 inflammasome signalling in the brain, leading to AD pathophysiology and cognitive decline. Other endogenous molecules (e.g. TNF, ATP, serum amyloid A), as well as dysbiosis, can induce peripheral or central inflammation and thereby promote microglial NLRP3 inflammasome signalling and resultant AD. The NLRP3 inflammasome is thus emerging as a critical driver of sterile neuroinflammation and the resultant pathogenesis and progression of AD.","container-title":"Current Opinion in Immunology","DOI":"10.1016/j.coi.2020.10.011","ISSN":"0952-7915","journalAbbreviation":"Current Opinion in Immunology","language":"en","page":"116-124","source":"ScienceDirect","title":"The NLRP3 inflammasome triggers sterile neuroinflammation and Alzheimer’s disease","URL":"http://www.sciencedirect.com/science/article/pii/S0952791520301102","volume":"68","author":[{"family":"Milner","given":"Mark T"},{"family":"Maddugoda","given":"Madhavi"},{"family":"Götz","given":"Jürgen"},{"family":"Burgener","given":"Sabrina S"},{"family":"Schroder","given":"Kate"}],"accessed":{"date-parts":[["2021",1,12]]},"issued":{"date-parts":[["2021",2,1]]},"citation-key":"milnerNLRP3InflammasomeTriggers2021"}},{"id":10980,"uris":["http://zotero.org/groups/2667333/items/DILYG3E4"],"itemData":{"id":10980,"type":"article-journal","abstract":"Abstract\n            The timing and characteristics of neuronal death in Alzheimer’s disease (AD) remain largely unknown. Here we examine AD mouse models with an original marker, myristoylated alanine-rich C-kinase substrate phosphorylated at serine 46 (pSer46-MARCKS), and reveal an increase of neuronal necrosis during pre-symptomatic phase and a subsequent decrease during symptomatic phase. Postmortem brains of mild cognitive impairment (MCI) rather than symptomatic AD patients reveal a remarkable increase of necrosis. In vivo imaging reveals instability of endoplasmic reticulum (ER) in mouse AD models and genome-edited human AD iPS cell-derived neurons. The level of nuclear Yes-associated protein (YAP) is remarkably decreased in such neurons under AD pathology due to the sequestration into cytoplasmic amyloid beta (Aβ) aggregates, supporting the feature of YAP-dependent necrosis. Suppression of early-stage neuronal death by AAV-YAPdeltaC reduces the later-stage extracellular Aβ burden and cognitive impairment, suggesting that preclinical/prodromal YAP-dependent neuronal necrosis represents a target for AD therapeutics.","container-title":"Nature Communications","DOI":"10.1038/s41467-020-14353-6","ISSN":"2041-1723","issue":"1","journalAbbreviation":"Nat Commun","language":"en","page":"507","source":"DOI.org (Crossref)","title":"YAP-dependent necrosis occurs in early stages of Alzheimer’s disease and regulates mouse model pathology","URL":"http://www.nature.com/articles/s41467-020-14353-6","volume":"11","author":[{"family":"Tanaka","given":"Hikari"},{"family":"Homma","given":"Hidenori"},{"family":"Fujita","given":"Kyota"},{"family":"Kondo","given":"Kanoh"},{"family":"Yamada","given":"Shingo"},{"family":"Jin","given":"Xiaocen"},{"family":"Waragai","given":"Masaaki"},{"family":"Ohtomo","given":"Gaku"},{"family":"Iwata","given":"Atsushi"},{"family":"Tagawa","given":"Kazuhiko"},{"family":"Atsuta","given":"Naoki"},{"family":"Katsuno","given":"Masahisa"},{"family":"Tomita","given":"Naoki"},{"family":"Furukawa","given":"Katsutoshi"},{"family":"Saito","given":"Yuko"},{"family":"Saito","given":"Takashi"},{"family":"Ichise","given":"Ayaka"},{"family":"Shibata","given":"Shinsuke"},{"family":"Arai","given":"Hiroyuki"},{"family":"Saido","given":"Takaomi"},{"family":"Sudol","given":"Marius"},{"family":"Muramatsu","given":"Shin-ichi"},{"family":"Okano","given":"Hideyuki"},{"family":"Mufson","given":"Elliott J."},{"family":"Sobue","given":"Gen"},{"family":"Murayama","given":"Shigeo"},{"family":"Okazawa","given":"Hitoshi"}],"accessed":{"date-parts":[["2022",5,2]]},"issued":{"date-parts":[["2020",12]]},"citation-key":"tanaka_yap-dependent_2020"}},{"id":5031,"uris":["http://zotero.org/groups/2667333/items/ZHW56FV3"],"itemData":{"id":5031,"type":"article-journal","container-title":"Trends in Neurosciences","DOI":"10.1016/j.tins.2019.11.005","ISSN":"0166-2236, 1878-108X","issue":"1","journalAbbreviation":"Trends in Neurosciences","language":"English","note":"publisher: Elsevier\nPMID: 31843293","page":"55-73","source":"www.cell.com","title":"Fiery Cell Death: Pyroptosis in the Central Nervous System","title-short":"Fiery Cell Death","URL":"https://www.cell.com/trends/neurosciences/abstract/S0166-2236(19)30218-8","volume":"43","author":[{"family":"McKenzie","given":"Brienne A."},{"family":"Dixit","given":"Vishva M."},{"family":"Power","given":"Christopher"}],"accessed":{"date-parts":[["2021",2,2]]},"issued":{"date-parts":[["2020",1,1]]},"citation-key":"mckenzieFieryCellDeath2020"}}],"schema":"https://github.com/citation-style-language/schema/raw/master/csl-citation.json"}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161–163</w:t>
      </w:r>
      <w:r w:rsidRPr="00904368">
        <w:rPr>
          <w:rFonts w:cstheme="minorHAnsi"/>
          <w:sz w:val="24"/>
          <w:szCs w:val="24"/>
        </w:rPr>
        <w:fldChar w:fldCharType="end"/>
      </w:r>
      <w:r w:rsidRPr="00904368">
        <w:rPr>
          <w:rFonts w:cstheme="minorHAnsi"/>
          <w:sz w:val="24"/>
          <w:szCs w:val="24"/>
        </w:rPr>
        <w:t xml:space="preserve"> The aggregation and oligomer formation process is complex because of the convoluted conditions in the body. The dynamic conditions create transient heterogeneous misfolding of oligomers and makes the molecular level of understanding, quantifying, and correlating the aggregation mechanism and toxicity challenging, and thus the development of drug targets.</w:t>
      </w:r>
      <w:r w:rsidRPr="00904368">
        <w:rPr>
          <w:rFonts w:cstheme="minorHAnsi"/>
          <w:sz w:val="24"/>
          <w:szCs w:val="24"/>
        </w:rPr>
        <w:fldChar w:fldCharType="begin"/>
      </w:r>
      <w:r w:rsidR="008F09C1">
        <w:rPr>
          <w:rFonts w:cstheme="minorHAnsi"/>
          <w:sz w:val="24"/>
          <w:szCs w:val="24"/>
        </w:rPr>
        <w:instrText xml:space="preserve"> ADDIN ZOTERO_ITEM CSL_CITATION {"citationID":"KDQcb1sy","properties":{"formattedCitation":"\\super 159,164\\nosupersub{}","plainCitation":"159,164","noteIndex":0},"citationItems":[{"id":11152,"uris":["http://zotero.org/groups/2667333/items/3DN8MQD4"],"itemData":{"id":11152,"type":"article-journal","abstract":"Protein misfolding and aggregation are characteristic of a wide range of neurodegenerative disorders, including Alzheimer and Parkinson diseases. A hallmark of these diseases is the aggregation of otherwise soluble and functional proteins into amyloid aggregates. Although for many decades such amyloid deposits have been thought to be responsible for disease progression, it is now increasingly recognized that the misfolded protein oligomers formed during aggregation are, instead, the main agents causing pathological processes. These oligomers are transient and heterogeneous, which makes it difficult to detect and quantify them, generating confusion about their exact role in disease. The lack of suitable methods to address these challenges has hampered efforts to investigate the molecular mechanisms of oligomer toxicity and to develop oligomer-based diagnostic and therapeutic tools to combat protein misfolding diseases. In this Review, we describe methods to quantify misfolded protein oligomers, with particular emphasis on diagnostic applications as disease biomarkers and on therapeutic applications as target biomarkers. The development of these methods is ongoing, and we discuss the challenges that remain to be addressed to establish measurement tools capable of overcoming existing limitations and to meet present needs.","container-title":"Nature Reviews Chemistry","DOI":"10.1038/s41570-021-00254-9","ISSN":"2397-3358","issue":"4","journalAbbreviation":"Nat Rev Chem","language":"en","license":"2021 Springer Nature Limited","note":"number: 4\npublisher: Nature Publishing Group","page":"277-294","source":"www.nature.com","title":"Quantifying misfolded protein oligomers as drug targets and biomarkers in Alzheimer and Parkinson diseases","URL":"https://www.nature.com/articles/s41570-021-00254-9","volume":"5","author":[{"family":"Kulenkampff","given":"Klara"},{"family":"Wolf Perez","given":"Adriana-M."},{"family":"Sormanni","given":"Pietro"},{"family":"Habchi","given":"Johnny"},{"family":"Vendruscolo","given":"Michele"}],"accessed":{"date-parts":[["2022",5,28]]},"issued":{"date-parts":[["2021",4]]},"citation-key":"kulenkampff_quantifying_2021"}},{"id":11148,"uris":["http://zotero.org/groups/2667333/items/3HU97CLL"],"itemData":{"id":11148,"type":"article-journal","abstract":"Basic research on the biological mechanism of Alzheimer’s disease has focused for decades on the age-related aggregation of the amyloid β-protein and its apparent downstream effects on microglia, astrocytes and neurons, including the posttranslational modification of the tau protein that seems necessary for symptom expression. Here, we discuss the highly challenging process of developing disease-modifying therapies and highlight several key areas of current research that are progressing in exciting directions. We conclude that further deep molecular analyses of the disease, including the mechanisms of β-amyloidosis, will enable more effective clinical trials and ultimately achieve the progress that our patients so deserve.","collection-title":"Neurobiology of Disease","container-title":"Current Opinion in Neurobiology","DOI":"10.1016/j.conb.2020.02.003","ISSN":"0959-4388","journalAbbreviation":"Current Opinion in Neurobiology","language":"en","page":"116-124","source":"ScienceDirect","title":"Amyloid β-protein and beyond: the path forward in Alzheimer’s disease","title-short":"Amyloid β-protein and beyond","URL":"https://www.sciencedirect.com/science/article/pii/S0959438820300416","volume":"61","author":[{"family":"Walsh","given":"Dominic M"},{"family":"Selkoe","given":"Dennis J"}],"accessed":{"date-parts":[["2022",5,28]]},"issued":{"date-parts":[["2020",4,1]]},"citation-key":"walsh_amyloid_2020"}}],"schema":"https://github.com/citation-style-language/schema/raw/master/csl-citation.json"}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159,164</w:t>
      </w:r>
      <w:r w:rsidRPr="00904368">
        <w:rPr>
          <w:rFonts w:cstheme="minorHAnsi"/>
          <w:sz w:val="24"/>
          <w:szCs w:val="24"/>
        </w:rPr>
        <w:fldChar w:fldCharType="end"/>
      </w:r>
      <w:r w:rsidRPr="00904368">
        <w:rPr>
          <w:rFonts w:cstheme="minorHAnsi"/>
          <w:sz w:val="24"/>
          <w:szCs w:val="24"/>
        </w:rPr>
        <w:t xml:space="preserve"> Therefore, a minimalist and simplified synthetic model that mimic the structure, aggregation, and function of amyloids can serve as  a powerful tool for studying their aggregation mechanism.</w:t>
      </w:r>
    </w:p>
    <w:p w14:paraId="5131CD2B" w14:textId="1F6F5312" w:rsidR="00C54B8A" w:rsidRPr="00904368" w:rsidRDefault="00C54B8A" w:rsidP="00E44507">
      <w:pPr>
        <w:spacing w:line="480" w:lineRule="auto"/>
        <w:rPr>
          <w:sz w:val="24"/>
          <w:szCs w:val="24"/>
        </w:rPr>
      </w:pPr>
      <w:r w:rsidRPr="00904368">
        <w:rPr>
          <w:sz w:val="24"/>
          <w:szCs w:val="24"/>
        </w:rPr>
        <w:t>The molecular events that occur during the formation of small aggregations of proteins and peptides (lag phase) are in a complex environment. Studies with the extracted proteins in an isolated system may not provide an adequate understanding of the pathophysiology of the disease. Yet, studies in biological fluids create huge complexity. Indeed, the amyloidogenic proteins' kinetics and free energy landscape in the initial aggregation phase are largely unknown and have been studied with variations of new experimental and computational approaches.</w:t>
      </w:r>
      <w:r w:rsidRPr="00904368">
        <w:rPr>
          <w:sz w:val="24"/>
          <w:szCs w:val="24"/>
        </w:rPr>
        <w:fldChar w:fldCharType="begin"/>
      </w:r>
      <w:r w:rsidR="008F09C1">
        <w:rPr>
          <w:sz w:val="24"/>
          <w:szCs w:val="24"/>
        </w:rPr>
        <w:instrText xml:space="preserve"> ADDIN ZOTERO_ITEM CSL_CITATION {"citationID":"0r9NGed3","properties":{"formattedCitation":"\\super 133,165\\uc0\\u8211{}167\\nosupersub{}","plainCitation":"133,165–167","noteIndex":0},"citationItems":[{"id":11812,"uris":["http://zotero.org/groups/2667333/items/5FPUMN2I"],"itemData":{"id":11812,"type":"article-journal","abstract":"Amyloid aggregates of human islet amyloid polypeptide (hIAPP or human amylin) have long been implicated in the development of type II diabetes. While hIAPP is known to aggregate into amyloid fibrils, it is the early-stage prefibrillar species that have been proposed to be cytotoxic. A detailed picture of the early-stage aggregation process and relevant intermediates would be valuable in the development of effective therapeutics. Here, we use atomistic molecular dynamics simulations with a combination of enhanced sampling methods to examine the formation of the hIAPP dimer in water. Bias-exchange metadynamics calculations reveal relative conformational stabilities of the hIAPP dimer. Finite temperature string method calculations identify pathways for dimer formation, along with relevant free energy barriers and intermediate structures. We show that the initial stages of dimerization involve crossing a substantial free energy barrier to form an intermediate structure exhibiting transient β-sheet character, before proceeding to form an entropically stabilized dimer structure.","container-title":"The Journal of Chemical Physics","DOI":"10.1063/1.5033458","ISSN":"0021-9606","issue":"2","journalAbbreviation":"J. Chem. Phys.","note":"publisher: American Institute of Physics","page":"025101","source":"aip.scitation.org (Atypon)","title":"Early-stage human islet amyloid polypeptide aggregation: Mechanisms behind dimer formation","title-short":"Early-stage human islet amyloid polypeptide aggregation","URL":"https://aip.scitation.org/doi/10.1063/1.5033458","volume":"149","author":[{"family":"Guo","given":"Ashley Z."},{"family":"Fluitt","given":"Aaron M."},{"family":"Pablo","given":"Juan J.","non-dropping-particle":"de"}],"accessed":{"date-parts":[["2022",7,20]]},"issued":{"date-parts":[["2018",7,14]]},"citation-key":"guo_early-stage_2018"}},{"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T."}],"accessed":{"date-parts":[["2022",8,9]]},"issued":{"date-parts":[["2017",11,22]]},"citation-key":"serrano_free_2017"}},{"id":12040,"uris":["http://zotero.org/groups/2667333/items/T8V3KUFF"],"itemData":{"id":12040,"type":"article-journal","abstract":"Infrared spectroscopy is a powerful tool for the understanding of molecular structure and function of polypeptides. Theoretical interpretation of IR spectra relies on ab initio calculations may be very costly in computational resources. Herein, we developed a neural network (NN) modeling protocol to evaluate a model dipeptide’s backbone amide-I spectra. DFT calculations were performed for the amide-I vibrational motions and structural parameters of alanine dipeptide (ALAD) conformers in different micro-environments ranging from polar to non-polar ones. The obtained backbone dihedrals, C = O bond lengths and amide-I frequencies of ALAD were gather together for NN architecture. The applications of built NN protocols for the prediction of amide-I frequencies of ALAD in other solvation conditions are quite satisfactory with much less computational cost comparing with electronic structure calculations. The results show that this cost-effective way enables us to decipher the polypeptide’s dynamic secondary structures and biological functions with their backbone vibrational probes.","container-title":"Spectrochimica Acta Part A: Molecular and Biomolecular Spectroscopy","DOI":"10.1016/j.saa.2021.120675","ISSN":"1386-1425","journalAbbreviation":"Spectrochimica Acta Part A: Molecular and Biomolecular Spectroscopy","language":"en","page":"120675","source":"ScienceDirect","title":"Modeling amide-I vibrations of alanine dipeptide in solution by using neural network protocol","URL":"https://www.sciencedirect.com/science/article/pii/S138614252101252X","volume":"268","author":[{"family":"Fan","given":"Jianping"},{"family":"Lan","given":"Huaying"},{"family":"Ning","given":"Wenfeng"},{"family":"Zhong","given":"Rongzhen"},{"family":"Chen","given":"Feng"},{"family":"Yan","given":"Guiyang"},{"family":"Cai","given":"Kaicong"}],"accessed":{"date-parts":[["2022",8,11]]},"issued":{"date-parts":[["2022",3,5]]},"citation-key":"fan_modeling_2022"}},{"id":12039,"uris":["http://zotero.org/groups/2667333/items/WW5YE4SP"],"itemData":{"id":12039,"type":"article-journal","abstract":"In antibody light chain (AL) amyloidosis, overproduced light chain (LC) fragments accumulate as fibrils in organs and tissues of patients. In vitro, AL fibril formation is a slow process, characterized by a pronounced lag phase. The events occurring during this lag phase are largely unknown. We have dissected the lag phase of a patient-derived LC truncation and identified structural transitions that precede fibril formation. The process starts with partial unfolding of the VL domain and the formation of small amounts of dimers. This is a prerequisite for the formation of an ensemble of oligomers, which are the precursors of fibrils. During oligomerization, the hydrophobic core of the LC domain rearranges which leads to changes in solvent accessibility and rigidity. Structural transitions from an anti-parallel to a parallel β-sheet secondary structure occur in the oligomers prior to amyloid formation. Together, our results reveal a rate-limiting multi-step mechanism of structural transitions prior to fibril formation in AL amyloidosis, which offers, in the long run, opportunities for therapeutic intervention.","container-title":"Nature Communications","DOI":"10.1038/s41467-021-26845-0","ISSN":"2041-1723","issue":"1","journalAbbreviation":"Nat Commun","language":"en","license":"2021 The Author(s)","note":"number: 1\npublisher: Nature Publishing Group","page":"6516","source":"www.nature.com","title":"Dissection of the amyloid formation pathway in AL amyloidosis","URL":"https://www.nature.com/articles/s41467-021-26845-0","volume":"12","author":[{"family":"Kazman","given":"Pamina"},{"family":"Absmeier","given":"Ramona M."},{"family":"Engelhardt","given":"Harald"},{"family":"Buchner","given":"Johannes"}],"accessed":{"date-parts":[["2022",8,11]]},"issued":{"date-parts":[["2021",11,11]]},"citation-key":"kazman_dissection_2021"}}],"schema":"https://github.com/citation-style-language/schema/raw/master/csl-citation.json"} </w:instrText>
      </w:r>
      <w:r w:rsidRPr="00904368">
        <w:rPr>
          <w:sz w:val="24"/>
          <w:szCs w:val="24"/>
        </w:rPr>
        <w:fldChar w:fldCharType="separate"/>
      </w:r>
      <w:r w:rsidR="008F09C1" w:rsidRPr="008F09C1">
        <w:rPr>
          <w:rFonts w:ascii="Arial" w:cs="Arial"/>
          <w:sz w:val="24"/>
          <w:vertAlign w:val="superscript"/>
        </w:rPr>
        <w:t>133,165–167</w:t>
      </w:r>
      <w:r w:rsidRPr="00904368">
        <w:rPr>
          <w:sz w:val="24"/>
          <w:szCs w:val="24"/>
        </w:rPr>
        <w:fldChar w:fldCharType="end"/>
      </w:r>
      <w:r w:rsidRPr="00904368">
        <w:rPr>
          <w:sz w:val="24"/>
          <w:szCs w:val="24"/>
        </w:rPr>
        <w:t xml:space="preserve"> A combination of these methodologies establishes strategies for a more accurate understanding of the aggregation process. Such a combination can be possible with molecular tools that have similar behaviors and biological functions in experimental conditions as amyloid-like proteins and are simple enough for computational simulations.</w:t>
      </w:r>
      <w:r w:rsidRPr="00904368">
        <w:rPr>
          <w:sz w:val="24"/>
          <w:szCs w:val="24"/>
        </w:rPr>
        <w:fldChar w:fldCharType="begin"/>
      </w:r>
      <w:r w:rsidR="008F09C1">
        <w:rPr>
          <w:sz w:val="24"/>
          <w:szCs w:val="24"/>
        </w:rPr>
        <w:instrText xml:space="preserve"> ADDIN ZOTERO_ITEM CSL_CITATION {"citationID":"Ha8oWr5D","properties":{"formattedCitation":"\\super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sz w:val="24"/>
          <w:szCs w:val="24"/>
        </w:rPr>
        <w:fldChar w:fldCharType="separate"/>
      </w:r>
      <w:r w:rsidR="008F09C1" w:rsidRPr="008F09C1">
        <w:rPr>
          <w:rFonts w:ascii="Arial" w:cs="Arial"/>
          <w:sz w:val="24"/>
          <w:vertAlign w:val="superscript"/>
        </w:rPr>
        <w:t>168</w:t>
      </w:r>
      <w:r w:rsidRPr="00904368">
        <w:rPr>
          <w:sz w:val="24"/>
          <w:szCs w:val="24"/>
        </w:rPr>
        <w:fldChar w:fldCharType="end"/>
      </w:r>
    </w:p>
    <w:p w14:paraId="50BFE57C" w14:textId="4474B001" w:rsidR="006B41BA" w:rsidRPr="00904368" w:rsidRDefault="006B41BA" w:rsidP="00E44507">
      <w:pPr>
        <w:spacing w:line="480" w:lineRule="auto"/>
        <w:rPr>
          <w:sz w:val="24"/>
          <w:szCs w:val="24"/>
        </w:rPr>
      </w:pPr>
      <w:r w:rsidRPr="00904368">
        <w:rPr>
          <w:rFonts w:cstheme="minorHAnsi"/>
          <w:sz w:val="24"/>
          <w:szCs w:val="24"/>
        </w:rPr>
        <w:t>Co-assembly of oppositely charged peptides (CoOP) is a minimalist strategy allows the study the role of intermolecular interactions in peptide aggregation.</w:t>
      </w:r>
      <w:r w:rsidRPr="00904368">
        <w:rPr>
          <w:rFonts w:cstheme="minorHAnsi"/>
          <w:sz w:val="24"/>
          <w:szCs w:val="24"/>
        </w:rPr>
        <w:fldChar w:fldCharType="begin"/>
      </w:r>
      <w:r w:rsidR="008F09C1">
        <w:rPr>
          <w:rFonts w:cstheme="minorHAnsi"/>
          <w:sz w:val="24"/>
          <w:szCs w:val="24"/>
        </w:rPr>
        <w:instrText xml:space="preserve"> ADDIN ZOTERO_ITEM CSL_CITATION {"citationID":"4HRzwG0o","properties":{"formattedCitation":"\\super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168</w:t>
      </w:r>
      <w:r w:rsidRPr="00904368">
        <w:rPr>
          <w:rFonts w:cstheme="minorHAnsi"/>
          <w:sz w:val="24"/>
          <w:szCs w:val="24"/>
        </w:rPr>
        <w:fldChar w:fldCharType="end"/>
      </w:r>
      <w:r w:rsidRPr="00904368">
        <w:rPr>
          <w:rFonts w:cstheme="minorHAnsi"/>
          <w:sz w:val="24"/>
          <w:szCs w:val="24"/>
        </w:rPr>
        <w:t xml:space="preserve"> CoOPs are designed to assemble into amyloid fibrils. Among the studied peptide sequences, the oppositely charged pair, KFFIIK and EFFIIE (the pair will be shown as [II] in the rest of the paper), showed the highest order of amyloid-b assembly. On the cell membrane, [II] peptide-aggregation induces immunogenic rupture (PAIIR) that initiates immunogenic cell death (ICD) and release of damage associated molecular patterns (DAMPs) as an immunostimulatory tool.</w:t>
      </w:r>
      <w:r w:rsidRPr="00904368">
        <w:rPr>
          <w:rFonts w:cstheme="minorHAnsi"/>
          <w:sz w:val="24"/>
          <w:szCs w:val="24"/>
        </w:rPr>
        <w:fldChar w:fldCharType="begin"/>
      </w:r>
      <w:r w:rsidR="008F09C1">
        <w:rPr>
          <w:rFonts w:cstheme="minorHAnsi"/>
          <w:sz w:val="24"/>
          <w:szCs w:val="24"/>
        </w:rPr>
        <w:instrText xml:space="preserve"> ADDIN ZOTERO_ITEM CSL_CITATION {"citationID":"IyFA8IFX","properties":{"formattedCitation":"\\super 169\\nosupersub{}","plainCitation":"169","noteIndex":0},"citationItems":[{"id":11147,"uris":["http://zotero.org/groups/2667333/items/Y7SGNY6E"],"itemData":{"id":11147,"type":"article-journal","abstract":"Immunogenic cell death (ICD) arises when cells are under stress, and their membranes are damaged. They release damage-associated molecular patterns (DAMPs) that stimulate and drive the type and magnitude of the immune response. In the presence of an antigen, DAMPs ride the longevity and efficacy of antigen-specific immunity. Yet, no tool can induce the controlled ICD with predictable results. A peptide-based tool, [II], is designed that aggregates in the cell and causes cell membrane damage, generates ICD and DAMPs release on various cell types, and hence can act as an adjuvant. An influenza vaccine is prepared by combining [II] with influenza hemagglutinin (HA) subunit antigens. The results show that [II] induced significantly higher HA-specific immunoglobulin G1 (IgG1) and IgG2a antibodies than HA-only immunized mice, while the peptide itself did not elicit antibodies. This paper demonstrates the first peptide-aggregation induced immunogenic rupture (PAIIR) approach as a vaccine adjuvant. PAIIR is a promising adjuvant with a high potential to promote universal protection upon influenza HA vaccination.","container-title":"Advanced Science","DOI":"10.1002/advs.202105868","ISSN":"2198-3844","issue":"n/a","language":"en","note":"_eprint: https://onlinelibrary.wiley.com/doi/pdf/10.1002/advs.202105868","page":"2105868","source":"Wiley Online Library","title":"Peptide Aggregation Induced Immunogenic Rupture (PAIIR)","URL":"https://onlinelibrary.wiley.com/doi/abs/10.1002/advs.202105868","volume":"n/a","author":[{"family":"Gunay","given":"Gokhan"},{"family":"Hamsici","given":"Seren"},{"family":"Lang","given":"Gillian A."},{"family":"Lang","given":"Mark L."},{"family":"Kovats","given":"Susan"},{"family":"Acar","given":"Handan"}],"accessed":{"date-parts":[["2022",5,28]]},"issued":{"date-parts":[["2022"]]},"citation-key":"gunay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169</w:t>
      </w:r>
      <w:r w:rsidRPr="00904368">
        <w:rPr>
          <w:rFonts w:cstheme="minorHAnsi"/>
          <w:sz w:val="24"/>
          <w:szCs w:val="24"/>
        </w:rPr>
        <w:fldChar w:fldCharType="end"/>
      </w:r>
      <w:r w:rsidRPr="00904368">
        <w:rPr>
          <w:rFonts w:cstheme="minorHAnsi"/>
          <w:sz w:val="24"/>
          <w:szCs w:val="24"/>
        </w:rPr>
        <w:t xml:space="preserve"> PAIIR induces secondary pyroptosis, an immunogenic programmed cell death and a common feature of amyloid inducing cell death as in Alzheimer and Parkinson.</w:t>
      </w:r>
      <w:r w:rsidRPr="00904368">
        <w:rPr>
          <w:rFonts w:cstheme="minorHAnsi"/>
          <w:sz w:val="24"/>
          <w:szCs w:val="24"/>
        </w:rPr>
        <w:fldChar w:fldCharType="begin"/>
      </w:r>
      <w:r w:rsidR="008F09C1">
        <w:rPr>
          <w:rFonts w:cstheme="minorHAnsi"/>
          <w:sz w:val="24"/>
          <w:szCs w:val="24"/>
        </w:rPr>
        <w:instrText xml:space="preserve"> ADDIN ZOTERO_ITEM CSL_CITATION {"citationID":"9yUcysrS","properties":{"formattedCitation":"\\super 170,171\\nosupersub{}","plainCitation":"170,171","noteIndex":0},"citationItems":[{"id":11157,"uris":["http://zotero.org/groups/2667333/items/FIJY9H6T"],"itemData":{"id":11157,"type":"article-journal","abstract":"Abstract\n            Tightly orchestrated programmed cell death (PCD) signalling events occur during normal neuronal development in a spatially and temporally restricted manner to establish the neural architecture and shaping the CNS. Abnormalities in PCD signalling cascades, such as apoptosis, necroptosis, pyroptosis, ferroptosis, and cell death associated with autophagy as well as in unprogrammed necrosis can be observed in the pathogenesis of various neurological diseases. These cell deaths can be activated in response to various forms of cellular stress (exerted by intracellular or extracellular stimuli) and inflammatory processes. Aberrant activation of PCD pathways is a common feature in neurodegenerative diseases, such as amyotrophic lateral sclerosis (ALS), Alzheimer’s disease, Parkinson’s disease, and Huntington’s disease, resulting in unwanted loss of neuronal cells and function. Conversely, inactivation of PCD is thought to contribute to the development of brain cancers and to impact their response to therapy. For many neurodegenerative diseases and brain cancers current treatment strategies have only modest effect, engendering the need for investigations into the origins of these diseases. With many diseases of the brain displaying aberrations in PCD pathways, it appears that agents that can either inhibit or induce PCD may be critical components of future therapeutic strategies. The development of such therapies will have to be guided by preclinical studies in animal models that faithfully mimic the human disease. In this review, we briefly describe PCD and unprogrammed cell death processes and the roles they play in contributing to neurodegenerative diseases or tumorigenesis in the brain. We also discuss the interplay between distinct cell death signalling cascades and disease pathogenesis and describe pharmacological agents targeting key players in the cell death signalling pathways that have progressed through to clinical trials.","container-title":"Cell Death &amp; Differentiation","DOI":"10.1038/s41418-021-00814-y","ISSN":"1350-9047, 1476-5403","issue":"7","journalAbbreviation":"Cell Death Differ","language":"en","page":"2029-2044","source":"DOI.org (Crossref)","title":"Molecular mechanisms of cell death in neurological diseases","URL":"https://www.nature.com/articles/s41418-021-00814-y","volume":"28","author":[{"family":"Moujalled","given":"Diane"},{"family":"Strasser","given":"Andreas"},{"family":"Liddell","given":"Jeffrey R."}],"accessed":{"date-parts":[["2022",5,26]]},"issued":{"date-parts":[["2021",7]]},"citation-key":"moujalled_molecular_2021"}},{"id":2362,"uris":["http://zotero.org/groups/2667333/items/I6L25HAY"],"itemData":{"id":2362,"type":"article-journal","abstract":"Extracellular senile plaques and intracellular neurofibrillary tangles are the neuropathological findings of the Alzheimer’s disease (AD). Based on the amyloid cascade hypothesis, the main component of senile plaques, the amyloid-beta (Aβ) peptide, and its derivative called amyloid precursor protein (APP) both have been found to place their central roles in AD development for years. However, the recent therapeutics have yet to reverse or halt this disease. Previous evidence demonstrates that the accumulation of Aβ peptides and APP can exert neurotoxicity and ultimately neuronal cell death. Hence, we discuss the mechanisms of excessive production of Aβ peptides and APP serving as pathophysiologic stimuli for the initiation of various cell signalling pathways including apoptosis, necrosis, necroptosis and autophagy which lead to neuronal cell death. Conversely, the activation of such pathways could also result in the abnormal generation of APP and Aβ peptides. An elucidation of actions of APP and its metabolite, Aβ, could be vital in suggesting novel therapeutic opportunities.","container-title":"Metabolic Brain Disease","DOI":"10.1007/s11011-019-00516-y","ISSN":"1573-7365","issue":"1","journalAbbreviation":"Metab Brain Dis","language":"en","page":"11-30","source":"Springer Link","title":"Mechanisms of action of amyloid-beta and its precursor protein in neuronal cell death","URL":"https://doi.org/10.1007/s11011-019-00516-y","volume":"35","author":[{"family":"Leong","given":"Yong Qi"},{"family":"Ng","given":"Khuen Yen"},{"family":"Chye","given":"Soi Moi"},{"family":"Ling","given":"Anna Pick Kiong"},{"family":"Koh","given":"Rhun Yian"}],"accessed":{"date-parts":[["2020",12,31]]},"issued":{"date-parts":[["2020",1,1]]},"citation-key":"leongMechanismsActionAmyloidbeta2020"}}],"schema":"https://github.com/citation-style-language/schema/raw/master/csl-citation.json"}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170,171</w:t>
      </w:r>
      <w:r w:rsidRPr="00904368">
        <w:rPr>
          <w:rFonts w:cstheme="minorHAnsi"/>
          <w:sz w:val="24"/>
          <w:szCs w:val="24"/>
        </w:rPr>
        <w:fldChar w:fldCharType="end"/>
      </w:r>
      <w:r w:rsidRPr="00904368">
        <w:rPr>
          <w:rFonts w:cstheme="minorHAnsi"/>
          <w:sz w:val="24"/>
          <w:szCs w:val="24"/>
        </w:rPr>
        <w:t xml:space="preserve"> PAIIR is a simplified peptide-based tool, designed to mimic the function, instead of the sequence of a protein; thus there is no natural ortholog of [II]. </w:t>
      </w:r>
    </w:p>
    <w:p w14:paraId="66EB60E5" w14:textId="5C606BDF" w:rsidR="00DF337E" w:rsidRDefault="006B41BA" w:rsidP="00E44507">
      <w:pPr>
        <w:spacing w:line="480" w:lineRule="auto"/>
        <w:rPr>
          <w:rFonts w:cstheme="minorHAnsi"/>
          <w:sz w:val="24"/>
          <w:szCs w:val="24"/>
        </w:rPr>
      </w:pPr>
      <w:r w:rsidRPr="00904368">
        <w:rPr>
          <w:rFonts w:cstheme="minorHAnsi"/>
          <w:sz w:val="24"/>
          <w:szCs w:val="24"/>
        </w:rPr>
        <w:t>Albumin is abundant in the human body, it is flexible, and mostly hydrophobic, and thus, have high non-specific binding capacity.</w:t>
      </w:r>
      <w:r w:rsidR="000D0843" w:rsidRPr="00904368">
        <w:rPr>
          <w:rFonts w:cstheme="minorHAnsi"/>
          <w:sz w:val="24"/>
          <w:szCs w:val="24"/>
        </w:rPr>
        <w:fldChar w:fldCharType="begin"/>
      </w:r>
      <w:r w:rsidR="008F09C1">
        <w:rPr>
          <w:rFonts w:cstheme="minorHAnsi"/>
          <w:sz w:val="24"/>
          <w:szCs w:val="24"/>
        </w:rPr>
        <w:instrText xml:space="preserve"> ADDIN ZOTERO_ITEM CSL_CITATION {"citationID":"wXJx5Mu8","properties":{"formattedCitation":"\\super 172\\nosupersub{}","plainCitation":"172","noteIndex":0},"citationItems":[{"id":9543,"uris":["http://zotero.org/groups/2667333/items/IU7FSDMN"],"itemData":{"id":9543,"type":"article-journal","abstract":"&lt;p&gt;Although serum albumin has an established function as a transport protein, evidence is emerging that serum albumin may also have a role as a molecular chaperone. Using established techniques to characterize chaperone interactions, this study demonstrates that bovine serum albumin: 1) preferentially binds stressed over unstressed client proteins; 2) forms stable, soluble, high molecular weight complexes with stressed client proteins; 3) reduces the aggregation of client proteins when it is present at physiological levels; and 4) inhibits amyloid formation by both WT and L55P transthyretin. Although the antiaggregatory effect of serum albumin is maintained in the presence of physiological levels of Ca&lt;sup&gt;2+&lt;/sup&gt; and Cu&lt;sup&gt;2+&lt;/sup&gt;, the presence of free fatty acids significantly alters this activity: stabilizing serum albumin at normal levels but diminishing chaperone-like activity at high concentrations. Moreover, here it is shown that depletion of albumin from human plasma leads to a significant increase in aggregation under physiologically relevant heat and shear stresses. This study demonstrates that serum albumin possesses chaperone-like properties and that this activity is maintained under a number of physiologically relevant conditions.&lt;/p&gt;","container-title":"Journal of Biological Chemistry","DOI":"10.1074/jbc.M112.372961","ISSN":"0021-9258, 1083-351X","issue":"25","journalAbbreviation":"Journal of Biological Chemistry","language":"English","note":"publisher: Elsevier\nPMID: 22549788\ntex.ids= finn_serum_2012-1","page":"21530-21540","source":"www.jbc.org","title":"Serum Albumin Prevents Protein Aggregation and Amyloid Formation and Retains Chaperone-like Activity in the Presence of Physiological Ligands","URL":"https://www.jbc.org/article/S0021-9258(20)49844-8/abstract","volume":"287","author":[{"family":"Finn","given":"Thomas E."},{"family":"Nunez","given":"Andrea C."},{"family":"Sunde","given":"Margaret"},{"family":"Easterbrook-Smith","given":"Simon B."}],"accessed":{"date-parts":[["2021",9,13]]},"issued":{"date-parts":[["2012",6,15]]},"citation-key":"finnSerumAlbuminPrevents2012"}}],"schema":"https://github.com/citation-style-language/schema/raw/master/csl-citation.json"} </w:instrText>
      </w:r>
      <w:r w:rsidR="000D0843" w:rsidRPr="00904368">
        <w:rPr>
          <w:rFonts w:cstheme="minorHAnsi"/>
          <w:sz w:val="24"/>
          <w:szCs w:val="24"/>
        </w:rPr>
        <w:fldChar w:fldCharType="separate"/>
      </w:r>
      <w:r w:rsidR="008F09C1" w:rsidRPr="008F09C1">
        <w:rPr>
          <w:rFonts w:ascii="Arial" w:cs="Arial"/>
          <w:sz w:val="24"/>
          <w:vertAlign w:val="superscript"/>
        </w:rPr>
        <w:t>172</w:t>
      </w:r>
      <w:r w:rsidR="000D0843" w:rsidRPr="00904368">
        <w:rPr>
          <w:rFonts w:cstheme="minorHAnsi"/>
          <w:sz w:val="24"/>
          <w:szCs w:val="24"/>
        </w:rPr>
        <w:fldChar w:fldCharType="end"/>
      </w:r>
      <w:r w:rsidR="000D0843" w:rsidRPr="00904368">
        <w:rPr>
          <w:rFonts w:cstheme="minorHAnsi"/>
          <w:sz w:val="24"/>
          <w:szCs w:val="24"/>
        </w:rPr>
        <w:t xml:space="preserve"> </w:t>
      </w:r>
      <w:r w:rsidRPr="00904368">
        <w:rPr>
          <w:rFonts w:cstheme="minorHAnsi"/>
          <w:sz w:val="24"/>
          <w:szCs w:val="24"/>
        </w:rPr>
        <w:t>It is known that albumin impedes the fibrillization of amyloids and increases the soluble misfolded oligomers that have higher toxicity than amyloid</w:t>
      </w:r>
      <w:r w:rsidR="000D0843" w:rsidRPr="00904368">
        <w:rPr>
          <w:rFonts w:cstheme="minorHAnsi"/>
          <w:sz w:val="24"/>
          <w:szCs w:val="24"/>
        </w:rPr>
        <w:t xml:space="preserve"> </w:t>
      </w:r>
      <w:r w:rsidRPr="00904368">
        <w:rPr>
          <w:rFonts w:cstheme="minorHAnsi"/>
          <w:sz w:val="24"/>
          <w:szCs w:val="24"/>
        </w:rPr>
        <w:t>fibrils.</w:t>
      </w:r>
      <w:r w:rsidR="000D0843" w:rsidRPr="00904368">
        <w:rPr>
          <w:rFonts w:cstheme="minorHAnsi"/>
          <w:sz w:val="24"/>
          <w:szCs w:val="24"/>
        </w:rPr>
        <w:t xml:space="preserve"> </w:t>
      </w:r>
      <w:r w:rsidR="000D0843" w:rsidRPr="00904368">
        <w:rPr>
          <w:rFonts w:cstheme="minorHAnsi"/>
          <w:sz w:val="24"/>
          <w:szCs w:val="24"/>
        </w:rPr>
        <w:fldChar w:fldCharType="begin"/>
      </w:r>
      <w:r w:rsidR="008F09C1">
        <w:rPr>
          <w:rFonts w:cstheme="minorHAnsi"/>
          <w:sz w:val="24"/>
          <w:szCs w:val="24"/>
        </w:rPr>
        <w:instrText xml:space="preserve"> ADDIN ZOTERO_ITEM CSL_CITATION {"citationID":"tb8WPzpA","properties":{"formattedCitation":"\\super 173\\uc0\\u8211{}175\\nosupersub{}","plainCitation":"173–175","noteIndex":0},"citationItems":[{"id":10061,"uris":["http://zotero.org/groups/2667333/items/RJ6CMGEF"],"itemData":{"id":10061,"type":"article-journal","abstract":"Human serum albumin (HSA) is a major interacting-partner of Alzheimer’s amyloid-β (Aβ) peptide in the plasma and has emerged as a promising therapeutic target. HSA inhibits Aβ fibrillization, but the underlying molecular mechanism is not well elucidated. In this work, we investigated the role of HSA in the early stages of Aβ aggregation by simulating the binding process of multiple Aβ monomers and protofibrils to HSA with extensive molecular dynamics simulations. HSA could simultaneously trap multiple Aβ monomers and accommodate the formation of nonfibrillar Aβ oligomers after binding. In particular, domains I and III show stronger binding capacities and hold preferable interaction sites for oligomers. Consequently, HSA prevents the formation of fibrillar oligomers in water, thus interfering with the nucleation process. On the other aspect, when protofibrils are preformed, HSA tends to block the β-strand spanning the central hydrophobic core located at the protofibril end, preventing the addition of monomers to protofibrils. Furthermore, Aβ protofibril structures are severely disrupted both globally and locally. Thus, further growth of protofibrils to fibrils is impeded by HSA. Our results collectively indicate that HSA performs multipronged regulatory functions in the early stages of Aβ aggregation. Our work advances the understanding of the amyloid inhibition of Aβ by HSA and provides theoretical guidance for developing rational therapies of Alzheimer’s disease.","container-title":"ACS Chemical Neuroscience","DOI":"10.1021/acschemneuro.1c00150","issue":"13","journalAbbreviation":"ACS Chem. Neurosci.","note":"publisher: American Chemical Society","page":"2409-2420","source":"ACS Publications","title":"Multipronged Regulatory Functions of Serum Albumin in Early Stages of Amyloid-β Aggregation","URL":"https://doi.org/10.1021/acschemneuro.1c00150","volume":"12","author":[{"family":"Zhao","given":"Mengjuan"},{"family":"Guo","given":"Cong"}],"accessed":{"date-parts":[["2021",11,29]]},"issued":{"date-parts":[["2021",7,7]]},"citation-key":"zhaoMultiprongedRegulatoryFunctions2021"}},{"id":1416,"uris":["http://zotero.org/groups/2667333/items/K4QYQDPH"],"itemData":{"id":1416,"type":"article-journal","abstract":"Alzheimer's disease (AD) is a neurodegenerative process characterized by the accumulation of extracellular deposits of amyloid β-peptide (Aβ), which induces neuronal death. Monomeric Aβ is not toxic but tends to aggregate into β-sheets that are neurotoxic. Therefore to prevent or delay AD onset and progression one of the main therapeutic approaches would be to impair Aβ assembly into oligomers and fibrils and to promote disaggregation of the preformed aggregate. Albumin is the most abundant protein in the cerebrospinal fluid and it was reported to bind Aβ impeding its aggregation. In a previous work we identified a 35-residue sequence of clusterin, a well-known protein that binds Aβ, that is highly similar to the C-terminus (CTerm) of albumin. In this work, the docking experiments show that the average binding free energy of the CTerm-Aβ1–42 simulations was significantly lower than that of the clusterin-Aβ1–42 binding, highlighting the possibility that the CTerm retains albumin's binding properties. To validate this observation, we performed in vitro structural analysis of soluble and aggregated 1 μM Aβ1–42 incubated with 5 μM CTerm, equimolar to the albumin concentration in the CSF. Reversed-phase chromatography and electron microscopy analysis demonstrated a reduction of Aβ1–42 aggregates when the CTerm was present. Furthermore, we treated a human neuroblastoma cell line with soluble and aggregated Aβ1–42 incubated with CTerm obtaining a significant protection against Aβ-induced neurotoxicity. These in silico and in vitro data suggest that the albumin CTerm is able to impair Aβ aggregation and to promote disassemble of Aβ aggregates protecting neurons.","container-title":"Computational and Structural Biotechnology Journal","DOI":"10.1016/j.csbj.2019.06.017","ISSN":"2001-0370","journalAbbreviation":"Computational and Structural Biotechnology Journal","language":"en","page":"963-971","source":"ScienceDirect","title":"Human Albumin Impairs Amyloid β-peptide Fibrillation Through its C-terminus: From docking Modeling to Protection Against Neurotoxicity in Alzheimer's disease","title-short":"Human Albumin Impairs Amyloid β-peptide Fibrillation Through its C-terminus","URL":"https://www.sciencedirect.com/science/article/pii/S2001037019300182","volume":"17","author":[{"family":"Picón-Pagès","given":"Pol"},{"family":"Bonet","given":"Jaume"},{"family":"García-García","given":"Javier"},{"family":"Garcia-Buendia","given":"Joan"},{"family":"Gutierrez","given":"Daniela"},{"family":"Valle","given":"Javier"},{"family":"Gómez-Casuso","given":"Carmen E. S."},{"family":"Sidelkivska","given":"Valeriya"},{"family":"Alvarez","given":"Alejandra"},{"family":"Perálvarez-Marín","given":"Alex"},{"family":"Suades","given":"Albert"},{"family":"Fernàndez-Busquets","given":"Xavier"},{"family":"Andreu","given":"David"},{"family":"Vicente","given":"Rubén"},{"family":"Oliva","given":"Baldomero"},{"family":"Muñoz","given":"Francisco J."}],"accessed":{"date-parts":[["2021",8,20]]},"issued":{"date-parts":[["2019",1,1]]},"citation-key":"picon-pagesHumanAlbuminImpairs2019"}},{"id":9541,"uris":["http://zotero.org/groups/2667333/items/F7ADVJGF"],"itemData":{"id":9541,"type":"article-journal","abstract":"Protein aggregation is a ubiquitous phenomenon underpinning the origins of a range of human diseases. The amyloid aggregation of human islet amyloid polypeptide (IAPP) and alpha synuclein (αS), specifically, is a hallmark of type 2 diabetes (T2D) and Parkinson's disease impacting millions of people worldwide. Although IAPP and αS are strongly associated with pancreatic β-cell islets and presynaptic terminals, they have also been found in blood circulation and the gut. While extensive biophysical and biochemical studies have been focused on IAPP and αS interacting with cell membranes or model lipid vesicles, the roles of plasma proteins on the amyloidosis and membrane association of these two major types of amyloid proteins have rarely been examined. Using a thioflavin T kinetic assay, transmission electron microscopy and a hemolysis assay here we show that human serum albumin, the most abundant protein in the plasma, impeded the fibrillization and mitigated membrane damage of both IAPP and αS. This study offers a new insight on the native inhibition of amyloidosis.","collection-title":"Protein Aggregation and Misfolding at the Cell Membrane Interface","container-title":"Biochimica et Biophysica Acta (BBA) - Biomembranes","DOI":"10.1016/j.bbamem.2018.01.015","ISSN":"0005-2736","issue":"9","journalAbbreviation":"Biochimica et Biophysica Acta (BBA) - Biomembranes","language":"en","page":"1803-1809","source":"ScienceDirect","title":"Serum albumin impedes the amyloid aggregation and hemolysis of human islet amyloid polypeptide and alpha synuclein","URL":"https://www.sciencedirect.com/science/article/pii/S000527361830021X","volume":"1860","author":[{"family":"Kakinen","given":"Aleksandr"},{"family":"Javed","given":"Ibrahim"},{"family":"Faridi","given":"Ava"},{"family":"Davis","given":"Thomas P."},{"family":"Ke","given":"Pu Chun"}],"accessed":{"date-parts":[["2021",9,13]]},"issued":{"date-parts":[["2018",9,1]]},"citation-key":"kakinenSerumAlbuminImpedes2018"}}],"schema":"https://github.com/citation-style-language/schema/raw/master/csl-citation.json"} </w:instrText>
      </w:r>
      <w:r w:rsidR="000D0843" w:rsidRPr="00904368">
        <w:rPr>
          <w:rFonts w:cstheme="minorHAnsi"/>
          <w:sz w:val="24"/>
          <w:szCs w:val="24"/>
        </w:rPr>
        <w:fldChar w:fldCharType="separate"/>
      </w:r>
      <w:r w:rsidR="008F09C1" w:rsidRPr="008F09C1">
        <w:rPr>
          <w:rFonts w:ascii="Arial" w:cs="Arial"/>
          <w:sz w:val="24"/>
          <w:vertAlign w:val="superscript"/>
        </w:rPr>
        <w:t>173–175</w:t>
      </w:r>
      <w:r w:rsidR="000D0843" w:rsidRPr="00904368">
        <w:rPr>
          <w:rFonts w:cstheme="minorHAnsi"/>
          <w:sz w:val="24"/>
          <w:szCs w:val="24"/>
        </w:rPr>
        <w:fldChar w:fldCharType="end"/>
      </w:r>
      <w:r w:rsidR="000D0843" w:rsidRPr="00904368">
        <w:rPr>
          <w:rFonts w:cstheme="minorHAnsi"/>
          <w:sz w:val="24"/>
          <w:szCs w:val="24"/>
        </w:rPr>
        <w:t xml:space="preserve"> </w:t>
      </w:r>
      <w:r w:rsidRPr="00904368">
        <w:rPr>
          <w:rFonts w:cstheme="minorHAnsi"/>
          <w:sz w:val="24"/>
          <w:szCs w:val="24"/>
        </w:rPr>
        <w:t xml:space="preserve">Akin to amyloid, co-aggregation with albumin creates soluble oligomeric form of [II] that is more toxic than its fibril form. In this study, we show the control over the aggregation kinetics and mechanism of [II] via albumin. The simplicity of [II] as an engineered tool allowed the detailed characterization of aggregates and their interactions with the lipid membranes that we showed with liposomes and fluorescent tagged peptides. We showed that the soluble form of peptides misfolded with albumin can integrate into the lipid membrane, while the ordered fibril structures do not interact with the liposomes. We studied the kinetics of the aggregations with spectroscopic methods with fluorescent probes. The morphology of </w:t>
      </w:r>
      <w:r w:rsidR="0000533B">
        <w:rPr>
          <w:rFonts w:cstheme="minorHAnsi"/>
          <w:sz w:val="24"/>
          <w:szCs w:val="24"/>
        </w:rPr>
        <w:t>globular aggregates</w:t>
      </w:r>
      <w:r w:rsidRPr="00904368">
        <w:rPr>
          <w:rFonts w:cstheme="minorHAnsi"/>
          <w:sz w:val="24"/>
          <w:szCs w:val="24"/>
        </w:rPr>
        <w:t xml:space="preserve"> to ordered fibrillar structures were analyzed by dynamic light scattering (DLS) and atomic force microscopy (AFM). In parallel with membrane localization, cellular cytotoxicity followed the similar trend. While fibrillar form of [II] did not cause any membrane damage and cellular cytotoxicity by delaying the peptide ordered fibrillization via albumin or by simply introducing the counterpart peptides in different time point, which allowed enough time for membrane localization to the soluble peptides. Lastly, the mechanism of cell death was correlated to the mechanical cell stress, identified through the phosphorylation of yes-associated protein (YAP) and eukaryotic initiation factor 2 alpha (eIF2</w:t>
      </w:r>
      <w:r w:rsidR="000D0843" w:rsidRPr="0000533B">
        <w:rPr>
          <w:rFonts w:ascii="Symbol" w:hAnsi="Symbol" w:cstheme="minorHAnsi"/>
          <w:sz w:val="24"/>
          <w:szCs w:val="24"/>
        </w:rPr>
        <w:t>a</w:t>
      </w:r>
      <w:r w:rsidRPr="00904368">
        <w:rPr>
          <w:rFonts w:cstheme="minorHAnsi"/>
          <w:sz w:val="24"/>
          <w:szCs w:val="24"/>
        </w:rPr>
        <w:t xml:space="preserve">) and found that the cell stress markers </w:t>
      </w:r>
      <w:r w:rsidR="000D0843" w:rsidRPr="00904368">
        <w:rPr>
          <w:rFonts w:cstheme="minorHAnsi"/>
          <w:sz w:val="24"/>
          <w:szCs w:val="24"/>
        </w:rPr>
        <w:t>like</w:t>
      </w:r>
      <w:r w:rsidRPr="00904368">
        <w:rPr>
          <w:rFonts w:cstheme="minorHAnsi"/>
          <w:sz w:val="24"/>
          <w:szCs w:val="24"/>
        </w:rPr>
        <w:t xml:space="preserve"> amyloid</w:t>
      </w:r>
      <w:r w:rsidR="000D0843" w:rsidRPr="00904368">
        <w:rPr>
          <w:rFonts w:cstheme="minorHAnsi"/>
          <w:sz w:val="24"/>
          <w:szCs w:val="24"/>
        </w:rPr>
        <w:t xml:space="preserve">-b </w:t>
      </w:r>
      <w:r w:rsidRPr="00904368">
        <w:rPr>
          <w:rFonts w:cstheme="minorHAnsi"/>
          <w:sz w:val="24"/>
          <w:szCs w:val="24"/>
        </w:rPr>
        <w:t>induced cytotoxicity. Importantly, we identified these stress markers in the cells treated with misfolded oligomers, not with ordered amyloid fibrillar form of [II]. Overall, [II] presents a simplistic tool to study the effects of physical and biological processes to understand aggregation process and function of amyloid like pathological proteins.</w:t>
      </w:r>
    </w:p>
    <w:p w14:paraId="49F9ECFB" w14:textId="72C0FCA4" w:rsidR="00904368" w:rsidRDefault="00904368" w:rsidP="00E44507">
      <w:pPr>
        <w:spacing w:line="480" w:lineRule="auto"/>
        <w:rPr>
          <w:rFonts w:cstheme="minorHAnsi"/>
          <w:sz w:val="24"/>
          <w:szCs w:val="24"/>
        </w:rPr>
      </w:pPr>
    </w:p>
    <w:p w14:paraId="70A9180F" w14:textId="77777777" w:rsidR="00904368" w:rsidRPr="00904368" w:rsidRDefault="00904368" w:rsidP="00E44507">
      <w:pPr>
        <w:spacing w:line="480" w:lineRule="auto"/>
        <w:rPr>
          <w:rFonts w:cstheme="minorHAnsi"/>
          <w:sz w:val="24"/>
          <w:szCs w:val="24"/>
        </w:rPr>
      </w:pPr>
    </w:p>
    <w:p w14:paraId="748AF105" w14:textId="727FC75D" w:rsidR="008519BC" w:rsidRPr="008519BC" w:rsidRDefault="000D0843">
      <w:pPr>
        <w:pStyle w:val="Heading2"/>
        <w:numPr>
          <w:ilvl w:val="1"/>
          <w:numId w:val="6"/>
        </w:numPr>
        <w:spacing w:line="480" w:lineRule="auto"/>
      </w:pPr>
      <w:bookmarkStart w:id="96" w:name="_Toc114946713"/>
      <w:bookmarkStart w:id="97" w:name="_Toc121134635"/>
      <w:r>
        <w:t>RESULTS AND DISCUSSION</w:t>
      </w:r>
      <w:bookmarkEnd w:id="96"/>
      <w:bookmarkEnd w:id="97"/>
    </w:p>
    <w:p w14:paraId="4A4C03F2" w14:textId="79F96B6D" w:rsidR="008519BC" w:rsidRDefault="008519BC">
      <w:pPr>
        <w:pStyle w:val="Heading3"/>
        <w:numPr>
          <w:ilvl w:val="2"/>
          <w:numId w:val="6"/>
        </w:numPr>
        <w:spacing w:line="480" w:lineRule="auto"/>
      </w:pPr>
      <w:bookmarkStart w:id="98" w:name="_Toc121134636"/>
      <w:r>
        <w:t>Peptide Design</w:t>
      </w:r>
      <w:r w:rsidR="00DF337E">
        <w:t xml:space="preserve"> and Aggregation Analysis</w:t>
      </w:r>
      <w:bookmarkEnd w:id="98"/>
    </w:p>
    <w:p w14:paraId="7E61F6A3" w14:textId="5349AAC9" w:rsidR="009B5A3E" w:rsidRPr="00904368" w:rsidRDefault="009B5A3E" w:rsidP="009B5A3E">
      <w:pPr>
        <w:spacing w:line="480" w:lineRule="auto"/>
        <w:rPr>
          <w:rFonts w:cstheme="minorHAnsi"/>
          <w:sz w:val="24"/>
          <w:szCs w:val="24"/>
        </w:rPr>
      </w:pPr>
      <w:r w:rsidRPr="00904368">
        <w:rPr>
          <w:rFonts w:cstheme="minorHAnsi"/>
          <w:sz w:val="24"/>
          <w:szCs w:val="24"/>
        </w:rPr>
        <w:t>Engineering the fine-tuned cellular aggregation of peptides requires well-characterized intermolecular interactions</w:t>
      </w:r>
      <w:r w:rsidRPr="00904368">
        <w:rPr>
          <w:rFonts w:cstheme="minorHAnsi"/>
          <w:sz w:val="24"/>
          <w:szCs w:val="24"/>
        </w:rPr>
        <w:fldChar w:fldCharType="begin"/>
      </w:r>
      <w:r w:rsidR="008F09C1">
        <w:rPr>
          <w:rFonts w:cstheme="minorHAnsi"/>
          <w:sz w:val="24"/>
          <w:szCs w:val="24"/>
        </w:rPr>
        <w:instrText xml:space="preserve"> ADDIN ZOTERO_ITEM CSL_CITATION {"citationID":"a1fsedboei5","properties":{"formattedCitation":"\\super 106,116\\nosupersub{}","plainCitation":"106,116","noteIndex":0},"citationItems":[{"id":4666,"uris":["http://zotero.org/groups/2667333/items/AE4BFMA4"],"itemData":{"id":4666,"type":"chapter","abstract":"Peptides play an essential role in biotechnological applications as therapeutic and diagnostic agents due to their tunable activity for desired function. So far, a variety of peptide therapeutics and their peptide-based carriers have been engineered for drug delivery applications. However, in order to design and develop such systems for tissue-specific applications, the cellular microenvironment must be properly considered. Peptide-based materials have vast potential applications, particularly for cancer-related systems. Thus, in this chapter, we first focus on different design strategies and considerations for drug-release mechanisms in peptide-based materials. Then, we explain how tumor microenvironments may be distinguished from healthy tissue, including discussion of tumor-specific drug delivery strategies. Finally, the growing significance of peptide chemotherapeutics will be emphasized in terms of design concerns and current applications.","container-title":"Peptide-based Biomaterials","ISBN":"978-1-78801-729-9","note":"DOI: 10.1039/9781839161148-00291","page":"291-334","publisher":"The Royal Society of Chemistry","title":"CHAPTER 9 Drug Delivery Applications of Peptide Materials","URL":"https://doi.org/10.1039/9781839161148-00291","author":[{"family":"Hamsici","given":"Seren"},{"family":"Gunay","given":"Gokhan"},{"family":"Kirit","given":"Hande"},{"family":"Kamatar","given":"Advika"},{"family":"Loving","given":"Kendrick"},{"family":"Acar","given":"Handan"}],"issued":{"date-parts":[["2021"]]},"citation-key":"hamsici_chapter_2021"}},{"id":4986,"uris":["http://zotero.org/groups/2667333/items/GEDC8K7D"],"itemData":{"id":4986,"type":"article-journal","abstract":"© 2016 Elsevier B.V. Peptides and peptide-conjugates, comprising natural and synthetic building blocks, are an increasingly popular class of biomaterials. Self-assembled nanostructures based on peptides and peptide-conjugates offer advantages such as precise selectivity and multifunctionality that can address challenges and limitations in the clinic. In this review article, we discuss recent developments in the design and self-assembly of various nanomaterials based on peptides and peptide-conjugates for medical applications, and categorize them into two themes based on the driving forces of molecular self-assembly. First, we present the self-assembled nanostructures driven by the supramolecular interactions between the peptides, with or without the presence of conjugates. The studies where nanoassembly is driven by the interactions between the conjugates of peptide-conjugates are then presented. Particular emphasis is given to in vivo studies focusing on therapeutics, diagnostics, immune modulation and regenerative medicine. Finally, challenges and future perspectives are presented.","container-title":"Advanced Drug Delivery Reviews","DOI":"10.1016/j.addr.2016.08.006","ISSN":"18728294","journalAbbreviation":"Adv. Drug Deliv. Rev.","page":"65-79","title":"Self-assembling peptide-based building blocks in medical applications","volume":"110-111","author":[{"family":"Acar","given":"H."},{"family":"Srivastava","given":"S."},{"family":"Chung","given":"E.J."},{"family":"Schnorenberg","given":"M.R."},{"family":"Barrett","given":"J.C."},{"family":"LaBelle","given":"J.L."},{"family":"Tirrell","given":"M."}],"issued":{"date-parts":[["2017"]]},"citation-key":"acarSelfassemblingPeptidebasedBuilding2017"}}],"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106,116</w:t>
      </w:r>
      <w:r w:rsidRPr="00904368">
        <w:rPr>
          <w:rFonts w:cstheme="minorHAnsi"/>
          <w:sz w:val="24"/>
          <w:szCs w:val="24"/>
        </w:rPr>
        <w:fldChar w:fldCharType="end"/>
      </w:r>
      <w:r w:rsidRPr="00904368">
        <w:rPr>
          <w:rFonts w:cstheme="minorHAnsi"/>
          <w:sz w:val="24"/>
          <w:szCs w:val="24"/>
        </w:rPr>
        <w:t>. Understanding these interactions allows the rational design of peptides to encompass desired properties, such as aggregation on the cell that induces stress for inducing ICD and cell membrane rupturing for DAMP release. We utilized the CoOP strategy to design peptides with strong enough affinity to aggregate in the cellular environment. The local charges in this design promote electrostatic interactions between two oppositely charged amino acids; the anionic carboxylate of Glutamic acid (E) and the cationic ammonium from Lysine (K) (</w:t>
      </w:r>
      <w:r w:rsidR="007D1F70" w:rsidRPr="00904368">
        <w:rPr>
          <w:rFonts w:cstheme="minorHAnsi"/>
          <w:sz w:val="24"/>
          <w:szCs w:val="24"/>
        </w:rPr>
        <w:t>Fig 3.1</w:t>
      </w:r>
      <w:r w:rsidRPr="00904368">
        <w:rPr>
          <w:rFonts w:cstheme="minorHAnsi"/>
          <w:sz w:val="24"/>
          <w:szCs w:val="24"/>
        </w:rPr>
        <w:t>) The deliberately short, charged design enables the internalization of CoOP-based peptides into cells</w:t>
      </w:r>
      <w:r w:rsidRPr="00904368">
        <w:rPr>
          <w:rFonts w:cstheme="minorHAnsi"/>
          <w:sz w:val="24"/>
          <w:szCs w:val="24"/>
        </w:rPr>
        <w:fldChar w:fldCharType="begin"/>
      </w:r>
      <w:r w:rsidR="008F09C1">
        <w:rPr>
          <w:rFonts w:cstheme="minorHAnsi"/>
          <w:sz w:val="24"/>
          <w:szCs w:val="24"/>
        </w:rPr>
        <w:instrText xml:space="preserve"> ADDIN ZOTERO_ITEM CSL_CITATION {"citationID":"ajjt242r37","properties":{"formattedCitation":"\\super 176\\nosupersub{}","plainCitation":"176","noteIndex":0},"citationItems":[{"id":5364,"uris":["http://zotero.org/groups/2667333/items/XTLDJCTR"],"itemData":{"id":5364,"type":"article-journal","abstract":"The interaction of antimicrobial peptides (AMPs) with biological membranes is in the focus of research since several years, and the most important features and modes of action of AMPs are described in this review. Different model systems can be used to understand such interactions on a molecular level. As a special example, we use 2D and 3D model membranes to investigate the interaction of the natural cyclic (Ar-1) and the synthetic linear molecule arenicin with selected amphiphiles and phospholipids. A panoply of sophisticated methods has been used to analyze these interactions on a molecular level. As a general trend, one observes that cationic antimicrobial peptides do not interact with cationic amphiphiles due to electrostatic repulsion, whereas with non-ionic amphiphiles, the peptide interacts only with aggregated systems and not with monomers. The interaction is weak (hydrophobic interaction) and requires an aggregated state with a large surface (cylindrical micelles). Anionic amphiphiles (as monomers or micelles) exhibit strong electrostatic interactions with the AMPs leading to changes in the peptide conformation. Both types of peptides interact strongly with anionic phospholipid monolayers with a preference for fluid layers. The interaction with a zwitterionic layer is almost absent for the linear derivative but measurable for the cyclic arenicin Ar-1. This is in accordance with biological experiments showing that Ar-1 forms well defined stable pores in phospholipid and lipopolysaccharide (LPS) membranes (cytotoxicity). The synthetic linear arenicin, which is less cytotoxic, does not affect the mammalian lipids to such an extent. The interaction of arenicin with bacterial membrane lipids is dominated by hydrogen bonding together with electrostatic and hydrophobic interactions.","collection-title":"Dominique Langevin Festschrift: Four Decades Opening Gates in Colloid and Interface Science","container-title":"Advances in Colloid and Interface Science","DOI":"10.1016/j.cis.2017.06.001","ISSN":"0001-8686","journalAbbreviation":"Advances in Colloid and Interface Science","language":"en","page":"521-532","source":"ScienceDirect","title":"The interaction of antimicrobial peptides with membranes","URL":"https://www.sciencedirect.com/science/article/pii/S0001868617301860","volume":"247","author":[{"family":"Travkova","given":"Oksana G."},{"family":"Moehwald","given":"Helmuth"},{"family":"Brezesinski","given":"Gerald"}],"accessed":{"date-parts":[["2021",8,7]]},"issued":{"date-parts":[["2017",9,1]]},"citation-key":"travkovaInteractionAntimicrobialPeptides2017"}}],"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176</w:t>
      </w:r>
      <w:r w:rsidRPr="00904368">
        <w:rPr>
          <w:rFonts w:cstheme="minorHAnsi"/>
          <w:sz w:val="24"/>
          <w:szCs w:val="24"/>
        </w:rPr>
        <w:fldChar w:fldCharType="end"/>
      </w:r>
      <w:r w:rsidRPr="00904368">
        <w:rPr>
          <w:rFonts w:cstheme="minorHAnsi"/>
          <w:sz w:val="24"/>
          <w:szCs w:val="24"/>
        </w:rPr>
        <w:t>. Design studies on multidomain peptides revealed the importance of hydrophobic amino acid localization in the core of the structures</w:t>
      </w:r>
      <w:r w:rsidRPr="00904368">
        <w:rPr>
          <w:rFonts w:cstheme="minorHAnsi"/>
          <w:sz w:val="24"/>
          <w:szCs w:val="24"/>
        </w:rPr>
        <w:fldChar w:fldCharType="begin"/>
      </w:r>
      <w:r w:rsidR="008F09C1">
        <w:rPr>
          <w:rFonts w:cstheme="minorHAnsi"/>
          <w:sz w:val="24"/>
          <w:szCs w:val="24"/>
        </w:rPr>
        <w:instrText xml:space="preserve"> ADDIN ZOTERO_ITEM CSL_CITATION {"citationID":"a2ftkho2ho9","properties":{"formattedCitation":"\\super 177\\nosupersub{}","plainCitation":"177","noteIndex":0},"citationItems":[{"id":2396,"uris":["http://zotero.org/groups/2667333/items/LCLXBZUY"],"itemData":{"id":2396,"type":"article-journal","abstract":"ConspectusMultidomain peptides (MDPs) are a class of self-assembling peptides that are organized in a β-sheet motif, resulting in a nanofibrous architecture. This structure is stabilized by hydrophobic packing in the fiber core and a hydrogen-bonding network down the fiber long axis. Under easily controllable conditions, regulated by electrostatic interactions between the peptides and the pH and salt composition of the solvent, the nanofiber length can be dramatically extended, resulting in fiber entanglement and hydrogel formation. One of the chief strengths of this supramolecular material is that the design criteria governing its structure and assembly are robust and permit a wide range of modifications without disruption. This allows the MDPs to be tailored to suit a wide range of applications, particularly in biomedical engineering. For example, delivery of small molecules, proteins, and cells is easily achievable. These materials can be trapped within the matrices of the hydrogel or trapped within the hydrophobic core of the nanofiber, depending on the cargo and the design of the MDP. Interactions between the nanofibers and their cargo can be tailored to alter the release profile, and in the most sophisticated cases, different cargos can be released in a cascading time-dependent fashion. The MDP hydrogel and its cargo can be targeted to specific locations, as the thixotropic nature of the hydrogel allows it to be easily aspirated into a syringe and then delivered from a narrow-bore needle. The sequence of amino acids making up the MDP can also be modified to permit cross-linking or enzymatic degradation. Selection of sequences with or without these modifications allows one to control the rate of degradation in vivo from as rapidly as 1 week to well over 6 weeks as the MDP nanofibers are degraded to their amino acid components. MDP sequences can also be modified to add biomimetic sequences derived from growth factors and other signaling proteins. These chemical signals are displayed at a very high density on the fibers’ surface, where they contribute to the modification of cellular behavior. We have used this approach to drive blood vessel formation, which is critical for tissue regeneration generally and more specifically for the treatment of diseases related to poor blood flow. MDPs represent an ideal case of bottom-up design where control of chemical structure leads to control of self-assembly and nanostructure and thereby control of material properties that collectively can control biological function.","container-title":"Accounts of Chemical Research","DOI":"10.1021/acs.accounts.6b00553","ISSN":"0001-4842","issue":"4","journalAbbreviation":"Acc. Chem. Res.","note":"ZSCC: 0000099\ntex.ids: moore_self-assembling_2017-1\npublisher: American Chemical Society","page":"714-722","source":"ACS Publications","title":"Self-Assembling Multidomain Peptide Nanofibers for Delivery of Bioactive Molecules and Tissue Regeneration","URL":"https://doi.org/10.1021/acs.accounts.6b00553","volume":"50","author":[{"family":"Moore","given":"Amanda N."},{"family":"Hartgerink","given":"Jeffrey D."}],"accessed":{"date-parts":[["2020",7,25]]},"issued":{"date-parts":[["2017",4,18]]},"citation-key":"mooreSelfAssemblingMultidomainPeptide2017"}}],"schema":"https://github.com/citation-style-language/schema/raw/master/csl-citation.json"}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177</w:t>
      </w:r>
      <w:r w:rsidRPr="00904368">
        <w:rPr>
          <w:rFonts w:cstheme="minorHAnsi"/>
          <w:sz w:val="24"/>
          <w:szCs w:val="24"/>
        </w:rPr>
        <w:fldChar w:fldCharType="end"/>
      </w:r>
      <w:r w:rsidRPr="00904368">
        <w:rPr>
          <w:rFonts w:cstheme="minorHAnsi"/>
          <w:sz w:val="24"/>
          <w:szCs w:val="24"/>
        </w:rPr>
        <w:t>. In particular, the interplay between the backbone hydrogen bonding and hydrophobic interactions among amino acid side-chains is crucial to the formation of fibrillar structures</w:t>
      </w:r>
      <w:r w:rsidRPr="00904368">
        <w:rPr>
          <w:rFonts w:cstheme="minorHAnsi"/>
          <w:sz w:val="24"/>
          <w:szCs w:val="24"/>
        </w:rPr>
        <w:fldChar w:fldCharType="begin"/>
      </w:r>
      <w:r w:rsidR="008F09C1">
        <w:rPr>
          <w:rFonts w:cstheme="minorHAnsi"/>
          <w:sz w:val="24"/>
          <w:szCs w:val="24"/>
        </w:rPr>
        <w:instrText xml:space="preserve"> ADDIN ZOTERO_ITEM CSL_CITATION {"citationID":"ahbudl9nti","properties":{"formattedCitation":"\\super 127\\nosupersub{}","plainCitation":"127","noteIndex":0},"citationItems":[{"id":3164,"uris":["http://zotero.org/groups/2667333/items/RIBH5HSW"],"itemData":{"id":3164,"type":"article-journal","container-title":"Soft Matter","DOI":"10.1039/C4SM00378K.","issue":"27","language":"en","page":"4956–4965","title":"Effects of Hydrophobic Interaction Strength on the Self-Assembled Structures of Model Peptides","URL":"https://doi.org/10.1039/C4SM00378K.","volume":"10","author":[{"family":"Mu","given":"Y."},{"family":"Yu","given":"M."}],"issued":{"date-parts":[["2014"]]},"citation-key":"muEffectsHydrophobicInteraction2014a"}}],"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127</w:t>
      </w:r>
      <w:r w:rsidRPr="00904368">
        <w:rPr>
          <w:rFonts w:cstheme="minorHAnsi"/>
          <w:sz w:val="24"/>
          <w:szCs w:val="24"/>
        </w:rPr>
        <w:fldChar w:fldCharType="end"/>
      </w:r>
      <w:r w:rsidRPr="00904368">
        <w:rPr>
          <w:rFonts w:cstheme="minorHAnsi"/>
          <w:sz w:val="24"/>
          <w:szCs w:val="24"/>
        </w:rPr>
        <w:t>. Therefore, to change the aggregation kinetics, we studied the hydrophobic amino acids in the substitution domain ("[XX]"), with increasing hydrophobicity indices; [AA] &lt; [VV] &lt; [WW] &lt; [LL] &lt; [II] (</w:t>
      </w:r>
      <w:r w:rsidR="007D1F70" w:rsidRPr="00904368">
        <w:rPr>
          <w:rFonts w:cstheme="minorHAnsi"/>
          <w:sz w:val="24"/>
          <w:szCs w:val="24"/>
        </w:rPr>
        <w:t>Fig. 3.1</w:t>
      </w:r>
      <w:r w:rsidRPr="00904368">
        <w:rPr>
          <w:rFonts w:cstheme="minorHAnsi"/>
          <w:sz w:val="24"/>
          <w:szCs w:val="24"/>
        </w:rPr>
        <w:t>)</w:t>
      </w:r>
      <w:r w:rsidR="007D1F70" w:rsidRPr="00904368">
        <w:rPr>
          <w:rFonts w:cstheme="minorHAnsi"/>
          <w:sz w:val="24"/>
          <w:szCs w:val="24"/>
        </w:rPr>
        <w:t xml:space="preserve">. LC and MS results were shown in Fig. 3.2. </w:t>
      </w:r>
    </w:p>
    <w:p w14:paraId="5767F5C2" w14:textId="341C9DCF" w:rsidR="008519BC" w:rsidRDefault="008519BC" w:rsidP="008519BC"/>
    <w:p w14:paraId="48DEE27E" w14:textId="29A3E2E0" w:rsidR="009B5A3E" w:rsidRDefault="009B5A3E" w:rsidP="008519BC"/>
    <w:p w14:paraId="5499F075" w14:textId="77777777" w:rsidR="009B5A3E" w:rsidRDefault="009B5A3E" w:rsidP="009B5A3E">
      <w:pPr>
        <w:keepNext/>
        <w:spacing w:line="480" w:lineRule="auto"/>
      </w:pPr>
      <w:r>
        <w:rPr>
          <w:noProof/>
        </w:rPr>
        <w:drawing>
          <wp:inline distT="0" distB="0" distL="0" distR="0" wp14:anchorId="6D02091A" wp14:editId="022414B3">
            <wp:extent cx="5943600" cy="5736590"/>
            <wp:effectExtent l="0" t="0" r="0" b="3810"/>
            <wp:docPr id="79" name="Picture 7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736590"/>
                    </a:xfrm>
                    <a:prstGeom prst="rect">
                      <a:avLst/>
                    </a:prstGeom>
                  </pic:spPr>
                </pic:pic>
              </a:graphicData>
            </a:graphic>
          </wp:inline>
        </w:drawing>
      </w:r>
    </w:p>
    <w:p w14:paraId="7C0D18B7" w14:textId="2114971B" w:rsidR="009B5A3E" w:rsidRPr="00D4639D" w:rsidRDefault="009B5A3E" w:rsidP="008A3EF7">
      <w:pPr>
        <w:pStyle w:val="Caption"/>
        <w:rPr>
          <w:b/>
        </w:rPr>
      </w:pPr>
      <w:bookmarkStart w:id="99" w:name="_Toc115118638"/>
      <w:r w:rsidRPr="00D4639D">
        <w:t xml:space="preserve">Figure 3. </w:t>
      </w:r>
      <w:fldSimple w:instr=" SEQ Figure_3. \* ARABIC ">
        <w:r w:rsidR="00785166">
          <w:rPr>
            <w:noProof/>
          </w:rPr>
          <w:t>1</w:t>
        </w:r>
      </w:fldSimple>
      <w:r w:rsidRPr="00D4639D">
        <w:t xml:space="preserve"> Peptide groups and aggregation kinetics. (A) CoOP groups and individual counterparts were used in this study. (B) CAC of co-assembled peptides with DPH. (C) Macroscopic CoOP aggregates incubated with Congo Red. (D) Determination of aggregation kinetics of CoOPs and (E) individual counterparts by ThT assay. Data are representative of three experiments.</w:t>
      </w:r>
      <w:bookmarkEnd w:id="99"/>
    </w:p>
    <w:p w14:paraId="7205F848" w14:textId="1D7A16AC" w:rsidR="009B5A3E" w:rsidRDefault="009B5A3E" w:rsidP="008A3EF7">
      <w:pPr>
        <w:pStyle w:val="Caption"/>
      </w:pPr>
    </w:p>
    <w:p w14:paraId="0F4382D2" w14:textId="595CC72F" w:rsidR="009B5A3E" w:rsidRDefault="009B5A3E" w:rsidP="008519BC"/>
    <w:p w14:paraId="575245CB" w14:textId="79207660" w:rsidR="009B5A3E" w:rsidRDefault="009B5A3E" w:rsidP="008519BC"/>
    <w:p w14:paraId="6D6A3A7B" w14:textId="5BA1D8E8" w:rsidR="009B5A3E" w:rsidRDefault="009B5A3E" w:rsidP="008519BC"/>
    <w:p w14:paraId="00514EFC" w14:textId="77777777" w:rsidR="009B5A3E" w:rsidRDefault="009B5A3E" w:rsidP="009B5A3E">
      <w:pPr>
        <w:keepNext/>
        <w:spacing w:after="0" w:line="240" w:lineRule="auto"/>
        <w:jc w:val="center"/>
      </w:pPr>
      <w:r w:rsidRPr="009B5A3E">
        <w:rPr>
          <w:rFonts w:ascii="Times New Roman" w:eastAsia="Times New Roman" w:hAnsi="Times New Roman" w:cs="Times New Roman"/>
          <w:sz w:val="24"/>
          <w:szCs w:val="24"/>
        </w:rPr>
        <w:fldChar w:fldCharType="begin"/>
      </w:r>
      <w:r w:rsidRPr="009B5A3E">
        <w:rPr>
          <w:rFonts w:ascii="Times New Roman" w:eastAsia="Times New Roman" w:hAnsi="Times New Roman" w:cs="Times New Roman"/>
          <w:sz w:val="24"/>
          <w:szCs w:val="24"/>
        </w:rPr>
        <w:instrText xml:space="preserve"> INCLUDEPICTURE "/var/folders/0d/4d11csxs46qgg8gvw_dgt0jm0000gn/T/com.microsoft.Word/WebArchiveCopyPasteTempFiles/page2image1064403296" \* MERGEFORMATINET </w:instrText>
      </w:r>
      <w:r w:rsidRPr="009B5A3E">
        <w:rPr>
          <w:rFonts w:ascii="Times New Roman" w:eastAsia="Times New Roman" w:hAnsi="Times New Roman" w:cs="Times New Roman"/>
          <w:sz w:val="24"/>
          <w:szCs w:val="24"/>
        </w:rPr>
        <w:fldChar w:fldCharType="separate"/>
      </w:r>
      <w:r w:rsidRPr="009B5A3E">
        <w:rPr>
          <w:rFonts w:ascii="Times New Roman" w:eastAsia="Times New Roman" w:hAnsi="Times New Roman" w:cs="Times New Roman"/>
          <w:noProof/>
          <w:sz w:val="24"/>
          <w:szCs w:val="24"/>
        </w:rPr>
        <w:drawing>
          <wp:inline distT="0" distB="0" distL="0" distR="0" wp14:anchorId="0C8CE3E1" wp14:editId="1ED99BF3">
            <wp:extent cx="4254197" cy="6905296"/>
            <wp:effectExtent l="0" t="0" r="635" b="3810"/>
            <wp:docPr id="81" name="Picture 81" descr="page2image106440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06440329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7520" cy="6910690"/>
                    </a:xfrm>
                    <a:prstGeom prst="rect">
                      <a:avLst/>
                    </a:prstGeom>
                    <a:noFill/>
                    <a:ln>
                      <a:noFill/>
                    </a:ln>
                  </pic:spPr>
                </pic:pic>
              </a:graphicData>
            </a:graphic>
          </wp:inline>
        </w:drawing>
      </w:r>
      <w:r w:rsidRPr="009B5A3E">
        <w:rPr>
          <w:rFonts w:ascii="Times New Roman" w:eastAsia="Times New Roman" w:hAnsi="Times New Roman" w:cs="Times New Roman"/>
          <w:sz w:val="24"/>
          <w:szCs w:val="24"/>
        </w:rPr>
        <w:fldChar w:fldCharType="end"/>
      </w:r>
    </w:p>
    <w:p w14:paraId="140EEFDB" w14:textId="35B53D3A" w:rsidR="009B5A3E" w:rsidRPr="00D4639D" w:rsidRDefault="009B5A3E" w:rsidP="008A3EF7">
      <w:pPr>
        <w:pStyle w:val="Caption"/>
        <w:rPr>
          <w:b/>
        </w:rPr>
      </w:pPr>
      <w:bookmarkStart w:id="100" w:name="_Toc115118639"/>
      <w:r w:rsidRPr="00D4639D">
        <w:t xml:space="preserve">Figure 3. </w:t>
      </w:r>
      <w:fldSimple w:instr=" SEQ Figure_3. \* ARABIC ">
        <w:r w:rsidR="00785166">
          <w:rPr>
            <w:noProof/>
          </w:rPr>
          <w:t>2</w:t>
        </w:r>
      </w:fldSimple>
      <w:r w:rsidRPr="00D4639D">
        <w:t xml:space="preserve">. LC and MS analysis of [LL] and [VV] peptides. </w:t>
      </w:r>
      <w:r w:rsidR="007D1F70" w:rsidRPr="00D4639D">
        <w:t>The exact molecular weight of KFFVVK: 765.49, KFFLLK:793.52 , EFFVVE: 809.4</w:t>
      </w:r>
      <w:r w:rsidR="008F62E8" w:rsidRPr="00D4639D">
        <w:t xml:space="preserve"> and </w:t>
      </w:r>
      <w:r w:rsidR="007D1F70" w:rsidRPr="00D4639D">
        <w:t>EFFLLE: 837.4</w:t>
      </w:r>
      <w:bookmarkEnd w:id="100"/>
      <w:r w:rsidR="008F62E8" w:rsidRPr="00D4639D">
        <w:t>3 m/z.</w:t>
      </w:r>
    </w:p>
    <w:p w14:paraId="6B0B2DA5" w14:textId="51D441E0" w:rsidR="009B5A3E" w:rsidRDefault="009B5A3E" w:rsidP="008519BC"/>
    <w:p w14:paraId="56F00105" w14:textId="2BFF4936" w:rsidR="009B5A3E" w:rsidRDefault="009B5A3E" w:rsidP="008519BC"/>
    <w:p w14:paraId="7BA8612C" w14:textId="52CEBA0A" w:rsidR="009B5A3E" w:rsidRDefault="009B5A3E" w:rsidP="008519BC"/>
    <w:p w14:paraId="74FFA261" w14:textId="4BAA0C03" w:rsidR="00DF337E" w:rsidRPr="00904368" w:rsidRDefault="00DF337E" w:rsidP="00DF337E">
      <w:pPr>
        <w:spacing w:line="480" w:lineRule="auto"/>
        <w:rPr>
          <w:rFonts w:cstheme="minorHAnsi"/>
          <w:sz w:val="24"/>
          <w:szCs w:val="24"/>
        </w:rPr>
      </w:pPr>
      <w:r w:rsidRPr="00904368">
        <w:rPr>
          <w:rFonts w:cstheme="minorHAnsi"/>
          <w:sz w:val="24"/>
          <w:szCs w:val="24"/>
        </w:rPr>
        <w:t>Characterization assays were performed in 1XPBS to mimic the salt concentration in the physiological conditions. The critical aggregation concentrations (CAC), i.e., the minimum concentration needed for co-assembly of the peptides, are measured with DPH ((1,6-diphenyl-1,3,5-hexatriene)), which becomes fluorescent when located in aggregates with hydrophobic cores</w:t>
      </w:r>
      <w:r w:rsidRPr="00904368">
        <w:rPr>
          <w:rFonts w:cstheme="minorHAnsi"/>
          <w:sz w:val="24"/>
          <w:szCs w:val="24"/>
        </w:rPr>
        <w:fldChar w:fldCharType="begin"/>
      </w:r>
      <w:r w:rsidR="008F09C1">
        <w:rPr>
          <w:rFonts w:cstheme="minorHAnsi"/>
          <w:sz w:val="24"/>
          <w:szCs w:val="24"/>
        </w:rPr>
        <w:instrText xml:space="preserve"> ADDIN ZOTERO_ITEM CSL_CITATION {"citationID":"a26mlg8149k","properties":{"formattedCitation":"\\super 178\\nosupersub{}","plainCitation":"178","noteIndex":0},"citationItems":[{"id":2202,"uris":["http://zotero.org/groups/2667333/items/VHVSVNGQ"],"itemData":{"id":2202,"type":"article-journal","container-title":"Soft Matter","DOI":"10.1039/C1SM05642E","issue":"20","language":"en","note":"publisher: Royal Society of Chemistry","page":"9737-9743","source":"pubs.rsc.org","title":"Mechanical and thermal stabilities of peptide amphiphile fibres","URL":"https://pubs.rsc.org/en/content/articlelanding/2011/sm/c1sm05642e","volume":"7","author":[{"family":"Heuvel","given":"Maaike","dropping-particle":"van den"},{"family":"Baptist","given":"H."},{"family":"Venema","given":"P."},{"family":"Linden","given":"E.","dropping-particle":"van der"},{"family":"M. Löwik","given":"Dennis W. P."},{"family":"Hest","given":"Jan C. M.","dropping-particle":"van"}],"accessed":{"date-parts":[["2021",7,15]]},"issued":{"date-parts":[["2011"]]},"citation-key":"heuvelMechanicalThermalStabilities2011"}}],"schema":"https://github.com/citation-style-language/schema/raw/master/csl-citation.json"}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178</w:t>
      </w:r>
      <w:r w:rsidRPr="00904368">
        <w:rPr>
          <w:rFonts w:cstheme="minorHAnsi"/>
          <w:sz w:val="24"/>
          <w:szCs w:val="24"/>
        </w:rPr>
        <w:fldChar w:fldCharType="end"/>
      </w:r>
      <w:r w:rsidRPr="00904368">
        <w:rPr>
          <w:rFonts w:cstheme="minorHAnsi"/>
          <w:sz w:val="24"/>
          <w:szCs w:val="24"/>
        </w:rPr>
        <w:t>. The CAC values of [VV]=200</w:t>
      </w:r>
      <w:r w:rsidRPr="00904368">
        <w:rPr>
          <w:rFonts w:cstheme="minorHAnsi"/>
          <w:sz w:val="24"/>
          <w:szCs w:val="24"/>
        </w:rPr>
        <w:sym w:font="Symbol" w:char="F0B1"/>
      </w:r>
      <w:r w:rsidRPr="00904368">
        <w:rPr>
          <w:rFonts w:cstheme="minorHAnsi"/>
          <w:sz w:val="24"/>
          <w:szCs w:val="24"/>
        </w:rPr>
        <w:t>26 mM [WW]=78.5</w:t>
      </w:r>
      <w:r w:rsidRPr="00904368">
        <w:rPr>
          <w:rFonts w:cstheme="minorHAnsi"/>
          <w:sz w:val="24"/>
          <w:szCs w:val="24"/>
        </w:rPr>
        <w:sym w:font="Symbol" w:char="F0B1"/>
      </w:r>
      <w:r w:rsidRPr="00904368">
        <w:rPr>
          <w:rFonts w:cstheme="minorHAnsi"/>
          <w:sz w:val="24"/>
          <w:szCs w:val="24"/>
        </w:rPr>
        <w:t>7 mM [LL]=44.7</w:t>
      </w:r>
      <w:r w:rsidRPr="00904368">
        <w:rPr>
          <w:rFonts w:cstheme="minorHAnsi"/>
          <w:sz w:val="24"/>
          <w:szCs w:val="24"/>
        </w:rPr>
        <w:sym w:font="Symbol" w:char="F0B1"/>
      </w:r>
      <w:r w:rsidRPr="00904368">
        <w:rPr>
          <w:rFonts w:cstheme="minorHAnsi"/>
          <w:sz w:val="24"/>
          <w:szCs w:val="24"/>
        </w:rPr>
        <w:t>12.5 mM and [II]=32</w:t>
      </w:r>
      <w:r w:rsidRPr="00904368">
        <w:rPr>
          <w:rFonts w:cstheme="minorHAnsi"/>
          <w:sz w:val="24"/>
          <w:szCs w:val="24"/>
        </w:rPr>
        <w:sym w:font="Symbol" w:char="F0B1"/>
      </w:r>
      <w:r w:rsidRPr="00904368">
        <w:rPr>
          <w:rFonts w:cstheme="minorHAnsi"/>
          <w:sz w:val="24"/>
          <w:szCs w:val="24"/>
        </w:rPr>
        <w:t>10 mM followed the same trend as the hydrophobicity of the amino acids at their core. (Fig 3.1B) The identified CAC values were correlated to our previous study</w:t>
      </w:r>
      <w:r w:rsidRPr="00904368">
        <w:rPr>
          <w:rFonts w:cstheme="minorHAnsi"/>
          <w:sz w:val="24"/>
          <w:szCs w:val="24"/>
        </w:rPr>
        <w:fldChar w:fldCharType="begin"/>
      </w:r>
      <w:r w:rsidR="008F09C1">
        <w:rPr>
          <w:rFonts w:cstheme="minorHAnsi"/>
          <w:sz w:val="24"/>
          <w:szCs w:val="24"/>
        </w:rPr>
        <w:instrText xml:space="preserve"> ADDIN ZOTERO_ITEM CSL_CITATION {"citationID":"av2s1gocft","properties":{"formattedCitation":"\\super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168</w:t>
      </w:r>
      <w:r w:rsidRPr="00904368">
        <w:rPr>
          <w:rFonts w:cstheme="minorHAnsi"/>
          <w:sz w:val="24"/>
          <w:szCs w:val="24"/>
        </w:rPr>
        <w:fldChar w:fldCharType="end"/>
      </w:r>
      <w:r w:rsidRPr="00904368">
        <w:rPr>
          <w:rFonts w:cstheme="minorHAnsi"/>
          <w:sz w:val="24"/>
          <w:szCs w:val="24"/>
        </w:rPr>
        <w:t xml:space="preserve">. No fluorescence was observed for [AA] even at 10 mM indicating no aggregation; therefore, this situation represents an excellent control for studying the effects of peptide aggregation, as the same concentration of peptides with similar sequences and charges will remain free components in solution. </w:t>
      </w:r>
    </w:p>
    <w:p w14:paraId="0E0559B4" w14:textId="5F489B2B" w:rsidR="00DF337E" w:rsidRPr="00904368" w:rsidRDefault="00DF337E" w:rsidP="00DF337E">
      <w:pPr>
        <w:spacing w:line="480" w:lineRule="auto"/>
        <w:rPr>
          <w:rFonts w:cstheme="minorHAnsi"/>
          <w:sz w:val="24"/>
          <w:szCs w:val="24"/>
        </w:rPr>
      </w:pPr>
      <w:r w:rsidRPr="00904368">
        <w:rPr>
          <w:rFonts w:cstheme="minorHAnsi"/>
          <w:sz w:val="24"/>
          <w:szCs w:val="24"/>
        </w:rPr>
        <w:t>The aggregation kinetics of the peptide pairs were measured with Congo Red and Thioflavin T (ThT) assays. Congo Red staining has been used to identify amyloid fibrils in vitro and tissue sections, emitting red light due to the binding of β-sheet rich domains, leading to a redshift in its absorbance peak from 490 to 512 nm</w:t>
      </w:r>
      <w:r w:rsidRPr="00904368">
        <w:rPr>
          <w:rFonts w:cstheme="minorHAnsi"/>
          <w:sz w:val="24"/>
          <w:szCs w:val="24"/>
        </w:rPr>
        <w:fldChar w:fldCharType="begin"/>
      </w:r>
      <w:r w:rsidR="008F09C1">
        <w:rPr>
          <w:rFonts w:cstheme="minorHAnsi"/>
          <w:sz w:val="24"/>
          <w:szCs w:val="24"/>
        </w:rPr>
        <w:instrText xml:space="preserve"> ADDIN ZOTERO_ITEM CSL_CITATION {"citationID":"ak1vgse28m","properties":{"formattedCitation":"\\super 179\\nosupersub{}","plainCitation":"179","noteIndex":0},"citationItems":[{"id":9750,"uris":["http://zotero.org/groups/2667333/items/HG5P6ZG7"],"itemData":{"id":9750,"type":"article-journal","abstract":"Staining with Congo Red (CR) is a qualitative method used for the identification of amyloids in vitro and in tissue sections. However, the drawbacks and artefacts obtained when using this dye can be found both in vitro and in vivo Analysis of scientific data from previous studies shows that CR staining alone is not sufficient for confirmation of the amyloid nature of protein aggregates in vitro or for diagnosis of amyloidosis in tissue sections. In the present paper, we describe the characteristics and limitations of other methods used for amyloid studies. Our historical review on the use of CR staining for amyloid studies may provide insight into the pitfalls and caveats related to this technique for researchers considering using this dye.","container-title":"Bioscience Reports","DOI":"10.1042/BSR20181415","ISSN":"1573-4935","issue":"1","journalAbbreviation":"Biosci Rep","language":"eng","note":"PMID: 30567726\nPMCID: PMC6331669\ntex.ids= yakupova_congo_2019","page":"BSR20181415","source":"PubMed","title":"Congo Red and amyloids: history and relationship","title-short":"Congo Red and amyloids","volume":"39","author":[{"family":"Yakupova","given":"Elmira I."},{"family":"Bobyleva","given":"Liya G."},{"family":"Vikhlyantsev","given":"Ivan M."},{"family":"Bobylev","given":"Alexander G."}],"issued":{"date-parts":[["2019",1,31]]},"citation-key":"yakupovaCongoRedAmyloids2019"}}],"schema":"https://github.com/citation-style-language/schema/raw/master/csl-citation.json"}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179</w:t>
      </w:r>
      <w:r w:rsidRPr="00904368">
        <w:rPr>
          <w:rFonts w:cstheme="minorHAnsi"/>
          <w:sz w:val="24"/>
          <w:szCs w:val="24"/>
        </w:rPr>
        <w:fldChar w:fldCharType="end"/>
      </w:r>
      <w:r w:rsidRPr="00904368">
        <w:rPr>
          <w:rFonts w:cstheme="minorHAnsi"/>
          <w:sz w:val="24"/>
          <w:szCs w:val="24"/>
        </w:rPr>
        <w:t>. We monitored the fluorescence of Congo red for 720 min (12 h) (Fig 3.1C) at 0.5 mM peptide concentration. [AA] precipitation appeared after 720 min; these are not likely to be ordered aggregates with hydrophobic cores because no DPH fluorescence was observed at this concentration. [II] aggregated instantaneously (0 min), while [LL] aggregates were deposited initially and became stable until 720 min. [WW] and [VV] did not show any initial aggregates but deposited after 30 min and 120 min, respectively. Despite the ease of visualization with red light, Congo Red is not as sensitive as ThT in understanding ordered structures since fluorescence methods (rather than absorption) are preferred for high-sensitivity detection</w:t>
      </w:r>
      <w:r w:rsidRPr="00904368">
        <w:rPr>
          <w:rFonts w:cstheme="minorHAnsi"/>
          <w:sz w:val="24"/>
          <w:szCs w:val="24"/>
        </w:rPr>
        <w:fldChar w:fldCharType="begin"/>
      </w:r>
      <w:r w:rsidR="008F09C1">
        <w:rPr>
          <w:rFonts w:cstheme="minorHAnsi"/>
          <w:sz w:val="24"/>
          <w:szCs w:val="24"/>
        </w:rPr>
        <w:instrText xml:space="preserve"> ADDIN ZOTERO_ITEM CSL_CITATION {"citationID":"a1b1k4t5d3v","properties":{"formattedCitation":"\\super 180\\nosupersub{}","plainCitation":"180","noteIndex":0},"citationItems":[{"id":9756,"uris":["http://zotero.org/groups/2667333/items/LS6F5P48"],"itemData":{"id":9756,"type":"chapter","abstract":"Fluorescence sensing of chemical and biochemical analytes is an active area of research.1–8 These efforts are driven by the desire to eliminate the use of radioactive tracers, which are costly to use and dispose of. There is also a need for rapid and low-cost testing methods for a wide range of clinical, bioprocess, and environmental applications. During the past decade numerous methods based on high-sensitivity fluorescence detection have been introduced, including DNA sequencing, DNA fragment analysis, fluorescence staining of gels following electrophoretic separation, and a variety of fluorescence immunoassays. Many of these analytical applications can be traced to the early reports by Undenfriend and coworkers,9 which anticipated many of today's applications of fluorescence. The more recent monographs6–8 have summarized the numerous analytical applications of fluorescence.Why is fluorescence rather than absorption used for high-sensitivity detection? Fluorescence is more sensitive because of the different ways of measuring absorbance and fluorescence. Light absorbance is measured as the difference in intensity between light passing through the reference and the sample. In fluorescence the intensity is measured directly, without comparison with a reference beam. Consider a 10−10 M solution of a substance with a molar extinction coefficient of 105 M−1 cm−1. The absorbance will be 10−5 per cm, which is equivalent to a percentage transmission of 99.9977%. Even with exceptional optics and electronics, it will be very difficult to detect the small percentage of absorbed light, 0.0023%. Even if the electronics allow measurement of such a low optical density, the cuvettes will show some variability in transmission and surface reflection, which will probably exceed the intensity difference due to an absorbance of 10−5. In contrast, fluorescence detection at 10−10 M is readily accomplished with most fluorometers. This advantage is due to measurement of the fluorescence relative to a dark background, as compared to the bright reference beam in an absorbance meas-urement. It is relatively easy to detect low levels of light, and the electronic impulses due to single photons are measurable with most photomultiplier tubes.","container-title":"Principles of Fluorescence Spectroscopy","event-place":"Boston, MA","ISBN":"978-0-387-46312-4","language":"en","note":"DOI: 10.1007/978-0-387-46312-4_19","page":"623-673","publisher":"Springer US","publisher-place":"Boston, MA","source":"Springer Link","title":"Fluorescence Sensing","URL":"https://doi.org/10.1007/978-0-387-46312-4_19","editor":[{"family":"Lakowicz","given":"Joseph R."}],"accessed":{"date-parts":[["2021",10,23]]},"issued":{"date-parts":[["2006"]]},"citation-key":"lakowiczFluorescenceSensing2006"}}],"schema":"https://github.com/citation-style-language/schema/raw/master/csl-citation.json"}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180</w:t>
      </w:r>
      <w:r w:rsidRPr="00904368">
        <w:rPr>
          <w:rFonts w:cstheme="minorHAnsi"/>
          <w:sz w:val="24"/>
          <w:szCs w:val="24"/>
        </w:rPr>
        <w:fldChar w:fldCharType="end"/>
      </w:r>
      <w:r w:rsidRPr="00904368">
        <w:rPr>
          <w:rFonts w:cstheme="minorHAnsi"/>
          <w:sz w:val="24"/>
          <w:szCs w:val="24"/>
        </w:rPr>
        <w:t>. Therefore, we use Congo Red as a visualization method, with ThT used for quantitative temporal measurements of oppositely charged pairs and each counterpart individually for 1200 min (20 h). To determine the time needed for equilibrium assembly of CoOPs, we applied curve fitting to the ThT analysis (Fig 3.1D). [AA] did not assemble and thus did not show any fluorescence in ThT. For the remaining peptide pairs, the time to reach equilibrium assembly was calculated as [VV] (660 min) &gt; [WW] (675 min) &gt; [LL] (630 min) &gt; [II] (510 min). Individual counterparts did not produce any fluorescence signal (Fig 3.1E). We observed that the like-charged groups alone did not aggregate, highlighting the importance of electrostatic attractions in the aggregation process</w:t>
      </w:r>
      <w:r w:rsidR="00EB3BC3" w:rsidRPr="00904368">
        <w:rPr>
          <w:rFonts w:cstheme="minorHAnsi"/>
          <w:sz w:val="24"/>
          <w:szCs w:val="24"/>
        </w:rPr>
        <w:t xml:space="preserve"> </w:t>
      </w:r>
      <w:r w:rsidRPr="00904368">
        <w:rPr>
          <w:rFonts w:cstheme="minorHAnsi"/>
          <w:sz w:val="24"/>
          <w:szCs w:val="24"/>
        </w:rPr>
        <w:t>(Fig 3.1D). Among the studied peptides, [II] showed the fastest aggregation and the highest fluorescence intensity, indicating that [II] has the highest affinity to each other, and these peptides are stacked in a more well-ordered structure than the other CoOPs. The TEM images of the aggregates showed one-dimensional structures (Fig 3.3). The use of the FF group in the CoOP sequence was for enhancing the one-dimensional aggregation; thus, the observed structures were expected. These results indicate that control over peptide aggregation is achieved by changing the hydrophobicity of amino acids in the substitution domain</w:t>
      </w:r>
      <w:r w:rsidR="00904368">
        <w:rPr>
          <w:rFonts w:cstheme="minorHAnsi"/>
          <w:sz w:val="24"/>
          <w:szCs w:val="24"/>
        </w:rPr>
        <w:t>.</w:t>
      </w:r>
    </w:p>
    <w:p w14:paraId="0B84CA93" w14:textId="77777777" w:rsidR="00DF337E" w:rsidRDefault="00DF337E" w:rsidP="00DF337E">
      <w:pPr>
        <w:keepNext/>
        <w:spacing w:line="480" w:lineRule="auto"/>
      </w:pPr>
      <w:r w:rsidRPr="0020151C">
        <w:rPr>
          <w:rFonts w:cstheme="minorHAnsi"/>
          <w:noProof/>
          <w:sz w:val="22"/>
          <w:szCs w:val="22"/>
        </w:rPr>
        <w:drawing>
          <wp:inline distT="0" distB="0" distL="0" distR="0" wp14:anchorId="55A12456" wp14:editId="21FBE730">
            <wp:extent cx="4940300" cy="1308100"/>
            <wp:effectExtent l="0" t="0" r="0" b="0"/>
            <wp:docPr id="82" name="Picture 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40300" cy="1308100"/>
                    </a:xfrm>
                    <a:prstGeom prst="rect">
                      <a:avLst/>
                    </a:prstGeom>
                  </pic:spPr>
                </pic:pic>
              </a:graphicData>
            </a:graphic>
          </wp:inline>
        </w:drawing>
      </w:r>
    </w:p>
    <w:p w14:paraId="7E4F089B" w14:textId="71714B42" w:rsidR="00DF337E" w:rsidRPr="00D4639D" w:rsidRDefault="00DF337E" w:rsidP="008A3EF7">
      <w:pPr>
        <w:pStyle w:val="Caption"/>
        <w:rPr>
          <w:b/>
          <w:bCs/>
        </w:rPr>
      </w:pPr>
      <w:bookmarkStart w:id="101" w:name="_Toc115118640"/>
      <w:r w:rsidRPr="00D4639D">
        <w:t xml:space="preserve">Figure 3. </w:t>
      </w:r>
      <w:fldSimple w:instr=" SEQ Figure_3. \* ARABIC ">
        <w:r w:rsidR="00785166">
          <w:rPr>
            <w:noProof/>
          </w:rPr>
          <w:t>3</w:t>
        </w:r>
      </w:fldSimple>
      <w:r w:rsidRPr="00D4639D">
        <w:t xml:space="preserve"> </w:t>
      </w:r>
      <w:r w:rsidR="00B76C1A" w:rsidRPr="00D4639D">
        <w:t xml:space="preserve">Morphological analysis of peptide structures. </w:t>
      </w:r>
      <w:r w:rsidRPr="00D4639D">
        <w:rPr>
          <w:bCs/>
        </w:rPr>
        <w:t>TEM images of [VV], [WW], [LL] and [II] peptides. Scale bar: 500 nm.</w:t>
      </w:r>
      <w:bookmarkEnd w:id="101"/>
    </w:p>
    <w:p w14:paraId="2E760719" w14:textId="1EF069D3" w:rsidR="00DF337E" w:rsidRPr="00DF337E" w:rsidRDefault="00DF337E">
      <w:pPr>
        <w:pStyle w:val="Heading3"/>
        <w:numPr>
          <w:ilvl w:val="2"/>
          <w:numId w:val="6"/>
        </w:numPr>
        <w:spacing w:line="480" w:lineRule="auto"/>
      </w:pPr>
      <w:bookmarkStart w:id="102" w:name="_Toc121134637"/>
      <w:r>
        <w:t>Cell Viability Analysis</w:t>
      </w:r>
      <w:bookmarkEnd w:id="102"/>
    </w:p>
    <w:p w14:paraId="6732827B" w14:textId="1322256C" w:rsidR="00DF337E" w:rsidRPr="00904368" w:rsidRDefault="00DF337E" w:rsidP="00DF337E">
      <w:pPr>
        <w:spacing w:line="480" w:lineRule="auto"/>
        <w:rPr>
          <w:rFonts w:cstheme="minorHAnsi"/>
          <w:sz w:val="24"/>
          <w:szCs w:val="24"/>
        </w:rPr>
      </w:pPr>
      <w:r w:rsidRPr="00904368">
        <w:rPr>
          <w:rFonts w:cstheme="minorHAnsi"/>
          <w:sz w:val="24"/>
          <w:szCs w:val="24"/>
        </w:rPr>
        <w:t xml:space="preserve">We used the human ovarian cancer cell line OVCAR-8 as our initial model to identify the effect of the peptides on cells. All cell culture experiments were performed in an RPMI cell culture medium with 10% FBS. At 0.5 mM (i.e., above the overall CAC), the individual peptides mixed on the cells by promptly adding the first negative, then positive counterparts. The viability of the cells was measured for 6h through live-dead imaging </w:t>
      </w:r>
      <w:r w:rsidR="00EB3BC3" w:rsidRPr="00904368">
        <w:rPr>
          <w:rFonts w:cstheme="minorHAnsi"/>
          <w:sz w:val="24"/>
          <w:szCs w:val="24"/>
        </w:rPr>
        <w:t xml:space="preserve">(Fig 3.4A) </w:t>
      </w:r>
      <w:r w:rsidRPr="00904368">
        <w:rPr>
          <w:rFonts w:cstheme="minorHAnsi"/>
          <w:sz w:val="24"/>
          <w:szCs w:val="24"/>
        </w:rPr>
        <w:t xml:space="preserve">Among the peptide groups studied, [AA], [VV], and [LL] did not affect cell viability in the measured time frame </w:t>
      </w:r>
      <w:r w:rsidR="00EB3BC3" w:rsidRPr="00904368">
        <w:rPr>
          <w:rFonts w:cstheme="minorHAnsi"/>
          <w:sz w:val="24"/>
          <w:szCs w:val="24"/>
        </w:rPr>
        <w:t>(Fig 3.4A)</w:t>
      </w:r>
      <w:r w:rsidRPr="00904368">
        <w:rPr>
          <w:rFonts w:cstheme="minorHAnsi"/>
          <w:sz w:val="24"/>
          <w:szCs w:val="24"/>
        </w:rPr>
        <w:t>. Only [WW] and [II] caused cell death compared to the control group. Because the peptides, if aggregate, form one-dimensional structures, the shape of the aggregates is not likely to be effective on the action of the peptides. [II] has the lowest CAC and highest ordered aggregation</w:t>
      </w:r>
      <w:r w:rsidR="00EB3BC3" w:rsidRPr="00904368">
        <w:rPr>
          <w:rFonts w:cstheme="minorHAnsi"/>
          <w:sz w:val="24"/>
          <w:szCs w:val="24"/>
        </w:rPr>
        <w:t xml:space="preserve"> (Fig 3.</w:t>
      </w:r>
      <w:r w:rsidR="001E6D3F" w:rsidRPr="00904368">
        <w:rPr>
          <w:rFonts w:cstheme="minorHAnsi"/>
          <w:sz w:val="24"/>
          <w:szCs w:val="24"/>
        </w:rPr>
        <w:t>2</w:t>
      </w:r>
      <w:r w:rsidR="00EB3BC3" w:rsidRPr="00904368">
        <w:rPr>
          <w:rFonts w:cstheme="minorHAnsi"/>
          <w:sz w:val="24"/>
          <w:szCs w:val="24"/>
        </w:rPr>
        <w:t>B, C, D)</w:t>
      </w:r>
      <w:r w:rsidRPr="00904368">
        <w:rPr>
          <w:rFonts w:cstheme="minorHAnsi"/>
          <w:sz w:val="24"/>
          <w:szCs w:val="24"/>
        </w:rPr>
        <w:t>. Additionally, the equilibrium time of [II] aggregations was the shortest among the tried groups. These all indicate that [II] peptides have the highest affinity to each other, which creates aggregations strong and fast enough to induce cell death.</w:t>
      </w:r>
    </w:p>
    <w:p w14:paraId="1103310E" w14:textId="760B53A2" w:rsidR="00EB3BC3" w:rsidRPr="00904368" w:rsidRDefault="001E6D3F" w:rsidP="00EB3BC3">
      <w:pPr>
        <w:spacing w:line="480" w:lineRule="auto"/>
        <w:rPr>
          <w:rFonts w:cstheme="minorHAnsi"/>
          <w:sz w:val="24"/>
          <w:szCs w:val="24"/>
        </w:rPr>
      </w:pPr>
      <w:r w:rsidRPr="00904368">
        <w:rPr>
          <w:rFonts w:asciiTheme="majorHAnsi" w:hAnsiTheme="majorHAnsi" w:cstheme="majorHAnsi"/>
          <w:color w:val="1C1D1E"/>
          <w:sz w:val="24"/>
          <w:szCs w:val="24"/>
          <w:shd w:val="clear" w:color="auto" w:fill="FFFFFF"/>
        </w:rPr>
        <w:t>To understand the effect of peptide aggregates versus peptides alone on the cell death identified with [WW] and [II], we performed a live/dead assay with individual peptides at 0.5 m</w:t>
      </w:r>
      <w:r w:rsidRPr="00904368">
        <w:rPr>
          <w:rStyle w:val="smallcaps"/>
          <w:rFonts w:asciiTheme="majorHAnsi" w:hAnsiTheme="majorHAnsi" w:cstheme="majorHAnsi"/>
          <w:color w:val="1C1D1E"/>
          <w:sz w:val="24"/>
          <w:szCs w:val="24"/>
        </w:rPr>
        <w:t>m</w:t>
      </w:r>
      <w:r w:rsidRPr="00904368">
        <w:rPr>
          <w:rStyle w:val="apple-converted-space"/>
          <w:rFonts w:asciiTheme="majorHAnsi" w:hAnsiTheme="majorHAnsi" w:cstheme="majorHAnsi"/>
          <w:color w:val="1C1D1E"/>
          <w:sz w:val="24"/>
          <w:szCs w:val="24"/>
          <w:shd w:val="clear" w:color="auto" w:fill="FFFFFF"/>
        </w:rPr>
        <w:t> </w:t>
      </w:r>
      <w:r w:rsidRPr="00904368">
        <w:rPr>
          <w:rFonts w:asciiTheme="majorHAnsi" w:hAnsiTheme="majorHAnsi" w:cstheme="majorHAnsi"/>
          <w:color w:val="1C1D1E"/>
          <w:sz w:val="24"/>
          <w:szCs w:val="24"/>
          <w:shd w:val="clear" w:color="auto" w:fill="FFFFFF"/>
        </w:rPr>
        <w:t xml:space="preserve">after 6h </w:t>
      </w:r>
      <w:r w:rsidRPr="00904368">
        <w:rPr>
          <w:rFonts w:cstheme="minorHAnsi"/>
          <w:sz w:val="24"/>
          <w:szCs w:val="24"/>
        </w:rPr>
        <w:t>(Fig 3.4A).</w:t>
      </w:r>
      <w:r w:rsidRPr="00904368">
        <w:rPr>
          <w:rStyle w:val="apple-converted-space"/>
          <w:rFonts w:asciiTheme="majorHAnsi" w:hAnsiTheme="majorHAnsi" w:cstheme="majorHAnsi"/>
          <w:color w:val="1C1D1E"/>
          <w:sz w:val="24"/>
          <w:szCs w:val="24"/>
          <w:shd w:val="clear" w:color="auto" w:fill="FFFFFF"/>
        </w:rPr>
        <w:t xml:space="preserve"> </w:t>
      </w:r>
      <w:r w:rsidR="00EB3BC3" w:rsidRPr="00904368">
        <w:rPr>
          <w:rFonts w:cstheme="minorHAnsi"/>
          <w:sz w:val="24"/>
          <w:szCs w:val="24"/>
        </w:rPr>
        <w:t>Despite the dramatic cell death observed with the [II] mixture at this concentration, the individual [II] peptides did not induce cell death. Similarly, the negative [WW] (EFFWWE) peptide alone did not show any cell death, yet the positive [WW] (KFFWWK) peptide induced the cell death (as indicated by red-stained cells). Positive charged peptides containing W are promiscuous residues for membrane damaging peptides, possibly because of W's ``anchoring'' role; W is abundant in membrane proteins, particularly near the lipid–water interface</w:t>
      </w:r>
      <w:r w:rsidR="00EB3BC3" w:rsidRPr="00904368">
        <w:rPr>
          <w:rFonts w:cstheme="minorHAnsi"/>
          <w:sz w:val="24"/>
          <w:szCs w:val="24"/>
        </w:rPr>
        <w:fldChar w:fldCharType="begin"/>
      </w:r>
      <w:r w:rsidR="008F09C1">
        <w:rPr>
          <w:rFonts w:cstheme="minorHAnsi"/>
          <w:sz w:val="24"/>
          <w:szCs w:val="24"/>
        </w:rPr>
        <w:instrText xml:space="preserve"> ADDIN ZOTERO_ITEM CSL_CITATION {"citationID":"a1ilihomdr9","properties":{"formattedCitation":"\\super 181,182\\nosupersub{}","plainCitation":"181,182","noteIndex":0},"citationItems":[{"id":5363,"uris":["http://zotero.org/groups/2667333/items/IXU554PZ"],"itemData":{"id":5363,"type":"article-journal","abstract":"Antimicrobial peptides encompass a number of different classes, including those that are rich in a particular amino acid. An important subset are peptides rich in Arg and Trp residues, such as indolicidin and tritrpticin, that have broad and potent antimicrobial activity. The importance of these two amino acids for antimicrobial activity was highlighted through the screening of a complete combinatorial library of hexapeptides. These residues possess some crucial chemical properties that make them suitable components of antimicrobial peptides. Trp has a distinct preference for the interfacial region of lipid bilayers, while Arg residues endow the peptides with cationic charges and hydrogen bonding properties necessary for interaction with the abundant anionic components of bacterial membranes. In combination, these two residues are capable of participating in cation–π interactions, thereby facilitating enhanced peptide–membrane interactions. Trp sidechains are also implicated in peptide and protein folding in aqueous solution, where they contribute by maintaining native and nonnative hydrophobic contacts. This has been observed for the antimicrobial peptide from human lactoferrin, possibly restraining the peptide structure in a suitable conformation to interact with the bacterial membrane. These unique properties make the Arg- and Trp-rich antimicrobial peptides highly active even at very short peptide lengths. Moreover, they lead to structures for membrane-mimetic bound peptides that go far beyond regular α-helices and β-sheet structures. In this review, the structures of a number of different Trp- and Arg-rich antimicrobial peptides are examined and some of the major mechanistic studies are presented.","collection-title":"Membrane Biophysics of Antimicrobial Peptides","container-title":"Biochimica et Biophysica Acta (BBA) - Biomembranes","DOI":"10.1016/j.bbamem.2006.04.006","ISSN":"0005-2736","issue":"9","journalAbbreviation":"Biochimica et Biophysica Acta (BBA) - Biomembranes","language":"en","page":"1184-1202","source":"ScienceDirect","title":"Tryptophan- and arginine-rich antimicrobial peptides: Structures and mechanisms of action","title-short":"Tryptophan- and arginine-rich antimicrobial peptides","URL":"https://www.sciencedirect.com/science/article/pii/S0005273606001404","volume":"1758","author":[{"family":"Chan","given":"David I."},{"family":"Prenner","given":"Elmar J."},{"family":"Vogel","given":"Hans J."}],"accessed":{"date-parts":[["2021",8,7]]},"issued":{"date-parts":[["2006",9,1]]},"citation-key":"chanTryptophanArgininerichAntimicrobial2006"}},{"id":3424,"uris":["http://zotero.org/groups/2667333/items/PQRVFW4Z"],"itemData":{"id":3424,"type":"article-journal","abstract":"Tryptophan (Trp) is abundant in membrane proteins, preferentially residing near the lipid–water interface where it is thought to play a significant anchoring role. Using a total of 3μs of molecular dynamics simulations for a library of hydrophobic WALP-like peptides, a long poly-Leu α-helix, and the methyl-indole analog, we explore the thermodynamics of the Trp movement in membranes that governs the stability and orientation of transmembrane protein segments. We examine the dominant hydrogen-bonding interactions between the Trp and lipid carbonyl and phosphate moieties, cation–π interactions to lipid choline moieties, and elucidate the contributions to the thermodynamics that serve to localize the Trp, by ~4kcal/mol, near the membrane glycerol backbone region. We show a striking similarity between the free energy to move an isolated Trp side chain to that found from a wide range of WALP peptides, suggesting that the location of this side chain is nearly independent of the host transmembrane segment. Our calculations provide quantitative measures that explain Trp's role as a modulator of responses to hydrophobic mismatch, providing a deeper understanding of how lipid composition may control a range of membrane active peptides and proteins.","container-title":"Biochimica et Biophysica Acta (BBA) - Biomembranes","DOI":"10.1016/j.bbamem.2012.09.009","ISSN":"0005-2736","issue":"2","journalAbbreviation":"Biochimica et Biophysica Acta (BBA) - Biomembranes","language":"en","note":"ZSCC: 0000126","page":"864-876","source":"ScienceDirect","title":"The role of tryptophan side chains in membrane protein anchoring and hydrophobic mismatch","URL":"http://www.sciencedirect.com/science/article/pii/S0005273612003227","volume":"1828","author":[{"family":"Jesus","given":"Armando J.","non-dropping-particle":"de"},{"family":"Allen","given":"Toby W."}],"accessed":{"date-parts":[["2020",7,25]]},"issued":{"date-parts":[["2013",2,1]]},"citation-key":"dejesusRoleTryptophanSide2013"}}],"schema":"https://github.com/citation-style-language/schema/raw/master/csl-citation.json"} </w:instrText>
      </w:r>
      <w:r w:rsidR="00EB3BC3" w:rsidRPr="00904368">
        <w:rPr>
          <w:rFonts w:cstheme="minorHAnsi"/>
          <w:sz w:val="24"/>
          <w:szCs w:val="24"/>
        </w:rPr>
        <w:fldChar w:fldCharType="separate"/>
      </w:r>
      <w:r w:rsidR="008F09C1" w:rsidRPr="008F09C1">
        <w:rPr>
          <w:rFonts w:ascii="Arial" w:cs="Arial"/>
          <w:sz w:val="24"/>
          <w:vertAlign w:val="superscript"/>
        </w:rPr>
        <w:t>181,182</w:t>
      </w:r>
      <w:r w:rsidR="00EB3BC3" w:rsidRPr="00904368">
        <w:rPr>
          <w:rFonts w:cstheme="minorHAnsi"/>
          <w:sz w:val="24"/>
          <w:szCs w:val="24"/>
        </w:rPr>
        <w:fldChar w:fldCharType="end"/>
      </w:r>
      <w:r w:rsidR="00EB3BC3" w:rsidRPr="00904368">
        <w:rPr>
          <w:rFonts w:cstheme="minorHAnsi"/>
          <w:sz w:val="24"/>
          <w:szCs w:val="24"/>
        </w:rPr>
        <w:t>. Furthermore, as analyzed by zeta-potential, individual peptides showed the expected overall charges at pH 7.0 ((pKa of (-COO</w:t>
      </w:r>
      <w:r w:rsidR="00EB3BC3" w:rsidRPr="00904368">
        <w:rPr>
          <w:rFonts w:cstheme="minorHAnsi"/>
          <w:sz w:val="24"/>
          <w:szCs w:val="24"/>
          <w:vertAlign w:val="superscript"/>
        </w:rPr>
        <w:t>-</w:t>
      </w:r>
      <w:r w:rsidR="00EB3BC3" w:rsidRPr="00904368">
        <w:rPr>
          <w:rFonts w:cstheme="minorHAnsi"/>
          <w:sz w:val="24"/>
          <w:szCs w:val="24"/>
        </w:rPr>
        <w:t>) of E is  4.25 and (-NH</w:t>
      </w:r>
      <w:r w:rsidR="00EB3BC3" w:rsidRPr="00904368">
        <w:rPr>
          <w:rFonts w:cstheme="minorHAnsi"/>
          <w:sz w:val="24"/>
          <w:szCs w:val="24"/>
          <w:vertAlign w:val="superscript"/>
        </w:rPr>
        <w:t>3+</w:t>
      </w:r>
      <w:r w:rsidR="00EB3BC3" w:rsidRPr="00904368">
        <w:rPr>
          <w:rFonts w:cstheme="minorHAnsi"/>
          <w:sz w:val="24"/>
          <w:szCs w:val="24"/>
        </w:rPr>
        <w:t xml:space="preserve">) of K is 10.53) </w:t>
      </w:r>
      <w:r w:rsidRPr="00904368">
        <w:rPr>
          <w:rFonts w:cstheme="minorHAnsi"/>
          <w:sz w:val="24"/>
          <w:szCs w:val="24"/>
        </w:rPr>
        <w:t>(Fig 3.4B, inset).</w:t>
      </w:r>
      <w:r w:rsidR="00EB3BC3" w:rsidRPr="00904368">
        <w:rPr>
          <w:rFonts w:cstheme="minorHAnsi"/>
          <w:sz w:val="24"/>
          <w:szCs w:val="24"/>
        </w:rPr>
        <w:t xml:space="preserve"> In an aqueous solution, the [II] aggregates acquire a neutral charge in 5 min, while [WW] showed a slight positive charge after 30 min, possibly due to incomplete assembly </w:t>
      </w:r>
      <w:r w:rsidRPr="00904368">
        <w:rPr>
          <w:rFonts w:cstheme="minorHAnsi"/>
          <w:sz w:val="24"/>
          <w:szCs w:val="24"/>
        </w:rPr>
        <w:t>(Fig 3.4B).</w:t>
      </w:r>
    </w:p>
    <w:p w14:paraId="427D8F39" w14:textId="3F546EBF" w:rsidR="00EB3BC3" w:rsidRPr="00904368" w:rsidRDefault="00EB3BC3" w:rsidP="00EB3BC3">
      <w:pPr>
        <w:spacing w:line="480" w:lineRule="auto"/>
        <w:rPr>
          <w:rFonts w:cstheme="minorHAnsi"/>
          <w:sz w:val="24"/>
          <w:szCs w:val="24"/>
        </w:rPr>
      </w:pPr>
      <w:r w:rsidRPr="00904368">
        <w:rPr>
          <w:rFonts w:cstheme="minorHAnsi"/>
          <w:sz w:val="24"/>
          <w:szCs w:val="24"/>
        </w:rPr>
        <w:t xml:space="preserve">Given the effects of individual [II] and [WW] on cell viability, we examined the order of addition of the peptide counterparts; first positive and then negative peptide, and vice versa </w:t>
      </w:r>
      <w:r w:rsidR="001E6D3F" w:rsidRPr="00904368">
        <w:rPr>
          <w:rFonts w:cstheme="minorHAnsi"/>
          <w:sz w:val="24"/>
          <w:szCs w:val="24"/>
        </w:rPr>
        <w:t>(Fig 3.4C).</w:t>
      </w:r>
      <w:r w:rsidRPr="00904368">
        <w:rPr>
          <w:rFonts w:cstheme="minorHAnsi"/>
          <w:sz w:val="24"/>
          <w:szCs w:val="24"/>
        </w:rPr>
        <w:t xml:space="preserve">The addition of KFFWWK first induced significantly higher cell death (****p&lt;0.0001) compared to the initial addition of negative peptide, indicating that the cell death is due to the positive charge of KFFWWK </w:t>
      </w:r>
      <w:r w:rsidR="001E6D3F" w:rsidRPr="00904368">
        <w:rPr>
          <w:rFonts w:cstheme="minorHAnsi"/>
          <w:sz w:val="24"/>
          <w:szCs w:val="24"/>
        </w:rPr>
        <w:t>(Fig 3.4D)</w:t>
      </w:r>
      <w:r w:rsidRPr="00904368">
        <w:rPr>
          <w:rFonts w:cstheme="minorHAnsi"/>
          <w:sz w:val="24"/>
          <w:szCs w:val="24"/>
        </w:rPr>
        <w:t xml:space="preserve">. Yet, any order change did not affect the membrane damage activity levels for [II] </w:t>
      </w:r>
      <w:r w:rsidR="001E6D3F" w:rsidRPr="00904368">
        <w:rPr>
          <w:rFonts w:cstheme="minorHAnsi"/>
          <w:sz w:val="24"/>
          <w:szCs w:val="24"/>
        </w:rPr>
        <w:t xml:space="preserve">(Fig 3.4E). </w:t>
      </w:r>
      <w:r w:rsidRPr="00904368">
        <w:rPr>
          <w:rFonts w:cstheme="minorHAnsi"/>
          <w:sz w:val="24"/>
          <w:szCs w:val="24"/>
        </w:rPr>
        <w:t>Moreover, mixing the peptides for 30 min or 24h before addition to the cells completely abolished the effect of [WW]</w:t>
      </w:r>
      <w:r w:rsidR="001E6D3F" w:rsidRPr="00904368">
        <w:rPr>
          <w:rFonts w:cstheme="minorHAnsi"/>
          <w:sz w:val="24"/>
          <w:szCs w:val="24"/>
        </w:rPr>
        <w:t xml:space="preserve"> (Fig 3.4D)</w:t>
      </w:r>
      <w:r w:rsidRPr="00904368">
        <w:rPr>
          <w:rFonts w:cstheme="minorHAnsi"/>
          <w:sz w:val="24"/>
          <w:szCs w:val="24"/>
        </w:rPr>
        <w:t>, indicating that the initial membrane damage was due to the positive charge of KFFWWK which was neutralized upon mixing and aggregation with its counterpart. Nevertheless, the pre-mixing did not alter the effect of [II] under these conditions</w:t>
      </w:r>
      <w:r w:rsidR="008A26B4" w:rsidRPr="00904368">
        <w:rPr>
          <w:rFonts w:cstheme="minorHAnsi"/>
          <w:sz w:val="24"/>
          <w:szCs w:val="24"/>
        </w:rPr>
        <w:t xml:space="preserve"> (Fig 3.4E)</w:t>
      </w:r>
      <w:r w:rsidRPr="00904368">
        <w:rPr>
          <w:rFonts w:cstheme="minorHAnsi"/>
          <w:sz w:val="24"/>
          <w:szCs w:val="24"/>
        </w:rPr>
        <w:t>, highlighting that [II] is the only peptide pair among those studied that induces cell death through the aggregation of its charged counterparts. Although these charges help peptides find each other even in low concentrations, the electrostatic interactions do not contribute to the stability or thermodynamic assembly of the peptides, which happens only through the hydrophobic amino acids in the core of the sequence</w:t>
      </w:r>
      <w:r w:rsidRPr="00904368">
        <w:rPr>
          <w:rFonts w:cstheme="minorHAnsi"/>
          <w:sz w:val="24"/>
          <w:szCs w:val="24"/>
        </w:rPr>
        <w:fldChar w:fldCharType="begin"/>
      </w:r>
      <w:r w:rsidR="008F09C1">
        <w:rPr>
          <w:rFonts w:cstheme="minorHAnsi"/>
          <w:sz w:val="24"/>
          <w:szCs w:val="24"/>
        </w:rPr>
        <w:instrText xml:space="preserve"> ADDIN ZOTERO_ITEM CSL_CITATION {"citationID":"a1kr2q55ojv","properties":{"formattedCitation":"\\super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168</w:t>
      </w:r>
      <w:r w:rsidRPr="00904368">
        <w:rPr>
          <w:rFonts w:cstheme="minorHAnsi"/>
          <w:sz w:val="24"/>
          <w:szCs w:val="24"/>
        </w:rPr>
        <w:fldChar w:fldCharType="end"/>
      </w:r>
      <w:r w:rsidRPr="00904368">
        <w:rPr>
          <w:rFonts w:cstheme="minorHAnsi"/>
          <w:sz w:val="24"/>
          <w:szCs w:val="24"/>
        </w:rPr>
        <w:t>. Our results show that increasing the hydrophobicity of the amino acid decreases the aggregation time, which has a direct effect on cell membrane damage.  Isoleucine is the most hydrophobic canonical amino acid, and [II] peptides have the highest affinity among the studied pairs and showed the lowest CAC in the shortest aggregation equilibrium time</w:t>
      </w:r>
      <w:r w:rsidR="008A26B4" w:rsidRPr="00904368">
        <w:rPr>
          <w:rFonts w:cstheme="minorHAnsi"/>
          <w:sz w:val="24"/>
          <w:szCs w:val="24"/>
        </w:rPr>
        <w:t xml:space="preserve">. </w:t>
      </w:r>
      <w:r w:rsidRPr="00904368">
        <w:rPr>
          <w:rFonts w:cstheme="minorHAnsi"/>
          <w:sz w:val="24"/>
          <w:szCs w:val="24"/>
        </w:rPr>
        <w:t xml:space="preserve">The affinity among [II] creates strong aggregates to induce </w:t>
      </w:r>
      <w:r w:rsidR="0047726B" w:rsidRPr="00904368">
        <w:rPr>
          <w:rFonts w:cstheme="minorHAnsi"/>
          <w:sz w:val="24"/>
          <w:szCs w:val="24"/>
        </w:rPr>
        <w:t>cell cytotoxicity.</w:t>
      </w:r>
    </w:p>
    <w:p w14:paraId="32CE1342" w14:textId="0EF73FCE" w:rsidR="008A26B4" w:rsidRPr="00DF337E" w:rsidRDefault="008A26B4">
      <w:pPr>
        <w:pStyle w:val="Heading3"/>
        <w:numPr>
          <w:ilvl w:val="2"/>
          <w:numId w:val="6"/>
        </w:numPr>
        <w:spacing w:line="480" w:lineRule="auto"/>
      </w:pPr>
      <w:bookmarkStart w:id="103" w:name="_Toc121134638"/>
      <w:r>
        <w:t xml:space="preserve">Cell Membrane Rupture </w:t>
      </w:r>
      <w:r w:rsidR="0047726B">
        <w:t>through Peptide Aggregation</w:t>
      </w:r>
      <w:bookmarkEnd w:id="103"/>
    </w:p>
    <w:p w14:paraId="7AAB64C4" w14:textId="229A78A5" w:rsidR="0047726B" w:rsidRPr="00904368" w:rsidRDefault="0047726B" w:rsidP="0047726B">
      <w:pPr>
        <w:spacing w:line="480" w:lineRule="auto"/>
        <w:rPr>
          <w:rFonts w:cstheme="minorHAnsi"/>
          <w:sz w:val="24"/>
          <w:szCs w:val="24"/>
        </w:rPr>
      </w:pPr>
      <w:r w:rsidRPr="00904368">
        <w:rPr>
          <w:rFonts w:cstheme="minorHAnsi"/>
          <w:sz w:val="24"/>
          <w:szCs w:val="24"/>
        </w:rPr>
        <w:t>The aggregation-induced membrane damage activity was only observed with [II]; we analyzed how it induces cell death. We used propidium iodide (PI) to understand cell membrane damage, a dye that does not permeate intact cell membranes</w:t>
      </w:r>
      <w:r w:rsidRPr="00904368">
        <w:rPr>
          <w:rFonts w:cstheme="minorHAnsi"/>
          <w:sz w:val="24"/>
          <w:szCs w:val="24"/>
        </w:rPr>
        <w:fldChar w:fldCharType="begin"/>
      </w:r>
      <w:r w:rsidR="008F09C1">
        <w:rPr>
          <w:rFonts w:cstheme="minorHAnsi"/>
          <w:sz w:val="24"/>
          <w:szCs w:val="24"/>
        </w:rPr>
        <w:instrText xml:space="preserve"> ADDIN ZOTERO_ITEM CSL_CITATION {"citationID":"afporin2al","properties":{"formattedCitation":"\\super 183\\nosupersub{}","plainCitation":"183","noteIndex":0},"citationItems":[{"id":2073,"uris":["http://zotero.org/groups/2667333/items/7BWVVZ7A"],"itemData":{"id":2073,"type":"article-journal","container-title":"Biochemical and Biophysical Research Communications","DOI":"10.1016/j.bbrc.2011.06.186","ISSN":"0006291X","issue":"3","journalAbbreviation":"Biochemical and Biophysical Research Communications","language":"en","page":"569-573","source":"DOI.org (Crossref)","title":"Discrimination between primary necrosis and apoptosis by necrostatin-1 in Annexin V-positive/propidium iodide-negative cells","URL":"https://linkinghub.elsevier.com/retrieve/pii/S0006291X11011995","volume":"411","author":[{"family":"Sawai","given":"Hirofumi"},{"family":"Domae","given":"Naochika"}],"accessed":{"date-parts":[["2021",8,17]]},"issued":{"date-parts":[["2011",8]]},"citation-key":"sawaiDiscriminationPrimaryNecrosis2011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183</w:t>
      </w:r>
      <w:r w:rsidRPr="00904368">
        <w:rPr>
          <w:rFonts w:cstheme="minorHAnsi"/>
          <w:sz w:val="24"/>
          <w:szCs w:val="24"/>
        </w:rPr>
        <w:fldChar w:fldCharType="end"/>
      </w:r>
      <w:r w:rsidRPr="00904368">
        <w:rPr>
          <w:rFonts w:cstheme="minorHAnsi"/>
          <w:sz w:val="24"/>
          <w:szCs w:val="24"/>
        </w:rPr>
        <w:t xml:space="preserve">. Fig. 3.5A shows cells treated with three concentrations of [II]: 0.25 mM 0.5 mM and 1 mM for 1, 6, and 24h. Increasing the concentration to 1 mM resulted in faster membrane damage, while decreasing the concentration to 0.25 mM (although still higher than the [II] CAC of 38 </w:t>
      </w:r>
      <w:r w:rsidRPr="00904368">
        <w:rPr>
          <w:rFonts w:ascii="Symbol" w:hAnsi="Symbol" w:cstheme="minorHAnsi"/>
          <w:sz w:val="24"/>
          <w:szCs w:val="24"/>
        </w:rPr>
        <w:t>m</w:t>
      </w:r>
      <w:r w:rsidRPr="00904368">
        <w:rPr>
          <w:rFonts w:cstheme="minorHAnsi"/>
          <w:sz w:val="24"/>
          <w:szCs w:val="24"/>
        </w:rPr>
        <w:t xml:space="preserve">M did not have sufficient aggregation to trigger membrane damage in this time frame. The time and concentration dependence membrane damage activity of [II] is likely to result from faster aggregation in higher concentrations. These results show that [II] induced cell death can be controlled through time and concentration. </w:t>
      </w:r>
    </w:p>
    <w:p w14:paraId="64CED5D8" w14:textId="77777777" w:rsidR="0047726B" w:rsidRDefault="0047726B" w:rsidP="0047726B">
      <w:pPr>
        <w:keepNext/>
        <w:spacing w:line="480" w:lineRule="auto"/>
        <w:jc w:val="center"/>
      </w:pPr>
      <w:r>
        <w:rPr>
          <w:rFonts w:ascii="Palatino Linotype" w:hAnsi="Palatino Linotype"/>
          <w:noProof/>
        </w:rPr>
        <w:drawing>
          <wp:inline distT="0" distB="0" distL="0" distR="0" wp14:anchorId="7AD47FCF" wp14:editId="50236459">
            <wp:extent cx="5924125" cy="6040582"/>
            <wp:effectExtent l="0" t="0" r="0" b="5080"/>
            <wp:docPr id="83" name="Picture 8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74712" cy="6092164"/>
                    </a:xfrm>
                    <a:prstGeom prst="rect">
                      <a:avLst/>
                    </a:prstGeom>
                  </pic:spPr>
                </pic:pic>
              </a:graphicData>
            </a:graphic>
          </wp:inline>
        </w:drawing>
      </w:r>
    </w:p>
    <w:p w14:paraId="37EB9C10" w14:textId="6C95451A" w:rsidR="0047726B" w:rsidRPr="00D4639D" w:rsidRDefault="0047726B" w:rsidP="008A3EF7">
      <w:pPr>
        <w:pStyle w:val="Caption"/>
        <w:rPr>
          <w:b/>
          <w:bCs/>
        </w:rPr>
      </w:pPr>
      <w:bookmarkStart w:id="104" w:name="_Toc115118641"/>
      <w:r w:rsidRPr="00D4639D">
        <w:t xml:space="preserve">Figure 3. </w:t>
      </w:r>
      <w:fldSimple w:instr=" SEQ Figure_3. \* ARABIC ">
        <w:r w:rsidR="00785166">
          <w:rPr>
            <w:noProof/>
          </w:rPr>
          <w:t>4</w:t>
        </w:r>
      </w:fldSimple>
      <w:r w:rsidRPr="00D4639D">
        <w:t xml:space="preserve"> Cytotoxicity of peptides to ovcar-8 cells. Negative peptides were added to the cells, followed by corresponding positive peptides. </w:t>
      </w:r>
      <w:r w:rsidRPr="00D4639D">
        <w:rPr>
          <w:bCs/>
        </w:rPr>
        <w:t xml:space="preserve">(A) live-dead images of ovcar-8 cells treated with peptide combinations and corresponding individual counterparts at 6h (peptide concentration is 0.5 mm) (B) zeta potential of individual and combined peptides. (C) illustration of peptide preparation for [WW] and [II]. The effect of peptide preparation on cell viability for [WW] (D) and [II] (E). The scale bar is 200 </w:t>
      </w:r>
      <w:r w:rsidRPr="00D4639D">
        <w:rPr>
          <w:rFonts w:ascii="Symbol" w:hAnsi="Symbol"/>
          <w:bCs/>
        </w:rPr>
        <w:t>m</w:t>
      </w:r>
      <w:r w:rsidRPr="00D4639D">
        <w:rPr>
          <w:bCs/>
        </w:rPr>
        <w:t>m. Data are representative of at least three experiments. Statistical analysis via one-way anova test, data are mean ± sd, ****p&lt;0.0001.</w:t>
      </w:r>
      <w:bookmarkEnd w:id="104"/>
    </w:p>
    <w:p w14:paraId="38E3AFD2" w14:textId="1394FDE2" w:rsidR="0047726B" w:rsidRPr="00904368" w:rsidRDefault="0047726B" w:rsidP="0047726B">
      <w:pPr>
        <w:spacing w:line="480" w:lineRule="auto"/>
        <w:rPr>
          <w:rFonts w:cstheme="minorHAnsi"/>
          <w:sz w:val="24"/>
          <w:szCs w:val="24"/>
        </w:rPr>
      </w:pPr>
      <w:r w:rsidRPr="00904368">
        <w:rPr>
          <w:rFonts w:cstheme="minorHAnsi"/>
          <w:sz w:val="24"/>
          <w:szCs w:val="24"/>
        </w:rPr>
        <w:t xml:space="preserve">The confocal images analyses of 0.5 mM [II], which induces &gt;85% of death in 6h </w:t>
      </w:r>
      <w:r w:rsidR="00810AEA" w:rsidRPr="00904368">
        <w:rPr>
          <w:rFonts w:cstheme="minorHAnsi"/>
          <w:sz w:val="24"/>
          <w:szCs w:val="24"/>
        </w:rPr>
        <w:t xml:space="preserve">(Fig.3.5 B) </w:t>
      </w:r>
      <w:r w:rsidRPr="00904368">
        <w:rPr>
          <w:rFonts w:cstheme="minorHAnsi"/>
          <w:sz w:val="24"/>
          <w:szCs w:val="24"/>
        </w:rPr>
        <w:t xml:space="preserve">showed cell swelling and nuclear condensation; hallmarks of necrotic cell death </w:t>
      </w:r>
      <w:r w:rsidR="00810AEA" w:rsidRPr="00904368">
        <w:rPr>
          <w:rFonts w:cstheme="minorHAnsi"/>
          <w:sz w:val="24"/>
          <w:szCs w:val="24"/>
        </w:rPr>
        <w:t xml:space="preserve">(Fig.3.5C,D). </w:t>
      </w:r>
      <w:r w:rsidRPr="00904368">
        <w:rPr>
          <w:rFonts w:cstheme="minorHAnsi"/>
          <w:sz w:val="24"/>
          <w:szCs w:val="24"/>
        </w:rPr>
        <w:fldChar w:fldCharType="begin"/>
      </w:r>
      <w:r w:rsidR="008F09C1">
        <w:rPr>
          <w:rFonts w:cstheme="minorHAnsi"/>
          <w:sz w:val="24"/>
          <w:szCs w:val="24"/>
        </w:rPr>
        <w:instrText xml:space="preserve"> ADDIN ZOTERO_ITEM CSL_CITATION {"citationID":"a25qe179c2c","properties":{"formattedCitation":"\\super 184\\nosupersub{}","plainCitation":"184","noteIndex":0},"citationItems":[{"id":2169,"uris":["http://zotero.org/groups/2667333/items/P6ZM8SCI"],"itemData":{"id":2169,"type":"article-journal","abstract":"Classification of apoptosis and necrosis by morphological difference has been widely used for decades. However, this method has been seriously doubt in recent years, mainly due to lack of functional and biochemical evidence to interpret the morphology changes. To address these questions, we devised genetic manipulations in Drosophila to study pyknosis, a process of nuclear shrinkage and chromatin condensation occurred in apoptosis and necrosis. By following the progression of necrotic pyknosis, we surprisingly observed a transient state of chromatin detachment from the nuclear envelope (NE), followed with the NE completely collapsed onto chromatin. This phenomenon leads us to discover that phosphorylation of barrier-to-autointegration factor (BAF) mediates this initial separation of NE from chromatin. Functionally, inhibition of BAF phosphorylation suppressed the necrosis in both Drosophila and human cells, suggesting necrotic pyknosis is conserved in the propagation of necrosis. In contrast, apoptotic pyknosis did not show a detached state of chromatin from NE and inhibition of BAF phosphorylation had no effect on apoptotic pyknosis and apoptosis. Our research provides the first genetic evidence supporting morphological classification of apoptosis and necrosis by pyknosis.","container-title":"Journal of Cell Science","DOI":"10.1242/jcs.184374","ISSN":"1477-9137, 0021-9533","language":"en","page":"jcs.184374","source":"DOI.org (Crossref)","title":"Necrotic pyknosis is a morphologically and biochemically distinct event from apoptotic pyknosis","URL":"https://journals.biologists.com/jcs/article/doi/10.1242/jcs.184374/260282/Necrotic-pyknosis-is-a-morphologically-and","author":[{"family":"Hou","given":"Lin"},{"family":"Liu","given":"Kai"},{"family":"Li","given":"Yuhong"},{"family":"Ma","given":"Shuang"},{"family":"Ji","given":"Xunming"},{"family":"Liu","given":"Lei"}],"accessed":{"date-parts":[["2021",8,1]]},"issued":{"date-parts":[["2016",1,1]]},"citation-key":"houNecroticPyknosisMorphologically2016"}}],"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184</w:t>
      </w:r>
      <w:r w:rsidRPr="00904368">
        <w:rPr>
          <w:rFonts w:cstheme="minorHAnsi"/>
          <w:sz w:val="24"/>
          <w:szCs w:val="24"/>
        </w:rPr>
        <w:fldChar w:fldCharType="end"/>
      </w:r>
      <w:r w:rsidR="00810AEA" w:rsidRPr="00904368">
        <w:rPr>
          <w:rFonts w:cstheme="minorHAnsi"/>
          <w:sz w:val="24"/>
          <w:szCs w:val="24"/>
        </w:rPr>
        <w:t xml:space="preserve"> </w:t>
      </w:r>
      <w:r w:rsidRPr="00904368">
        <w:rPr>
          <w:rFonts w:cstheme="minorHAnsi"/>
          <w:sz w:val="24"/>
          <w:szCs w:val="24"/>
        </w:rPr>
        <w:t>Aggregation was visualized by labeling the positive charged [II] (KFFIIK) peptide with FITC (green fluorescent). We monitored the internalization and aggregation of KFFIIK through fluorescence microscopy.</w:t>
      </w:r>
      <w:r w:rsidR="00810AEA" w:rsidRPr="00904368">
        <w:rPr>
          <w:rFonts w:cstheme="minorHAnsi"/>
          <w:sz w:val="24"/>
          <w:szCs w:val="24"/>
        </w:rPr>
        <w:t xml:space="preserve"> </w:t>
      </w:r>
      <w:r w:rsidRPr="00904368">
        <w:rPr>
          <w:rFonts w:cstheme="minorHAnsi"/>
          <w:sz w:val="24"/>
          <w:szCs w:val="24"/>
        </w:rPr>
        <w:t>KFFIIK alone was internalized into the cells starting at 1h</w:t>
      </w:r>
      <w:r w:rsidR="00810AEA" w:rsidRPr="00904368">
        <w:rPr>
          <w:rFonts w:cstheme="minorHAnsi"/>
          <w:sz w:val="24"/>
          <w:szCs w:val="24"/>
        </w:rPr>
        <w:t xml:space="preserve"> (Fig.3.5E)</w:t>
      </w:r>
      <w:r w:rsidRPr="00904368">
        <w:rPr>
          <w:rFonts w:cstheme="minorHAnsi"/>
          <w:sz w:val="24"/>
          <w:szCs w:val="24"/>
        </w:rPr>
        <w:t xml:space="preserve">, and cellular morphology did not change over time as KFFIIK alone does not cause cell death. When KFFIIK was introduced with its negatively charged counterpart, EFFIIE, the peptide-aggregation (more localized green KFFIIK) was apparent around and within the cells starting at 3h </w:t>
      </w:r>
      <w:r w:rsidR="00810AEA" w:rsidRPr="00904368">
        <w:rPr>
          <w:rFonts w:cstheme="minorHAnsi"/>
          <w:sz w:val="24"/>
          <w:szCs w:val="24"/>
        </w:rPr>
        <w:t>(Fig.3.5F)</w:t>
      </w:r>
      <w:r w:rsidRPr="00904368">
        <w:rPr>
          <w:rFonts w:cstheme="minorHAnsi"/>
          <w:sz w:val="24"/>
          <w:szCs w:val="24"/>
        </w:rPr>
        <w:t>. The peptide-aggregation induced nuclear area shrinking and loss of integrity of the cells (observed through the absence of actin fibers), indicating [II] aggregation-induced cell membrane damage and death.</w:t>
      </w:r>
    </w:p>
    <w:p w14:paraId="19F4CE27" w14:textId="48418293" w:rsidR="00810AEA" w:rsidRPr="00904368" w:rsidRDefault="00810AEA" w:rsidP="0047726B">
      <w:pPr>
        <w:spacing w:line="480" w:lineRule="auto"/>
        <w:rPr>
          <w:rFonts w:cstheme="minorHAnsi"/>
          <w:sz w:val="24"/>
          <w:szCs w:val="24"/>
        </w:rPr>
      </w:pPr>
      <w:r w:rsidRPr="00904368">
        <w:rPr>
          <w:rFonts w:cstheme="minorHAnsi"/>
          <w:sz w:val="24"/>
          <w:szCs w:val="24"/>
        </w:rPr>
        <w:t xml:space="preserve">Overall, among the peptides we studied [II] has the highest hydrophobicity which leads to lowest aggregation and fastest assembly. [II] aggregation also causes the highest cell death </w:t>
      </w:r>
      <w:r w:rsidR="00855662" w:rsidRPr="00904368">
        <w:rPr>
          <w:rFonts w:cstheme="minorHAnsi"/>
          <w:sz w:val="24"/>
          <w:szCs w:val="24"/>
        </w:rPr>
        <w:t xml:space="preserve">in serum albumin conditions. Next, we analyzed how [II] aggregated on cell membrane and how albumin affects the cell membrane damage. </w:t>
      </w:r>
    </w:p>
    <w:p w14:paraId="3AC0C99C" w14:textId="77777777" w:rsidR="00EB3BC3" w:rsidRDefault="00EB3BC3" w:rsidP="00DF337E">
      <w:pPr>
        <w:spacing w:line="480" w:lineRule="auto"/>
        <w:rPr>
          <w:rFonts w:cstheme="minorHAnsi"/>
          <w:sz w:val="22"/>
          <w:szCs w:val="22"/>
        </w:rPr>
      </w:pPr>
    </w:p>
    <w:p w14:paraId="28D7505B" w14:textId="77777777" w:rsidR="00DF337E" w:rsidRPr="00DF337E" w:rsidRDefault="00DF337E" w:rsidP="00DF337E"/>
    <w:p w14:paraId="0E1F9FE4" w14:textId="02E6193A" w:rsidR="009B5A3E" w:rsidRDefault="009B5A3E" w:rsidP="008519BC"/>
    <w:p w14:paraId="7CDC6DED" w14:textId="77777777" w:rsidR="008A26B4" w:rsidRDefault="008A26B4" w:rsidP="008A26B4">
      <w:pPr>
        <w:keepNext/>
      </w:pPr>
      <w:r>
        <w:rPr>
          <w:noProof/>
        </w:rPr>
        <w:drawing>
          <wp:inline distT="0" distB="0" distL="0" distR="0" wp14:anchorId="7D10F458" wp14:editId="2509DF24">
            <wp:extent cx="5682615" cy="6400800"/>
            <wp:effectExtent l="0" t="0" r="0" b="0"/>
            <wp:docPr id="84" name="Picture 8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video game&#10;&#10;Description automatically generated"/>
                    <pic:cNvPicPr/>
                  </pic:nvPicPr>
                  <pic:blipFill rotWithShape="1">
                    <a:blip r:embed="rId39" cstate="print">
                      <a:extLst>
                        <a:ext uri="{28A0092B-C50C-407E-A947-70E740481C1C}">
                          <a14:useLocalDpi xmlns:a14="http://schemas.microsoft.com/office/drawing/2010/main" val="0"/>
                        </a:ext>
                      </a:extLst>
                    </a:blip>
                    <a:srcRect b="22222"/>
                    <a:stretch/>
                  </pic:blipFill>
                  <pic:spPr bwMode="auto">
                    <a:xfrm>
                      <a:off x="0" y="0"/>
                      <a:ext cx="5682615" cy="6400800"/>
                    </a:xfrm>
                    <a:prstGeom prst="rect">
                      <a:avLst/>
                    </a:prstGeom>
                    <a:ln>
                      <a:noFill/>
                    </a:ln>
                    <a:extLst>
                      <a:ext uri="{53640926-AAD7-44D8-BBD7-CCE9431645EC}">
                        <a14:shadowObscured xmlns:a14="http://schemas.microsoft.com/office/drawing/2010/main"/>
                      </a:ext>
                    </a:extLst>
                  </pic:spPr>
                </pic:pic>
              </a:graphicData>
            </a:graphic>
          </wp:inline>
        </w:drawing>
      </w:r>
    </w:p>
    <w:p w14:paraId="04B0E733" w14:textId="0CB17062" w:rsidR="008A26B4" w:rsidRPr="00D4639D" w:rsidRDefault="008A26B4" w:rsidP="008A3EF7">
      <w:pPr>
        <w:pStyle w:val="Caption"/>
        <w:rPr>
          <w:i/>
          <w:iCs/>
        </w:rPr>
      </w:pPr>
      <w:bookmarkStart w:id="105" w:name="_Toc115118642"/>
      <w:r w:rsidRPr="00D4639D">
        <w:t xml:space="preserve">Figure 3. </w:t>
      </w:r>
      <w:fldSimple w:instr=" SEQ Figure_3. \* ARABIC ">
        <w:r w:rsidR="00785166">
          <w:rPr>
            <w:noProof/>
          </w:rPr>
          <w:t>5</w:t>
        </w:r>
      </w:fldSimple>
      <w:r w:rsidRPr="00D4639D">
        <w:t xml:space="preserve"> [II] induces membrane rupture. (</w:t>
      </w:r>
      <w:r w:rsidR="00B76C1A" w:rsidRPr="00D4639D">
        <w:t>A</w:t>
      </w:r>
      <w:r w:rsidRPr="00D4639D">
        <w:t>) time and concentration-dependent cell membrane damage of [</w:t>
      </w:r>
      <w:r w:rsidR="00B76C1A" w:rsidRPr="00D4639D">
        <w:t>II</w:t>
      </w:r>
      <w:r w:rsidRPr="00D4639D">
        <w:t xml:space="preserve">] were analyzed through pi uptake (scale bar is 100 </w:t>
      </w:r>
      <w:r w:rsidRPr="00D4639D">
        <w:rPr>
          <w:rFonts w:ascii="Symbol" w:hAnsi="Symbol"/>
        </w:rPr>
        <w:t>m</w:t>
      </w:r>
      <w:r w:rsidRPr="00D4639D">
        <w:t>m). (</w:t>
      </w:r>
      <w:r w:rsidR="00B76C1A" w:rsidRPr="00D4639D">
        <w:t>B</w:t>
      </w:r>
      <w:r w:rsidRPr="00D4639D">
        <w:t>) time-dependent viability measurement and (</w:t>
      </w:r>
      <w:r w:rsidR="00B76C1A" w:rsidRPr="00D4639D">
        <w:t>C</w:t>
      </w:r>
      <w:r w:rsidRPr="00D4639D">
        <w:t>) time-dependent nuclear size analysis. (d) actin cytoskeleton staining of [</w:t>
      </w:r>
      <w:r w:rsidR="00B76C1A" w:rsidRPr="00D4639D">
        <w:t>II</w:t>
      </w:r>
      <w:r w:rsidRPr="00D4639D">
        <w:t xml:space="preserve">] treated ovcar-8 cells at 1,3 and 6h, scale bar is 20 </w:t>
      </w:r>
      <w:r w:rsidRPr="00D4639D">
        <w:rPr>
          <w:rFonts w:ascii="Symbol" w:hAnsi="Symbol"/>
        </w:rPr>
        <w:t>m</w:t>
      </w:r>
      <w:r w:rsidRPr="00D4639D">
        <w:t xml:space="preserve">m. (e) internalization of </w:t>
      </w:r>
      <w:r w:rsidR="00B76C1A" w:rsidRPr="00D4639D">
        <w:t>FITC</w:t>
      </w:r>
      <w:r w:rsidRPr="00D4639D">
        <w:t>-</w:t>
      </w:r>
      <w:r w:rsidR="00B76C1A" w:rsidRPr="00D4639D">
        <w:t>KFFIIK</w:t>
      </w:r>
      <w:r w:rsidRPr="00D4639D">
        <w:t xml:space="preserve"> and (f) </w:t>
      </w:r>
      <w:r w:rsidR="00B76C1A" w:rsidRPr="00D4639D">
        <w:t>FITC</w:t>
      </w:r>
      <w:r w:rsidRPr="00D4639D">
        <w:t>-[</w:t>
      </w:r>
      <w:r w:rsidR="00B76C1A" w:rsidRPr="00D4639D">
        <w:t>II</w:t>
      </w:r>
      <w:r w:rsidRPr="00D4639D">
        <w:t xml:space="preserve">] for 1, 3 and 6h, scale bar is 100 </w:t>
      </w:r>
      <w:r w:rsidRPr="00D4639D">
        <w:rPr>
          <w:rFonts w:ascii="Symbol" w:hAnsi="Symbol"/>
        </w:rPr>
        <w:t>m</w:t>
      </w:r>
      <w:r w:rsidRPr="00D4639D">
        <w:t>m.</w:t>
      </w:r>
      <w:r w:rsidR="0047726B" w:rsidRPr="00D4639D">
        <w:t xml:space="preserve"> Data are representative of at least three experiments. Statistical analysis was done with one-way anova test. Data are mean ± sd, ****p&lt;0.0001.</w:t>
      </w:r>
      <w:bookmarkEnd w:id="105"/>
    </w:p>
    <w:p w14:paraId="156BF7FB" w14:textId="71582FA1" w:rsidR="00416EA6" w:rsidRDefault="00815888">
      <w:pPr>
        <w:pStyle w:val="Heading3"/>
        <w:numPr>
          <w:ilvl w:val="2"/>
          <w:numId w:val="6"/>
        </w:numPr>
        <w:spacing w:line="480" w:lineRule="auto"/>
      </w:pPr>
      <w:bookmarkStart w:id="106" w:name="_Toc114946714"/>
      <w:bookmarkStart w:id="107" w:name="_Toc121134639"/>
      <w:r>
        <w:t>I</w:t>
      </w:r>
      <w:r w:rsidR="00027B95">
        <w:t>ntegration of [</w:t>
      </w:r>
      <w:r w:rsidR="00A86D54">
        <w:t>II</w:t>
      </w:r>
      <w:r w:rsidR="00027B95">
        <w:t xml:space="preserve">] </w:t>
      </w:r>
      <w:r w:rsidR="005E1616">
        <w:t>P</w:t>
      </w:r>
      <w:r w:rsidR="00027B95">
        <w:t xml:space="preserve">eptides into </w:t>
      </w:r>
      <w:r w:rsidR="005E1616">
        <w:t>L</w:t>
      </w:r>
      <w:r w:rsidR="00027B95">
        <w:t xml:space="preserve">iposome </w:t>
      </w:r>
      <w:r w:rsidR="005E1616">
        <w:t>M</w:t>
      </w:r>
      <w:r w:rsidR="00027B95">
        <w:t>embranes</w:t>
      </w:r>
      <w:bookmarkEnd w:id="106"/>
      <w:bookmarkEnd w:id="107"/>
    </w:p>
    <w:p w14:paraId="0909093C" w14:textId="18E7A113" w:rsidR="00BE5D02" w:rsidRPr="00904368" w:rsidRDefault="00C54B8A" w:rsidP="00E44507">
      <w:pPr>
        <w:spacing w:line="480" w:lineRule="auto"/>
        <w:rPr>
          <w:sz w:val="21"/>
          <w:szCs w:val="21"/>
        </w:rPr>
      </w:pPr>
      <w:r w:rsidRPr="00904368">
        <w:rPr>
          <w:sz w:val="21"/>
          <w:szCs w:val="21"/>
        </w:rPr>
        <w:t xml:space="preserve">The membrane interaction of [II] peptides (Fig. 3.7) was analyzed using a liposomal membrane. </w:t>
      </w:r>
      <w:r w:rsidR="000D0843" w:rsidRPr="00904368">
        <w:rPr>
          <w:rFonts w:cstheme="minorHAnsi"/>
          <w:sz w:val="24"/>
          <w:szCs w:val="24"/>
        </w:rPr>
        <w:t>Liposomes are commonly used tools for the analysis of interactions between amyloids and lipid membranes.</w:t>
      </w:r>
      <w:r w:rsidR="000D0843" w:rsidRPr="00904368">
        <w:rPr>
          <w:rFonts w:cstheme="minorHAnsi"/>
          <w:sz w:val="24"/>
          <w:szCs w:val="24"/>
        </w:rPr>
        <w:fldChar w:fldCharType="begin"/>
      </w:r>
      <w:r w:rsidR="008F09C1">
        <w:rPr>
          <w:rFonts w:cstheme="minorHAnsi"/>
          <w:sz w:val="24"/>
          <w:szCs w:val="24"/>
        </w:rPr>
        <w:instrText xml:space="preserve"> ADDIN ZOTERO_ITEM CSL_CITATION {"citationID":"kELj8tz2","properties":{"formattedCitation":"\\super 185,186\\nosupersub{}","plainCitation":"185,186","noteIndex":0},"citationItems":[{"id":10704,"uris":["http://zotero.org/groups/2667333/items/L6UEUTQJ"],"itemData":{"id":10704,"type":"article-journal","abstract":"Host-defense peptides (HPDs) are bactericidal and immunomodulatory molecules, part of the innate immune system of many organisms, including man. They kill bacteria mostly by perturbing their membranes, and for this reason they are a promising class of molecules to fight drug-resistant microbes. However, their success towards clinical application is still limited, partly due to many unanswered questions on their activity and function. Our current understanding of HDPs has been reached by two parallel, but largely independent, approaches: microbiological studies on HDP effects on cells, and physicochemical investigations on model membranes. All current models for the mechanisms of HDP membrane perturbation and cell selectivity were derived from the latter kind of studies, but their relevance for real cells still had to be demonstrated. In the last few years, several studies led to quantitative insights into HDP behavior directly in cells: membrane-binding and peptide-induced pores in bacteria and liposomes were compared; the number of cell-bound peptide molecules needed to kill a bacterium was determined; the variation of peptide activity and toxicity with the density of cells was characterized; selectivity was examined in a mixture of target and host cells; the sequence of events leading to bacterial death was observed in real time by microscopy on single cells. Overall, these approaches led to a new understanding of HDPs that will be helpful for their development into effective antibiotic drugs.","container-title":"Peptide Science","DOI":"10.1002/pep2.24041","ISSN":"2475-8817","issue":"5","language":"en","note":"_eprint: https://onlinelibrary.wiley.com/doi/pdf/10.1002/pep2.24041","page":"e24041","source":"Wiley Online Library","title":"From liposomes to cells: Filling the gap between physicochemical and microbiological studies of the activity and selectivity of host-defense peptides","title-short":"From liposomes to cells","URL":"https://onlinelibrary.wiley.com/doi/abs/10.1002/pep2.24041","volume":"110","author":[{"family":"Savini","given":"Filippo"},{"family":"Bobone","given":"Sara"},{"family":"Roversi","given":"Daniela"},{"family":"Mangoni","given":"Maria Luisa"},{"family":"Stella","given":"Lorenzo"}],"accessed":{"date-parts":[["2022",4,8]]},"issued":{"date-parts":[["2018"]]},"citation-key":"saviniLiposomesCellsFilling2018"}},{"id":11144,"uris":["http://zotero.org/groups/2667333/items/77H54VC5"],"itemData":{"id":11144,"type":"article-journal","abstract":"The aggregation and deposition of amyloid β (Aβ) peptide onto neuronal cells, with consequent cellular membrane perturbation, are central to the pathogenesis of Alzheimer's disease (AD). Substantial evidence reveals that biological membranes play a key role in this process. Thus, elucidating the mechanisms by which Aβ interacts with biomembranes and becomes neurotoxic is fundamental to developing effective therapies for this devastating progressive disease. However, the structural basis behind such interactions is not fully understood, largely due to the complexity of natural membranes. In this context, lipid biomembrane models provide a simplified way to mimic the characteristics and composition of membranes. Aβ-biomembrane interactions have been extensively investigated applying artificial membrane models to elucidate the molecular mechanisms underlying the AD pathogenesis. This review summarizes the latest findings on this field using liposomes as biomembrane model, as they are considered the most promising 3D model. The current challenges and future directions are discussed.","container-title":"ChemPhysChem","DOI":"10.1002/cphc.202100124","ISSN":"1439-7641","issue":"15","language":"en","license":"© 2021 Wiley-VCH GmbH","note":"_eprint: https://onlinelibrary.wiley.com/doi/pdf/10.1002/cphc.202100124\nCitation Key: andrade_role_2021","page":"1547-1565","source":"Wiley Online Library","title":"The Role of Amyloid β-Biomembrane Interactions in the Pathogenesis of Alzheimer's Disease: Insights from Liposomes as Membrane Models","title-short":"The Role of Amyloid β-Biomembrane Interactions in the Pathogenesis of Alzheimer's Disease","URL":"https://onlinelibrary.wiley.com/doi/abs/10.1002/cphc.202100124","volume":"22","author":[{"family":"Andrade","given":"Stéphanie"},{"family":"Loureiro","given":"Joana Angélica"},{"family":"Pereira","given":"Maria Carmo"}],"accessed":{"date-parts":[["2022",5,28]]},"issued":{"date-parts":[["2021"]]},"citation-key":"andrade_role_2021"}}],"schema":"https://github.com/citation-style-language/schema/raw/master/csl-citation.json"} </w:instrText>
      </w:r>
      <w:r w:rsidR="000D0843" w:rsidRPr="00904368">
        <w:rPr>
          <w:rFonts w:cstheme="minorHAnsi"/>
          <w:sz w:val="24"/>
          <w:szCs w:val="24"/>
        </w:rPr>
        <w:fldChar w:fldCharType="separate"/>
      </w:r>
      <w:r w:rsidR="008F09C1" w:rsidRPr="008F09C1">
        <w:rPr>
          <w:rFonts w:ascii="Arial" w:cs="Arial"/>
          <w:sz w:val="24"/>
          <w:vertAlign w:val="superscript"/>
        </w:rPr>
        <w:t>185,186</w:t>
      </w:r>
      <w:r w:rsidR="000D0843" w:rsidRPr="00904368">
        <w:rPr>
          <w:rFonts w:cstheme="minorHAnsi"/>
          <w:sz w:val="24"/>
          <w:szCs w:val="24"/>
        </w:rPr>
        <w:fldChar w:fldCharType="end"/>
      </w:r>
      <w:r w:rsidR="000D0843" w:rsidRPr="00904368">
        <w:rPr>
          <w:rFonts w:cstheme="minorHAnsi"/>
          <w:sz w:val="24"/>
          <w:szCs w:val="24"/>
        </w:rPr>
        <w:t xml:space="preserve"> We used the agarose embedded liposomes (blue, app. 100 mm in diameter, Fig 3.</w:t>
      </w:r>
      <w:r w:rsidRPr="00904368">
        <w:rPr>
          <w:rFonts w:cstheme="minorHAnsi"/>
          <w:sz w:val="24"/>
          <w:szCs w:val="24"/>
        </w:rPr>
        <w:t>6</w:t>
      </w:r>
      <w:r w:rsidR="000D0843" w:rsidRPr="00904368">
        <w:rPr>
          <w:rFonts w:cstheme="minorHAnsi"/>
          <w:sz w:val="24"/>
          <w:szCs w:val="24"/>
        </w:rPr>
        <w:t>) for long time imaging and the fluorescence tagged [II] peptides (KFFIIK with FITC (green) and EFFIIE with rhodamine B (red))</w:t>
      </w:r>
      <w:r w:rsidR="00BE5D02" w:rsidRPr="00904368">
        <w:rPr>
          <w:rFonts w:cstheme="minorHAnsi"/>
          <w:sz w:val="24"/>
          <w:szCs w:val="24"/>
        </w:rPr>
        <w:t xml:space="preserve"> mixed with unlabeled counterparts (Fig 3.2)</w:t>
      </w:r>
      <w:r w:rsidR="000D0843" w:rsidRPr="00904368">
        <w:rPr>
          <w:rFonts w:cstheme="minorHAnsi"/>
          <w:sz w:val="24"/>
          <w:szCs w:val="24"/>
        </w:rPr>
        <w:t xml:space="preserve"> to identify their membrane interactions (Fig. 3.</w:t>
      </w:r>
      <w:r w:rsidR="0002287C" w:rsidRPr="00904368">
        <w:rPr>
          <w:rFonts w:cstheme="minorHAnsi"/>
          <w:sz w:val="24"/>
          <w:szCs w:val="24"/>
        </w:rPr>
        <w:t>8</w:t>
      </w:r>
      <w:r w:rsidR="000D0843" w:rsidRPr="00904368">
        <w:rPr>
          <w:rFonts w:cstheme="minorHAnsi"/>
          <w:sz w:val="24"/>
          <w:szCs w:val="24"/>
        </w:rPr>
        <w:t>A).</w:t>
      </w:r>
      <w:r w:rsidR="000D0843" w:rsidRPr="00904368">
        <w:rPr>
          <w:rFonts w:cstheme="minorHAnsi"/>
          <w:sz w:val="24"/>
          <w:szCs w:val="24"/>
        </w:rPr>
        <w:fldChar w:fldCharType="begin"/>
      </w:r>
      <w:r w:rsidR="008F09C1">
        <w:rPr>
          <w:rFonts w:cstheme="minorHAnsi"/>
          <w:sz w:val="24"/>
          <w:szCs w:val="24"/>
        </w:rPr>
        <w:instrText xml:space="preserve"> ADDIN ZOTERO_ITEM CSL_CITATION {"citationID":"Py4tTyQo","properties":{"formattedCitation":"\\super 187\\nosupersub{}","plainCitation":"187","noteIndex":0},"citationItems":[{"id":11005,"uris":["http://zotero.org/groups/2667333/items/SPPRRXYK"],"itemData":{"id":11005,"type":"article-journal","abstract":"This paper describes a method to form giant liposomes in solutions of physiologic ionic strength, such as phosphate buffered saline (PBS) or 150 mM KCl. Formation of these cell-sized liposomes proceeded from hybrid films of partially dried agarose and lipids. Hydrating the films of agarose and lipids in aqueous salt solutions resulted in swelling and partial dissolution of the hybrid films and in concomitant rapid formation of giant liposomes in high yield. This method did not require the presence of an electric field or specialized lipids; it generated giant liposomes from pure phosphatidylcholine lipids or from lipid mixtures that contained cholesterol or negatively charged lipids. Hybrid films of agarose and lipids even enabled the formation of giant liposomes in PBS from lipid compositions that are typically problematic for liposome formation, such as pure phosphatidylserine, pure phosphatidylglycerol, and asolectin. This paper discusses biophysical aspects of the formation of giant liposomes from hybrid films of agarose and lipids in comparison to established methods and shows that gentle hydration of hybrid films of agarose and lipids is a simple, rapid, and reproducible procedure to generate giant liposomes of various lipid compositions in solutions of physiologic ionic strength without the need for specialized equipment.","container-title":"Journal of the American Chemical Society","DOI":"10.1021/ja805625u","ISSN":"0002-7863","issue":"5","journalAbbreviation":"J. Am. Chem. Soc.","note":"publisher: American Chemical Society","page":"1810-1819","source":"ACS Publications","title":"Films of Agarose Enable Rapid Formation of Giant Liposomes in Solutions of Physiologic Ionic Strength","URL":"https://doi.org/10.1021/ja805625u","volume":"131","author":[{"family":"Horger","given":"Kim S."},{"family":"Estes","given":"Daniel J."},{"family":"Capone","given":"Ricardo"},{"family":"Mayer","given":"Michael"}],"accessed":{"date-parts":[["2022",5,4]]},"issued":{"date-parts":[["2009",2,11]]},"citation-key":"horger_films_2009"}}],"schema":"https://github.com/citation-style-language/schema/raw/master/csl-citation.json"} </w:instrText>
      </w:r>
      <w:r w:rsidR="000D0843" w:rsidRPr="00904368">
        <w:rPr>
          <w:rFonts w:cstheme="minorHAnsi"/>
          <w:sz w:val="24"/>
          <w:szCs w:val="24"/>
        </w:rPr>
        <w:fldChar w:fldCharType="separate"/>
      </w:r>
      <w:r w:rsidR="008F09C1" w:rsidRPr="008F09C1">
        <w:rPr>
          <w:rFonts w:ascii="Arial" w:cs="Arial"/>
          <w:sz w:val="24"/>
          <w:vertAlign w:val="superscript"/>
        </w:rPr>
        <w:t>187</w:t>
      </w:r>
      <w:r w:rsidR="000D0843" w:rsidRPr="00904368">
        <w:rPr>
          <w:rFonts w:cstheme="minorHAnsi"/>
          <w:sz w:val="24"/>
          <w:szCs w:val="24"/>
        </w:rPr>
        <w:fldChar w:fldCharType="end"/>
      </w:r>
      <w:r w:rsidR="000D0843" w:rsidRPr="00904368">
        <w:rPr>
          <w:rFonts w:cstheme="minorHAnsi"/>
          <w:sz w:val="24"/>
          <w:szCs w:val="24"/>
        </w:rPr>
        <w:t xml:space="preserve"> 30 min premixed [II] as in Fig. 3.</w:t>
      </w:r>
      <w:r w:rsidR="0002287C" w:rsidRPr="00904368">
        <w:rPr>
          <w:rFonts w:cstheme="minorHAnsi"/>
          <w:sz w:val="24"/>
          <w:szCs w:val="24"/>
        </w:rPr>
        <w:t>8</w:t>
      </w:r>
      <w:r w:rsidR="000D0843" w:rsidRPr="00904368">
        <w:rPr>
          <w:rFonts w:cstheme="minorHAnsi"/>
          <w:sz w:val="24"/>
          <w:szCs w:val="24"/>
        </w:rPr>
        <w:t>Ai initiates the interaction of oppositely charged groups, as the</w:t>
      </w:r>
      <w:r w:rsidR="000D0843" w:rsidRPr="00904368">
        <w:rPr>
          <w:sz w:val="24"/>
          <w:szCs w:val="24"/>
        </w:rPr>
        <w:t xml:space="preserve"> charge neutralization was observed through zeta potential (Fig. 3.</w:t>
      </w:r>
      <w:r w:rsidR="0002287C" w:rsidRPr="00904368">
        <w:rPr>
          <w:sz w:val="24"/>
          <w:szCs w:val="24"/>
        </w:rPr>
        <w:t>9</w:t>
      </w:r>
      <w:r w:rsidR="000D0843" w:rsidRPr="00904368">
        <w:rPr>
          <w:sz w:val="24"/>
          <w:szCs w:val="24"/>
        </w:rPr>
        <w:t>). The high affinity of peptides prevented disassembly and localizing on the lipid membrane of liposomes (Fig. 3.</w:t>
      </w:r>
      <w:r w:rsidR="0002287C" w:rsidRPr="00904368">
        <w:rPr>
          <w:sz w:val="24"/>
          <w:szCs w:val="24"/>
        </w:rPr>
        <w:t>8</w:t>
      </w:r>
      <w:r w:rsidR="000D0843" w:rsidRPr="00904368">
        <w:rPr>
          <w:sz w:val="24"/>
          <w:szCs w:val="24"/>
        </w:rPr>
        <w:t>B).</w:t>
      </w:r>
    </w:p>
    <w:p w14:paraId="15709BC9" w14:textId="77777777" w:rsidR="000D0843" w:rsidRDefault="000D0843" w:rsidP="00E44507">
      <w:pPr>
        <w:keepNext/>
        <w:spacing w:line="480" w:lineRule="auto"/>
      </w:pPr>
      <w:r>
        <w:rPr>
          <w:noProof/>
        </w:rPr>
        <w:drawing>
          <wp:inline distT="0" distB="0" distL="0" distR="0" wp14:anchorId="0D1A8BFF" wp14:editId="593D2F5C">
            <wp:extent cx="1469022" cy="1477925"/>
            <wp:effectExtent l="0" t="0" r="4445" b="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08981" cy="1518127"/>
                    </a:xfrm>
                    <a:prstGeom prst="rect">
                      <a:avLst/>
                    </a:prstGeom>
                  </pic:spPr>
                </pic:pic>
              </a:graphicData>
            </a:graphic>
          </wp:inline>
        </w:drawing>
      </w:r>
    </w:p>
    <w:p w14:paraId="31D39C03" w14:textId="46AA211A" w:rsidR="000D0843" w:rsidRPr="00D4639D" w:rsidRDefault="000D0843" w:rsidP="008A3EF7">
      <w:pPr>
        <w:pStyle w:val="Caption"/>
        <w:rPr>
          <w:b/>
        </w:rPr>
      </w:pPr>
      <w:bookmarkStart w:id="108" w:name="_Toc109311844"/>
      <w:bookmarkStart w:id="109" w:name="_Toc115118643"/>
      <w:r w:rsidRPr="00D4639D">
        <w:t xml:space="preserve">Figure 3. </w:t>
      </w:r>
      <w:fldSimple w:instr=" SEQ Figure_3. \* ARABIC ">
        <w:r w:rsidR="00785166">
          <w:rPr>
            <w:noProof/>
          </w:rPr>
          <w:t>6</w:t>
        </w:r>
      </w:fldSimple>
      <w:r w:rsidRPr="00D4639D">
        <w:t xml:space="preserve"> </w:t>
      </w:r>
      <w:r w:rsidR="00B76C1A" w:rsidRPr="00D4639D">
        <w:t xml:space="preserve">Liposome diameters. </w:t>
      </w:r>
      <w:r w:rsidRPr="00D4639D">
        <w:t xml:space="preserve">Films of agarose enable rapid formation of giant liposomes having around 100 </w:t>
      </w:r>
      <w:r w:rsidRPr="00D4639D">
        <w:rPr>
          <w:rFonts w:ascii="Symbol" w:hAnsi="Symbol"/>
        </w:rPr>
        <w:t>m</w:t>
      </w:r>
      <w:r w:rsidRPr="00D4639D">
        <w:t>m in diameter.</w:t>
      </w:r>
      <w:bookmarkEnd w:id="108"/>
      <w:bookmarkEnd w:id="109"/>
      <w:r w:rsidRPr="00D4639D">
        <w:t xml:space="preserve"> </w:t>
      </w:r>
    </w:p>
    <w:p w14:paraId="6533E100" w14:textId="115439BA" w:rsidR="000D0843" w:rsidRPr="00904368" w:rsidRDefault="000D0843" w:rsidP="00E44507">
      <w:pPr>
        <w:spacing w:line="480" w:lineRule="auto"/>
        <w:rPr>
          <w:rFonts w:cstheme="minorHAnsi"/>
          <w:sz w:val="24"/>
          <w:szCs w:val="24"/>
        </w:rPr>
      </w:pPr>
      <w:r w:rsidRPr="00904368">
        <w:rPr>
          <w:rFonts w:cstheme="minorHAnsi"/>
          <w:sz w:val="24"/>
          <w:szCs w:val="24"/>
        </w:rPr>
        <w:t>Incubation of EFFIIE alone for 60 min as in Fig. 3.</w:t>
      </w:r>
      <w:r w:rsidR="0002287C" w:rsidRPr="00904368">
        <w:rPr>
          <w:rFonts w:cstheme="minorHAnsi"/>
          <w:sz w:val="24"/>
          <w:szCs w:val="24"/>
        </w:rPr>
        <w:t>8</w:t>
      </w:r>
      <w:r w:rsidRPr="00904368">
        <w:rPr>
          <w:rFonts w:cstheme="minorHAnsi"/>
          <w:sz w:val="24"/>
          <w:szCs w:val="24"/>
        </w:rPr>
        <w:t>Aii allowed the integration of the peptide into the cell membrane (red fluorescence on blue liposomes). Despite the charge similarities with the lipid, the hydrophobicity of the FFII group might be the reason of this integration. After introducing KFFIIK on the EFFIIE+liposome, green fluorescent (KFFIIK) increased immediately in 5 min, which shows the localized interaction of [II] on the membrane (Fig. 3.</w:t>
      </w:r>
      <w:r w:rsidR="0002287C" w:rsidRPr="00904368">
        <w:rPr>
          <w:rFonts w:cstheme="minorHAnsi"/>
          <w:sz w:val="24"/>
          <w:szCs w:val="24"/>
        </w:rPr>
        <w:t>8</w:t>
      </w:r>
      <w:r w:rsidRPr="00904368">
        <w:rPr>
          <w:rFonts w:cstheme="minorHAnsi"/>
          <w:sz w:val="24"/>
          <w:szCs w:val="24"/>
        </w:rPr>
        <w:t>C). Additionally, formation of amyloid fibril aggregation around the liposomes was also observed, indicates the remaining soluble EFFIIE interacts to its soluble counterpart peptide before integration into the lipids. Similarly, incubation of KFFIIK alone, as in Fig. 3.</w:t>
      </w:r>
      <w:r w:rsidR="0002287C" w:rsidRPr="00904368">
        <w:rPr>
          <w:rFonts w:cstheme="minorHAnsi"/>
          <w:sz w:val="24"/>
          <w:szCs w:val="24"/>
        </w:rPr>
        <w:t>8</w:t>
      </w:r>
      <w:r w:rsidRPr="00904368">
        <w:rPr>
          <w:rFonts w:cstheme="minorHAnsi"/>
          <w:sz w:val="24"/>
          <w:szCs w:val="24"/>
        </w:rPr>
        <w:t>Aiii, showed integration into the lipid (Fig. 3.</w:t>
      </w:r>
      <w:r w:rsidR="0002287C" w:rsidRPr="00904368">
        <w:rPr>
          <w:rFonts w:cstheme="minorHAnsi"/>
          <w:sz w:val="24"/>
          <w:szCs w:val="24"/>
        </w:rPr>
        <w:t>8</w:t>
      </w:r>
      <w:r w:rsidRPr="00904368">
        <w:rPr>
          <w:rFonts w:cstheme="minorHAnsi"/>
          <w:sz w:val="24"/>
          <w:szCs w:val="24"/>
        </w:rPr>
        <w:t>D). The membrane localization of KFFIIK was faster than EFFIIE, likely because of the opposite liposome surface charge.</w:t>
      </w:r>
      <w:r w:rsidRPr="00904368">
        <w:rPr>
          <w:rFonts w:cstheme="minorHAnsi"/>
          <w:sz w:val="24"/>
          <w:szCs w:val="24"/>
        </w:rPr>
        <w:fldChar w:fldCharType="begin"/>
      </w:r>
      <w:r w:rsidR="008F09C1">
        <w:rPr>
          <w:rFonts w:cstheme="minorHAnsi"/>
          <w:sz w:val="24"/>
          <w:szCs w:val="24"/>
        </w:rPr>
        <w:instrText xml:space="preserve"> ADDIN ZOTERO_ITEM CSL_CITATION {"citationID":"odADkHtQ","properties":{"formattedCitation":"\\super 188\\nosupersub{}","plainCitation":"188","noteIndex":0},"citationItems":[{"id":11143,"uris":["http://zotero.org/groups/2667333/items/TASN38T9"],"itemData":{"id":11143,"type":"article-journal","container-title":"Adsorption","DOI":"10.1007/s10450-016-9767-z","ISSN":"0929-5607, 1572-8757","issue":"4-6","journalAbbreviation":"Adsorption","language":"en","page":"755-765","source":"DOI.org (Crossref)","title":"Zeta potential and surface charge of DPPC and DOPC liposomes in the presence of PLC enzyme","URL":"http://link.springer.com/10.1007/s10450-016-9767-z","volume":"22","author":[{"family":"Chibowski","given":"Emil"},{"family":"Szcześ","given":"Aleksandra"}],"accessed":{"date-parts":[["2022",5,31]]},"issued":{"date-parts":[["2016",5]]},"citation-key":"chibowski_zeta_2016"}}],"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188</w:t>
      </w:r>
      <w:r w:rsidRPr="00904368">
        <w:rPr>
          <w:rFonts w:cstheme="minorHAnsi"/>
          <w:sz w:val="24"/>
          <w:szCs w:val="24"/>
        </w:rPr>
        <w:fldChar w:fldCharType="end"/>
      </w:r>
      <w:r w:rsidRPr="00904368">
        <w:rPr>
          <w:rFonts w:cstheme="minorHAnsi"/>
          <w:sz w:val="24"/>
          <w:szCs w:val="24"/>
        </w:rPr>
        <w:t xml:space="preserve"> Addition of EFFIIE 60 min later also showed membrane integration of both peptides and fibrillar aggregations of [II] outside of the membrane. </w:t>
      </w:r>
    </w:p>
    <w:p w14:paraId="3A5422E9" w14:textId="77777777" w:rsidR="00BE5D02" w:rsidRDefault="00BE5D02" w:rsidP="00E44507">
      <w:pPr>
        <w:spacing w:line="480" w:lineRule="auto"/>
      </w:pPr>
    </w:p>
    <w:p w14:paraId="256233B6" w14:textId="77777777" w:rsidR="00BE5D02" w:rsidRDefault="00BE5D02" w:rsidP="00E44507">
      <w:pPr>
        <w:keepNext/>
        <w:spacing w:line="480" w:lineRule="auto"/>
      </w:pPr>
      <w:r>
        <w:rPr>
          <w:noProof/>
        </w:rPr>
        <w:drawing>
          <wp:inline distT="0" distB="0" distL="0" distR="0" wp14:anchorId="48F5F99C" wp14:editId="124238B8">
            <wp:extent cx="5943600" cy="4490184"/>
            <wp:effectExtent l="0" t="0" r="0" b="5715"/>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ox and whisker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490184"/>
                    </a:xfrm>
                    <a:prstGeom prst="rect">
                      <a:avLst/>
                    </a:prstGeom>
                  </pic:spPr>
                </pic:pic>
              </a:graphicData>
            </a:graphic>
          </wp:inline>
        </w:drawing>
      </w:r>
    </w:p>
    <w:p w14:paraId="2E12D260" w14:textId="229388F6" w:rsidR="00BE5D02" w:rsidRPr="00D4639D" w:rsidRDefault="00BE5D02" w:rsidP="008A3EF7">
      <w:pPr>
        <w:pStyle w:val="Caption"/>
        <w:rPr>
          <w:b/>
          <w:bCs/>
        </w:rPr>
      </w:pPr>
      <w:bookmarkStart w:id="110" w:name="_Toc109311845"/>
      <w:bookmarkStart w:id="111" w:name="_Toc115118644"/>
      <w:r w:rsidRPr="00D4639D">
        <w:t xml:space="preserve">Figure 3. </w:t>
      </w:r>
      <w:fldSimple w:instr=" SEQ Figure_3. \* ARABIC ">
        <w:r w:rsidR="00785166">
          <w:rPr>
            <w:noProof/>
          </w:rPr>
          <w:t>7</w:t>
        </w:r>
      </w:fldSimple>
      <w:r w:rsidRPr="00D4639D">
        <w:t xml:space="preserve"> Characterization of peptides after purification</w:t>
      </w:r>
      <w:r w:rsidRPr="00D4639D">
        <w:rPr>
          <w:bCs/>
        </w:rPr>
        <w:t>. LC and MS analysis of KFFIIK and EFFIIE peptides</w:t>
      </w:r>
      <w:bookmarkEnd w:id="110"/>
      <w:bookmarkEnd w:id="111"/>
    </w:p>
    <w:p w14:paraId="4880B6E0" w14:textId="7225FA23" w:rsidR="000D0843" w:rsidRPr="00904368" w:rsidRDefault="000D0843" w:rsidP="00E44507">
      <w:pPr>
        <w:spacing w:line="480" w:lineRule="auto"/>
        <w:rPr>
          <w:sz w:val="24"/>
          <w:szCs w:val="24"/>
        </w:rPr>
      </w:pPr>
      <w:r w:rsidRPr="00904368">
        <w:rPr>
          <w:sz w:val="24"/>
          <w:szCs w:val="24"/>
        </w:rPr>
        <w:t>Overall, these results demonstrated that the soluble forms of individual [II] peptides integrate into membrane. The pre-mixed [II] did not show a peptide integration, they were stable. The membrane-binding capacity of [II] is correlated to the amount of free peptides in the medium. Controlling the aggregation kinetics of [II], in another words, controlling the time and amount of free peptides in the medium, can control the amount of peptides integrate into the membrane.</w:t>
      </w:r>
    </w:p>
    <w:p w14:paraId="27537A1F" w14:textId="77777777" w:rsidR="000D0843" w:rsidRPr="000D0843" w:rsidRDefault="000D0843" w:rsidP="00E44507">
      <w:pPr>
        <w:spacing w:line="480" w:lineRule="auto"/>
      </w:pPr>
    </w:p>
    <w:p w14:paraId="6767FB7F" w14:textId="77777777" w:rsidR="000D0843" w:rsidRDefault="000D0843" w:rsidP="00E44507">
      <w:pPr>
        <w:keepNext/>
        <w:spacing w:line="480" w:lineRule="auto"/>
        <w:jc w:val="center"/>
      </w:pPr>
      <w:r>
        <w:rPr>
          <w:noProof/>
        </w:rPr>
        <w:drawing>
          <wp:inline distT="0" distB="0" distL="0" distR="0" wp14:anchorId="7F127B2C" wp14:editId="53050F3B">
            <wp:extent cx="5975498" cy="3239920"/>
            <wp:effectExtent l="0" t="0" r="0" b="0"/>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93369" cy="3249609"/>
                    </a:xfrm>
                    <a:prstGeom prst="rect">
                      <a:avLst/>
                    </a:prstGeom>
                  </pic:spPr>
                </pic:pic>
              </a:graphicData>
            </a:graphic>
          </wp:inline>
        </w:drawing>
      </w:r>
    </w:p>
    <w:p w14:paraId="50EFE0FA" w14:textId="0D8F98DB" w:rsidR="00BE5D02" w:rsidRPr="00D4639D" w:rsidRDefault="000D0843" w:rsidP="008A3EF7">
      <w:pPr>
        <w:pStyle w:val="Caption"/>
        <w:rPr>
          <w:b/>
          <w:bCs/>
        </w:rPr>
      </w:pPr>
      <w:bookmarkStart w:id="112" w:name="_Toc109311846"/>
      <w:bookmarkStart w:id="113" w:name="_Toc115118645"/>
      <w:r w:rsidRPr="00D4639D">
        <w:t xml:space="preserve">Figure 3. </w:t>
      </w:r>
      <w:fldSimple w:instr=" SEQ Figure_3. \* ARABIC ">
        <w:r w:rsidR="00785166">
          <w:rPr>
            <w:noProof/>
          </w:rPr>
          <w:t>8</w:t>
        </w:r>
      </w:fldSimple>
      <w:r w:rsidRPr="00D4639D">
        <w:t xml:space="preserve"> Liposome (blue) membrane integration of [II] and individual peptides; KFFIIK (green), EFFIIE (red). </w:t>
      </w:r>
      <w:r w:rsidRPr="00D4639D">
        <w:rPr>
          <w:bCs/>
        </w:rPr>
        <w:t xml:space="preserve">(A) The schematic of membrane localization experiment by using agarose embedded liposomes. (B) Membrane localization of 30 min premixed of EFFIIE+KFFIIK. (C) EFFIIE addition followed by KFFIIK and (D) KFFIIK addition followed by EFFIIE.  (Scale bar = 100 </w:t>
      </w:r>
      <w:r w:rsidRPr="00D4639D">
        <w:rPr>
          <w:rFonts w:ascii="Symbol" w:hAnsi="Symbol"/>
          <w:bCs/>
        </w:rPr>
        <w:t>m</w:t>
      </w:r>
      <w:r w:rsidRPr="00D4639D">
        <w:rPr>
          <w:bCs/>
        </w:rPr>
        <w:t>m).</w:t>
      </w:r>
      <w:bookmarkEnd w:id="112"/>
      <w:bookmarkEnd w:id="113"/>
    </w:p>
    <w:p w14:paraId="6680D82C" w14:textId="1803E390" w:rsidR="00BE5D02" w:rsidRDefault="008A4CEC" w:rsidP="009B497D">
      <w:pPr>
        <w:keepNext/>
        <w:spacing w:line="480" w:lineRule="auto"/>
        <w:jc w:val="center"/>
      </w:pPr>
      <w:r w:rsidRPr="004D1AAF">
        <w:rPr>
          <w:rFonts w:ascii="Times New Roman" w:hAnsi="Times New Roman" w:cs="Times New Roman"/>
          <w:noProof/>
        </w:rPr>
        <w:drawing>
          <wp:inline distT="0" distB="0" distL="0" distR="0" wp14:anchorId="683DDA82" wp14:editId="27F4AD35">
            <wp:extent cx="2362200" cy="2552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62200" cy="2552700"/>
                    </a:xfrm>
                    <a:prstGeom prst="rect">
                      <a:avLst/>
                    </a:prstGeom>
                  </pic:spPr>
                </pic:pic>
              </a:graphicData>
            </a:graphic>
          </wp:inline>
        </w:drawing>
      </w:r>
    </w:p>
    <w:p w14:paraId="4E0DC639" w14:textId="6E1B19A8" w:rsidR="00027B95" w:rsidRPr="00D4639D" w:rsidRDefault="00BE5D02" w:rsidP="008A3EF7">
      <w:pPr>
        <w:pStyle w:val="Caption"/>
        <w:rPr>
          <w:b/>
        </w:rPr>
      </w:pPr>
      <w:bookmarkStart w:id="114" w:name="_Toc109311847"/>
      <w:bookmarkStart w:id="115" w:name="_Toc115118646"/>
      <w:r w:rsidRPr="00D4639D">
        <w:t xml:space="preserve">Figure 3. </w:t>
      </w:r>
      <w:fldSimple w:instr=" SEQ Figure_3. \* ARABIC ">
        <w:r w:rsidR="00785166">
          <w:rPr>
            <w:noProof/>
          </w:rPr>
          <w:t>9</w:t>
        </w:r>
      </w:fldSimple>
      <w:r w:rsidRPr="00D4639D">
        <w:t xml:space="preserve"> </w:t>
      </w:r>
      <w:r w:rsidR="00B76C1A" w:rsidRPr="00D4639D">
        <w:t xml:space="preserve">Charge measurements. </w:t>
      </w:r>
      <w:r w:rsidRPr="00D4639D">
        <w:t>Zeta potential of individual oppositely charged peptides, co-assembled form and albumin only</w:t>
      </w:r>
      <w:r w:rsidR="001E5F03" w:rsidRPr="00D4639D">
        <w:t xml:space="preserve"> in PBS</w:t>
      </w:r>
      <w:r w:rsidRPr="00D4639D">
        <w:t>.</w:t>
      </w:r>
      <w:bookmarkEnd w:id="114"/>
      <w:bookmarkEnd w:id="115"/>
      <w:r w:rsidRPr="00D4639D">
        <w:t xml:space="preserve"> </w:t>
      </w:r>
    </w:p>
    <w:p w14:paraId="3251B2C4" w14:textId="77777777" w:rsidR="00AD6E83" w:rsidRPr="00AD6E83" w:rsidRDefault="00AD6E83" w:rsidP="00AD6E83"/>
    <w:p w14:paraId="540928E5" w14:textId="2E1EA72A" w:rsidR="000D0843" w:rsidRDefault="00815888">
      <w:pPr>
        <w:pStyle w:val="Heading3"/>
        <w:numPr>
          <w:ilvl w:val="2"/>
          <w:numId w:val="6"/>
        </w:numPr>
        <w:spacing w:line="480" w:lineRule="auto"/>
      </w:pPr>
      <w:bookmarkStart w:id="116" w:name="_Toc114946715"/>
      <w:bookmarkStart w:id="117" w:name="_Toc121134640"/>
      <w:r>
        <w:t>C</w:t>
      </w:r>
      <w:r w:rsidR="00027B95">
        <w:t xml:space="preserve">ontrolling </w:t>
      </w:r>
      <w:r w:rsidR="00366531">
        <w:t>P</w:t>
      </w:r>
      <w:r w:rsidR="00027B95">
        <w:t xml:space="preserve">eptide </w:t>
      </w:r>
      <w:r w:rsidR="00366531">
        <w:t>A</w:t>
      </w:r>
      <w:r w:rsidR="00027B95">
        <w:t xml:space="preserve">ggregation </w:t>
      </w:r>
      <w:r w:rsidR="00366531">
        <w:t>K</w:t>
      </w:r>
      <w:r w:rsidR="00027B95">
        <w:t>inetics</w:t>
      </w:r>
      <w:bookmarkEnd w:id="116"/>
      <w:bookmarkEnd w:id="117"/>
    </w:p>
    <w:p w14:paraId="4A265B27" w14:textId="70798D39" w:rsidR="00BE5D02" w:rsidRPr="00904368" w:rsidRDefault="00BE5D02" w:rsidP="00E44507">
      <w:pPr>
        <w:spacing w:line="480" w:lineRule="auto"/>
        <w:rPr>
          <w:rFonts w:cstheme="minorHAnsi"/>
          <w:sz w:val="24"/>
          <w:szCs w:val="24"/>
        </w:rPr>
      </w:pPr>
      <w:r w:rsidRPr="00904368">
        <w:rPr>
          <w:rFonts w:cstheme="minorHAnsi"/>
          <w:sz w:val="24"/>
          <w:szCs w:val="24"/>
        </w:rPr>
        <w:t>The mechanism of ordered fibrillar amyloid assembly follows a sigmoidal growth divided into three steps: i) lag phase (nucleation) in which the peptides are mostly in misfolded monomeric form; ii) growth (elongation) phase in which the larger aggregates (misfolded or ordered) form of peptides and iii) final plateau in which grown aggregates (misfolded or ordered) dominate at the final equilibrium.</w:t>
      </w:r>
      <w:r w:rsidRPr="00904368">
        <w:rPr>
          <w:rFonts w:cstheme="minorHAnsi"/>
          <w:sz w:val="24"/>
          <w:szCs w:val="24"/>
        </w:rPr>
        <w:fldChar w:fldCharType="begin"/>
      </w:r>
      <w:r w:rsidR="008F09C1">
        <w:rPr>
          <w:rFonts w:cstheme="minorHAnsi"/>
          <w:sz w:val="24"/>
          <w:szCs w:val="24"/>
        </w:rPr>
        <w:instrText xml:space="preserve"> ADDIN ZOTERO_ITEM CSL_CITATION {"citationID":"BGJqdVrt","properties":{"formattedCitation":"\\super 189\\nosupersub{}","plainCitation":"189","noteIndex":0},"citationItems":[{"id":10795,"uris":["http://zotero.org/groups/2667333/items/KILXNGAW"],"itemData":{"id":10795,"type":"article-journal","container-title":"Physical Chemistry Chemical Physics","DOI":"10.1039/C4CP05563B","issue":"12","language":"en","note":"publisher: Royal Society of Chemistry\ntex.ids= arosio_lag_2015-1","page":"7606-7618","source":"pubs.rsc.org","title":"On the lag phase in amyloid fibril formation","URL":"https://pubs.rsc.org/en/content/articlelanding/2015/cp/c4cp05563b","volume":"17","author":[{"family":"Arosio","given":"Paolo"},{"family":"J. Knowles","given":"Tuomas P."},{"family":"Linse","given":"Sara"}],"accessed":{"date-parts":[["2022",4,19]]},"issued":{"date-parts":[["2015"]]},"citation-key":"arosio_lag_2015"}}],"schema":"https://github.com/citation-style-language/schema/raw/master/csl-citation.json"}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189</w:t>
      </w:r>
      <w:r w:rsidRPr="00904368">
        <w:rPr>
          <w:rFonts w:cstheme="minorHAnsi"/>
          <w:sz w:val="24"/>
          <w:szCs w:val="24"/>
        </w:rPr>
        <w:fldChar w:fldCharType="end"/>
      </w:r>
      <w:r w:rsidRPr="00904368">
        <w:rPr>
          <w:rFonts w:cstheme="minorHAnsi"/>
          <w:sz w:val="24"/>
          <w:szCs w:val="24"/>
        </w:rPr>
        <w:t xml:space="preserve"> Amyloid forming proteins have hydrophobic domains which can misfold and form non-specific interactions and disordered aggregates with the other hydrophobic molecules in the body. The stability of these aggregates depends on the affinity of each component. Because ordered amyloid assembly of peptides have specific interactions that require a specific conformation, they are often more stable than non-specific hydrophobicity driven misfolded aggregates. However, the same conformational specificity creates an energy barrier. Any aggregation in the intermediate energy level, particularly when it is highly non-specific, impede the conformational orientation for the ordered assembly and delay the equilibrium in the final plateau of stable fibrils. In another words, misfolding of monomers increases the initial lag and growth phase where the monomeric structures are soluble and less stable. </w:t>
      </w:r>
    </w:p>
    <w:p w14:paraId="19E484E0" w14:textId="62EBE64D" w:rsidR="000D0843" w:rsidRPr="00904368" w:rsidRDefault="00BE5D02" w:rsidP="00E44507">
      <w:pPr>
        <w:spacing w:line="480" w:lineRule="auto"/>
        <w:rPr>
          <w:rFonts w:cstheme="minorHAnsi"/>
          <w:sz w:val="24"/>
          <w:szCs w:val="24"/>
        </w:rPr>
      </w:pPr>
      <w:r w:rsidRPr="00904368">
        <w:rPr>
          <w:rFonts w:cstheme="minorHAnsi"/>
          <w:sz w:val="24"/>
          <w:szCs w:val="24"/>
        </w:rPr>
        <w:t>Albumin, as a flexible hydrophobic protein, aggregates with amyloid forming proteins, elongates the lag phase.</w:t>
      </w:r>
      <w:r w:rsidRPr="00904368">
        <w:rPr>
          <w:rFonts w:cstheme="minorHAnsi"/>
          <w:sz w:val="24"/>
          <w:szCs w:val="24"/>
        </w:rPr>
        <w:fldChar w:fldCharType="begin"/>
      </w:r>
      <w:r w:rsidR="008F09C1">
        <w:rPr>
          <w:rFonts w:cstheme="minorHAnsi"/>
          <w:sz w:val="24"/>
          <w:szCs w:val="24"/>
        </w:rPr>
        <w:instrText xml:space="preserve"> ADDIN ZOTERO_ITEM CSL_CITATION {"citationID":"wN0LHZ20","properties":{"formattedCitation":"\\super 173\\uc0\\u8211{}175\\nosupersub{}","plainCitation":"173–175","noteIndex":0},"citationItems":[{"id":10061,"uris":["http://zotero.org/groups/2667333/items/RJ6CMGEF"],"itemData":{"id":10061,"type":"article-journal","abstract":"Human serum albumin (HSA) is a major interacting-partner of Alzheimer’s amyloid-β (Aβ) peptide in the plasma and has emerged as a promising therapeutic target. HSA inhibits Aβ fibrillization, but the underlying molecular mechanism is not well elucidated. In this work, we investigated the role of HSA in the early stages of Aβ aggregation by simulating the binding process of multiple Aβ monomers and protofibrils to HSA with extensive molecular dynamics simulations. HSA could simultaneously trap multiple Aβ monomers and accommodate the formation of nonfibrillar Aβ oligomers after binding. In particular, domains I and III show stronger binding capacities and hold preferable interaction sites for oligomers. Consequently, HSA prevents the formation of fibrillar oligomers in water, thus interfering with the nucleation process. On the other aspect, when protofibrils are preformed, HSA tends to block the β-strand spanning the central hydrophobic core located at the protofibril end, preventing the addition of monomers to protofibrils. Furthermore, Aβ protofibril structures are severely disrupted both globally and locally. Thus, further growth of protofibrils to fibrils is impeded by HSA. Our results collectively indicate that HSA performs multipronged regulatory functions in the early stages of Aβ aggregation. Our work advances the understanding of the amyloid inhibition of Aβ by HSA and provides theoretical guidance for developing rational therapies of Alzheimer’s disease.","container-title":"ACS Chemical Neuroscience","DOI":"10.1021/acschemneuro.1c00150","issue":"13","journalAbbreviation":"ACS Chem. Neurosci.","note":"publisher: American Chemical Society","page":"2409-2420","source":"ACS Publications","title":"Multipronged Regulatory Functions of Serum Albumin in Early Stages of Amyloid-β Aggregation","URL":"https://doi.org/10.1021/acschemneuro.1c00150","volume":"12","author":[{"family":"Zhao","given":"Mengjuan"},{"family":"Guo","given":"Cong"}],"accessed":{"date-parts":[["2021",11,29]]},"issued":{"date-parts":[["2021",7,7]]},"citation-key":"zhaoMultiprongedRegulatoryFunctions2021"}},{"id":1416,"uris":["http://zotero.org/groups/2667333/items/K4QYQDPH"],"itemData":{"id":1416,"type":"article-journal","abstract":"Alzheimer's disease (AD) is a neurodegenerative process characterized by the accumulation of extracellular deposits of amyloid β-peptide (Aβ), which induces neuronal death. Monomeric Aβ is not toxic but tends to aggregate into β-sheets that are neurotoxic. Therefore to prevent or delay AD onset and progression one of the main therapeutic approaches would be to impair Aβ assembly into oligomers and fibrils and to promote disaggregation of the preformed aggregate. Albumin is the most abundant protein in the cerebrospinal fluid and it was reported to bind Aβ impeding its aggregation. In a previous work we identified a 35-residue sequence of clusterin, a well-known protein that binds Aβ, that is highly similar to the C-terminus (CTerm) of albumin. In this work, the docking experiments show that the average binding free energy of the CTerm-Aβ1–42 simulations was significantly lower than that of the clusterin-Aβ1–42 binding, highlighting the possibility that the CTerm retains albumin's binding properties. To validate this observation, we performed in vitro structural analysis of soluble and aggregated 1 μM Aβ1–42 incubated with 5 μM CTerm, equimolar to the albumin concentration in the CSF. Reversed-phase chromatography and electron microscopy analysis demonstrated a reduction of Aβ1–42 aggregates when the CTerm was present. Furthermore, we treated a human neuroblastoma cell line with soluble and aggregated Aβ1–42 incubated with CTerm obtaining a significant protection against Aβ-induced neurotoxicity. These in silico and in vitro data suggest that the albumin CTerm is able to impair Aβ aggregation and to promote disassemble of Aβ aggregates protecting neurons.","container-title":"Computational and Structural Biotechnology Journal","DOI":"10.1016/j.csbj.2019.06.017","ISSN":"2001-0370","journalAbbreviation":"Computational and Structural Biotechnology Journal","language":"en","page":"963-971","source":"ScienceDirect","title":"Human Albumin Impairs Amyloid β-peptide Fibrillation Through its C-terminus: From docking Modeling to Protection Against Neurotoxicity in Alzheimer's disease","title-short":"Human Albumin Impairs Amyloid β-peptide Fibrillation Through its C-terminus","URL":"https://www.sciencedirect.com/science/article/pii/S2001037019300182","volume":"17","author":[{"family":"Picón-Pagès","given":"Pol"},{"family":"Bonet","given":"Jaume"},{"family":"García-García","given":"Javier"},{"family":"Garcia-Buendia","given":"Joan"},{"family":"Gutierrez","given":"Daniela"},{"family":"Valle","given":"Javier"},{"family":"Gómez-Casuso","given":"Carmen E. S."},{"family":"Sidelkivska","given":"Valeriya"},{"family":"Alvarez","given":"Alejandra"},{"family":"Perálvarez-Marín","given":"Alex"},{"family":"Suades","given":"Albert"},{"family":"Fernàndez-Busquets","given":"Xavier"},{"family":"Andreu","given":"David"},{"family":"Vicente","given":"Rubén"},{"family":"Oliva","given":"Baldomero"},{"family":"Muñoz","given":"Francisco J."}],"accessed":{"date-parts":[["2021",8,20]]},"issued":{"date-parts":[["2019",1,1]]},"citation-key":"picon-pagesHumanAlbuminImpairs2019"}},{"id":9541,"uris":["http://zotero.org/groups/2667333/items/F7ADVJGF"],"itemData":{"id":9541,"type":"article-journal","abstract":"Protein aggregation is a ubiquitous phenomenon underpinning the origins of a range of human diseases. The amyloid aggregation of human islet amyloid polypeptide (IAPP) and alpha synuclein (αS), specifically, is a hallmark of type 2 diabetes (T2D) and Parkinson's disease impacting millions of people worldwide. Although IAPP and αS are strongly associated with pancreatic β-cell islets and presynaptic terminals, they have also been found in blood circulation and the gut. While extensive biophysical and biochemical studies have been focused on IAPP and αS interacting with cell membranes or model lipid vesicles, the roles of plasma proteins on the amyloidosis and membrane association of these two major types of amyloid proteins have rarely been examined. Using a thioflavin T kinetic assay, transmission electron microscopy and a hemolysis assay here we show that human serum albumin, the most abundant protein in the plasma, impeded the fibrillization and mitigated membrane damage of both IAPP and αS. This study offers a new insight on the native inhibition of amyloidosis.","collection-title":"Protein Aggregation and Misfolding at the Cell Membrane Interface","container-title":"Biochimica et Biophysica Acta (BBA) - Biomembranes","DOI":"10.1016/j.bbamem.2018.01.015","ISSN":"0005-2736","issue":"9","journalAbbreviation":"Biochimica et Biophysica Acta (BBA) - Biomembranes","language":"en","page":"1803-1809","source":"ScienceDirect","title":"Serum albumin impedes the amyloid aggregation and hemolysis of human islet amyloid polypeptide and alpha synuclein","URL":"https://www.sciencedirect.com/science/article/pii/S000527361830021X","volume":"1860","author":[{"family":"Kakinen","given":"Aleksandr"},{"family":"Javed","given":"Ibrahim"},{"family":"Faridi","given":"Ava"},{"family":"Davis","given":"Thomas P."},{"family":"Ke","given":"Pu Chun"}],"accessed":{"date-parts":[["2021",9,13]]},"issued":{"date-parts":[["2018",9,1]]},"citation-key":"kakinenSerumAlbuminImpedes2018"}}],"schema":"https://github.com/citation-style-language/schema/raw/master/csl-citation.json"}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173–175</w:t>
      </w:r>
      <w:r w:rsidRPr="00904368">
        <w:rPr>
          <w:rFonts w:cstheme="minorHAnsi"/>
          <w:sz w:val="24"/>
          <w:szCs w:val="24"/>
        </w:rPr>
        <w:fldChar w:fldCharType="end"/>
      </w:r>
      <w:r w:rsidRPr="00904368">
        <w:rPr>
          <w:rFonts w:cstheme="minorHAnsi"/>
          <w:sz w:val="24"/>
          <w:szCs w:val="24"/>
        </w:rPr>
        <w:t xml:space="preserve">  The unstable and soluble monomers in the lag phase are mostly able to integrate to the cell membrane and become more toxic.</w:t>
      </w:r>
      <w:r w:rsidRPr="00904368">
        <w:rPr>
          <w:rFonts w:cstheme="minorHAnsi"/>
          <w:sz w:val="24"/>
          <w:szCs w:val="24"/>
        </w:rPr>
        <w:fldChar w:fldCharType="begin"/>
      </w:r>
      <w:r w:rsidR="008F09C1">
        <w:rPr>
          <w:rFonts w:cstheme="minorHAnsi"/>
          <w:sz w:val="24"/>
          <w:szCs w:val="24"/>
        </w:rPr>
        <w:instrText xml:space="preserve"> ADDIN ZOTERO_ITEM CSL_CITATION {"citationID":"anmio4BV","properties":{"formattedCitation":"\\super 190\\nosupersub{}","plainCitation":"190","noteIndex":0},"citationItems":[{"id":10974,"uris":["http://zotero.org/groups/2667333/items/K9Z5ZPN7"],"itemData":{"id":10974,"type":"article-journal","abstract":"&lt;p&gt;Alzheimer disease is a neurodegenerative disorder characterized by extracellular accumulation of amyloid-β peptide (Aβ) in the brain interstitium. Human serum albumin (HSA) binds 95% of Aβ in blood plasma and is thought to inhibit plaque formation in peripheral tissue. However, the role of albumin in binding Aβ in the cerebrospinal fluid has been largely overlooked. Here we investigate the effect of HSA on both Aβ(1–40) and Aβ(1–42) fibril growth. We show that at micromolar cerebrospinal fluid levels, HSA inhibits the kinetics of Aβ fibrillization, significantly increasing the lag time and decreasing the total amount of fibrils produced. Furthermore, we show that the amount of amyloid fibers generated directly correlates to the proportion of Aβ not competitively bound to albumin. Our observations suggest a significant role for HSA regulating Aβ fibril growth in the brain interstitium.&lt;/p&gt;","container-title":"Journal of Biological Chemistry","DOI":"10.1074/jbc.C112.360800","ISSN":"0021-9258, 1083-351X","issue":"33","journalAbbreviation":"Journal of Biological Chemistry","language":"English","note":"publisher: Elsevier\ntex.ids= stanyon_human_2012-1","page":"28163-28168","source":"www.jbc.org","title":"Human Serum Albumin Can Regulate Amyloid-β Peptide Fiber Growth in the Brain Interstitium: IMPLICATIONS FOR ALZHEIMER DISEASE *","title-short":"Human Serum Albumin Can Regulate Amyloid-β Peptide Fiber Growth in the Brain Interstitium","URL":"https://www.jbc.org/article/S0021-9258(20)47838-X/abstract","volume":"287","author":[{"family":"Stanyon","given":"Helen F."},{"family":"Viles","given":"John H."}],"accessed":{"date-parts":[["2022",4,28]]},"issued":{"date-parts":[["2012",8,10]]},"citation-key":"stanyon_human_2012"}}],"schema":"https://github.com/citation-style-language/schema/raw/master/csl-citation.json"}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190</w:t>
      </w:r>
      <w:r w:rsidRPr="00904368">
        <w:rPr>
          <w:rFonts w:cstheme="minorHAnsi"/>
          <w:sz w:val="24"/>
          <w:szCs w:val="24"/>
        </w:rPr>
        <w:fldChar w:fldCharType="end"/>
      </w:r>
      <w:r w:rsidRPr="00904368">
        <w:rPr>
          <w:rFonts w:cstheme="minorHAnsi"/>
          <w:sz w:val="24"/>
          <w:szCs w:val="24"/>
        </w:rPr>
        <w:t xml:space="preserve"> Although the elongated lag time is known to be more toxic, there is no correlation between the lag time, aggregate structures, and cell membrane damage. Since [II] showed amyloid-</w:t>
      </w:r>
      <w:r w:rsidRPr="00904368">
        <w:rPr>
          <w:rFonts w:ascii="Symbol" w:hAnsi="Symbol" w:cstheme="minorHAnsi"/>
          <w:sz w:val="24"/>
          <w:szCs w:val="24"/>
        </w:rPr>
        <w:t>b</w:t>
      </w:r>
      <w:r w:rsidRPr="00904368">
        <w:rPr>
          <w:rFonts w:cstheme="minorHAnsi"/>
          <w:sz w:val="24"/>
          <w:szCs w:val="24"/>
        </w:rPr>
        <w:t xml:space="preserve"> characteristics such as highly ordered secondary structure, we hypothesized that albumin can change the aggregation behavior and fibrillar assembly kinetics of [II].</w:t>
      </w:r>
      <w:r w:rsidRPr="00904368">
        <w:rPr>
          <w:rFonts w:cstheme="minorHAnsi"/>
          <w:sz w:val="24"/>
          <w:szCs w:val="24"/>
        </w:rPr>
        <w:fldChar w:fldCharType="begin"/>
      </w:r>
      <w:r w:rsidR="008F09C1">
        <w:rPr>
          <w:rFonts w:cstheme="minorHAnsi"/>
          <w:sz w:val="24"/>
          <w:szCs w:val="24"/>
        </w:rPr>
        <w:instrText xml:space="preserve"> ADDIN ZOTERO_ITEM CSL_CITATION {"citationID":"iNTxPQyd","properties":{"formattedCitation":"\\super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168</w:t>
      </w:r>
      <w:r w:rsidRPr="00904368">
        <w:rPr>
          <w:rFonts w:cstheme="minorHAnsi"/>
          <w:sz w:val="24"/>
          <w:szCs w:val="24"/>
        </w:rPr>
        <w:fldChar w:fldCharType="end"/>
      </w:r>
      <w:r w:rsidRPr="00904368">
        <w:rPr>
          <w:rFonts w:cstheme="minorHAnsi"/>
          <w:sz w:val="24"/>
          <w:szCs w:val="24"/>
        </w:rPr>
        <w:t xml:space="preserve"> Fig. 3.</w:t>
      </w:r>
      <w:r w:rsidR="0002287C" w:rsidRPr="00904368">
        <w:rPr>
          <w:rFonts w:cstheme="minorHAnsi"/>
          <w:sz w:val="24"/>
          <w:szCs w:val="24"/>
        </w:rPr>
        <w:t>10</w:t>
      </w:r>
      <w:r w:rsidRPr="00904368">
        <w:rPr>
          <w:rFonts w:cstheme="minorHAnsi"/>
          <w:sz w:val="24"/>
          <w:szCs w:val="24"/>
        </w:rPr>
        <w:t xml:space="preserve"> shows the kinetics and morphology of [II] aggregates in increasing amount of albumin (0, 0.002, 0.02, 0.05, 0.1, 0.2, 0.5, 1, and 2 w%) in PBS. To distinguish the kinetics of ordered amyloid assembly from misfolded oligomer aggregates, we used Thioflavin T (ThT) and 1,6-diphenyl-1,3,5-hexatriene (DPH) assays, respectively. The morphology and size of the aggregates were studied with AFM and DLS.</w:t>
      </w:r>
    </w:p>
    <w:p w14:paraId="130798EF" w14:textId="0CAB373A" w:rsidR="00BE5D02" w:rsidRPr="00904368" w:rsidRDefault="00BE5D02" w:rsidP="00E44507">
      <w:pPr>
        <w:spacing w:line="480" w:lineRule="auto"/>
        <w:rPr>
          <w:rFonts w:cstheme="minorHAnsi"/>
          <w:sz w:val="24"/>
          <w:szCs w:val="24"/>
        </w:rPr>
      </w:pPr>
      <w:r w:rsidRPr="00904368">
        <w:rPr>
          <w:rFonts w:cstheme="minorHAnsi"/>
          <w:sz w:val="24"/>
          <w:szCs w:val="24"/>
        </w:rPr>
        <w:t xml:space="preserve">ThT is a fluorescent dye, commonly used for </w:t>
      </w:r>
      <w:r w:rsidR="005B4478" w:rsidRPr="00904368">
        <w:rPr>
          <w:rFonts w:cstheme="minorHAnsi"/>
          <w:sz w:val="24"/>
          <w:szCs w:val="24"/>
        </w:rPr>
        <w:t>β-sheet</w:t>
      </w:r>
      <w:r w:rsidRPr="00904368">
        <w:rPr>
          <w:rFonts w:cstheme="minorHAnsi"/>
          <w:sz w:val="24"/>
          <w:szCs w:val="24"/>
        </w:rPr>
        <w:t xml:space="preserve"> structure identification.</w:t>
      </w:r>
      <w:r w:rsidRPr="00904368">
        <w:rPr>
          <w:rFonts w:cstheme="minorHAnsi"/>
          <w:sz w:val="24"/>
          <w:szCs w:val="24"/>
        </w:rPr>
        <w:fldChar w:fldCharType="begin"/>
      </w:r>
      <w:r w:rsidR="008F09C1">
        <w:rPr>
          <w:rFonts w:cstheme="minorHAnsi"/>
          <w:sz w:val="24"/>
          <w:szCs w:val="24"/>
        </w:rPr>
        <w:instrText xml:space="preserve"> ADDIN ZOTERO_ITEM CSL_CITATION {"citationID":"AGc2GCSN","properties":{"formattedCitation":"\\super 191\\nosupersub{}","plainCitation":"191","noteIndex":0},"citationItems":[{"id":11093,"uris":["http://zotero.org/groups/2667333/items/NJ34XNJY"],"itemData":{"id":11093,"type":"article-journal","container-title":"Biochimica et Biophysica Acta (BBA) - Proteins and Proteomics","DOI":"10.1016/j.bbapap.2010.04.001","ISSN":"15709639","issue":"7","journalAbbreviation":"Biochimica et Biophysica Acta (BBA) - Proteins and Proteomics","language":"en","page":"1405-1412","source":"DOI.org (Crossref)","title":"Molecular mechanism of Thioflavin-T binding to amyloid fibrils","URL":"https://linkinghub.elsevier.com/retrieve/pii/S1570963910000993","volume":"1804","author":[{"family":"Biancalana","given":"Matthew"},{"family":"Koide","given":"Shohei"}],"accessed":{"date-parts":[["2022",5,19]]},"issued":{"date-parts":[["2010",7]]},"citation-key":"biancalana_molecular_2010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191</w:t>
      </w:r>
      <w:r w:rsidRPr="00904368">
        <w:rPr>
          <w:rFonts w:cstheme="minorHAnsi"/>
          <w:sz w:val="24"/>
          <w:szCs w:val="24"/>
        </w:rPr>
        <w:fldChar w:fldCharType="end"/>
      </w:r>
      <w:r w:rsidRPr="00904368">
        <w:rPr>
          <w:rFonts w:cstheme="minorHAnsi"/>
          <w:sz w:val="24"/>
          <w:szCs w:val="24"/>
        </w:rPr>
        <w:t xml:space="preserve"> The transition from oligomers to fibrils was characterized with ThT in prion protein.</w:t>
      </w:r>
      <w:r w:rsidRPr="00904368">
        <w:rPr>
          <w:rFonts w:cstheme="minorHAnsi"/>
          <w:sz w:val="24"/>
          <w:szCs w:val="24"/>
        </w:rPr>
        <w:fldChar w:fldCharType="begin"/>
      </w:r>
      <w:r w:rsidR="008F09C1">
        <w:rPr>
          <w:rFonts w:cstheme="minorHAnsi"/>
          <w:sz w:val="24"/>
          <w:szCs w:val="24"/>
        </w:rPr>
        <w:instrText xml:space="preserve"> ADDIN ZOTERO_ITEM CSL_CITATION {"citationID":"TS1nUHZw","properties":{"formattedCitation":"\\super 192\\nosupersub{}","plainCitation":"192","noteIndex":0},"citationItems":[{"id":10805,"uris":["http://zotero.org/groups/2667333/items/WX4SHS4D"],"itemData":{"id":10805,"type":"article-journal","abstract":"The aggregation of the prion protein (PrP) plays a key role in the development of prion diseases. In the past decade, a similar process has been associated with other proteins, such as Aβ, tau, and α-synuclein, which participate in other neurodegenerative diseases. It is increasingly recognized that the small oligomeric species of aggregates can play an important role in the development of prion diseases. However, determining the nature of the oligomers formed during the aggregation process has been experimentally difficult due to the lack of suitable methods capable of the detection and characterization of the low level of oligomers that may form. To address this problem, we have utilized single-aggregate methods to study the early events associated with aggregation of recombinant murine PrP in vitro to approach the bona fide process in vivo. PrP aggregation resulted in the formation of thioflavin T (ThT)-inactive and ThT-active species of oligomers. The ThT-active oligomers undergo conversion from a Proteinase K (PK)-sensitive to PK-resistant conformer, from which mature fibrils can eventually emerge. Overall, our results show that single-aggregate methods can provide structural and mechanistic insights into PrP aggregation, identify the potential species that mediates cytotoxicity, and reveal that a range of distinct oligomeric species with different properties is formed during prion protein aggregation.","container-title":"Chemical Science","DOI":"10.1039/C8SC05627G","ISSN":"2041-6539","issue":"17","journalAbbreviation":"Chem. Sci.","language":"en","note":"publisher: The Royal Society of Chemistry","page":"4588-4597","source":"pubs.rsc.org","title":"Direct observation of prion protein oligomer formation reveals an aggregation mechanism with multiple conformationally distinct species","URL":"https://pubs.rsc.org/en/content/articlelanding/2019/sc/c8sc05627g","volume":"10","author":[{"family":"Sang","given":"Jason C."},{"family":"Lee","given":"Ji-Eun"},{"family":"Dear","given":"Alexander J."},{"family":"De","given":"Suman"},{"family":"Meisl","given":"Georg"},{"family":"Thackray","given":"Alana M."},{"family":"Bujdoso","given":"Raymond"},{"family":"Knowles","given":"Tuomas P. J."},{"family":"Klenerman","given":"David"}],"accessed":{"date-parts":[["2022",4,19]]},"issued":{"date-parts":[["2019",4,24]]},"citation-key":"sang_direct_2019"}}],"schema":"https://github.com/citation-style-language/schema/raw/master/csl-citation.json"}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192</w:t>
      </w:r>
      <w:r w:rsidRPr="00904368">
        <w:rPr>
          <w:rFonts w:cstheme="minorHAnsi"/>
          <w:sz w:val="24"/>
          <w:szCs w:val="24"/>
        </w:rPr>
        <w:fldChar w:fldCharType="end"/>
      </w:r>
      <w:r w:rsidRPr="00904368">
        <w:rPr>
          <w:rFonts w:cstheme="minorHAnsi"/>
          <w:sz w:val="24"/>
          <w:szCs w:val="24"/>
        </w:rPr>
        <w:t xml:space="preserve"> Individual peptides prepared in PBS with increasing albumin content and constant ThT, and the fluorescent of ThT was tracked for 4h (Fig. 3.</w:t>
      </w:r>
      <w:r w:rsidR="0002287C" w:rsidRPr="00904368">
        <w:rPr>
          <w:rFonts w:cstheme="minorHAnsi"/>
          <w:sz w:val="24"/>
          <w:szCs w:val="24"/>
        </w:rPr>
        <w:t>10</w:t>
      </w:r>
      <w:r w:rsidRPr="00904368">
        <w:rPr>
          <w:rFonts w:cstheme="minorHAnsi"/>
          <w:sz w:val="24"/>
          <w:szCs w:val="24"/>
        </w:rPr>
        <w:t>B). Albumin only groups with different w% were measured with constant ThT as the background, which also showed some degree of intensity as the structures have hydrophobic core but did not increase by time (Fig. 3.</w:t>
      </w:r>
      <w:r w:rsidR="0002287C" w:rsidRPr="00904368">
        <w:rPr>
          <w:rFonts w:cstheme="minorHAnsi"/>
          <w:sz w:val="24"/>
          <w:szCs w:val="24"/>
        </w:rPr>
        <w:t>11</w:t>
      </w:r>
      <w:r w:rsidRPr="00904368">
        <w:rPr>
          <w:rFonts w:cstheme="minorHAnsi"/>
          <w:sz w:val="24"/>
          <w:szCs w:val="24"/>
        </w:rPr>
        <w:t>). When mixed, [II] assemble into ordered structures and achieve final equilibrium of fibrillar form in less than 10 min.</w:t>
      </w:r>
      <w:r w:rsidRPr="00904368">
        <w:rPr>
          <w:rFonts w:cstheme="minorHAnsi"/>
          <w:sz w:val="24"/>
          <w:szCs w:val="24"/>
        </w:rPr>
        <w:fldChar w:fldCharType="begin"/>
      </w:r>
      <w:r w:rsidR="008F09C1">
        <w:rPr>
          <w:rFonts w:cstheme="minorHAnsi"/>
          <w:sz w:val="24"/>
          <w:szCs w:val="24"/>
        </w:rPr>
        <w:instrText xml:space="preserve"> ADDIN ZOTERO_ITEM CSL_CITATION {"citationID":"j7E5JNBe","properties":{"formattedCitation":"\\super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168</w:t>
      </w:r>
      <w:r w:rsidRPr="00904368">
        <w:rPr>
          <w:rFonts w:cstheme="minorHAnsi"/>
          <w:sz w:val="24"/>
          <w:szCs w:val="24"/>
        </w:rPr>
        <w:fldChar w:fldCharType="end"/>
      </w:r>
      <w:r w:rsidRPr="00904368">
        <w:rPr>
          <w:rFonts w:cstheme="minorHAnsi"/>
          <w:sz w:val="24"/>
          <w:szCs w:val="24"/>
        </w:rPr>
        <w:t xml:space="preserve"> The final equilibrium where the fibrils form was only observed in the medium without albumin (0 w%) and 0.002, 0.02, 0.05, and 0.1 w% albumin in 4h (Fig. 3.</w:t>
      </w:r>
      <w:r w:rsidR="0002287C" w:rsidRPr="00904368">
        <w:rPr>
          <w:rFonts w:cstheme="minorHAnsi"/>
          <w:sz w:val="24"/>
          <w:szCs w:val="24"/>
        </w:rPr>
        <w:t>10</w:t>
      </w:r>
      <w:r w:rsidRPr="00904368">
        <w:rPr>
          <w:rFonts w:cstheme="minorHAnsi"/>
          <w:sz w:val="24"/>
          <w:szCs w:val="24"/>
        </w:rPr>
        <w:t>B). Similarly, the fibrillar structures were observed in the overnight incubated samples in these parameters with AFM (Fig. 3.</w:t>
      </w:r>
      <w:r w:rsidR="0002287C" w:rsidRPr="00904368">
        <w:rPr>
          <w:rFonts w:cstheme="minorHAnsi"/>
          <w:sz w:val="24"/>
          <w:szCs w:val="24"/>
        </w:rPr>
        <w:t>10</w:t>
      </w:r>
      <w:r w:rsidRPr="00904368">
        <w:rPr>
          <w:rFonts w:cstheme="minorHAnsi"/>
          <w:sz w:val="24"/>
          <w:szCs w:val="24"/>
        </w:rPr>
        <w:t>D). The addition of albumin delayed the formation of ordered of amyloid-b by increasing the rate of the lag phase (nucleation) and growth (elongation) phase.</w:t>
      </w:r>
      <w:r w:rsidRPr="00904368">
        <w:rPr>
          <w:rFonts w:cstheme="minorHAnsi"/>
          <w:sz w:val="24"/>
          <w:szCs w:val="24"/>
        </w:rPr>
        <w:fldChar w:fldCharType="begin"/>
      </w:r>
      <w:r w:rsidR="008F09C1">
        <w:rPr>
          <w:rFonts w:cstheme="minorHAnsi"/>
          <w:sz w:val="24"/>
          <w:szCs w:val="24"/>
        </w:rPr>
        <w:instrText xml:space="preserve"> ADDIN ZOTERO_ITEM CSL_CITATION {"citationID":"aPHEqIPp","properties":{"formattedCitation":"\\super 193\\nosupersub{}","plainCitation":"193","noteIndex":0},"citationItems":[{"id":10881,"uris":["http://zotero.org/groups/2667333/items/6F4ABQMT"],"itemData":{"id":10881,"type":"article-journal","abstract":"Protein aggregation into amyloid fibrils is linked to multiple disorders. The understanding of how natively non-harmful proteins convert to these highly cytotoxic amyloid aggregates is still not sufficient, with new ideas and hypotheses being presented each year. Recently it has been shown that more than one type of protein aggregates may co-exist in the affected tissue of patients suffering from amyloid-related disorders, sparking the idea that amyloid aggregates formed by one protein may induce another protein’s fibrillization. In this work, we examine the effect that lysozyme fibrils have on insulin amyloid aggregation. We show that not only do lysozyme fibrils affect insulin nucleation, but they also alter the mechanism of its aggregation.","container-title":"International Journal of Molecular Sciences","DOI":"10.3390/ijms22041775","ISSN":"1422-0067","issue":"4","language":"en","license":"http://creativecommons.org/licenses/by/3.0/","note":"number: 4\npublisher: Multidisciplinary Digital Publishing Institute","page":"1775","source":"www.mdpi.com","title":"Lysozyme Fibrils Alter the Mechanism of Insulin Amyloid Aggregation","URL":"https://www.mdpi.com/1422-0067/22/4/1775","volume":"22","author":[{"family":"Ziaunys","given":"Mantas"},{"family":"Sakalauskas","given":"Andrius"},{"family":"Sneideris","given":"Tomas"},{"family":"Smirnovas","given":"Vytautas"}],"accessed":{"date-parts":[["2022",4,24]]},"issued":{"date-parts":[["2021",1]]},"citation-key":"ziaunys_lysozyme_2021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193</w:t>
      </w:r>
      <w:r w:rsidRPr="00904368">
        <w:rPr>
          <w:rFonts w:cstheme="minorHAnsi"/>
          <w:sz w:val="24"/>
          <w:szCs w:val="24"/>
        </w:rPr>
        <w:fldChar w:fldCharType="end"/>
      </w:r>
      <w:r w:rsidRPr="00904368">
        <w:rPr>
          <w:rFonts w:cstheme="minorHAnsi"/>
          <w:sz w:val="24"/>
          <w:szCs w:val="24"/>
        </w:rPr>
        <w:t xml:space="preserve"> There was also a reduction in the total amount of fibers generated as indicated by ThT fluorescence signals as shown with AFM, and no fibrillar structure was observed for 0.2 and 2w% albumin incubated overnight (Fig. 3.</w:t>
      </w:r>
      <w:r w:rsidR="0002287C" w:rsidRPr="00904368">
        <w:rPr>
          <w:rFonts w:cstheme="minorHAnsi"/>
          <w:sz w:val="24"/>
          <w:szCs w:val="24"/>
        </w:rPr>
        <w:t>10</w:t>
      </w:r>
      <w:r w:rsidRPr="00904368">
        <w:rPr>
          <w:rFonts w:cstheme="minorHAnsi"/>
          <w:sz w:val="24"/>
          <w:szCs w:val="24"/>
        </w:rPr>
        <w:t>D).</w:t>
      </w:r>
    </w:p>
    <w:p w14:paraId="65AA2ACF" w14:textId="77777777" w:rsidR="00BE5D02" w:rsidRDefault="00BE5D02" w:rsidP="00E44507">
      <w:pPr>
        <w:keepNext/>
        <w:spacing w:line="480" w:lineRule="auto"/>
      </w:pPr>
      <w:r>
        <w:rPr>
          <w:noProof/>
        </w:rPr>
        <w:drawing>
          <wp:inline distT="0" distB="0" distL="0" distR="0" wp14:anchorId="581DA539" wp14:editId="2E0C3A5C">
            <wp:extent cx="5943600" cy="70091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009130"/>
                    </a:xfrm>
                    <a:prstGeom prst="rect">
                      <a:avLst/>
                    </a:prstGeom>
                  </pic:spPr>
                </pic:pic>
              </a:graphicData>
            </a:graphic>
          </wp:inline>
        </w:drawing>
      </w:r>
    </w:p>
    <w:p w14:paraId="1A23D2B6" w14:textId="6055368C" w:rsidR="00BE5D02" w:rsidRPr="00D4639D" w:rsidRDefault="00BE5D02" w:rsidP="008A3EF7">
      <w:pPr>
        <w:pStyle w:val="Caption"/>
        <w:rPr>
          <w:b/>
        </w:rPr>
      </w:pPr>
      <w:bookmarkStart w:id="118" w:name="_Toc109311848"/>
      <w:bookmarkStart w:id="119" w:name="_Toc115118647"/>
      <w:r w:rsidRPr="00D4639D">
        <w:t xml:space="preserve">Figure 3. </w:t>
      </w:r>
      <w:fldSimple w:instr=" SEQ Figure_3. \* ARABIC ">
        <w:r w:rsidR="00785166">
          <w:rPr>
            <w:noProof/>
          </w:rPr>
          <w:t>10</w:t>
        </w:r>
      </w:fldSimple>
      <w:r w:rsidRPr="00D4639D">
        <w:t xml:space="preserve"> Aggregation kinetics depend on albumin concentration. (A) The schematic of [II] aggregation with albumin. Aggregation kinetics performed with (B) ThT and (C) DPH assays in increasing albumin content. (D) AFM images of [II]-albumin structures (Scale bar = 100 nm). (E) DLS measurements [II]-albumin mixtures.</w:t>
      </w:r>
      <w:bookmarkEnd w:id="118"/>
      <w:bookmarkEnd w:id="119"/>
    </w:p>
    <w:p w14:paraId="136572BE" w14:textId="35EF9587" w:rsidR="00BE5D02" w:rsidRDefault="00BE5D02" w:rsidP="00E44507">
      <w:pPr>
        <w:spacing w:line="480" w:lineRule="auto"/>
      </w:pPr>
    </w:p>
    <w:p w14:paraId="3E809C2E" w14:textId="77777777" w:rsidR="00BE5D02" w:rsidRDefault="00BE5D02" w:rsidP="00E44507">
      <w:pPr>
        <w:keepNext/>
        <w:spacing w:line="480" w:lineRule="auto"/>
      </w:pPr>
      <w:r>
        <w:rPr>
          <w:noProof/>
        </w:rPr>
        <w:drawing>
          <wp:inline distT="0" distB="0" distL="0" distR="0" wp14:anchorId="0D70D954" wp14:editId="3D4E279C">
            <wp:extent cx="5943600" cy="1682750"/>
            <wp:effectExtent l="0" t="0" r="0" b="6350"/>
            <wp:docPr id="24" name="Picture 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1682750"/>
                    </a:xfrm>
                    <a:prstGeom prst="rect">
                      <a:avLst/>
                    </a:prstGeom>
                  </pic:spPr>
                </pic:pic>
              </a:graphicData>
            </a:graphic>
          </wp:inline>
        </w:drawing>
      </w:r>
    </w:p>
    <w:p w14:paraId="50CB1A32" w14:textId="533C7C0E" w:rsidR="00BE5D02" w:rsidRPr="00D4639D" w:rsidRDefault="00BE5D02" w:rsidP="008A3EF7">
      <w:pPr>
        <w:pStyle w:val="Caption"/>
        <w:rPr>
          <w:b/>
        </w:rPr>
      </w:pPr>
      <w:bookmarkStart w:id="120" w:name="_Toc109311849"/>
      <w:bookmarkStart w:id="121" w:name="_Toc115118648"/>
      <w:r w:rsidRPr="00D4639D">
        <w:t xml:space="preserve">Figure 3. </w:t>
      </w:r>
      <w:fldSimple w:instr=" SEQ Figure_3. \* ARABIC ">
        <w:r w:rsidR="00785166">
          <w:rPr>
            <w:noProof/>
          </w:rPr>
          <w:t>11</w:t>
        </w:r>
      </w:fldSimple>
      <w:r w:rsidRPr="00D4639D">
        <w:t xml:space="preserve"> ThT analysis of albumin and individual peptides in different concentrations.</w:t>
      </w:r>
      <w:bookmarkEnd w:id="120"/>
      <w:r w:rsidRPr="00D4639D">
        <w:t xml:space="preserve"> </w:t>
      </w:r>
      <w:r w:rsidR="00567F3F" w:rsidRPr="00D4639D">
        <w:t xml:space="preserve">Albumin only </w:t>
      </w:r>
      <w:r w:rsidR="00B76C1A" w:rsidRPr="00D4639D">
        <w:t xml:space="preserve">and peptide counterparts </w:t>
      </w:r>
      <w:r w:rsidR="00567F3F" w:rsidRPr="00D4639D">
        <w:t>did not give any fluorescence increase respect to time due to non-fibrillar organization.</w:t>
      </w:r>
      <w:bookmarkEnd w:id="121"/>
      <w:r w:rsidR="00567F3F" w:rsidRPr="00D4639D">
        <w:t xml:space="preserve"> </w:t>
      </w:r>
    </w:p>
    <w:p w14:paraId="212C6CDD" w14:textId="109EEDC6" w:rsidR="006D7736" w:rsidRPr="00904368" w:rsidRDefault="006D7736" w:rsidP="00E44507">
      <w:pPr>
        <w:spacing w:line="480" w:lineRule="auto"/>
        <w:rPr>
          <w:rFonts w:cstheme="minorHAnsi"/>
          <w:sz w:val="24"/>
          <w:szCs w:val="24"/>
        </w:rPr>
      </w:pPr>
      <w:r w:rsidRPr="00904368">
        <w:rPr>
          <w:rFonts w:cstheme="minorHAnsi"/>
          <w:sz w:val="24"/>
          <w:szCs w:val="24"/>
        </w:rPr>
        <w:t>The formation of disordered structures were identified with DPH assay; a fluorescent dye that has increasing intensity in the hydrophobic environment.</w:t>
      </w:r>
      <w:r w:rsidRPr="00904368">
        <w:rPr>
          <w:rFonts w:cstheme="minorHAnsi"/>
          <w:sz w:val="24"/>
          <w:szCs w:val="24"/>
        </w:rPr>
        <w:fldChar w:fldCharType="begin"/>
      </w:r>
      <w:r w:rsidR="008F09C1">
        <w:rPr>
          <w:rFonts w:cstheme="minorHAnsi"/>
          <w:sz w:val="24"/>
          <w:szCs w:val="24"/>
        </w:rPr>
        <w:instrText xml:space="preserve"> ADDIN ZOTERO_ITEM CSL_CITATION {"citationID":"dNYj9LAP","properties":{"formattedCitation":"\\super 194\\nosupersub{}","plainCitation":"194","noteIndex":0},"citationItems":[{"id":10502,"uris":["http://zotero.org/groups/2667333/items/CUEZAQWV"],"itemData":{"id":10502,"type":"article-journal","abstract":"We report the use of Coumarin 6 and 1,6-diphenyl-1,3,5-hexatriene (DPH) for the identification of protein aggregates for the first time. The two dyes can be used at very low (nanomolar) concentrations and do not interfere with the aggregation process, as is reported for other commonly used fluorescent protein probes. In the presence of protein aggregates, their quantum yields are significantly high. DPH is able to recognize both amorphous and fibrillar aggregates but cannot distinguish between them. Coumarin 6 can distinguish between both types of aggregates. It also exhibits the characteristic sigmoidal curve of amyloid formation, with higher sensitivity for detection of fibrillation than the conventionally used Thioflavin T.","container-title":"Analyst","DOI":"10.1039/C0AN00829J","ISSN":"1364-5528","issue":"10","journalAbbreviation":"Analyst","language":"en","note":"publisher: The Royal Society of Chemistry","page":"2161-2167","source":"pubs.rsc.org","title":"Coumarin 6 and 1,6-diphenyl-1,3,5-hexatriene (DPH) as fluorescent probes to monitor protein aggregation","URL":"https://pubs.rsc.org/en/content/articlelanding/2011/an/c0an00829j","volume":"136","author":[{"family":"Makwana","given":"Pinakin K."},{"family":"Jethva","given":"Prashant N."},{"family":"Roy","given":"Ipsita"}],"accessed":{"date-parts":[["2022",2,18]]},"issued":{"date-parts":[["2011",4,25]]},"citation-key":"makwanaCoumarin6diphenyl15hexatriene2011"}}],"schema":"https://github.com/citation-style-language/schema/raw/master/csl-citation.json"}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194</w:t>
      </w:r>
      <w:r w:rsidRPr="00904368">
        <w:rPr>
          <w:rFonts w:cstheme="minorHAnsi"/>
          <w:sz w:val="24"/>
          <w:szCs w:val="24"/>
        </w:rPr>
        <w:fldChar w:fldCharType="end"/>
      </w:r>
      <w:r w:rsidRPr="00904368">
        <w:rPr>
          <w:rFonts w:cstheme="minorHAnsi"/>
          <w:sz w:val="24"/>
          <w:szCs w:val="24"/>
        </w:rPr>
        <w:t xml:space="preserve"> Because albumin itself is a hydrophobic protein and form soluble aggregates in PBS, the initial measurements were performed with only DPH and albumin as the background (Fig. 3.</w:t>
      </w:r>
      <w:r w:rsidR="0002287C" w:rsidRPr="00904368">
        <w:rPr>
          <w:rFonts w:cstheme="minorHAnsi"/>
          <w:sz w:val="24"/>
          <w:szCs w:val="24"/>
        </w:rPr>
        <w:t>12</w:t>
      </w:r>
      <w:r w:rsidRPr="00904368">
        <w:rPr>
          <w:rFonts w:cstheme="minorHAnsi"/>
          <w:sz w:val="24"/>
          <w:szCs w:val="24"/>
        </w:rPr>
        <w:t>). Individual peptides prepared in PBS, increasing amount of albumin, and constant concentration of DPH, mixed and tracked for 4h (Fig. 3.5C). The decreased intensity of DPH with increasing albumin is interpreted as the decrease the number and sizes of the aggregates. This might be due to the cover of the hydrophobic parts of the albumin with the charged peptides created more soluble and smaller albumin aggregates in PBS. In the PBS with the lowest amount of albumin, 0.002 w%, albumin showed an insignificant intensity, as the structures in this solution are mostly fibrillar, as observed through increasing ThT assay, which indicates that the amount of disorganized aggregates were negligible. Presence of increased albumin concentrations showed slowly lowered intensities, in another words, more change between the intensity of the [II]+peptide complexes compared to the same amount of albumin alone, is because of formation of smaller aggregates.</w:t>
      </w:r>
    </w:p>
    <w:p w14:paraId="4C27280B" w14:textId="77777777" w:rsidR="006D7736" w:rsidRDefault="006D7736" w:rsidP="00E44507">
      <w:pPr>
        <w:keepNext/>
        <w:spacing w:line="480" w:lineRule="auto"/>
        <w:jc w:val="center"/>
      </w:pPr>
      <w:r>
        <w:rPr>
          <w:noProof/>
        </w:rPr>
        <w:drawing>
          <wp:inline distT="0" distB="0" distL="0" distR="0" wp14:anchorId="0E2BD441" wp14:editId="3B82E4B9">
            <wp:extent cx="5968868" cy="2489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12783" cy="2507514"/>
                    </a:xfrm>
                    <a:prstGeom prst="rect">
                      <a:avLst/>
                    </a:prstGeom>
                  </pic:spPr>
                </pic:pic>
              </a:graphicData>
            </a:graphic>
          </wp:inline>
        </w:drawing>
      </w:r>
    </w:p>
    <w:p w14:paraId="4D87A67E" w14:textId="571C816B" w:rsidR="006D7736" w:rsidRPr="00D4639D" w:rsidRDefault="006D7736" w:rsidP="00567F3F">
      <w:pPr>
        <w:rPr>
          <w:sz w:val="24"/>
          <w:szCs w:val="24"/>
        </w:rPr>
      </w:pPr>
      <w:bookmarkStart w:id="122" w:name="_Toc109311850"/>
      <w:bookmarkStart w:id="123" w:name="_Toc115118649"/>
      <w:r w:rsidRPr="00D4639D">
        <w:rPr>
          <w:b/>
          <w:sz w:val="24"/>
          <w:szCs w:val="24"/>
        </w:rPr>
        <w:t xml:space="preserve">Figure 3. </w:t>
      </w:r>
      <w:r w:rsidRPr="00D4639D">
        <w:rPr>
          <w:b/>
          <w:sz w:val="24"/>
          <w:szCs w:val="24"/>
        </w:rPr>
        <w:fldChar w:fldCharType="begin"/>
      </w:r>
      <w:r w:rsidRPr="00D4639D">
        <w:rPr>
          <w:b/>
          <w:sz w:val="24"/>
          <w:szCs w:val="24"/>
        </w:rPr>
        <w:instrText xml:space="preserve"> SEQ Figure_3. \* ARABIC </w:instrText>
      </w:r>
      <w:r w:rsidRPr="00D4639D">
        <w:rPr>
          <w:b/>
          <w:sz w:val="24"/>
          <w:szCs w:val="24"/>
        </w:rPr>
        <w:fldChar w:fldCharType="separate"/>
      </w:r>
      <w:r w:rsidR="00785166">
        <w:rPr>
          <w:b/>
          <w:noProof/>
          <w:sz w:val="24"/>
          <w:szCs w:val="24"/>
        </w:rPr>
        <w:t>12</w:t>
      </w:r>
      <w:r w:rsidRPr="00D4639D">
        <w:rPr>
          <w:b/>
          <w:sz w:val="24"/>
          <w:szCs w:val="24"/>
        </w:rPr>
        <w:fldChar w:fldCharType="end"/>
      </w:r>
      <w:r w:rsidRPr="00D4639D">
        <w:rPr>
          <w:b/>
          <w:sz w:val="24"/>
          <w:szCs w:val="24"/>
        </w:rPr>
        <w:t xml:space="preserve"> DPH analysis of albumin and albumin+[II] in different concentrations</w:t>
      </w:r>
      <w:bookmarkEnd w:id="122"/>
      <w:r w:rsidR="00567F3F" w:rsidRPr="00D4639D">
        <w:rPr>
          <w:b/>
          <w:sz w:val="24"/>
          <w:szCs w:val="24"/>
        </w:rPr>
        <w:t>.</w:t>
      </w:r>
      <w:r w:rsidR="00567F3F" w:rsidRPr="00D4639D">
        <w:rPr>
          <w:bCs/>
          <w:sz w:val="24"/>
          <w:szCs w:val="24"/>
        </w:rPr>
        <w:t xml:space="preserve"> Albumin intensity increased with increased concentration, however [II] disrupted albumin aggregation which leads to decrease in DPH intensity.</w:t>
      </w:r>
      <w:bookmarkEnd w:id="123"/>
      <w:r w:rsidR="00567F3F" w:rsidRPr="00D4639D">
        <w:rPr>
          <w:bCs/>
          <w:sz w:val="24"/>
          <w:szCs w:val="24"/>
        </w:rPr>
        <w:t xml:space="preserve"> </w:t>
      </w:r>
    </w:p>
    <w:p w14:paraId="06387757" w14:textId="5E1D1F8F" w:rsidR="006D7736" w:rsidRPr="00904368" w:rsidRDefault="006D7736" w:rsidP="00E44507">
      <w:pPr>
        <w:spacing w:line="480" w:lineRule="auto"/>
        <w:rPr>
          <w:sz w:val="24"/>
          <w:szCs w:val="24"/>
        </w:rPr>
      </w:pPr>
      <w:r w:rsidRPr="00904368">
        <w:rPr>
          <w:sz w:val="24"/>
          <w:szCs w:val="24"/>
        </w:rPr>
        <w:t>While the aggregation of individual peptides did not change with the addition of albumin, several observations of trends are worth to note. When alone, KFFIIK showed slightly higher and stable ThT intensity, which reduced but remained stable by time with increasing albumin (Fig. 3.</w:t>
      </w:r>
      <w:r w:rsidR="00B37168" w:rsidRPr="00904368">
        <w:rPr>
          <w:sz w:val="24"/>
          <w:szCs w:val="24"/>
        </w:rPr>
        <w:t>11</w:t>
      </w:r>
      <w:r w:rsidRPr="00904368">
        <w:rPr>
          <w:sz w:val="24"/>
          <w:szCs w:val="24"/>
        </w:rPr>
        <w:t>). Similarly, the DPH assay showed increasing intensity by time in KFFIIK alone (Fig. 3.</w:t>
      </w:r>
      <w:r w:rsidR="00B37168" w:rsidRPr="00904368">
        <w:rPr>
          <w:sz w:val="24"/>
          <w:szCs w:val="24"/>
        </w:rPr>
        <w:t>13</w:t>
      </w:r>
      <w:r w:rsidRPr="00904368">
        <w:rPr>
          <w:sz w:val="24"/>
          <w:szCs w:val="24"/>
        </w:rPr>
        <w:t>). These measurements were all preformed in PBS in which the charges of the peptides are screened by the salt ions. Therefore, KFFIIK alone shows misfolded aggregation due to the hydrophobic nature of the alkyl tail of Lysine (K). Yet, when KFFIIK is mixed with EFFIIK, the ThT intensity changes immediately and dramatically, indicates that the peptides co-assembling in PBS (Fig. 3.</w:t>
      </w:r>
      <w:r w:rsidR="00B37168" w:rsidRPr="00904368">
        <w:rPr>
          <w:sz w:val="24"/>
          <w:szCs w:val="24"/>
        </w:rPr>
        <w:t>10</w:t>
      </w:r>
      <w:r w:rsidRPr="00904368">
        <w:rPr>
          <w:sz w:val="24"/>
          <w:szCs w:val="24"/>
        </w:rPr>
        <w:t>B). The negative counterpart, EFFIE, in the PBS without albumin, does not aggregate in ordered or disordered manner (</w:t>
      </w:r>
      <w:r w:rsidR="00B37168" w:rsidRPr="00904368">
        <w:rPr>
          <w:sz w:val="24"/>
          <w:szCs w:val="24"/>
        </w:rPr>
        <w:t>Fig. 3.11 and 13</w:t>
      </w:r>
      <w:r w:rsidRPr="00904368">
        <w:rPr>
          <w:sz w:val="24"/>
          <w:szCs w:val="24"/>
        </w:rPr>
        <w:t>).</w:t>
      </w:r>
      <w:r w:rsidR="00B37168" w:rsidRPr="00904368">
        <w:rPr>
          <w:sz w:val="24"/>
          <w:szCs w:val="24"/>
        </w:rPr>
        <w:t xml:space="preserve"> It might be a result of the hydrophobic amino acids' lower contact probability in the core of EFFIIE compared to KFFIIK and [II].</w:t>
      </w:r>
      <w:r w:rsidR="00B37168" w:rsidRPr="00904368">
        <w:rPr>
          <w:sz w:val="24"/>
          <w:szCs w:val="24"/>
        </w:rPr>
        <w:fldChar w:fldCharType="begin"/>
      </w:r>
      <w:r w:rsidR="008F09C1">
        <w:rPr>
          <w:sz w:val="24"/>
          <w:szCs w:val="24"/>
        </w:rPr>
        <w:instrText xml:space="preserve"> ADDIN ZOTERO_ITEM CSL_CITATION {"citationID":"gSuga9RL","properties":{"formattedCitation":"\\super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00B37168" w:rsidRPr="00904368">
        <w:rPr>
          <w:sz w:val="24"/>
          <w:szCs w:val="24"/>
        </w:rPr>
        <w:fldChar w:fldCharType="separate"/>
      </w:r>
      <w:r w:rsidR="008F09C1" w:rsidRPr="008F09C1">
        <w:rPr>
          <w:rFonts w:ascii="Arial" w:cs="Arial"/>
          <w:sz w:val="24"/>
          <w:vertAlign w:val="superscript"/>
        </w:rPr>
        <w:t>168</w:t>
      </w:r>
      <w:r w:rsidR="00B37168" w:rsidRPr="00904368">
        <w:rPr>
          <w:sz w:val="24"/>
          <w:szCs w:val="24"/>
        </w:rPr>
        <w:fldChar w:fldCharType="end"/>
      </w:r>
      <w:r w:rsidRPr="00904368">
        <w:rPr>
          <w:sz w:val="24"/>
          <w:szCs w:val="24"/>
        </w:rPr>
        <w:t xml:space="preserve"> Considering albumin alone also has ThT and DPH intensities due to its hydrophobic nature (Fig. 3.</w:t>
      </w:r>
      <w:r w:rsidR="00B37168" w:rsidRPr="00904368">
        <w:rPr>
          <w:sz w:val="24"/>
          <w:szCs w:val="24"/>
        </w:rPr>
        <w:t>11</w:t>
      </w:r>
      <w:r w:rsidRPr="00904368">
        <w:rPr>
          <w:sz w:val="24"/>
          <w:szCs w:val="24"/>
        </w:rPr>
        <w:t xml:space="preserve"> and 3.</w:t>
      </w:r>
      <w:r w:rsidR="00B37168" w:rsidRPr="00904368">
        <w:rPr>
          <w:sz w:val="24"/>
          <w:szCs w:val="24"/>
        </w:rPr>
        <w:t>12</w:t>
      </w:r>
      <w:r w:rsidRPr="00904368">
        <w:rPr>
          <w:sz w:val="24"/>
          <w:szCs w:val="24"/>
        </w:rPr>
        <w:t xml:space="preserve">), the observed negative and consistent intensities of EFFIIE and KFFIIK solutions with increasing albumin indicates formation of smaller and stable aggregates; peptides interact and aggregate with albumin individually. However, when mixed, the increase of ThT intensities, or formation of peptide fibers, indicates that the individual peptide and albumin aggregations are not as favorable as </w:t>
      </w:r>
      <w:r w:rsidR="00B37168" w:rsidRPr="00904368">
        <w:rPr>
          <w:sz w:val="24"/>
          <w:szCs w:val="24"/>
        </w:rPr>
        <w:t>peptide-to-peptide</w:t>
      </w:r>
      <w:r w:rsidRPr="00904368">
        <w:rPr>
          <w:sz w:val="24"/>
          <w:szCs w:val="24"/>
        </w:rPr>
        <w:t xml:space="preserve"> interactions. Addition of the same amount of albumins on the same amount of [II] that is premixed in PBS for 60 min showed stable DPH intensity that were lower than the albumin only (Fig. 3</w:t>
      </w:r>
      <w:r w:rsidR="00B37168" w:rsidRPr="00904368">
        <w:rPr>
          <w:sz w:val="24"/>
          <w:szCs w:val="24"/>
        </w:rPr>
        <w:t>.13</w:t>
      </w:r>
      <w:r w:rsidRPr="00904368">
        <w:rPr>
          <w:sz w:val="24"/>
          <w:szCs w:val="24"/>
        </w:rPr>
        <w:t>, no background subtraction), which might be because albumin falls apart and form non-specific bindings with the fibrillar structures.</w:t>
      </w:r>
    </w:p>
    <w:p w14:paraId="32A99098" w14:textId="77777777" w:rsidR="006D7736" w:rsidRDefault="006D7736" w:rsidP="00E44507">
      <w:pPr>
        <w:keepNext/>
        <w:spacing w:line="480" w:lineRule="auto"/>
        <w:jc w:val="center"/>
      </w:pPr>
      <w:r>
        <w:rPr>
          <w:noProof/>
        </w:rPr>
        <w:drawing>
          <wp:inline distT="0" distB="0" distL="0" distR="0" wp14:anchorId="4E5366FA" wp14:editId="76321ECF">
            <wp:extent cx="6173428" cy="2336800"/>
            <wp:effectExtent l="0" t="0" r="0" b="0"/>
            <wp:docPr id="26" name="Picture 2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with low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95085" cy="2344998"/>
                    </a:xfrm>
                    <a:prstGeom prst="rect">
                      <a:avLst/>
                    </a:prstGeom>
                  </pic:spPr>
                </pic:pic>
              </a:graphicData>
            </a:graphic>
          </wp:inline>
        </w:drawing>
      </w:r>
    </w:p>
    <w:p w14:paraId="1F188148" w14:textId="30696991" w:rsidR="006D7736" w:rsidRPr="00D4639D" w:rsidRDefault="006D7736" w:rsidP="008A3EF7">
      <w:pPr>
        <w:pStyle w:val="Caption"/>
        <w:rPr>
          <w:b/>
        </w:rPr>
      </w:pPr>
      <w:bookmarkStart w:id="124" w:name="_Toc109311851"/>
      <w:bookmarkStart w:id="125" w:name="_Toc115118650"/>
      <w:r w:rsidRPr="00D4639D">
        <w:t xml:space="preserve">Figure 3. </w:t>
      </w:r>
      <w:fldSimple w:instr=" SEQ Figure_3. \* ARABIC ">
        <w:r w:rsidR="00785166">
          <w:rPr>
            <w:noProof/>
          </w:rPr>
          <w:t>13</w:t>
        </w:r>
      </w:fldSimple>
      <w:r w:rsidRPr="00D4639D">
        <w:t xml:space="preserve"> DPH analysis of individual peptides in different albumin concentrations</w:t>
      </w:r>
      <w:bookmarkEnd w:id="124"/>
      <w:r w:rsidR="00567F3F" w:rsidRPr="00D4639D">
        <w:t>. Individual peptides did not form aggregation.</w:t>
      </w:r>
      <w:bookmarkEnd w:id="125"/>
      <w:r w:rsidR="00567F3F" w:rsidRPr="00D4639D">
        <w:t xml:space="preserve"> </w:t>
      </w:r>
    </w:p>
    <w:p w14:paraId="33FEB874" w14:textId="56166FB9" w:rsidR="006D7736" w:rsidRPr="00904368" w:rsidRDefault="006D7736" w:rsidP="00E44507">
      <w:pPr>
        <w:spacing w:line="480" w:lineRule="auto"/>
        <w:rPr>
          <w:sz w:val="24"/>
          <w:szCs w:val="24"/>
        </w:rPr>
      </w:pPr>
      <w:r w:rsidRPr="00904368">
        <w:rPr>
          <w:sz w:val="24"/>
          <w:szCs w:val="24"/>
        </w:rPr>
        <w:t>Size measurements of the aggregates was performed in three different time points; immediately, after 30 min and overnight incubation with DLS (Fig. 3.</w:t>
      </w:r>
      <w:r w:rsidR="00B37168" w:rsidRPr="00904368">
        <w:rPr>
          <w:sz w:val="24"/>
          <w:szCs w:val="24"/>
        </w:rPr>
        <w:t>10</w:t>
      </w:r>
      <w:r w:rsidRPr="00904368">
        <w:rPr>
          <w:sz w:val="24"/>
          <w:szCs w:val="24"/>
        </w:rPr>
        <w:t>E). Without albumin, [II] aggregated immediately with average bigger than 1000 nm structures with a shift toward higher sizes after 30 min (Fig. 3.</w:t>
      </w:r>
      <w:r w:rsidR="00B37168" w:rsidRPr="00904368">
        <w:rPr>
          <w:sz w:val="24"/>
          <w:szCs w:val="24"/>
        </w:rPr>
        <w:t>10</w:t>
      </w:r>
      <w:r w:rsidRPr="00904368">
        <w:rPr>
          <w:sz w:val="24"/>
          <w:szCs w:val="24"/>
        </w:rPr>
        <w:t>E, 0w% albumin). Similarly, the shift toward bigger structures was observed for the conditions between 0.002 to 0.1w% albumin, which are the conditions where the final fibrillar equilibrium was observed with ThT. After 0.2</w:t>
      </w:r>
      <w:r w:rsidR="00D1329F">
        <w:rPr>
          <w:sz w:val="24"/>
          <w:szCs w:val="24"/>
        </w:rPr>
        <w:t xml:space="preserve"> </w:t>
      </w:r>
      <w:r w:rsidRPr="00904368">
        <w:rPr>
          <w:sz w:val="24"/>
          <w:szCs w:val="24"/>
        </w:rPr>
        <w:t>w%, size distribution and intensity profiles were almost similar to the 2</w:t>
      </w:r>
      <w:r w:rsidR="00D1329F">
        <w:rPr>
          <w:sz w:val="24"/>
          <w:szCs w:val="24"/>
        </w:rPr>
        <w:t xml:space="preserve"> </w:t>
      </w:r>
      <w:r w:rsidRPr="00904368">
        <w:rPr>
          <w:sz w:val="24"/>
          <w:szCs w:val="24"/>
        </w:rPr>
        <w:t>w\% albumin-only group. The population of structures around 10 nm were higher in the presence of peptides compared to 2</w:t>
      </w:r>
      <w:r w:rsidR="00D1329F">
        <w:rPr>
          <w:sz w:val="24"/>
          <w:szCs w:val="24"/>
        </w:rPr>
        <w:t xml:space="preserve"> </w:t>
      </w:r>
      <w:r w:rsidRPr="00904368">
        <w:rPr>
          <w:sz w:val="24"/>
          <w:szCs w:val="24"/>
        </w:rPr>
        <w:t>w% albumin-only, indicates smaller aggregates in the presence of peptides, and explains the reduce in intensities observed with DPH. In overall, the observed trend of behavior of [II] with albumin is similar to amyloid; the increasing albumin causes the decrease of the maximum fluorescence intensity, or the total amount of fibrils generated, and increases soluble disordered aggregates; oligomers.</w:t>
      </w:r>
    </w:p>
    <w:p w14:paraId="174E1DD2" w14:textId="5D915161" w:rsidR="006D7736" w:rsidRPr="00904368" w:rsidRDefault="00815888">
      <w:pPr>
        <w:pStyle w:val="Heading3"/>
        <w:numPr>
          <w:ilvl w:val="2"/>
          <w:numId w:val="6"/>
        </w:numPr>
        <w:spacing w:line="480" w:lineRule="auto"/>
        <w:jc w:val="both"/>
      </w:pPr>
      <w:bookmarkStart w:id="126" w:name="_Toc114946716"/>
      <w:bookmarkStart w:id="127" w:name="_Toc121134641"/>
      <w:r w:rsidRPr="00904368">
        <w:t>D</w:t>
      </w:r>
      <w:r w:rsidR="006D7736" w:rsidRPr="00904368">
        <w:t xml:space="preserve">elayed </w:t>
      </w:r>
      <w:r w:rsidR="008F1AC9">
        <w:t>A</w:t>
      </w:r>
      <w:r w:rsidR="006D7736" w:rsidRPr="00904368">
        <w:t xml:space="preserve">ggregation </w:t>
      </w:r>
      <w:r w:rsidR="008F1AC9">
        <w:t>I</w:t>
      </w:r>
      <w:r w:rsidR="006D7736" w:rsidRPr="00904368">
        <w:t xml:space="preserve">ncreased the </w:t>
      </w:r>
      <w:r w:rsidR="008F1AC9">
        <w:t>L</w:t>
      </w:r>
      <w:r w:rsidR="006D7736" w:rsidRPr="00904368">
        <w:t xml:space="preserve">ipid </w:t>
      </w:r>
      <w:r w:rsidR="008F1AC9">
        <w:t>M</w:t>
      </w:r>
      <w:r w:rsidR="006D7736" w:rsidRPr="00904368">
        <w:t xml:space="preserve">embrane </w:t>
      </w:r>
      <w:r w:rsidR="008F1AC9">
        <w:t>I</w:t>
      </w:r>
      <w:r w:rsidR="006D7736" w:rsidRPr="00904368">
        <w:t>ntegration of [II]</w:t>
      </w:r>
      <w:bookmarkEnd w:id="126"/>
      <w:bookmarkEnd w:id="127"/>
    </w:p>
    <w:p w14:paraId="2460E8DA" w14:textId="38E89354" w:rsidR="006D7736" w:rsidRPr="00904368" w:rsidRDefault="006D7736" w:rsidP="00E44507">
      <w:pPr>
        <w:spacing w:line="480" w:lineRule="auto"/>
        <w:rPr>
          <w:sz w:val="24"/>
          <w:szCs w:val="24"/>
        </w:rPr>
      </w:pPr>
      <w:r w:rsidRPr="00904368">
        <w:rPr>
          <w:sz w:val="24"/>
          <w:szCs w:val="24"/>
        </w:rPr>
        <w:t>Among the studied albumin concentrations, 0.2w% showed the threshold for diminishing the ordered fibril formation, therefore the rest of the analyses were performed in 0.2w\% albumin. To compare the integration on the lipid membrane of the liposomes, [II] prepared in 0.2w%, incubated for 30 min, then added on the liposomes (Fig. 3.</w:t>
      </w:r>
      <w:r w:rsidR="00B37168" w:rsidRPr="00904368">
        <w:rPr>
          <w:sz w:val="24"/>
          <w:szCs w:val="24"/>
        </w:rPr>
        <w:t>14</w:t>
      </w:r>
      <w:r w:rsidRPr="00904368">
        <w:rPr>
          <w:sz w:val="24"/>
          <w:szCs w:val="24"/>
        </w:rPr>
        <w:t>A). Unlike the premixed [II] in 0w% albumin (Fig. 3.</w:t>
      </w:r>
      <w:r w:rsidR="00B37168" w:rsidRPr="00904368">
        <w:rPr>
          <w:sz w:val="24"/>
          <w:szCs w:val="24"/>
        </w:rPr>
        <w:t>8</w:t>
      </w:r>
      <w:r w:rsidRPr="00904368">
        <w:rPr>
          <w:sz w:val="24"/>
          <w:szCs w:val="24"/>
        </w:rPr>
        <w:t>B), the individual peptides were localized in the liposomes starting from 5 min. Albumin slows down the peptide-peptide interactions by aggregating with the membrane and the interactions of peptides with the lipid membrane is likely to be more stable than their interactions with albumin. Incubation of individual peptides with 0.2w% albumin for 60 min showed that KFFIIK integrates to the lipid bilayer even in 5 min, while the negative one, EFFIIE, does not integrate, which is likely due to the charges of the lipids (Fig. 3.1</w:t>
      </w:r>
      <w:r w:rsidR="00B37168" w:rsidRPr="00904368">
        <w:rPr>
          <w:sz w:val="24"/>
          <w:szCs w:val="24"/>
        </w:rPr>
        <w:t>5</w:t>
      </w:r>
      <w:r w:rsidRPr="00904368">
        <w:rPr>
          <w:sz w:val="24"/>
          <w:szCs w:val="24"/>
        </w:rPr>
        <w:t>). The integration of EFFIIE when incubated with albumin and KFFIIK might be because of initial membrane integration of soluble KFFIIK followed by the aggregation of EFFIIE, even in the lipid interface. These results indicates that without albumin KFFIIK and EFFIIE co-assemble, form fibers, which do not interfere with the integrity of the lipid membrane. In the presence of albumin, the co-assembly process delays due to the aggregation of the individual peptides with albumin. The delay time (lag time or the time require to achieve equilibrium fibril phase) is correlated to the amount of albumin in the solvent.</w:t>
      </w:r>
    </w:p>
    <w:p w14:paraId="29BED4E6" w14:textId="77777777" w:rsidR="006D7736" w:rsidRDefault="006D7736" w:rsidP="00E44507">
      <w:pPr>
        <w:keepNext/>
        <w:spacing w:line="480" w:lineRule="auto"/>
      </w:pPr>
      <w:r>
        <w:rPr>
          <w:noProof/>
        </w:rPr>
        <w:drawing>
          <wp:inline distT="0" distB="0" distL="0" distR="0" wp14:anchorId="4EBD9EE9" wp14:editId="33095095">
            <wp:extent cx="5962890" cy="3684760"/>
            <wp:effectExtent l="0" t="0" r="0" b="0"/>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75423" cy="3692505"/>
                    </a:xfrm>
                    <a:prstGeom prst="rect">
                      <a:avLst/>
                    </a:prstGeom>
                  </pic:spPr>
                </pic:pic>
              </a:graphicData>
            </a:graphic>
          </wp:inline>
        </w:drawing>
      </w:r>
    </w:p>
    <w:p w14:paraId="69F10649" w14:textId="46263F90" w:rsidR="006D7736" w:rsidRPr="005F4629" w:rsidRDefault="006D7736" w:rsidP="008A3EF7">
      <w:pPr>
        <w:pStyle w:val="Caption"/>
        <w:rPr>
          <w:b/>
        </w:rPr>
      </w:pPr>
      <w:bookmarkStart w:id="128" w:name="_Toc109311852"/>
      <w:bookmarkStart w:id="129" w:name="_Toc115118651"/>
      <w:r w:rsidRPr="005F4629">
        <w:t xml:space="preserve">Figure 3. </w:t>
      </w:r>
      <w:fldSimple w:instr=" SEQ Figure_3. \* ARABIC ">
        <w:r w:rsidR="00785166">
          <w:rPr>
            <w:noProof/>
          </w:rPr>
          <w:t>14</w:t>
        </w:r>
      </w:fldSimple>
      <w:r w:rsidRPr="005F4629">
        <w:t xml:space="preserve"> Delayed [II] aggregation increases its integration on the lipid membranes. (A) Liposomal membrane localization of 0.5 mM [II] in 0.2</w:t>
      </w:r>
      <w:r w:rsidR="0074043A">
        <w:rPr>
          <w:b/>
        </w:rPr>
        <w:t xml:space="preserve"> </w:t>
      </w:r>
      <w:r w:rsidRPr="005F4629">
        <w:t xml:space="preserve">w% albumin; liposome = blue, EFFIIE = red, KFFIIK = green (Scale bar = 100 </w:t>
      </w:r>
      <w:r w:rsidRPr="005F4629">
        <w:rPr>
          <w:rFonts w:ascii="Symbol" w:hAnsi="Symbol"/>
        </w:rPr>
        <w:t>m</w:t>
      </w:r>
      <w:r w:rsidRPr="005F4629">
        <w:t>m). (B) Relative viability and (C) LDH release of EMT6 cells treated with individual and aggregates with 0.5 mM [II] in 0 and 0.2 w% of albumin in PBS.</w:t>
      </w:r>
      <w:bookmarkEnd w:id="128"/>
      <w:bookmarkEnd w:id="129"/>
    </w:p>
    <w:p w14:paraId="45FB0A56" w14:textId="68B9DC60" w:rsidR="006D7736" w:rsidRPr="00904368" w:rsidRDefault="006D7736" w:rsidP="00E44507">
      <w:pPr>
        <w:spacing w:line="480" w:lineRule="auto"/>
        <w:rPr>
          <w:rFonts w:cstheme="minorHAnsi"/>
          <w:sz w:val="24"/>
          <w:szCs w:val="24"/>
        </w:rPr>
      </w:pPr>
      <w:r w:rsidRPr="00904368">
        <w:rPr>
          <w:rFonts w:cstheme="minorHAnsi"/>
          <w:sz w:val="24"/>
          <w:szCs w:val="24"/>
        </w:rPr>
        <w:t>The effect of enhanced lipid membrane accumulation of [II] altered its toxicity (Fig. 3.</w:t>
      </w:r>
      <w:r w:rsidR="00B37168" w:rsidRPr="00904368">
        <w:rPr>
          <w:rFonts w:cstheme="minorHAnsi"/>
          <w:sz w:val="24"/>
          <w:szCs w:val="24"/>
        </w:rPr>
        <w:t>14</w:t>
      </w:r>
      <w:r w:rsidRPr="00904368">
        <w:rPr>
          <w:rFonts w:cstheme="minorHAnsi"/>
          <w:sz w:val="24"/>
          <w:szCs w:val="24"/>
        </w:rPr>
        <w:t>B, C). [II] induces immunogenic rupture of mammalian cell membranes, initiates immunogenic cell death in 6h in cell medium supplemented with 10v% FBS (has app. 0.2w% albumin) as shown before.</w:t>
      </w:r>
      <w:r w:rsidRPr="00904368">
        <w:rPr>
          <w:rFonts w:cstheme="minorHAnsi"/>
          <w:sz w:val="24"/>
          <w:szCs w:val="24"/>
        </w:rPr>
        <w:fldChar w:fldCharType="begin"/>
      </w:r>
      <w:r w:rsidR="008F09C1">
        <w:rPr>
          <w:rFonts w:cstheme="minorHAnsi"/>
          <w:sz w:val="24"/>
          <w:szCs w:val="24"/>
        </w:rPr>
        <w:instrText xml:space="preserve"> ADDIN ZOTERO_ITEM CSL_CITATION {"citationID":"87azGYSK","properties":{"formattedCitation":"\\super 169\\nosupersub{}","plainCitation":"169","noteIndex":0},"citationItems":[{"id":11147,"uris":["http://zotero.org/groups/2667333/items/Y7SGNY6E"],"itemData":{"id":11147,"type":"article-journal","abstract":"Immunogenic cell death (ICD) arises when cells are under stress, and their membranes are damaged. They release damage-associated molecular patterns (DAMPs) that stimulate and drive the type and magnitude of the immune response. In the presence of an antigen, DAMPs ride the longevity and efficacy of antigen-specific immunity. Yet, no tool can induce the controlled ICD with predictable results. A peptide-based tool, [II], is designed that aggregates in the cell and causes cell membrane damage, generates ICD and DAMPs release on various cell types, and hence can act as an adjuvant. An influenza vaccine is prepared by combining [II] with influenza hemagglutinin (HA) subunit antigens. The results show that [II] induced significantly higher HA-specific immunoglobulin G1 (IgG1) and IgG2a antibodies than HA-only immunized mice, while the peptide itself did not elicit antibodies. This paper demonstrates the first peptide-aggregation induced immunogenic rupture (PAIIR) approach as a vaccine adjuvant. PAIIR is a promising adjuvant with a high potential to promote universal protection upon influenza HA vaccination.","container-title":"Advanced Science","DOI":"10.1002/advs.202105868","ISSN":"2198-3844","issue":"n/a","language":"en","note":"_eprint: https://onlinelibrary.wiley.com/doi/pdf/10.1002/advs.202105868","page":"2105868","source":"Wiley Online Library","title":"Peptide Aggregation Induced Immunogenic Rupture (PAIIR)","URL":"https://onlinelibrary.wiley.com/doi/abs/10.1002/advs.202105868","volume":"n/a","author":[{"family":"Gunay","given":"Gokhan"},{"family":"Hamsici","given":"Seren"},{"family":"Lang","given":"Gillian A."},{"family":"Lang","given":"Mark L."},{"family":"Kovats","given":"Susan"},{"family":"Acar","given":"Handan"}],"accessed":{"date-parts":[["2022",5,28]]},"issued":{"date-parts":[["2022"]]},"citation-key":"gunay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169</w:t>
      </w:r>
      <w:r w:rsidRPr="00904368">
        <w:rPr>
          <w:rFonts w:cstheme="minorHAnsi"/>
          <w:sz w:val="24"/>
          <w:szCs w:val="24"/>
        </w:rPr>
        <w:fldChar w:fldCharType="end"/>
      </w:r>
      <w:r w:rsidRPr="00904368">
        <w:rPr>
          <w:rFonts w:cstheme="minorHAnsi"/>
          <w:sz w:val="24"/>
          <w:szCs w:val="24"/>
        </w:rPr>
        <w:t xml:space="preserve"> During 3h of treatment, [II] in 0% (without) albumin did not cause any membrane damage (Fig. 3.</w:t>
      </w:r>
      <w:r w:rsidR="00B37168" w:rsidRPr="00904368">
        <w:rPr>
          <w:rFonts w:cstheme="minorHAnsi"/>
          <w:sz w:val="24"/>
          <w:szCs w:val="24"/>
        </w:rPr>
        <w:t>14</w:t>
      </w:r>
      <w:r w:rsidRPr="00904368">
        <w:rPr>
          <w:rFonts w:cstheme="minorHAnsi"/>
          <w:sz w:val="24"/>
          <w:szCs w:val="24"/>
        </w:rPr>
        <w:t>B), as [II] fibrils do not interact with the lipid membrane (Fig. 3.</w:t>
      </w:r>
      <w:r w:rsidR="00B37168" w:rsidRPr="00904368">
        <w:rPr>
          <w:rFonts w:cstheme="minorHAnsi"/>
          <w:sz w:val="24"/>
          <w:szCs w:val="24"/>
        </w:rPr>
        <w:t>8</w:t>
      </w:r>
      <w:r w:rsidRPr="00904368">
        <w:rPr>
          <w:rFonts w:cstheme="minorHAnsi"/>
          <w:sz w:val="24"/>
          <w:szCs w:val="24"/>
        </w:rPr>
        <w:t>B). Addition of [II] with 0.2w\% albumin showed increasing membrane damage over time which is quantified by the release of lactate dehydrogenase (LDH), a cytoplasmic enzyme released upon membrane damage.</w:t>
      </w:r>
      <w:r w:rsidRPr="00904368">
        <w:rPr>
          <w:rFonts w:cstheme="minorHAnsi"/>
          <w:sz w:val="24"/>
          <w:szCs w:val="24"/>
        </w:rPr>
        <w:fldChar w:fldCharType="begin"/>
      </w:r>
      <w:r w:rsidR="008F09C1">
        <w:rPr>
          <w:rFonts w:cstheme="minorHAnsi"/>
          <w:sz w:val="24"/>
          <w:szCs w:val="24"/>
        </w:rPr>
        <w:instrText xml:space="preserve"> ADDIN ZOTERO_ITEM CSL_CITATION {"citationID":"ZcYJFmQ6","properties":{"formattedCitation":"\\super 195\\nosupersub{}","plainCitation":"195","noteIndex":0},"citationItems":[{"id":2156,"uris":["http://zotero.org/groups/2667333/items/G6FHFX5J"],"itemData":{"id":2156,"type":"article-journal","container-title":"Cold Spring Harbor Protocols","DOI":"10.1101/pdb.prot095497","ISSN":"1940-3402, 1559-6095","issue":"6","journalAbbreviation":"Cold Spring Harb Protoc","language":"en","page":"pdb.prot095497","source":"DOI.org (Crossref)","title":"Analysis of Cell Viability by the Lactate Dehydrogenase Assay","URL":"http://www.cshprotocols.org/lookup/doi/10.1101/pdb.prot095497","volume":"2018","author":[{"family":"Kumar","given":"Priti"},{"family":"Nagarajan","given":"Arvindhan"},{"family":"Uchil","given":"Pradeep D."}],"accessed":{"date-parts":[["2021",8,4]]},"issued":{"date-parts":[["2018",6]]},"citation-key":"kumarAnalysisCellViability2018"}}],"schema":"https://github.com/citation-style-language/schema/raw/master/csl-citation.json"}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195</w:t>
      </w:r>
      <w:r w:rsidRPr="00904368">
        <w:rPr>
          <w:rFonts w:cstheme="minorHAnsi"/>
          <w:sz w:val="24"/>
          <w:szCs w:val="24"/>
        </w:rPr>
        <w:fldChar w:fldCharType="end"/>
      </w:r>
      <w:r w:rsidRPr="00904368">
        <w:rPr>
          <w:rFonts w:cstheme="minorHAnsi"/>
          <w:sz w:val="24"/>
          <w:szCs w:val="24"/>
        </w:rPr>
        <w:t xml:space="preserve"> These results correlate with ThT (high intensity, high ordered fibril assembly) and DPH results (low intensity, high disordered aggregation) indicating that delayed fibril formation increases the membrane damage. Furthermore, we also tested the effects of consecutively introduced peptides to cells without albumin to correlate the toxicity to the membrane integration. When KFFIIK was given first (green bar) followed by EFFIIE addition, cellular viability decreased to 50% at 30 min and reduced to 25% at 3h (Fig. 3.</w:t>
      </w:r>
      <w:r w:rsidR="00B37168" w:rsidRPr="00904368">
        <w:rPr>
          <w:rFonts w:cstheme="minorHAnsi"/>
          <w:sz w:val="24"/>
          <w:szCs w:val="24"/>
        </w:rPr>
        <w:t>14</w:t>
      </w:r>
      <w:r w:rsidRPr="00904368">
        <w:rPr>
          <w:rFonts w:cstheme="minorHAnsi"/>
          <w:sz w:val="24"/>
          <w:szCs w:val="24"/>
        </w:rPr>
        <w:t>B). The opposite scenario where EFFIIE added first and then KFFIIK (red bar), started from 75% cell viability at 30 min and decreased to 25\% at 3h. As observed from liposomal experiments (Fig. 3.</w:t>
      </w:r>
      <w:r w:rsidR="00B37168" w:rsidRPr="00904368">
        <w:rPr>
          <w:rFonts w:cstheme="minorHAnsi"/>
          <w:sz w:val="24"/>
          <w:szCs w:val="24"/>
        </w:rPr>
        <w:t>8</w:t>
      </w:r>
      <w:r w:rsidRPr="00904368">
        <w:rPr>
          <w:rFonts w:cstheme="minorHAnsi"/>
          <w:sz w:val="24"/>
          <w:szCs w:val="24"/>
        </w:rPr>
        <w:t>C, D), KFFIIK accumulated faster on the membrane compared to EFFIIE. Therefore, when peptides were introduced consecutively (30 min), we observed faster cell death in K then E condition. However, cell death was similar at 3h regardless of the addition order (Fig. 3.</w:t>
      </w:r>
      <w:r w:rsidR="00B37168" w:rsidRPr="00904368">
        <w:rPr>
          <w:rFonts w:cstheme="minorHAnsi"/>
          <w:sz w:val="24"/>
          <w:szCs w:val="24"/>
        </w:rPr>
        <w:t>14</w:t>
      </w:r>
      <w:r w:rsidRPr="00904368">
        <w:rPr>
          <w:rFonts w:cstheme="minorHAnsi"/>
          <w:sz w:val="24"/>
          <w:szCs w:val="24"/>
        </w:rPr>
        <w:t>B). These results show that the toxicity of [II] can be controlled through control over its aggregation kinetics.</w:t>
      </w:r>
    </w:p>
    <w:p w14:paraId="5407E414" w14:textId="77777777" w:rsidR="006D7736" w:rsidRDefault="006D7736" w:rsidP="00E44507">
      <w:pPr>
        <w:keepNext/>
        <w:spacing w:line="480" w:lineRule="auto"/>
      </w:pPr>
      <w:r>
        <w:rPr>
          <w:noProof/>
        </w:rPr>
        <w:drawing>
          <wp:inline distT="0" distB="0" distL="0" distR="0" wp14:anchorId="66DA5DE5" wp14:editId="22A8FDA6">
            <wp:extent cx="5943600" cy="3011805"/>
            <wp:effectExtent l="0" t="0" r="0" b="0"/>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3011805"/>
                    </a:xfrm>
                    <a:prstGeom prst="rect">
                      <a:avLst/>
                    </a:prstGeom>
                  </pic:spPr>
                </pic:pic>
              </a:graphicData>
            </a:graphic>
          </wp:inline>
        </w:drawing>
      </w:r>
    </w:p>
    <w:p w14:paraId="5AA9D9DD" w14:textId="05B228CD" w:rsidR="00AD6E83" w:rsidRPr="0074043A" w:rsidRDefault="006D7736" w:rsidP="008A3EF7">
      <w:pPr>
        <w:pStyle w:val="Caption"/>
        <w:rPr>
          <w:b/>
          <w:bCs/>
        </w:rPr>
      </w:pPr>
      <w:bookmarkStart w:id="130" w:name="_Toc109311853"/>
      <w:bookmarkStart w:id="131" w:name="_Toc115118652"/>
      <w:r w:rsidRPr="0074043A">
        <w:t xml:space="preserve">Figure 3. </w:t>
      </w:r>
      <w:fldSimple w:instr=" SEQ Figure_3. \* ARABIC ">
        <w:r w:rsidR="00785166">
          <w:rPr>
            <w:noProof/>
          </w:rPr>
          <w:t>15</w:t>
        </w:r>
      </w:fldSimple>
      <w:r w:rsidRPr="0074043A">
        <w:t xml:space="preserve"> Individual peptide localization on the liposomal membrane. </w:t>
      </w:r>
      <w:r w:rsidRPr="0074043A">
        <w:rPr>
          <w:bCs/>
        </w:rPr>
        <w:t>(A) EFFIIE and KFFIIK (B) localization on the liposomal membrane with and without 0.2w% albumin</w:t>
      </w:r>
      <w:bookmarkEnd w:id="130"/>
      <w:bookmarkEnd w:id="131"/>
    </w:p>
    <w:p w14:paraId="761C4BEE" w14:textId="171147AA" w:rsidR="006D7736" w:rsidRDefault="00815888">
      <w:pPr>
        <w:pStyle w:val="Heading3"/>
        <w:numPr>
          <w:ilvl w:val="2"/>
          <w:numId w:val="6"/>
        </w:numPr>
        <w:spacing w:line="480" w:lineRule="auto"/>
      </w:pPr>
      <w:bookmarkStart w:id="132" w:name="_Toc114946717"/>
      <w:bookmarkStart w:id="133" w:name="_Toc121134642"/>
      <w:r>
        <w:t>Fret</w:t>
      </w:r>
      <w:r w:rsidR="00027B95">
        <w:t xml:space="preserve"> </w:t>
      </w:r>
      <w:r w:rsidR="008F1AC9">
        <w:t>A</w:t>
      </w:r>
      <w:r w:rsidR="006D7736">
        <w:t xml:space="preserve">nalysis for </w:t>
      </w:r>
      <w:r w:rsidR="008F1AC9">
        <w:t>A</w:t>
      </w:r>
      <w:r w:rsidR="006D7736">
        <w:t xml:space="preserve">lbumin and </w:t>
      </w:r>
      <w:r w:rsidR="00027B95">
        <w:t>[</w:t>
      </w:r>
      <w:r w:rsidR="00BC429E">
        <w:t>II</w:t>
      </w:r>
      <w:r w:rsidR="00027B95">
        <w:t>]</w:t>
      </w:r>
      <w:r w:rsidR="006D7736">
        <w:t xml:space="preserve"> </w:t>
      </w:r>
      <w:r w:rsidR="008F1AC9">
        <w:t>I</w:t>
      </w:r>
      <w:r w:rsidR="006D7736">
        <w:t>nteractions</w:t>
      </w:r>
      <w:bookmarkEnd w:id="132"/>
      <w:bookmarkEnd w:id="133"/>
    </w:p>
    <w:p w14:paraId="4A4CA901" w14:textId="25F61589" w:rsidR="006D7736" w:rsidRPr="00904368" w:rsidRDefault="006D7736" w:rsidP="00E44507">
      <w:pPr>
        <w:spacing w:line="480" w:lineRule="auto"/>
        <w:rPr>
          <w:rFonts w:cstheme="minorHAnsi"/>
          <w:sz w:val="24"/>
          <w:szCs w:val="24"/>
        </w:rPr>
      </w:pPr>
      <w:r w:rsidRPr="00904368">
        <w:rPr>
          <w:rFonts w:cstheme="minorHAnsi"/>
          <w:sz w:val="24"/>
          <w:szCs w:val="24"/>
        </w:rPr>
        <w:t>FITC and TRITC are fluorescent dyes and FRET couples. When the distance of the two fluorophores is less than 8 nm, the excitation of light with 488 nm wavelength triggers FRET; emission from FITC (donor) at 520 nm excites TRITC (acceptor) that emits light at 578 nm.</w:t>
      </w:r>
      <w:r w:rsidRPr="00904368">
        <w:rPr>
          <w:rFonts w:cstheme="minorHAnsi"/>
          <w:sz w:val="24"/>
          <w:szCs w:val="24"/>
        </w:rPr>
        <w:fldChar w:fldCharType="begin"/>
      </w:r>
      <w:r w:rsidR="008F09C1">
        <w:rPr>
          <w:rFonts w:cstheme="minorHAnsi"/>
          <w:sz w:val="24"/>
          <w:szCs w:val="24"/>
        </w:rPr>
        <w:instrText xml:space="preserve"> ADDIN ZOTERO_ITEM CSL_CITATION {"citationID":"PmUfAsgD","properties":{"formattedCitation":"\\super 196\\nosupersub{}","plainCitation":"196","noteIndex":0},"citationItems":[{"id":10516,"uris":["http://zotero.org/groups/2667333/items/4BW3MMLT"],"itemData":{"id":10516,"type":"article-journal","abstract":"We report on a novel technique to develop an optical immunosensor based on fluorescence resonance energy transfer (FRET). IgG antibodies were labeled with acceptor fluorophores while one of three carrier molecules (protein A, protein G, or F(ab′)2 fragment) was labeled with donor fluorophores. The carrier molecule was incubated with the antibody to allow specific binding to the Fc portion. The labeled antibody–protein complex was then exposed to specific and nonspecific antigens, and experiments were designed to determine the ‘in solution’ response. The paper reports the results of three different donor–acceptor FRET pairs, fluorescein isothiocyanate/tetramethylrhodamine isothiocyanate, Texas Red/Cy5, and Alexa Fluor 546/Alexa Fluor 594. The effects of the fluorophore to protein conjugation ratio (F/P ratio) and acceptor to donor fluorophore ratios between the antibody and protein (A/D ratio) were examined. In the presence of specific antigens, the antibodies underwent a conformational change, resulting in an energy transfer from the donor to the acceptor fluorophore as measured by a change in fluorescence. The non-specific antigens elicited little or no changes. The Alexa Fluor FRET pair demonstrated the largest change in fluorescence, resulting in a 35% change. The F/P and A/D ratio will affect the efficiency of energy transfer, but there exists a suitable range of A/D and F/P ratios for the FRET pairs. The feasibility of the FRET immunosensor technique was established; however, it will be necessary to immobilize the complexes onto optical substrates so that consistent trends can be obtained that would allow calibration plots.","container-title":"Biosensors and Bioelectronics","DOI":"10.1016/S0956-5663(03)00215-X","ISSN":"0956-5663","issue":"3","journalAbbreviation":"Biosensors and Bioelectronics","language":"en","note":"tex.ids= lichlyter_development_2003-1","page":"219-226","source":"ScienceDirect","title":"Development of a novel FRET immunosensor technique","URL":"https://www.sciencedirect.com/science/article/pii/S095656630300215X","volume":"19","author":[{"family":"Lichlyter","given":"Darcy J"},{"family":"Grant","given":"Sheila A"},{"family":"Soykan","given":"Orhan"}],"accessed":{"date-parts":[["2022",2,20]]},"issued":{"date-parts":[["2003",11,30]]},"citation-key":"lichlyter_development_2003-1"}}],"schema":"https://github.com/citation-style-language/schema/raw/master/csl-citation.json"}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196</w:t>
      </w:r>
      <w:r w:rsidRPr="00904368">
        <w:rPr>
          <w:rFonts w:cstheme="minorHAnsi"/>
          <w:sz w:val="24"/>
          <w:szCs w:val="24"/>
        </w:rPr>
        <w:fldChar w:fldCharType="end"/>
      </w:r>
      <w:r w:rsidRPr="00904368">
        <w:rPr>
          <w:rFonts w:cstheme="minorHAnsi"/>
          <w:sz w:val="24"/>
          <w:szCs w:val="24"/>
        </w:rPr>
        <w:t xml:space="preserve"> We used albumin conjugated with TRITC and incubated with FITC-KFFIIK for this analysis. Incubation of FITC-KFFIIK with 0.2w% albumin for 30 min and 24h which did not show FRET, indicates that they are not in proximity (Fig. 3.1</w:t>
      </w:r>
      <w:r w:rsidR="00B37168" w:rsidRPr="00904368">
        <w:rPr>
          <w:rFonts w:cstheme="minorHAnsi"/>
          <w:sz w:val="24"/>
          <w:szCs w:val="24"/>
        </w:rPr>
        <w:t>6</w:t>
      </w:r>
      <w:r w:rsidRPr="00904368">
        <w:rPr>
          <w:rFonts w:cstheme="minorHAnsi"/>
          <w:sz w:val="24"/>
          <w:szCs w:val="24"/>
        </w:rPr>
        <w:t>A). In the presence of EFFIIE (not fluorescent tagged) also in 0.2w% albumin showed the FRET intensity, TRITC emission at 580 nm and FITC emission at 488 nm was reduced (Fig. 3.1</w:t>
      </w:r>
      <w:r w:rsidR="00B37168" w:rsidRPr="00904368">
        <w:rPr>
          <w:rFonts w:cstheme="minorHAnsi"/>
          <w:sz w:val="24"/>
          <w:szCs w:val="24"/>
        </w:rPr>
        <w:t>6</w:t>
      </w:r>
      <w:r w:rsidRPr="00904368">
        <w:rPr>
          <w:rFonts w:cstheme="minorHAnsi"/>
          <w:sz w:val="24"/>
          <w:szCs w:val="24"/>
        </w:rPr>
        <w:t>B), indicating the peptides and albumin are aggregated in closer proximity than 8 nm.</w:t>
      </w:r>
    </w:p>
    <w:p w14:paraId="3E92BCC5" w14:textId="4705AB52" w:rsidR="006D7736" w:rsidRPr="00904368" w:rsidRDefault="006D7736" w:rsidP="00E44507">
      <w:pPr>
        <w:spacing w:line="480" w:lineRule="auto"/>
        <w:rPr>
          <w:rFonts w:cstheme="minorHAnsi"/>
          <w:sz w:val="24"/>
          <w:szCs w:val="24"/>
        </w:rPr>
      </w:pPr>
      <w:r w:rsidRPr="00904368">
        <w:rPr>
          <w:rFonts w:cstheme="minorHAnsi"/>
          <w:sz w:val="24"/>
          <w:szCs w:val="24"/>
        </w:rPr>
        <w:t>The cell membranes were stained with Wheat Germ Agglutinin (WGA) (gray) and incubated with [II] (FITC-KFFIIK (green) and Rhodamine-EFFIIE (red)) in 0.2w% albumin for 1h and 2h to identify the localization of the peptides. Accumulation of each peptide increased from 1h to 2h with lost integrity of the membrane, which also explained the higher LDH release (Fig. 3.</w:t>
      </w:r>
      <w:r w:rsidR="00B37168" w:rsidRPr="00904368">
        <w:rPr>
          <w:rFonts w:cstheme="minorHAnsi"/>
          <w:sz w:val="24"/>
          <w:szCs w:val="24"/>
        </w:rPr>
        <w:t>14</w:t>
      </w:r>
      <w:r w:rsidRPr="00904368">
        <w:rPr>
          <w:rFonts w:cstheme="minorHAnsi"/>
          <w:sz w:val="24"/>
          <w:szCs w:val="24"/>
        </w:rPr>
        <w:t>C). When the peptides were preincubated in the absence of albumin for 30 min, no cell membrane localization was observed (Fig. 3.1</w:t>
      </w:r>
      <w:r w:rsidR="00B37168" w:rsidRPr="00904368">
        <w:rPr>
          <w:rFonts w:cstheme="minorHAnsi"/>
          <w:sz w:val="24"/>
          <w:szCs w:val="24"/>
        </w:rPr>
        <w:t>7</w:t>
      </w:r>
      <w:r w:rsidRPr="00904368">
        <w:rPr>
          <w:rFonts w:cstheme="minorHAnsi"/>
          <w:sz w:val="24"/>
          <w:szCs w:val="24"/>
        </w:rPr>
        <w:t>), also in line with viability results. Overall, these results demonstrates that in the absence of albumin, peptides assemble into ordered fibrillar structures and do not localize to the cell membrane. Presence of the albumin in the solution prevents immediate peptide-peptide interactions and allows time for peptide aggregation to occur within the cell and at the membrane. Therefore, changing albumin concentration is changing the peptide aggregation kinetics, which results in controllable membrane accumulation and cell death.</w:t>
      </w:r>
    </w:p>
    <w:p w14:paraId="7136612A" w14:textId="77777777" w:rsidR="006D7736" w:rsidRDefault="006D7736" w:rsidP="00E44507">
      <w:pPr>
        <w:keepNext/>
        <w:spacing w:line="480" w:lineRule="auto"/>
      </w:pPr>
      <w:r>
        <w:rPr>
          <w:noProof/>
        </w:rPr>
        <w:drawing>
          <wp:inline distT="0" distB="0" distL="0" distR="0" wp14:anchorId="5DA4C2C4" wp14:editId="3D2FFE54">
            <wp:extent cx="5943600" cy="43853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4385310"/>
                    </a:xfrm>
                    <a:prstGeom prst="rect">
                      <a:avLst/>
                    </a:prstGeom>
                  </pic:spPr>
                </pic:pic>
              </a:graphicData>
            </a:graphic>
          </wp:inline>
        </w:drawing>
      </w:r>
    </w:p>
    <w:p w14:paraId="7D37EAFA" w14:textId="1C9A628B" w:rsidR="006D7736" w:rsidRPr="00CD7A3D" w:rsidRDefault="006D7736" w:rsidP="008A3EF7">
      <w:pPr>
        <w:pStyle w:val="Caption"/>
        <w:rPr>
          <w:b/>
        </w:rPr>
      </w:pPr>
      <w:bookmarkStart w:id="134" w:name="_Toc109311854"/>
      <w:bookmarkStart w:id="135" w:name="_Toc115118653"/>
      <w:r w:rsidRPr="00CD7A3D">
        <w:t xml:space="preserve">Figure 3. </w:t>
      </w:r>
      <w:fldSimple w:instr=" SEQ Figure_3. \* ARABIC ">
        <w:r w:rsidR="00785166">
          <w:rPr>
            <w:noProof/>
          </w:rPr>
          <w:t>16</w:t>
        </w:r>
      </w:fldSimple>
      <w:r w:rsidRPr="00CD7A3D">
        <w:t xml:space="preserve"> Albumin and [II] interaction. (A) The FRET analysis of the presence and absence of TRITC-albumin with FITC-KFFIIK and (B) with [II]. (C) Confocal analysis of cells treated with 0.5 mM [II] for 30 min, 1h, and 2h in the presence of 0.2 w% albumin. Membrane stained with WGA, gray; cells treated with Rhodamine B labelled EFFIIE, red; FITC labelled KFFIIK, green. (Scale bar = 10 </w:t>
      </w:r>
      <w:r w:rsidRPr="00CD7A3D">
        <w:rPr>
          <w:rFonts w:ascii="Symbol" w:hAnsi="Symbol"/>
        </w:rPr>
        <w:t>m</w:t>
      </w:r>
      <w:r w:rsidRPr="00CD7A3D">
        <w:t>m)</w:t>
      </w:r>
      <w:bookmarkEnd w:id="134"/>
      <w:bookmarkEnd w:id="135"/>
    </w:p>
    <w:p w14:paraId="2742DDB0" w14:textId="4B3F646E" w:rsidR="006D7736" w:rsidRPr="00177433" w:rsidRDefault="006D7736" w:rsidP="00E44507">
      <w:pPr>
        <w:spacing w:line="480" w:lineRule="auto"/>
        <w:rPr>
          <w:bCs/>
        </w:rPr>
      </w:pPr>
    </w:p>
    <w:p w14:paraId="59FCB257" w14:textId="4E52A067" w:rsidR="006D7736" w:rsidRDefault="006D7736" w:rsidP="00E44507">
      <w:pPr>
        <w:spacing w:line="480" w:lineRule="auto"/>
      </w:pPr>
    </w:p>
    <w:p w14:paraId="52E05F5E" w14:textId="04B76BB9" w:rsidR="006D7736" w:rsidRDefault="006D7736" w:rsidP="00E44507">
      <w:pPr>
        <w:spacing w:line="480" w:lineRule="auto"/>
      </w:pPr>
    </w:p>
    <w:p w14:paraId="0BAC5221" w14:textId="6CD77F1F" w:rsidR="006D7736" w:rsidRDefault="006D7736" w:rsidP="00E44507">
      <w:pPr>
        <w:spacing w:line="480" w:lineRule="auto"/>
      </w:pPr>
    </w:p>
    <w:p w14:paraId="2234BEE0" w14:textId="5C8B5F88" w:rsidR="006D7736" w:rsidRDefault="006D7736" w:rsidP="00E44507">
      <w:pPr>
        <w:spacing w:line="480" w:lineRule="auto"/>
      </w:pPr>
    </w:p>
    <w:p w14:paraId="6752B75C" w14:textId="77777777" w:rsidR="006D7736" w:rsidRDefault="006D7736" w:rsidP="00E44507">
      <w:pPr>
        <w:keepNext/>
        <w:spacing w:line="480" w:lineRule="auto"/>
        <w:jc w:val="center"/>
      </w:pPr>
      <w:r>
        <w:rPr>
          <w:noProof/>
        </w:rPr>
        <w:drawing>
          <wp:inline distT="0" distB="0" distL="0" distR="0" wp14:anchorId="2A5EE096" wp14:editId="0AD52EB1">
            <wp:extent cx="5522614" cy="2032629"/>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38366" cy="2038427"/>
                    </a:xfrm>
                    <a:prstGeom prst="rect">
                      <a:avLst/>
                    </a:prstGeom>
                  </pic:spPr>
                </pic:pic>
              </a:graphicData>
            </a:graphic>
          </wp:inline>
        </w:drawing>
      </w:r>
    </w:p>
    <w:p w14:paraId="69DCBB2C" w14:textId="54D810E5" w:rsidR="006D7736" w:rsidRPr="00CD7A3D" w:rsidRDefault="006D7736" w:rsidP="008A3EF7">
      <w:pPr>
        <w:pStyle w:val="Caption"/>
        <w:rPr>
          <w:b/>
        </w:rPr>
      </w:pPr>
      <w:bookmarkStart w:id="136" w:name="_Toc109311855"/>
      <w:bookmarkStart w:id="137" w:name="_Toc115118654"/>
      <w:r w:rsidRPr="00CD7A3D">
        <w:t xml:space="preserve">Figure 3. </w:t>
      </w:r>
      <w:fldSimple w:instr=" SEQ Figure_3. \* ARABIC ">
        <w:r w:rsidR="00785166">
          <w:rPr>
            <w:noProof/>
          </w:rPr>
          <w:t>17</w:t>
        </w:r>
      </w:fldSimple>
      <w:r w:rsidRPr="00CD7A3D">
        <w:t xml:space="preserve"> The treatment of cells with preincubated [II] without albumin for 1h and 2h.</w:t>
      </w:r>
      <w:bookmarkEnd w:id="136"/>
      <w:r w:rsidR="009356DE" w:rsidRPr="00CD7A3D">
        <w:t xml:space="preserve"> </w:t>
      </w:r>
      <w:r w:rsidR="00567F3F" w:rsidRPr="00CD7A3D">
        <w:t>[II] did not accumulate on the cell membrane due to fibrillar formation.</w:t>
      </w:r>
      <w:bookmarkEnd w:id="137"/>
      <w:r w:rsidR="00567F3F" w:rsidRPr="00CD7A3D">
        <w:t xml:space="preserve"> </w:t>
      </w:r>
    </w:p>
    <w:p w14:paraId="6F5479D2" w14:textId="70571488" w:rsidR="006D7736" w:rsidRDefault="00815888">
      <w:pPr>
        <w:pStyle w:val="Heading3"/>
        <w:numPr>
          <w:ilvl w:val="2"/>
          <w:numId w:val="6"/>
        </w:numPr>
        <w:spacing w:line="480" w:lineRule="auto"/>
      </w:pPr>
      <w:bookmarkStart w:id="138" w:name="_Toc114946718"/>
      <w:bookmarkStart w:id="139" w:name="_Toc121134643"/>
      <w:r>
        <w:t>A</w:t>
      </w:r>
      <w:r w:rsidR="006D7736">
        <w:t>ggregation</w:t>
      </w:r>
      <w:r>
        <w:t xml:space="preserve"> of [</w:t>
      </w:r>
      <w:r w:rsidR="00BC429E">
        <w:t>II</w:t>
      </w:r>
      <w:r>
        <w:t>]</w:t>
      </w:r>
      <w:r w:rsidR="006D7736">
        <w:t xml:space="preserve"> </w:t>
      </w:r>
      <w:r w:rsidR="00366531">
        <w:t>I</w:t>
      </w:r>
      <w:r w:rsidR="006D7736">
        <w:t xml:space="preserve">nduces </w:t>
      </w:r>
      <w:r w:rsidR="00366531">
        <w:t>C</w:t>
      </w:r>
      <w:r w:rsidR="006D7736">
        <w:t xml:space="preserve">ell </w:t>
      </w:r>
      <w:r w:rsidR="00366531">
        <w:t>S</w:t>
      </w:r>
      <w:r w:rsidR="006D7736">
        <w:t>tress</w:t>
      </w:r>
      <w:bookmarkEnd w:id="138"/>
      <w:bookmarkEnd w:id="139"/>
    </w:p>
    <w:p w14:paraId="047791B7" w14:textId="2578CB4D" w:rsidR="006D7736" w:rsidRPr="00904368" w:rsidRDefault="006D7736" w:rsidP="00E44507">
      <w:pPr>
        <w:spacing w:line="480" w:lineRule="auto"/>
        <w:rPr>
          <w:rFonts w:cstheme="minorHAnsi"/>
          <w:sz w:val="24"/>
          <w:szCs w:val="24"/>
        </w:rPr>
      </w:pPr>
      <w:r w:rsidRPr="00904368">
        <w:rPr>
          <w:rFonts w:cstheme="minorHAnsi"/>
          <w:sz w:val="24"/>
          <w:szCs w:val="24"/>
        </w:rPr>
        <w:t>The cell plasma membrane senses external stimuli to adapt to changes through intracellular signaling. One of the pathways responding against a variety of external stimuli such as mechanical stress is the Hippo pathway. A</w:t>
      </w:r>
      <w:r w:rsidRPr="00904368">
        <w:rPr>
          <w:rFonts w:ascii="Symbol" w:hAnsi="Symbol" w:cstheme="minorHAnsi"/>
          <w:sz w:val="24"/>
          <w:szCs w:val="24"/>
        </w:rPr>
        <w:t>b</w:t>
      </w:r>
      <w:r w:rsidRPr="00904368">
        <w:rPr>
          <w:rFonts w:cstheme="minorHAnsi"/>
          <w:sz w:val="24"/>
          <w:szCs w:val="24"/>
        </w:rPr>
        <w:t>1-42-mediated neurodegeneration involves the activation of the Hippo pathway.</w:t>
      </w:r>
      <w:r w:rsidRPr="00904368">
        <w:rPr>
          <w:rFonts w:cstheme="minorHAnsi"/>
          <w:sz w:val="24"/>
          <w:szCs w:val="24"/>
        </w:rPr>
        <w:fldChar w:fldCharType="begin"/>
      </w:r>
      <w:r w:rsidR="008F09C1">
        <w:rPr>
          <w:rFonts w:cstheme="minorHAnsi"/>
          <w:sz w:val="24"/>
          <w:szCs w:val="24"/>
        </w:rPr>
        <w:instrText xml:space="preserve"> ADDIN ZOTERO_ITEM CSL_CITATION {"citationID":"oGEka6n1","properties":{"formattedCitation":"\\super 197\\nosupersub{}","plainCitation":"197","noteIndex":0},"citationItems":[{"id":10962,"uris":["http://zotero.org/groups/2667333/items/7LA3NFNP"],"itemData":{"id":10962,"type":"article-journal","container-title":"Frontiers in Cell and Developmental Biology","DOI":"10.3389/fcell.2020.00117","ISSN":"2296-634X","journalAbbreviation":"Front. Cell Dev. Biol.","page":"117","source":"DOI.org (Crossref)","title":"A Positive Feedback Loop of Hippo- and c-Jun-Amino-Terminal Kinase Signaling Pathways Regulates Amyloid-Beta-Mediated Neurodegeneration","URL":"https://www.frontiersin.org/article/10.3389/fcell.2020.00117/full","volume":"8","author":[{"family":"Irwin","given":"Madison"},{"family":"Tare","given":"Meghana"},{"family":"Singh","given":"Aditi"},{"family":"Puli","given":"Oorvashi Roy"},{"family":"Gogia","given":"Neha"},{"family":"Riccetti","given":"Matthew"},{"family":"Deshpande","given":"Prajakta"},{"family":"Kango-Singh","given":"Madhuri"},{"family":"Singh","given":"Amit"}],"accessed":{"date-parts":[["2022",4,27]]},"issued":{"date-parts":[["2020",3,13]]},"citation-key":"irwin_positive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197</w:t>
      </w:r>
      <w:r w:rsidRPr="00904368">
        <w:rPr>
          <w:rFonts w:cstheme="minorHAnsi"/>
          <w:sz w:val="24"/>
          <w:szCs w:val="24"/>
        </w:rPr>
        <w:fldChar w:fldCharType="end"/>
      </w:r>
      <w:r w:rsidRPr="00904368">
        <w:rPr>
          <w:rFonts w:cstheme="minorHAnsi"/>
          <w:sz w:val="24"/>
          <w:szCs w:val="24"/>
        </w:rPr>
        <w:t xml:space="preserve"> One of the central proteins within the Hippo pathway is YAP. YAP is a transcription factor found in the nucleus in active form and gets inactivated when translocate to the cytoplasm. We treated the cells to analyze the effect of [II] aggregation on YAP localization. At the early time points, 30 min, YAP localized in the cytoplasm (Fig. 3.1</w:t>
      </w:r>
      <w:r w:rsidR="00AE30F0" w:rsidRPr="00904368">
        <w:rPr>
          <w:rFonts w:cstheme="minorHAnsi"/>
          <w:sz w:val="24"/>
          <w:szCs w:val="24"/>
        </w:rPr>
        <w:t>8</w:t>
      </w:r>
      <w:r w:rsidRPr="00904368">
        <w:rPr>
          <w:rFonts w:cstheme="minorHAnsi"/>
          <w:sz w:val="24"/>
          <w:szCs w:val="24"/>
        </w:rPr>
        <w:t>A). More specifically, cytoplasmic localization of YAP is mediated by its phosphorylation (Serine 127 (S127)), leading to its inactivation</w:t>
      </w:r>
      <w:r w:rsidRPr="00904368">
        <w:rPr>
          <w:rFonts w:cstheme="minorHAnsi"/>
          <w:sz w:val="24"/>
          <w:szCs w:val="24"/>
        </w:rPr>
        <w:fldChar w:fldCharType="begin"/>
      </w:r>
      <w:r w:rsidR="008F09C1">
        <w:rPr>
          <w:rFonts w:cstheme="minorHAnsi"/>
          <w:sz w:val="24"/>
          <w:szCs w:val="24"/>
        </w:rPr>
        <w:instrText xml:space="preserve"> ADDIN ZOTERO_ITEM CSL_CITATION {"citationID":"QRpat6LD","properties":{"formattedCitation":"\\super 198\\nosupersub{}","plainCitation":"198","noteIndex":0},"citationItems":[{"id":10883,"uris":["http://zotero.org/groups/2667333/items/MQRRSPPZ"],"itemData":{"id":10883,"type":"article-journal","container-title":"Journal of Biological Chemistry","DOI":"10.1074/jbc.M709037200","ISSN":"00219258","issue":"9","journalAbbreviation":"Journal of Biological Chemistry","language":"en","page":"5496-5509","source":"DOI.org (Crossref)","title":"Tumor Suppressor LATS1 Is a Negative Regulator of Oncogene YAP","URL":"https://linkinghub.elsevier.com/retrieve/pii/S0021925820572700","volume":"283","author":[{"family":"Hao","given":"Yawei"},{"family":"Chun","given":"Alex"},{"family":"Cheung","given":"Kevin"},{"family":"Rashidi","given":"Babak"},{"family":"Yang","given":"Xiaolong"}],"accessed":{"date-parts":[["2022",4,25]]},"issued":{"date-parts":[["2008",2]]},"citation-key":"hao_tumor_2008"}}],"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198</w:t>
      </w:r>
      <w:r w:rsidRPr="00904368">
        <w:rPr>
          <w:rFonts w:cstheme="minorHAnsi"/>
          <w:sz w:val="24"/>
          <w:szCs w:val="24"/>
        </w:rPr>
        <w:fldChar w:fldCharType="end"/>
      </w:r>
      <w:r w:rsidRPr="00904368">
        <w:rPr>
          <w:rFonts w:cstheme="minorHAnsi"/>
          <w:sz w:val="24"/>
          <w:szCs w:val="24"/>
        </w:rPr>
        <w:t xml:space="preserve"> and degradation.</w:t>
      </w:r>
      <w:r w:rsidRPr="00904368">
        <w:rPr>
          <w:rFonts w:cstheme="minorHAnsi"/>
          <w:sz w:val="24"/>
          <w:szCs w:val="24"/>
        </w:rPr>
        <w:fldChar w:fldCharType="begin"/>
      </w:r>
      <w:r w:rsidR="008F09C1">
        <w:rPr>
          <w:rFonts w:cstheme="minorHAnsi"/>
          <w:sz w:val="24"/>
          <w:szCs w:val="24"/>
        </w:rPr>
        <w:instrText xml:space="preserve"> ADDIN ZOTERO_ITEM CSL_CITATION {"citationID":"2RWyGeCu","properties":{"formattedCitation":"\\super 199\\nosupersub{}","plainCitation":"199","noteIndex":0},"citationItems":[{"id":10908,"uris":["http://zotero.org/groups/2667333/items/F5WJUXQE"],"itemData":{"id":10908,"type":"article-journal","container-title":"Oncology Letters","DOI":"10.3892/ol.2016.4955","ISSN":"1792-1074, 1792-1082","issue":"4","language":"en","page":"2277-2282","source":"DOI.org (Crossref)","title":"Role of Yes-associated protein in cancer: An update","title-short":"Role of Yes-associated protein in cancer","URL":"https://www.spandidos-publications.com/10.3892/ol.2016.4955","volume":"12","author":[{"family":"Abylkassov","given":"Ramazan"},{"family":"Xie","given":"Yingqiu"}],"accessed":{"date-parts":[["2022",4,27]]},"issued":{"date-parts":[["2016",10]]},"citation-key":"abylkassov_role_2016"}}],"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199</w:t>
      </w:r>
      <w:r w:rsidRPr="00904368">
        <w:rPr>
          <w:rFonts w:cstheme="minorHAnsi"/>
          <w:sz w:val="24"/>
          <w:szCs w:val="24"/>
        </w:rPr>
        <w:fldChar w:fldCharType="end"/>
      </w:r>
      <w:r w:rsidRPr="00904368">
        <w:rPr>
          <w:rFonts w:cstheme="minorHAnsi"/>
          <w:sz w:val="24"/>
          <w:szCs w:val="24"/>
        </w:rPr>
        <w:t xml:space="preserve"> Upon administration of [II] with 0.2w% albumin, YAP phosphorylation in the cytoplasm can be observed green at 30 min and 1h (Fig. 3.1</w:t>
      </w:r>
      <w:r w:rsidR="00AE30F0" w:rsidRPr="00904368">
        <w:rPr>
          <w:rFonts w:cstheme="minorHAnsi"/>
          <w:sz w:val="24"/>
          <w:szCs w:val="24"/>
        </w:rPr>
        <w:t>8</w:t>
      </w:r>
      <w:r w:rsidRPr="00904368">
        <w:rPr>
          <w:rFonts w:cstheme="minorHAnsi"/>
          <w:sz w:val="24"/>
          <w:szCs w:val="24"/>
        </w:rPr>
        <w:t>B) However, after 1h, phosphorylated YAP in the cytoplasm starts to degrade, which is parallel with YAP localization to the cytoplasm at early time points (30 min). Western blot results also confirmed the phosphorylation of YAP and degradation (Fig. 3.1</w:t>
      </w:r>
      <w:r w:rsidR="00AE30F0" w:rsidRPr="00904368">
        <w:rPr>
          <w:rFonts w:cstheme="minorHAnsi"/>
          <w:sz w:val="24"/>
          <w:szCs w:val="24"/>
        </w:rPr>
        <w:t>8</w:t>
      </w:r>
      <w:r w:rsidRPr="00904368">
        <w:rPr>
          <w:rFonts w:cstheme="minorHAnsi"/>
          <w:sz w:val="24"/>
          <w:szCs w:val="24"/>
        </w:rPr>
        <w:t>C). Together these results show that [II] aggregation is inducing cytoplasmic localization of YAP through its phosphorylation, thus related to the mechanical stress on the cell membrane.</w:t>
      </w:r>
    </w:p>
    <w:p w14:paraId="67CDC58C" w14:textId="002A231B" w:rsidR="006D7736" w:rsidRPr="00D13C65" w:rsidRDefault="006D7736" w:rsidP="00E44507">
      <w:pPr>
        <w:spacing w:line="480" w:lineRule="auto"/>
        <w:rPr>
          <w:sz w:val="21"/>
          <w:szCs w:val="21"/>
        </w:rPr>
      </w:pPr>
      <w:r w:rsidRPr="00904368">
        <w:rPr>
          <w:rFonts w:cstheme="minorHAnsi"/>
          <w:sz w:val="24"/>
          <w:szCs w:val="24"/>
        </w:rPr>
        <w:t>eIF2</w:t>
      </w:r>
      <w:r w:rsidRPr="000E6385">
        <w:rPr>
          <w:rFonts w:ascii="Symbol" w:hAnsi="Symbol" w:cstheme="minorHAnsi"/>
          <w:sz w:val="24"/>
          <w:szCs w:val="24"/>
        </w:rPr>
        <w:t>a</w:t>
      </w:r>
      <w:r w:rsidRPr="00904368">
        <w:rPr>
          <w:rFonts w:cstheme="minorHAnsi"/>
          <w:sz w:val="24"/>
          <w:szCs w:val="24"/>
        </w:rPr>
        <w:t xml:space="preserve"> is another factor integrated into the stress response to external stimuli. Under cell stress, eIF2</w:t>
      </w:r>
      <w:r w:rsidRPr="000E6385">
        <w:rPr>
          <w:rFonts w:ascii="Symbol" w:hAnsi="Symbol" w:cstheme="minorHAnsi"/>
          <w:sz w:val="24"/>
          <w:szCs w:val="24"/>
        </w:rPr>
        <w:t>a</w:t>
      </w:r>
      <w:r w:rsidRPr="00904368">
        <w:rPr>
          <w:rFonts w:cstheme="minorHAnsi"/>
          <w:sz w:val="24"/>
          <w:szCs w:val="24"/>
        </w:rPr>
        <w:t xml:space="preserve"> gets phosphorylated and initiates the activation of genes responsible for stress response. Phosphorylation of eIF2</w:t>
      </w:r>
      <w:r w:rsidR="000E6385" w:rsidRPr="000E6385">
        <w:rPr>
          <w:rFonts w:ascii="Symbol" w:hAnsi="Symbol" w:cstheme="minorHAnsi"/>
          <w:sz w:val="24"/>
          <w:szCs w:val="24"/>
        </w:rPr>
        <w:t>a</w:t>
      </w:r>
      <w:r w:rsidRPr="00904368">
        <w:rPr>
          <w:rFonts w:cstheme="minorHAnsi"/>
          <w:sz w:val="24"/>
          <w:szCs w:val="24"/>
        </w:rPr>
        <w:t xml:space="preserve"> is a consistent marker in a variety of neurodegenerative diseases,</w:t>
      </w:r>
      <w:r w:rsidRPr="00904368">
        <w:rPr>
          <w:rFonts w:cstheme="minorHAnsi"/>
          <w:sz w:val="24"/>
          <w:szCs w:val="24"/>
        </w:rPr>
        <w:fldChar w:fldCharType="begin"/>
      </w:r>
      <w:r w:rsidR="008F09C1">
        <w:rPr>
          <w:rFonts w:cstheme="minorHAnsi"/>
          <w:sz w:val="24"/>
          <w:szCs w:val="24"/>
        </w:rPr>
        <w:instrText xml:space="preserve"> ADDIN ZOTERO_ITEM CSL_CITATION {"citationID":"8KAk3eeS","properties":{"formattedCitation":"\\super 200\\nosupersub{}","plainCitation":"200","noteIndex":0},"citationItems":[{"id":10986,"uris":["http://zotero.org/groups/2667333/items/HSN2TUD9"],"itemData":{"id":10986,"type":"article-journal","abstract":"Abstract\n            The proposed molecular mechanisms underlying neurodegenerative pathogenesis are varied, precluding the development of effective therapies for these increasingly prevalent disorders. One of the most consistent observations across neurodegenerative diseases is the phosphorylation of eukaryotic initiation factor 2α (eIF2α). eIF2α is a translation initiation factor, involved in cap-dependent protein translation, which when phosphorylated causes global translation attenuation. eIF2α phosphorylation is mediated by 4 kinases, which, together with their downstream signaling cascades, constitute the integrated stress response (ISR). While the ISR is activated by stresses commonly observed in neurodegeneration, such as oxidative stress, endoplasmic reticulum stress, and inflammation, it is a canonically adaptive signaling cascade. However, chronic activation of the ISR can contribute to neurodegenerative phenotypes such as neuronal death, memory impairments, and protein aggregation via apoptotic induction and other maladaptive outcomes downstream of phospho-eIF2α-mediated translation inhibition, including neuroinflammation and altered amyloidogenic processing, plausibly in a feed-forward manner. This review examines evidence that dysregulated eIF2a phosphorylation acts as a driver of neurodegeneration, including a survey of observations of ISR signaling in human disease, inspection of the overlap between ISR signaling and neurodegenerative phenomenon, and assessment of recent encouraging findings ameliorating neurodegeneration using developing pharmacological agents which target the ISR. In doing so, gaps in the field, including crosstalk of the ISR kinases and consideration of ISR signaling in nonneuronal central nervous system cell types, are highlighted.","container-title":"Journal of Neuropathology &amp; Experimental Neurology","DOI":"10.1093/jnen/nlz129","ISSN":"0022-3069, 1554-6578","issue":"2","language":"en","page":"123-143","source":"DOI.org (Crossref)","title":"The Integrated Stress Response and Phosphorylated Eukaryotic Initiation Factor 2α in Neurodegeneration","URL":"https://academic.oup.com/jnen/article/79/2/123/5698291","volume":"79","author":[{"family":"Bond","given":"Sarah"},{"family":"Lopez-Lloreda","given":"Claudia"},{"family":"Gannon","given":"Patrick J"},{"family":"Akay-Espinoza","given":"Cagla"},{"family":"Jordan-Sciutto","given":"Kelly L"}],"accessed":{"date-parts":[["2022",5,3]]},"issued":{"date-parts":[["2020",2,1]]},"citation-key":"bond_integrated_2020"}}],"schema":"https://github.com/citation-style-language/schema/raw/master/csl-citation.json"}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200</w:t>
      </w:r>
      <w:r w:rsidRPr="00904368">
        <w:rPr>
          <w:rFonts w:cstheme="minorHAnsi"/>
          <w:sz w:val="24"/>
          <w:szCs w:val="24"/>
        </w:rPr>
        <w:fldChar w:fldCharType="end"/>
      </w:r>
      <w:r w:rsidRPr="00904368">
        <w:rPr>
          <w:rFonts w:cstheme="minorHAnsi"/>
          <w:sz w:val="24"/>
          <w:szCs w:val="24"/>
        </w:rPr>
        <w:t xml:space="preserve"> including AD.</w:t>
      </w:r>
      <w:r w:rsidRPr="00904368">
        <w:rPr>
          <w:rFonts w:cstheme="minorHAnsi"/>
          <w:sz w:val="24"/>
          <w:szCs w:val="24"/>
        </w:rPr>
        <w:fldChar w:fldCharType="begin"/>
      </w:r>
      <w:r w:rsidR="008F09C1">
        <w:rPr>
          <w:rFonts w:cstheme="minorHAnsi"/>
          <w:sz w:val="24"/>
          <w:szCs w:val="24"/>
        </w:rPr>
        <w:instrText xml:space="preserve"> ADDIN ZOTERO_ITEM CSL_CITATION {"citationID":"4geWEKB3","properties":{"formattedCitation":"\\super 201\\nosupersub{}","plainCitation":"201","noteIndex":0},"citationItems":[{"id":10988,"uris":["http://zotero.org/groups/2667333/items/GYD8JBNU"],"itemData":{"id":10988,"type":"article-journal","container-title":"Frontiers in Molecular Neuroscience","DOI":"10.3389/fnmol.2014.00022","ISSN":"1662-5099","journalAbbreviation":"Front. Mol. Neurosci.","source":"DOI.org (Crossref)","title":"Roles of eIF2Î± kinases in the pathogenesis of Alzheimerâ€™s disease","URL":"http://journal.frontiersin.org/article/10.3389/fnmol.2014.00022/abstract","volume":"7","author":[{"family":"Ohno","given":"Masuo"}],"accessed":{"date-parts":[["2022",5,3]]},"issued":{"date-parts":[["2014",4,16]]},"citation-key":"ohno_roles_2014"}}],"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201</w:t>
      </w:r>
      <w:r w:rsidRPr="00904368">
        <w:rPr>
          <w:rFonts w:cstheme="minorHAnsi"/>
          <w:sz w:val="24"/>
          <w:szCs w:val="24"/>
        </w:rPr>
        <w:fldChar w:fldCharType="end"/>
      </w:r>
      <w:r w:rsidRPr="00904368">
        <w:rPr>
          <w:rFonts w:cstheme="minorHAnsi"/>
          <w:sz w:val="24"/>
          <w:szCs w:val="24"/>
        </w:rPr>
        <w:t xml:space="preserve"> Histological analysis on AD patients showed elevated phosphorylation of eIF2</w:t>
      </w:r>
      <w:r w:rsidRPr="000E6385">
        <w:rPr>
          <w:rFonts w:ascii="Symbol" w:hAnsi="Symbol" w:cstheme="minorHAnsi"/>
          <w:sz w:val="24"/>
          <w:szCs w:val="24"/>
        </w:rPr>
        <w:t>a</w:t>
      </w:r>
      <w:r w:rsidRPr="00904368">
        <w:rPr>
          <w:rFonts w:cstheme="minorHAnsi"/>
          <w:sz w:val="24"/>
          <w:szCs w:val="24"/>
        </w:rPr>
        <w:t>.</w:t>
      </w:r>
      <w:r w:rsidRPr="00904368">
        <w:rPr>
          <w:rFonts w:cstheme="minorHAnsi"/>
          <w:sz w:val="24"/>
          <w:szCs w:val="24"/>
        </w:rPr>
        <w:fldChar w:fldCharType="begin"/>
      </w:r>
      <w:r w:rsidR="008F09C1">
        <w:rPr>
          <w:rFonts w:cstheme="minorHAnsi"/>
          <w:sz w:val="24"/>
          <w:szCs w:val="24"/>
        </w:rPr>
        <w:instrText xml:space="preserve"> ADDIN ZOTERO_ITEM CSL_CITATION {"citationID":"oDwp2E1a","properties":{"formattedCitation":"\\super 202\\nosupersub{}","plainCitation":"202","noteIndex":0},"citationItems":[{"id":10992,"uris":["http://zotero.org/groups/2667333/items/LYC3S65E"],"itemData":{"id":10992,"type":"article-journal","container-title":"NeuroReport","DOI":"10.1097/00001756-200212200-00011","ISSN":"0959-4965","issue":"18","journalAbbreviation":"NeuroReport","language":"en","page":"2429-2432","source":"DOI.org (Crossref)","title":"Phosphorylation of eukaryotic initiation factor-2α (eIF2α) is associated with neuronal degeneration in Alzheimerʼs disease:","title-short":"Phosphorylation of eukaryotic initiation factor-2α (eIF2α) is associated with neuronal degeneration in Alzheimerʼs disease","URL":"http://journals.lww.com/00001756-200212200-00011","volume":"13","author":[{"family":"Chang","given":"Raymond C. C."},{"family":"Wong","given":"Ada K. Y."},{"family":"Ng","given":"Ho-Keung"},{"family":"Hugon","given":"Jacques"}],"accessed":{"date-parts":[["2022",5,3]]},"issued":{"date-parts":[["2002",12]]},"citation-key":"chang_phosphorylation_2002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202</w:t>
      </w:r>
      <w:r w:rsidRPr="00904368">
        <w:rPr>
          <w:rFonts w:cstheme="minorHAnsi"/>
          <w:sz w:val="24"/>
          <w:szCs w:val="24"/>
        </w:rPr>
        <w:fldChar w:fldCharType="end"/>
      </w:r>
      <w:r w:rsidRPr="00904368">
        <w:rPr>
          <w:rFonts w:cstheme="minorHAnsi"/>
          <w:sz w:val="24"/>
          <w:szCs w:val="24"/>
        </w:rPr>
        <w:t xml:space="preserve"> Moreover, in in vitro studies, A</w:t>
      </w:r>
      <w:r w:rsidRPr="000E6385">
        <w:rPr>
          <w:rFonts w:ascii="Symbol" w:hAnsi="Symbol" w:cstheme="minorHAnsi"/>
          <w:sz w:val="24"/>
          <w:szCs w:val="24"/>
        </w:rPr>
        <w:t>b</w:t>
      </w:r>
      <w:r w:rsidRPr="00904368">
        <w:rPr>
          <w:rFonts w:cstheme="minorHAnsi"/>
          <w:sz w:val="24"/>
          <w:szCs w:val="24"/>
        </w:rPr>
        <w:t>1-42</w:t>
      </w:r>
      <w:r w:rsidRPr="00904368">
        <w:rPr>
          <w:sz w:val="21"/>
          <w:szCs w:val="21"/>
        </w:rPr>
        <w:t xml:space="preserve"> </w:t>
      </w:r>
      <w:r w:rsidRPr="00904368">
        <w:rPr>
          <w:rFonts w:cstheme="minorHAnsi"/>
          <w:sz w:val="24"/>
          <w:szCs w:val="24"/>
        </w:rPr>
        <w:t>was shown to induce eIF2</w:t>
      </w:r>
      <w:r w:rsidR="000E6385" w:rsidRPr="000E6385">
        <w:rPr>
          <w:rFonts w:ascii="Symbol" w:hAnsi="Symbol" w:cstheme="minorHAnsi"/>
          <w:sz w:val="24"/>
          <w:szCs w:val="24"/>
        </w:rPr>
        <w:t>a</w:t>
      </w:r>
      <w:r w:rsidRPr="00904368">
        <w:rPr>
          <w:rFonts w:cstheme="minorHAnsi"/>
          <w:sz w:val="24"/>
          <w:szCs w:val="24"/>
        </w:rPr>
        <w:t xml:space="preserve"> phosphorylation in human neuroblastoma cells.</w:t>
      </w:r>
      <w:r w:rsidRPr="00904368">
        <w:rPr>
          <w:rFonts w:cstheme="minorHAnsi"/>
          <w:sz w:val="24"/>
          <w:szCs w:val="24"/>
        </w:rPr>
        <w:fldChar w:fldCharType="begin"/>
      </w:r>
      <w:r w:rsidR="008F09C1">
        <w:rPr>
          <w:rFonts w:cstheme="minorHAnsi"/>
          <w:sz w:val="24"/>
          <w:szCs w:val="24"/>
        </w:rPr>
        <w:instrText xml:space="preserve"> ADDIN ZOTERO_ITEM CSL_CITATION {"citationID":"8yjlTSfq","properties":{"formattedCitation":"\\super 203\\nosupersub{}","plainCitation":"203","noteIndex":0},"citationItems":[{"id":10990,"uris":["http://zotero.org/groups/2667333/items/LF5MA9N7"],"itemData":{"id":10990,"type":"article-journal","container-title":"PLoS ONE","DOI":"10.1371/journal.pone.0010489","ISSN":"1932-6203","issue":"5","journalAbbreviation":"PLoS ONE","language":"en","page":"e10489","source":"DOI.org (Crossref)","title":"Activation of PERK Signaling Attenuates Aβ-Mediated ER Stress","URL":"https://dx.plos.org/10.1371/journal.pone.0010489","volume":"5","author":[{"family":"Lee","given":"Do Yeon"},{"family":"Lee","given":"Kyu-Sun"},{"family":"Lee","given":"Hyun Jung"},{"family":"Kim","given":"Do Hee"},{"family":"Noh","given":"Yoo Hun"},{"family":"Yu","given":"Kweon"},{"family":"Jung","given":"Hee-Yeon"},{"family":"Lee","given":"Sang Hyung"},{"family":"Lee","given":"Jun Young"},{"family":"Youn","given":"Young Chul"},{"family":"Jeong","given":"Yoonhwa"},{"family":"Kim","given":"Dae Kyong"},{"family":"Lee","given":"Won Bok"},{"family":"Kim","given":"Sung Su"}],"editor":[{"family":"Feany","given":"Mel B."}],"accessed":{"date-parts":[["2022",5,3]]},"issued":{"date-parts":[["2010",5,5]]},"citation-key":"lee_activation_2010"}}],"schema":"https://github.com/citation-style-language/schema/raw/master/csl-citation.json"}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203</w:t>
      </w:r>
      <w:r w:rsidRPr="00904368">
        <w:rPr>
          <w:rFonts w:cstheme="minorHAnsi"/>
          <w:sz w:val="24"/>
          <w:szCs w:val="24"/>
        </w:rPr>
        <w:fldChar w:fldCharType="end"/>
      </w:r>
      <w:r w:rsidRPr="00904368">
        <w:rPr>
          <w:rFonts w:cstheme="minorHAnsi"/>
          <w:sz w:val="24"/>
          <w:szCs w:val="24"/>
        </w:rPr>
        <w:t xml:space="preserve"> We analyzed eIF2</w:t>
      </w:r>
      <w:r w:rsidR="000E6385" w:rsidRPr="000E6385">
        <w:rPr>
          <w:rFonts w:ascii="Symbol" w:hAnsi="Symbol" w:cstheme="minorHAnsi"/>
          <w:sz w:val="24"/>
          <w:szCs w:val="24"/>
        </w:rPr>
        <w:t>a</w:t>
      </w:r>
      <w:r w:rsidRPr="00904368">
        <w:rPr>
          <w:rFonts w:cstheme="minorHAnsi"/>
          <w:sz w:val="24"/>
          <w:szCs w:val="24"/>
        </w:rPr>
        <w:t xml:space="preserve"> phosphorylation for 0.5mM [II] in 0.2w% albumin and 0.5mM [II] in 0% albumin (non-membrane damaging condition). [II] aggregation-induced eIF2</w:t>
      </w:r>
      <w:r w:rsidR="000E6385" w:rsidRPr="000E6385">
        <w:rPr>
          <w:rFonts w:ascii="Symbol" w:hAnsi="Symbol" w:cstheme="minorHAnsi"/>
          <w:sz w:val="24"/>
          <w:szCs w:val="24"/>
        </w:rPr>
        <w:t>a</w:t>
      </w:r>
      <w:r w:rsidRPr="00904368">
        <w:rPr>
          <w:rFonts w:cstheme="minorHAnsi"/>
          <w:sz w:val="24"/>
          <w:szCs w:val="24"/>
        </w:rPr>
        <w:t xml:space="preserve"> phosphorylation at 1h (Fig. 3.1</w:t>
      </w:r>
      <w:r w:rsidR="00AE30F0" w:rsidRPr="00904368">
        <w:rPr>
          <w:rFonts w:cstheme="minorHAnsi"/>
          <w:sz w:val="24"/>
          <w:szCs w:val="24"/>
        </w:rPr>
        <w:t>8</w:t>
      </w:r>
      <w:r w:rsidRPr="00904368">
        <w:rPr>
          <w:rFonts w:cstheme="minorHAnsi"/>
          <w:sz w:val="24"/>
          <w:szCs w:val="24"/>
        </w:rPr>
        <w:t>C) followed by rapid degradation due to proteasome activity reported previously.</w:t>
      </w:r>
      <w:r w:rsidRPr="00904368">
        <w:rPr>
          <w:rFonts w:cstheme="minorHAnsi"/>
          <w:sz w:val="24"/>
          <w:szCs w:val="24"/>
        </w:rPr>
        <w:fldChar w:fldCharType="begin"/>
      </w:r>
      <w:r w:rsidR="008F09C1">
        <w:rPr>
          <w:rFonts w:cstheme="minorHAnsi"/>
          <w:sz w:val="24"/>
          <w:szCs w:val="24"/>
        </w:rPr>
        <w:instrText xml:space="preserve"> ADDIN ZOTERO_ITEM CSL_CITATION {"citationID":"7Wbk5trP","properties":{"formattedCitation":"\\super 204\\nosupersub{}","plainCitation":"204","noteIndex":0},"citationItems":[{"id":10764,"uris":["http://zotero.org/groups/2667333/items/6VBXHQGZ"],"itemData":{"id":10764,"type":"article-journal","abstract":"The present study demonstrates that even brief inhibition of degradation by the 26S proteasome inhibits global protein synthesis, mediated through increased phosphorylation of eIF2α (eukaryotic translational initiation factor 2α) by the HRI (haem-regulated inhibitor) kinase. Exposure of COS-7 cells to the proteasome inhibitor MG-132 (the proteasome inhibitor carbobenzoxy-L-leucyl-L-leucyl-leucinal) for 4 h resulted in a 55–60% decrease in protein synthesis rate compared with control cells. This repression of protein synthesis after treatment with MG-132 is not due to induction of apoptosis, which is known to occur after longer periods of 26S inhibition. Instead, we observed a significantly increased phosphorylation of eIF2α, which is known to repress global protein synthesis. In three MEF (mouse embryonic fibroblast) knockout cell lines lacking one of the four kinases known to phosphorylate eIF2α, increased phosphorylation of eIF2α still occurred after inhibition of the 26S proteasome. These three cell lines included a deletion of the PKR (double-stranded-RNA-dependent protein kinase); a deletion of the PERK (PKR-like endoplasmic reticulum resident kinase); or a deletion of the GCN2 (positive general control of transcription-2) kinase, indicating that none of these kinases was primarily responsible for the observed phosphorylation of eIF2α. In contrast, in a fourth MEF knockout cell line, HRI−/− cells lacking the HRI kinase failed to increase eIF2α phosphorylation upon proteasome inhibitor treatment (MG-132 or various doses of Bortezomib), indicating that the HRI kinase is the primary kinase activated by brief treatment of MEFs with 26S proteasome inhibitors.","container-title":"Biochemical Journal","DOI":"10.1042/BJ20080324","ISSN":"0264-6021, 1470-8728","issue":"3","language":"en","page":"579-588","source":"DOI.org (Crossref)","title":"Phosphorylation of eIF2α in response to 26S proteasome inhibition is mediated by the haem-regulated inhibitor (HRI) kinase","URL":"https://portlandpress.com/biochemj/article/412/3/579/44624/Phosphorylation-of-eIF2-in-response-to-26S","volume":"412","author":[{"family":"Yerlikaya","given":"Azmi"},{"family":"Kimball","given":"Scot R."},{"family":"Stanley","given":"Bruce A."}],"accessed":{"date-parts":[["2022",4,17]]},"issued":{"date-parts":[["2008",6,15]]},"citation-key":"yerlikayaPhosphorylationEIF2aResponse2008"}}],"schema":"https://github.com/citation-style-language/schema/raw/master/csl-citation.json"}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204</w:t>
      </w:r>
      <w:r w:rsidRPr="00904368">
        <w:rPr>
          <w:rFonts w:cstheme="minorHAnsi"/>
          <w:sz w:val="24"/>
          <w:szCs w:val="24"/>
        </w:rPr>
        <w:fldChar w:fldCharType="end"/>
      </w:r>
    </w:p>
    <w:p w14:paraId="63BCEB24" w14:textId="6195ABB4" w:rsidR="006D7736" w:rsidRDefault="006D7736" w:rsidP="00E44507">
      <w:pPr>
        <w:spacing w:line="480" w:lineRule="auto"/>
      </w:pPr>
    </w:p>
    <w:p w14:paraId="4F0A46A7" w14:textId="1C82CD5C" w:rsidR="006D7736" w:rsidRDefault="008A48D3" w:rsidP="00E44507">
      <w:pPr>
        <w:keepNext/>
        <w:spacing w:line="480" w:lineRule="auto"/>
        <w:jc w:val="center"/>
      </w:pPr>
      <w:r>
        <w:rPr>
          <w:rFonts w:ascii="Times New Roman" w:hAnsi="Times New Roman" w:cs="Times New Roman"/>
          <w:noProof/>
        </w:rPr>
        <w:drawing>
          <wp:inline distT="0" distB="0" distL="0" distR="0" wp14:anchorId="610D00FC" wp14:editId="38FB2CD1">
            <wp:extent cx="5943600" cy="782049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820495"/>
                    </a:xfrm>
                    <a:prstGeom prst="rect">
                      <a:avLst/>
                    </a:prstGeom>
                  </pic:spPr>
                </pic:pic>
              </a:graphicData>
            </a:graphic>
          </wp:inline>
        </w:drawing>
      </w:r>
    </w:p>
    <w:p w14:paraId="2D038E80" w14:textId="459FF106" w:rsidR="006D7736" w:rsidRPr="00E82FD5" w:rsidRDefault="006D7736" w:rsidP="008A3EF7">
      <w:pPr>
        <w:pStyle w:val="Caption"/>
        <w:rPr>
          <w:b/>
        </w:rPr>
      </w:pPr>
      <w:bookmarkStart w:id="140" w:name="_Toc109311856"/>
      <w:bookmarkStart w:id="141" w:name="_Toc115118655"/>
      <w:r w:rsidRPr="006D7736">
        <w:t xml:space="preserve">Figure 3. </w:t>
      </w:r>
      <w:fldSimple w:instr=" SEQ Figure_3. \* ARABIC ">
        <w:r w:rsidR="00785166">
          <w:rPr>
            <w:noProof/>
          </w:rPr>
          <w:t>18</w:t>
        </w:r>
      </w:fldSimple>
      <w:r w:rsidRPr="006D7736">
        <w:t xml:space="preserve"> [II] aggregation on the cell membrane induces cell stress</w:t>
      </w:r>
      <w:r w:rsidRPr="00904368">
        <w:t xml:space="preserve">. </w:t>
      </w:r>
      <w:r w:rsidRPr="00E82FD5">
        <w:t>(A) Immunocytochemistry of YAP localization (YAP = green, Actin = red, Nuclei = blue) (B) and phosphorylation based on aggregation (YAP-P = green). (C) Western blot analysis of YAP, YAP phosphorylation, eIF2</w:t>
      </w:r>
      <w:r w:rsidRPr="00E82FD5">
        <w:rPr>
          <w:rFonts w:ascii="Symbol" w:hAnsi="Symbol"/>
        </w:rPr>
        <w:t>a</w:t>
      </w:r>
      <w:r w:rsidRPr="00E82FD5">
        <w:t xml:space="preserve"> and eIF2</w:t>
      </w:r>
      <w:r w:rsidRPr="00E82FD5">
        <w:rPr>
          <w:rFonts w:ascii="Symbol" w:hAnsi="Symbol"/>
        </w:rPr>
        <w:t>a</w:t>
      </w:r>
      <w:r w:rsidRPr="00E82FD5">
        <w:t xml:space="preserve"> phosphorylation in different time points </w:t>
      </w:r>
      <w:r w:rsidRPr="00E82FD5">
        <w:rPr>
          <w:rFonts w:ascii="Symbol" w:hAnsi="Symbol"/>
        </w:rPr>
        <w:t>b</w:t>
      </w:r>
      <w:r w:rsidRPr="00E82FD5">
        <w:t xml:space="preserve">-actin was used as an internal loading control. (D) Immunocytochemistry of calreticulin cell surface localization (calreticulin = green, Actin = red, Nuclei = blue). (Scale bars = 20 </w:t>
      </w:r>
      <w:r w:rsidRPr="00E82FD5">
        <w:rPr>
          <w:rFonts w:ascii="Symbol" w:hAnsi="Symbol"/>
        </w:rPr>
        <w:t>m</w:t>
      </w:r>
      <w:r w:rsidRPr="00E82FD5">
        <w:t>m)</w:t>
      </w:r>
      <w:bookmarkEnd w:id="140"/>
      <w:bookmarkEnd w:id="141"/>
    </w:p>
    <w:p w14:paraId="1F11D25A" w14:textId="585293ED" w:rsidR="006D7736" w:rsidRDefault="00AA30C9">
      <w:pPr>
        <w:pStyle w:val="Heading2"/>
        <w:numPr>
          <w:ilvl w:val="1"/>
          <w:numId w:val="4"/>
        </w:numPr>
      </w:pPr>
      <w:bookmarkStart w:id="142" w:name="_Toc114946719"/>
      <w:bookmarkStart w:id="143" w:name="_Toc121134644"/>
      <w:r>
        <w:t>CONCLUSIONS</w:t>
      </w:r>
      <w:bookmarkEnd w:id="142"/>
      <w:bookmarkEnd w:id="143"/>
    </w:p>
    <w:p w14:paraId="27DB006E" w14:textId="3E671428" w:rsidR="009B497D" w:rsidRDefault="009B497D" w:rsidP="009B497D"/>
    <w:p w14:paraId="06A53FD6" w14:textId="39373ABE" w:rsidR="0001626A" w:rsidRPr="00904368" w:rsidRDefault="009B497D" w:rsidP="00E44507">
      <w:pPr>
        <w:spacing w:line="480" w:lineRule="auto"/>
        <w:rPr>
          <w:rFonts w:cstheme="minorHAnsi"/>
          <w:sz w:val="24"/>
          <w:szCs w:val="24"/>
        </w:rPr>
      </w:pPr>
      <w:r w:rsidRPr="00904368">
        <w:rPr>
          <w:rFonts w:cstheme="minorHAnsi"/>
          <w:sz w:val="24"/>
          <w:szCs w:val="24"/>
        </w:rPr>
        <w:t xml:space="preserve">First, </w:t>
      </w:r>
      <w:r w:rsidR="0001626A" w:rsidRPr="00904368">
        <w:rPr>
          <w:rFonts w:cstheme="minorHAnsi"/>
          <w:sz w:val="24"/>
          <w:szCs w:val="24"/>
        </w:rPr>
        <w:t xml:space="preserve">we </w:t>
      </w:r>
      <w:r w:rsidRPr="00904368">
        <w:rPr>
          <w:rFonts w:cstheme="minorHAnsi"/>
          <w:sz w:val="24"/>
          <w:szCs w:val="24"/>
        </w:rPr>
        <w:t xml:space="preserve">designed peptide sequences </w:t>
      </w:r>
      <w:r w:rsidR="0001626A" w:rsidRPr="00904368">
        <w:rPr>
          <w:rFonts w:cstheme="minorHAnsi"/>
          <w:sz w:val="24"/>
          <w:szCs w:val="24"/>
        </w:rPr>
        <w:t>to cause cell membrane damage by mimicking A</w:t>
      </w:r>
      <w:r w:rsidR="0001626A" w:rsidRPr="00904368">
        <w:rPr>
          <w:rFonts w:ascii="Symbol" w:hAnsi="Symbol" w:cstheme="minorHAnsi"/>
          <w:sz w:val="24"/>
          <w:szCs w:val="24"/>
        </w:rPr>
        <w:t>b</w:t>
      </w:r>
      <w:r w:rsidR="0001626A" w:rsidRPr="00904368">
        <w:rPr>
          <w:rFonts w:cstheme="minorHAnsi"/>
          <w:sz w:val="24"/>
          <w:szCs w:val="24"/>
        </w:rPr>
        <w:t xml:space="preserve"> protein</w:t>
      </w:r>
      <w:r w:rsidRPr="00904368">
        <w:rPr>
          <w:rFonts w:cstheme="minorHAnsi"/>
          <w:sz w:val="24"/>
          <w:szCs w:val="24"/>
        </w:rPr>
        <w:t>. CoOP strategy is based on a framework (i.e., the diphenylalanine (FF) domain and terminal charges) that defines the peptide-peptide orientation and thus initiates the interactions of the peptides. However, the forces that affect the kinetics of the assembly and the properties of the final product are provided by the two amino acids of the substitution domain</w:t>
      </w:r>
      <w:r w:rsidR="0001626A" w:rsidRPr="00904368">
        <w:rPr>
          <w:rFonts w:cstheme="minorHAnsi"/>
          <w:sz w:val="24"/>
          <w:szCs w:val="24"/>
        </w:rPr>
        <w:t xml:space="preserve"> which is the hydrophibic domain that we changed with different amino acids such as VV, LL, WW and II.</w:t>
      </w:r>
      <w:r w:rsidRPr="00904368">
        <w:rPr>
          <w:rFonts w:cstheme="minorHAnsi"/>
          <w:sz w:val="24"/>
          <w:szCs w:val="24"/>
        </w:rPr>
        <w:t xml:space="preserve"> Our CoOP strategy provides a quantitative correlations between changes in the amino acid sequence of the framework and the properties of the assembly</w:t>
      </w:r>
      <w:r w:rsidRPr="00904368">
        <w:rPr>
          <w:rFonts w:cstheme="minorHAnsi"/>
          <w:sz w:val="24"/>
          <w:szCs w:val="24"/>
        </w:rPr>
        <w:fldChar w:fldCharType="begin"/>
      </w:r>
      <w:r w:rsidR="008F09C1">
        <w:rPr>
          <w:rFonts w:cstheme="minorHAnsi"/>
          <w:sz w:val="24"/>
          <w:szCs w:val="24"/>
        </w:rPr>
        <w:instrText xml:space="preserve"> ADDIN ZOTERO_ITEM CSL_CITATION {"citationID":"a1lmp4h1d61","properties":{"formattedCitation":"\\super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168</w:t>
      </w:r>
      <w:r w:rsidRPr="00904368">
        <w:rPr>
          <w:rFonts w:cstheme="minorHAnsi"/>
          <w:sz w:val="24"/>
          <w:szCs w:val="24"/>
        </w:rPr>
        <w:fldChar w:fldCharType="end"/>
      </w:r>
      <w:r w:rsidRPr="00904368">
        <w:rPr>
          <w:rFonts w:cstheme="minorHAnsi"/>
          <w:sz w:val="24"/>
          <w:szCs w:val="24"/>
        </w:rPr>
        <w:t xml:space="preserve">. Hence, CoOP represents a uniquely powerful strategy to create small peptides with controllable aggregation profiles that can be used to design peptide-aggregation-induced </w:t>
      </w:r>
      <w:r w:rsidR="0001626A" w:rsidRPr="00904368">
        <w:rPr>
          <w:rFonts w:cstheme="minorHAnsi"/>
          <w:sz w:val="24"/>
          <w:szCs w:val="24"/>
        </w:rPr>
        <w:t xml:space="preserve">cell membrane. </w:t>
      </w:r>
    </w:p>
    <w:p w14:paraId="1EA435FB" w14:textId="20831725" w:rsidR="00AA30C9" w:rsidRPr="00904368" w:rsidRDefault="0001626A" w:rsidP="00E44507">
      <w:pPr>
        <w:spacing w:line="480" w:lineRule="auto"/>
        <w:rPr>
          <w:rFonts w:cstheme="minorHAnsi"/>
          <w:sz w:val="24"/>
          <w:szCs w:val="24"/>
        </w:rPr>
      </w:pPr>
      <w:r w:rsidRPr="00904368">
        <w:rPr>
          <w:rFonts w:cstheme="minorHAnsi"/>
          <w:sz w:val="24"/>
          <w:szCs w:val="24"/>
        </w:rPr>
        <w:t xml:space="preserve">Second, </w:t>
      </w:r>
      <w:r w:rsidR="00AA30C9" w:rsidRPr="00904368">
        <w:rPr>
          <w:rFonts w:cstheme="minorHAnsi"/>
          <w:sz w:val="24"/>
          <w:szCs w:val="24"/>
        </w:rPr>
        <w:t>we show that [II] aggregation induces cell membrane damage and engages cell stress markers as in a variety of neurodegenerative disorders. Furthermore, we showed that this aggregation can be controlled by using albumin. [II] aggregation-induced the phosphorylation of eIF2</w:t>
      </w:r>
      <w:r w:rsidR="00AA30C9" w:rsidRPr="000E6385">
        <w:rPr>
          <w:rFonts w:ascii="Symbol" w:hAnsi="Symbol" w:cstheme="minorHAnsi"/>
          <w:sz w:val="24"/>
          <w:szCs w:val="24"/>
        </w:rPr>
        <w:t>a</w:t>
      </w:r>
      <w:r w:rsidR="00AA30C9" w:rsidRPr="00904368">
        <w:rPr>
          <w:rFonts w:cstheme="minorHAnsi"/>
          <w:sz w:val="24"/>
          <w:szCs w:val="24"/>
        </w:rPr>
        <w:t xml:space="preserve"> and calreticulin surface localization, which highlighted ICD. Overall, the modulation of peptide aggregation presented here, allows us to control cell membrane damage and offers us to modulate immunogenic cell death.</w:t>
      </w:r>
    </w:p>
    <w:p w14:paraId="493673BF" w14:textId="7FF6619E" w:rsidR="00AA30C9" w:rsidRPr="00904368" w:rsidRDefault="00AA30C9" w:rsidP="00E44507">
      <w:pPr>
        <w:spacing w:line="480" w:lineRule="auto"/>
        <w:rPr>
          <w:rFonts w:cstheme="minorHAnsi"/>
          <w:sz w:val="24"/>
          <w:szCs w:val="24"/>
        </w:rPr>
      </w:pPr>
      <w:r w:rsidRPr="00904368">
        <w:rPr>
          <w:rFonts w:cstheme="minorHAnsi"/>
          <w:sz w:val="24"/>
          <w:szCs w:val="24"/>
        </w:rPr>
        <w:t>Protein and peptide aggregation is a phenomenon that can be seen in both pathogenic conditions and during developmental stages of amyloid proteins.</w:t>
      </w:r>
      <w:r w:rsidRPr="00904368">
        <w:rPr>
          <w:rFonts w:cstheme="minorHAnsi"/>
          <w:sz w:val="24"/>
          <w:szCs w:val="24"/>
        </w:rPr>
        <w:fldChar w:fldCharType="begin"/>
      </w:r>
      <w:r w:rsidR="008F09C1">
        <w:rPr>
          <w:rFonts w:cstheme="minorHAnsi"/>
          <w:sz w:val="24"/>
          <w:szCs w:val="24"/>
        </w:rPr>
        <w:instrText xml:space="preserve"> ADDIN ZOTERO_ITEM CSL_CITATION {"citationID":"c5AqtNjO","properties":{"formattedCitation":"\\super 157,158\\nosupersub{}","plainCitation":"157,158","noteIndex":0},"citationItems":[{"id":10754,"uris":["http://zotero.org/groups/2667333/items/UW3XKBHQ"],"itemData":{"id":10754,"type":"article-journal","abstract":"In recent years our understanding of amyloid structure has been revolutionised by innovations in cryo-electron microscopy, electron diffraction and solid-state NMR. These techniques have yielded high-resolution structures of fibrils isolated from patients with neurodegenerative disease, as well as those formed from amyloidogenic proteins in vitro. The results not only show the expected cross-β amyloid structure, but also reveal that the amyloid fold is unexpectedly diverse and complex. Here, we discuss this diversity, highlighting dynamic regions, ligand binding motifs, cavities, non-protein components, and structural polymorphism. Collectively, these variations combine to allow the generic amyloid fold to be realised in three dimensions in different ways, and this diversity may be related to the roles of fibrils in disease.","collection-title":"Folding and Binding ● Proteins","container-title":"Current Opinion in Structural Biology","DOI":"10.1016/j.sbi.2019.09.001","ISSN":"0959-440X","journalAbbreviation":"Current Opinion in Structural Biology","language":"en","page":"7-16","source":"ScienceDirect","title":"Amyloid structures: much more than just a cross-β fold","title-short":"Amyloid structures","URL":"https://www.sciencedirect.com/science/article/pii/S0959440X19301022","volume":"60","author":[{"family":"Gallardo","given":"Rodrigo"},{"family":"Ranson","given":"Neil A"},{"family":"Radford","given":"Sheena E"}],"accessed":{"date-parts":[["2022",4,17]]},"issued":{"date-parts":[["2020",2,1]]},"citation-key":"gallardoAmyloidStructuresMuch2020"}},{"id":10787,"uris":["http://zotero.org/groups/2667333/items/8ZTZJ36Y"],"itemData":{"id":10787,"type":"article-journal","container-title":"Proceedings of the National Academy of Sciences","DOI":"10.1073/pnas.1911153117","issue":"19","note":"publisher: Proceedings of the National Academy of Sciences","page":"10322-10328","source":"pnas.org (Atypon)","title":"Amyloid assembly is dominated by misregistered kinetic traps on an unbiased energy landscape","URL":"https://www.pnas.org/doi/10.1073/pnas.1911153117","volume":"117","author":[{"family":"Jia","given":"Zhiguang"},{"family":"Schmit","given":"Jeremy D."},{"family":"Chen","given":"Jianhan"}],"accessed":{"date-parts":[["2022",4,19]]},"issued":{"date-parts":[["2020",5,12]]},"citation-key":"jia_amyloid_2020"}}],"schema":"https://github.com/citation-style-language/schema/raw/master/csl-citation.json"}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157,158</w:t>
      </w:r>
      <w:r w:rsidRPr="00904368">
        <w:rPr>
          <w:rFonts w:cstheme="minorHAnsi"/>
          <w:sz w:val="24"/>
          <w:szCs w:val="24"/>
        </w:rPr>
        <w:fldChar w:fldCharType="end"/>
      </w:r>
      <w:r w:rsidRPr="00904368">
        <w:rPr>
          <w:rFonts w:cstheme="minorHAnsi"/>
          <w:sz w:val="24"/>
          <w:szCs w:val="24"/>
        </w:rPr>
        <w:t xml:space="preserve"> Oligomeric species form transiently during the aggregation process and not only act as essential intermediates but also represent major pathogenic agents in disorders.</w:t>
      </w:r>
      <w:r w:rsidRPr="00904368">
        <w:rPr>
          <w:rFonts w:cstheme="minorHAnsi"/>
          <w:sz w:val="24"/>
          <w:szCs w:val="24"/>
        </w:rPr>
        <w:fldChar w:fldCharType="begin"/>
      </w:r>
      <w:r w:rsidR="008F09C1">
        <w:rPr>
          <w:rFonts w:cstheme="minorHAnsi"/>
          <w:sz w:val="24"/>
          <w:szCs w:val="24"/>
        </w:rPr>
        <w:instrText xml:space="preserve"> ADDIN ZOTERO_ITEM CSL_CITATION {"citationID":"s9mQJeny","properties":{"formattedCitation":"\\super 159\\nosupersub{}","plainCitation":"159","noteIndex":0},"citationItems":[{"id":11152,"uris":["http://zotero.org/groups/2667333/items/3DN8MQD4"],"itemData":{"id":11152,"type":"article-journal","abstract":"Protein misfolding and aggregation are characteristic of a wide range of neurodegenerative disorders, including Alzheimer and Parkinson diseases. A hallmark of these diseases is the aggregation of otherwise soluble and functional proteins into amyloid aggregates. Although for many decades such amyloid deposits have been thought to be responsible for disease progression, it is now increasingly recognized that the misfolded protein oligomers formed during aggregation are, instead, the main agents causing pathological processes. These oligomers are transient and heterogeneous, which makes it difficult to detect and quantify them, generating confusion about their exact role in disease. The lack of suitable methods to address these challenges has hampered efforts to investigate the molecular mechanisms of oligomer toxicity and to develop oligomer-based diagnostic and therapeutic tools to combat protein misfolding diseases. In this Review, we describe methods to quantify misfolded protein oligomers, with particular emphasis on diagnostic applications as disease biomarkers and on therapeutic applications as target biomarkers. The development of these methods is ongoing, and we discuss the challenges that remain to be addressed to establish measurement tools capable of overcoming existing limitations and to meet present needs.","container-title":"Nature Reviews Chemistry","DOI":"10.1038/s41570-021-00254-9","ISSN":"2397-3358","issue":"4","journalAbbreviation":"Nat Rev Chem","language":"en","license":"2021 Springer Nature Limited","note":"number: 4\npublisher: Nature Publishing Group","page":"277-294","source":"www.nature.com","title":"Quantifying misfolded protein oligomers as drug targets and biomarkers in Alzheimer and Parkinson diseases","URL":"https://www.nature.com/articles/s41570-021-00254-9","volume":"5","author":[{"family":"Kulenkampff","given":"Klara"},{"family":"Wolf Perez","given":"Adriana-M."},{"family":"Sormanni","given":"Pietro"},{"family":"Habchi","given":"Johnny"},{"family":"Vendruscolo","given":"Michele"}],"accessed":{"date-parts":[["2022",5,28]]},"issued":{"date-parts":[["2021",4]]},"citation-key":"kulenkampff_quantifying_2021"}}],"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159</w:t>
      </w:r>
      <w:r w:rsidRPr="00904368">
        <w:rPr>
          <w:rFonts w:cstheme="minorHAnsi"/>
          <w:sz w:val="24"/>
          <w:szCs w:val="24"/>
        </w:rPr>
        <w:fldChar w:fldCharType="end"/>
      </w:r>
      <w:r w:rsidRPr="00904368">
        <w:rPr>
          <w:rFonts w:cstheme="minorHAnsi"/>
          <w:sz w:val="24"/>
          <w:szCs w:val="24"/>
        </w:rPr>
        <w:t xml:space="preserve"> However, the transient and complex structures and aggregates of oligomers create confusing results and challenge in drug development.</w:t>
      </w:r>
      <w:r w:rsidRPr="00904368">
        <w:rPr>
          <w:rFonts w:cstheme="minorHAnsi"/>
          <w:sz w:val="24"/>
          <w:szCs w:val="24"/>
        </w:rPr>
        <w:fldChar w:fldCharType="begin"/>
      </w:r>
      <w:r w:rsidR="008F09C1">
        <w:rPr>
          <w:rFonts w:cstheme="minorHAnsi"/>
          <w:sz w:val="24"/>
          <w:szCs w:val="24"/>
        </w:rPr>
        <w:instrText xml:space="preserve"> ADDIN ZOTERO_ITEM CSL_CITATION {"citationID":"xommrby8","properties":{"formattedCitation":"\\super 164\\nosupersub{}","plainCitation":"164","noteIndex":0},"citationItems":[{"id":11148,"uris":["http://zotero.org/groups/2667333/items/3HU97CLL"],"itemData":{"id":11148,"type":"article-journal","abstract":"Basic research on the biological mechanism of Alzheimer’s disease has focused for decades on the age-related aggregation of the amyloid β-protein and its apparent downstream effects on microglia, astrocytes and neurons, including the posttranslational modification of the tau protein that seems necessary for symptom expression. Here, we discuss the highly challenging process of developing disease-modifying therapies and highlight several key areas of current research that are progressing in exciting directions. We conclude that further deep molecular analyses of the disease, including the mechanisms of β-amyloidosis, will enable more effective clinical trials and ultimately achieve the progress that our patients so deserve.","collection-title":"Neurobiology of Disease","container-title":"Current Opinion in Neurobiology","DOI":"10.1016/j.conb.2020.02.003","ISSN":"0959-4388","journalAbbreviation":"Current Opinion in Neurobiology","language":"en","page":"116-124","source":"ScienceDirect","title":"Amyloid β-protein and beyond: the path forward in Alzheimer’s disease","title-short":"Amyloid β-protein and beyond","URL":"https://www.sciencedirect.com/science/article/pii/S0959438820300416","volume":"61","author":[{"family":"Walsh","given":"Dominic M"},{"family":"Selkoe","given":"Dennis J"}],"accessed":{"date-parts":[["2022",5,28]]},"issued":{"date-parts":[["2020",4,1]]},"citation-key":"walsh_amyloid_2020"}}],"schema":"https://github.com/citation-style-language/schema/raw/master/csl-citation.json"}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164</w:t>
      </w:r>
      <w:r w:rsidRPr="00904368">
        <w:rPr>
          <w:rFonts w:cstheme="minorHAnsi"/>
          <w:sz w:val="24"/>
          <w:szCs w:val="24"/>
        </w:rPr>
        <w:fldChar w:fldCharType="end"/>
      </w:r>
      <w:r w:rsidRPr="00904368">
        <w:rPr>
          <w:rFonts w:cstheme="minorHAnsi"/>
          <w:sz w:val="24"/>
          <w:szCs w:val="24"/>
        </w:rPr>
        <w:t xml:space="preserve"> In this study, we showed an engineered peptide complex via CoOP strategy as a synthetic and simple tool to study the amyloid aggregation mechanism into ordered assemblies (fibrils) and disordered aggregates (oligomers) with the presence of albumin, and correlate it to its toxicity. Importantly, we showed that, albumin can control the aggregation kinetics of [II], which induce mechanical stress on the cells and ICD. The immune response against ICD is potent. Controlling ICD means control over the immune response and progress of amyloidosis-related diseases. </w:t>
      </w:r>
    </w:p>
    <w:p w14:paraId="12BBB047" w14:textId="49034EFD" w:rsidR="006D7736" w:rsidRPr="00904368" w:rsidRDefault="00AA30C9" w:rsidP="00E44507">
      <w:pPr>
        <w:spacing w:line="480" w:lineRule="auto"/>
        <w:rPr>
          <w:rFonts w:cstheme="minorHAnsi"/>
          <w:sz w:val="24"/>
          <w:szCs w:val="24"/>
        </w:rPr>
      </w:pPr>
      <w:r w:rsidRPr="00904368">
        <w:rPr>
          <w:rFonts w:cstheme="minorHAnsi"/>
          <w:sz w:val="24"/>
          <w:szCs w:val="24"/>
        </w:rPr>
        <w:t>Overall, [II] offers a unique engineered platform to study aggregation kinetics of amyloidosis. The simplicity of [II] as an engineered tool allowed the detailed characterization of disorganized structures to fibril aggregation kinetics and the effects of each step on cell. Studies with [II] can serve to establish clear and direct results for drug development with amyloidosis.</w:t>
      </w:r>
    </w:p>
    <w:p w14:paraId="02DC904F" w14:textId="66D5C7C7" w:rsidR="006D7736" w:rsidRDefault="00AA30C9">
      <w:pPr>
        <w:pStyle w:val="Heading2"/>
        <w:numPr>
          <w:ilvl w:val="1"/>
          <w:numId w:val="4"/>
        </w:numPr>
        <w:spacing w:line="480" w:lineRule="auto"/>
      </w:pPr>
      <w:bookmarkStart w:id="144" w:name="_Toc114946720"/>
      <w:bookmarkStart w:id="145" w:name="_Toc121134645"/>
      <w:r>
        <w:t>MATERIALS AND METHODS</w:t>
      </w:r>
      <w:bookmarkEnd w:id="144"/>
      <w:bookmarkEnd w:id="145"/>
    </w:p>
    <w:p w14:paraId="61674041" w14:textId="4E56480D" w:rsidR="00AA30C9" w:rsidRPr="00904368" w:rsidRDefault="00AA30C9" w:rsidP="00E44507">
      <w:pPr>
        <w:spacing w:line="480" w:lineRule="auto"/>
        <w:rPr>
          <w:rFonts w:cstheme="minorHAnsi"/>
          <w:sz w:val="24"/>
          <w:szCs w:val="24"/>
        </w:rPr>
      </w:pPr>
      <w:r w:rsidRPr="00904368">
        <w:rPr>
          <w:rFonts w:cstheme="minorHAnsi"/>
          <w:b/>
          <w:bCs/>
          <w:sz w:val="24"/>
          <w:szCs w:val="24"/>
        </w:rPr>
        <w:t>Peptide synthesis.</w:t>
      </w:r>
      <w:r w:rsidRPr="00904368">
        <w:rPr>
          <w:rFonts w:cstheme="minorHAnsi"/>
          <w:sz w:val="24"/>
          <w:szCs w:val="24"/>
        </w:rPr>
        <w:t xml:space="preserve"> </w:t>
      </w:r>
      <w:r w:rsidR="00855662" w:rsidRPr="00904368">
        <w:rPr>
          <w:rFonts w:cstheme="minorHAnsi"/>
          <w:sz w:val="24"/>
          <w:szCs w:val="24"/>
        </w:rPr>
        <w:t xml:space="preserve">KFFWWK and EFFWWE were purchased from Biomatik (Biomatik Corportaion, Canada). </w:t>
      </w:r>
      <w:r w:rsidRPr="00904368">
        <w:rPr>
          <w:rFonts w:cstheme="minorHAnsi"/>
          <w:sz w:val="24"/>
          <w:szCs w:val="24"/>
        </w:rPr>
        <w:t>KFFIIK</w:t>
      </w:r>
      <w:r w:rsidR="00855662" w:rsidRPr="00904368">
        <w:rPr>
          <w:rFonts w:cstheme="minorHAnsi"/>
          <w:sz w:val="24"/>
          <w:szCs w:val="24"/>
        </w:rPr>
        <w:t xml:space="preserve">, </w:t>
      </w:r>
      <w:r w:rsidRPr="00904368">
        <w:rPr>
          <w:rFonts w:cstheme="minorHAnsi"/>
          <w:sz w:val="24"/>
          <w:szCs w:val="24"/>
        </w:rPr>
        <w:t>EFFIIE</w:t>
      </w:r>
      <w:r w:rsidR="00855662" w:rsidRPr="00904368">
        <w:rPr>
          <w:rFonts w:cstheme="minorHAnsi"/>
          <w:sz w:val="24"/>
          <w:szCs w:val="24"/>
        </w:rPr>
        <w:t>, KFFLLK, EFFLLE, KFFVVK and EFFVVE</w:t>
      </w:r>
      <w:r w:rsidRPr="00904368">
        <w:rPr>
          <w:rFonts w:cstheme="minorHAnsi"/>
          <w:sz w:val="24"/>
          <w:szCs w:val="24"/>
        </w:rPr>
        <w:t xml:space="preserve"> peptides were synthesized via solid phase peptide synthesis with PreludeX automatic peptide synthesizer (Protein Technologies, Inc., Tucson, AZ). They were prepared on a 0.25 scale by repeated amino acid couplings using Fmoc protected amino acid (3 eq. 1mL),DIC (7.5 eq. 1mL) and Oxyma (7.5 eq. 1mL). MBHA Rink Amide resin (High-Loaded, Gyros Protein Technologies) was used as solid support to construct the peptides. Fmoc protected amino acids (Gyros Protein Technologies) were removed through treatment with 20% piperidine/DMF solution for 45 min (three times for 15 min) at 80</w:t>
      </w:r>
      <w:r w:rsidRPr="00904368">
        <w:rPr>
          <w:rFonts w:cstheme="minorHAnsi"/>
          <w:sz w:val="24"/>
          <w:szCs w:val="24"/>
        </w:rPr>
        <w:sym w:font="Symbol" w:char="F0B0"/>
      </w:r>
      <w:r w:rsidRPr="00904368">
        <w:rPr>
          <w:rFonts w:cstheme="minorHAnsi"/>
          <w:sz w:val="24"/>
          <w:szCs w:val="24"/>
        </w:rPr>
        <w:t>C. All the peptide conjugation was performed for 2h at 80</w:t>
      </w:r>
      <w:r w:rsidRPr="00904368">
        <w:rPr>
          <w:rFonts w:cstheme="minorHAnsi"/>
          <w:sz w:val="24"/>
          <w:szCs w:val="24"/>
        </w:rPr>
        <w:sym w:font="Symbol" w:char="F0B0"/>
      </w:r>
      <w:r w:rsidRPr="00904368">
        <w:rPr>
          <w:rFonts w:cstheme="minorHAnsi"/>
          <w:sz w:val="24"/>
          <w:szCs w:val="24"/>
        </w:rPr>
        <w:t xml:space="preserve">C and acetylated with a treatment with 10% acetonitrile/DMF solution for 15 min twice. Cleavage of the peptides from resin and deprotection of acid labile protected amino acids were carried out with a mixture of TFA/ TIS/ water in a ratio of 95:2.5:2.5 for </w:t>
      </w:r>
      <w:r w:rsidR="00AC0070">
        <w:rPr>
          <w:rFonts w:cstheme="minorHAnsi"/>
          <w:sz w:val="24"/>
          <w:szCs w:val="24"/>
        </w:rPr>
        <w:t>3h</w:t>
      </w:r>
      <w:r w:rsidRPr="00904368">
        <w:rPr>
          <w:rFonts w:cstheme="minorHAnsi"/>
          <w:sz w:val="24"/>
          <w:szCs w:val="24"/>
        </w:rPr>
        <w:t xml:space="preserve"> at room temperature. Excess TFA and organic solvents were removed by evaporation and the remaining peptide was precipitated using diethyl ether at −80</w:t>
      </w:r>
      <w:r w:rsidRPr="00904368">
        <w:rPr>
          <w:rFonts w:cstheme="minorHAnsi"/>
          <w:sz w:val="24"/>
          <w:szCs w:val="24"/>
        </w:rPr>
        <w:sym w:font="Symbol" w:char="F0B0"/>
      </w:r>
      <w:r w:rsidRPr="00904368">
        <w:rPr>
          <w:rFonts w:cstheme="minorHAnsi"/>
          <w:sz w:val="24"/>
          <w:szCs w:val="24"/>
        </w:rPr>
        <w:t xml:space="preserve">C by using 1:4 volume ratio and stayed overnight. After precipitation, peptides in ether solutions were centrifuged at 8000 rpm for 15 min. Peptide precipitates were collected and ether was removed. The centrifuged white peptide precipitate was dissolved in either (0.1% formic acid in water for KFFIIK peptide) or (0.1% ammonium hydroxide in water for EFFIIE peptide). Peptides were purified with preparative HPLC (Agilent 1260) with Agilent ZORBAX 300 SB-C18 (9.4 x 250 mm) column with a mobile phase of water/acetonitrile mixture (0.1% ammonium hydroxide) used for negatively charged peptides; water/acetonitrile mixture (0.1% formic acid) was used for positively charged peptides. All peptides were tested with a purity &gt;95%. HPLC run started with 100% water for 3 min, followed by a gradient increase in acetonitrile from 0% to 100% over 25 min, followed 100% acetonitrile for 3 min, and ended with 100% for 2 min. The flow rate is 2 mL/min and injection volumes are 10 </w:t>
      </w:r>
      <w:r w:rsidRPr="00904368">
        <w:rPr>
          <w:rFonts w:ascii="Symbol" w:hAnsi="Symbol" w:cstheme="minorHAnsi"/>
          <w:sz w:val="24"/>
          <w:szCs w:val="24"/>
        </w:rPr>
        <w:t>m</w:t>
      </w:r>
      <w:r w:rsidRPr="00904368">
        <w:rPr>
          <w:rFonts w:cstheme="minorHAnsi"/>
          <w:sz w:val="24"/>
          <w:szCs w:val="24"/>
        </w:rPr>
        <w:t>L.</w:t>
      </w:r>
    </w:p>
    <w:p w14:paraId="7B9AF8AC" w14:textId="7483EDDA" w:rsidR="00855662" w:rsidRPr="00904368" w:rsidRDefault="00855662" w:rsidP="00E44507">
      <w:pPr>
        <w:spacing w:line="480" w:lineRule="auto"/>
        <w:rPr>
          <w:rFonts w:cstheme="minorHAnsi"/>
          <w:color w:val="000000" w:themeColor="text1"/>
          <w:sz w:val="24"/>
          <w:szCs w:val="24"/>
          <w:shd w:val="clear" w:color="auto" w:fill="FFFFFF"/>
        </w:rPr>
      </w:pPr>
      <w:r w:rsidRPr="00904368">
        <w:rPr>
          <w:rFonts w:cstheme="minorHAnsi"/>
          <w:b/>
          <w:bCs/>
          <w:sz w:val="24"/>
          <w:szCs w:val="24"/>
        </w:rPr>
        <w:t>Critical Aggregation Determination</w:t>
      </w:r>
      <w:r w:rsidR="009B497D" w:rsidRPr="00904368">
        <w:rPr>
          <w:rFonts w:cstheme="minorHAnsi"/>
          <w:b/>
          <w:bCs/>
          <w:sz w:val="24"/>
          <w:szCs w:val="24"/>
        </w:rPr>
        <w:t xml:space="preserve"> and Congo Red analysis</w:t>
      </w:r>
      <w:r w:rsidRPr="00904368">
        <w:rPr>
          <w:rFonts w:cstheme="minorHAnsi"/>
          <w:b/>
          <w:bCs/>
          <w:sz w:val="24"/>
          <w:szCs w:val="24"/>
        </w:rPr>
        <w:t xml:space="preserve">. </w:t>
      </w:r>
      <w:r w:rsidR="009B497D" w:rsidRPr="00904368">
        <w:rPr>
          <w:rFonts w:ascii="Open Sans" w:hAnsi="Open Sans" w:cs="Open Sans"/>
          <w:color w:val="000000" w:themeColor="text1"/>
          <w:sz w:val="24"/>
          <w:szCs w:val="24"/>
          <w:shd w:val="clear" w:color="auto" w:fill="FFFFFF"/>
        </w:rPr>
        <w:t>A</w:t>
      </w:r>
      <w:r w:rsidR="009B497D" w:rsidRPr="00904368">
        <w:rPr>
          <w:rFonts w:cstheme="minorHAnsi"/>
          <w:color w:val="000000" w:themeColor="text1"/>
          <w:sz w:val="24"/>
          <w:szCs w:val="24"/>
          <w:shd w:val="clear" w:color="auto" w:fill="FFFFFF"/>
        </w:rPr>
        <w:t>ll peptide aggregation analyses were performed in PBS. DPH assay was performed to understand the CAC. Peptides (except [AA]) were prepared in PBS starting from a concentration of 500 µ</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to 3.9 µ</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with serial dilution. [AA] was prepared from 10 m</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to 15.6 µ</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to check the aggregation behavior even in higher concentrations. First, negatively charged peptide (48 µL) was put to the black 96 well- plate, then 4 µL (from 4 µ</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in PBS) DPH was added, and finally, positively charged peptide (48 µL) was added to each well. The solutions were incubated at 37 °C for an hour. After the incubation, fluorescence intensity was collected immediately with Ex:360±40 nm, Em: 460±40 nm with BioTek Neo2SM microplate reader. We performed a Congo Red assay to visualize aggregations deposited on the well plate. Peptides having 0.5 m</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concentration and equal volume (48 µL each) were prepared in PBS. Then first, negatively charged peptide was put to 96 well-plate. Congo red having a final concentration of 20 µ</w:t>
      </w:r>
      <w:r w:rsidR="009B497D" w:rsidRPr="00904368">
        <w:rPr>
          <w:rStyle w:val="smallcaps"/>
          <w:rFonts w:cstheme="minorHAnsi"/>
          <w:color w:val="000000" w:themeColor="text1"/>
          <w:sz w:val="24"/>
          <w:szCs w:val="24"/>
        </w:rPr>
        <w:t>m</w:t>
      </w:r>
      <w:r w:rsidR="009B497D" w:rsidRPr="00904368">
        <w:rPr>
          <w:rStyle w:val="apple-converted-space"/>
          <w:rFonts w:cstheme="minorHAnsi"/>
          <w:color w:val="000000" w:themeColor="text1"/>
          <w:sz w:val="24"/>
          <w:szCs w:val="24"/>
          <w:shd w:val="clear" w:color="auto" w:fill="FFFFFF"/>
        </w:rPr>
        <w:t> </w:t>
      </w:r>
      <w:r w:rsidR="009B497D" w:rsidRPr="00904368">
        <w:rPr>
          <w:rFonts w:cstheme="minorHAnsi"/>
          <w:color w:val="000000" w:themeColor="text1"/>
          <w:sz w:val="24"/>
          <w:szCs w:val="24"/>
          <w:shd w:val="clear" w:color="auto" w:fill="FFFFFF"/>
        </w:rPr>
        <w:t xml:space="preserve">(4 µL), was added, followed by the addition of a positively charged peptide (48 µL each). Brightfield images were taken immediately with Keyence bz-x710 microscope at defined time points. </w:t>
      </w:r>
    </w:p>
    <w:p w14:paraId="0448A89A" w14:textId="1AC9BD34" w:rsidR="009B497D" w:rsidRPr="00904368" w:rsidRDefault="009B497D" w:rsidP="00E44507">
      <w:pPr>
        <w:spacing w:line="480" w:lineRule="auto"/>
        <w:rPr>
          <w:rFonts w:cstheme="minorHAnsi"/>
          <w:b/>
          <w:bCs/>
          <w:sz w:val="24"/>
          <w:szCs w:val="24"/>
        </w:rPr>
      </w:pPr>
      <w:r w:rsidRPr="00904368">
        <w:rPr>
          <w:rFonts w:cstheme="minorHAnsi"/>
          <w:b/>
          <w:bCs/>
          <w:color w:val="000000" w:themeColor="text1"/>
          <w:sz w:val="24"/>
          <w:szCs w:val="24"/>
          <w:shd w:val="clear" w:color="auto" w:fill="FFFFFF"/>
        </w:rPr>
        <w:t xml:space="preserve">TEM analysis. </w:t>
      </w:r>
      <w:r w:rsidRPr="00904368">
        <w:rPr>
          <w:rFonts w:cstheme="minorHAnsi"/>
          <w:color w:val="000000" w:themeColor="text1"/>
          <w:sz w:val="24"/>
          <w:szCs w:val="24"/>
          <w:shd w:val="clear" w:color="auto" w:fill="FFFFFF"/>
        </w:rPr>
        <w:t>Peptide samples were prepared from 10 mm stock solutions (incubated for 24h) of co-assembled samples to 0.02 mm with water. Then, 10 µL of diluted peptide samples were dropped onto the TEM grid (Ted Pella, Catalog number:01813-F) and incubated for 10 min. Then, samples were taken with a pipette, negatively stained with 2% uranyl acetate and imaged using JEOL 2010F Field Emission Transmission Electron Microscope.</w:t>
      </w:r>
    </w:p>
    <w:p w14:paraId="244A7259" w14:textId="3FDB9F7F" w:rsidR="00855662" w:rsidRPr="00904368" w:rsidRDefault="00AA30C9" w:rsidP="00E44507">
      <w:pPr>
        <w:spacing w:line="480" w:lineRule="auto"/>
        <w:rPr>
          <w:rFonts w:cstheme="minorHAnsi"/>
          <w:sz w:val="24"/>
          <w:szCs w:val="24"/>
        </w:rPr>
      </w:pPr>
      <w:r w:rsidRPr="00904368">
        <w:rPr>
          <w:rFonts w:cstheme="minorHAnsi"/>
          <w:b/>
          <w:bCs/>
          <w:sz w:val="24"/>
          <w:szCs w:val="24"/>
        </w:rPr>
        <w:t xml:space="preserve">Liposome formation and imaging. </w:t>
      </w:r>
      <w:r w:rsidRPr="00904368">
        <w:rPr>
          <w:rFonts w:cstheme="minorHAnsi"/>
          <w:sz w:val="24"/>
          <w:szCs w:val="24"/>
        </w:rPr>
        <w:t>Giant liposomes were formed based on previously published data with simple modifications.</w:t>
      </w:r>
      <w:r w:rsidRPr="00904368">
        <w:rPr>
          <w:rFonts w:cstheme="minorHAnsi"/>
          <w:sz w:val="24"/>
          <w:szCs w:val="24"/>
        </w:rPr>
        <w:fldChar w:fldCharType="begin"/>
      </w:r>
      <w:r w:rsidR="008F09C1">
        <w:rPr>
          <w:rFonts w:cstheme="minorHAnsi"/>
          <w:sz w:val="24"/>
          <w:szCs w:val="24"/>
        </w:rPr>
        <w:instrText xml:space="preserve"> ADDIN ZOTERO_ITEM CSL_CITATION {"citationID":"fAbGMHev","properties":{"formattedCitation":"\\super 187\\nosupersub{}","plainCitation":"187","noteIndex":0},"citationItems":[{"id":11005,"uris":["http://zotero.org/groups/2667333/items/SPPRRXYK"],"itemData":{"id":11005,"type":"article-journal","abstract":"This paper describes a method to form giant liposomes in solutions of physiologic ionic strength, such as phosphate buffered saline (PBS) or 150 mM KCl. Formation of these cell-sized liposomes proceeded from hybrid films of partially dried agarose and lipids. Hydrating the films of agarose and lipids in aqueous salt solutions resulted in swelling and partial dissolution of the hybrid films and in concomitant rapid formation of giant liposomes in high yield. This method did not require the presence of an electric field or specialized lipids; it generated giant liposomes from pure phosphatidylcholine lipids or from lipid mixtures that contained cholesterol or negatively charged lipids. Hybrid films of agarose and lipids even enabled the formation of giant liposomes in PBS from lipid compositions that are typically problematic for liposome formation, such as pure phosphatidylserine, pure phosphatidylglycerol, and asolectin. This paper discusses biophysical aspects of the formation of giant liposomes from hybrid films of agarose and lipids in comparison to established methods and shows that gentle hydration of hybrid films of agarose and lipids is a simple, rapid, and reproducible procedure to generate giant liposomes of various lipid compositions in solutions of physiologic ionic strength without the need for specialized equipment.","container-title":"Journal of the American Chemical Society","DOI":"10.1021/ja805625u","ISSN":"0002-7863","issue":"5","journalAbbreviation":"J. Am. Chem. Soc.","note":"publisher: American Chemical Society","page":"1810-1819","source":"ACS Publications","title":"Films of Agarose Enable Rapid Formation of Giant Liposomes in Solutions of Physiologic Ionic Strength","URL":"https://doi.org/10.1021/ja805625u","volume":"131","author":[{"family":"Horger","given":"Kim S."},{"family":"Estes","given":"Daniel J."},{"family":"Capone","given":"Ricardo"},{"family":"Mayer","given":"Michael"}],"accessed":{"date-parts":[["2022",5,4]]},"issued":{"date-parts":[["2009",2,11]]},"citation-key":"horger_films_2009"}}],"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187</w:t>
      </w:r>
      <w:r w:rsidRPr="00904368">
        <w:rPr>
          <w:rFonts w:cstheme="minorHAnsi"/>
          <w:sz w:val="24"/>
          <w:szCs w:val="24"/>
        </w:rPr>
        <w:fldChar w:fldCharType="end"/>
      </w:r>
      <w:r w:rsidRPr="00904368">
        <w:rPr>
          <w:rFonts w:cstheme="minorHAnsi"/>
          <w:sz w:val="24"/>
          <w:szCs w:val="24"/>
        </w:rPr>
        <w:t xml:space="preserve"> First, agarose (UltraPure Agarose, ThermoFisher Scientific) was prepared with 1%w/v in water and boiled in a microwave oven until all agarose powder was dissolved. Then, it was poured down into a petri dish to cool down at room temperature to form a gel for 2-3h. Before coating the glass slides, agarose gel was melted in a microwave until all gel turned into a solution. One side of glass slides was dipped into agarose solution and excess solution was removed. After coating, glass slides were placed on a hotplate (37</w:t>
      </w:r>
      <w:r w:rsidRPr="00904368">
        <w:rPr>
          <w:rFonts w:cstheme="minorHAnsi"/>
          <w:sz w:val="24"/>
          <w:szCs w:val="24"/>
        </w:rPr>
        <w:sym w:font="Symbol" w:char="F0B0"/>
      </w:r>
      <w:r w:rsidRPr="00904368">
        <w:rPr>
          <w:rFonts w:cstheme="minorHAnsi"/>
          <w:sz w:val="24"/>
          <w:szCs w:val="24"/>
        </w:rPr>
        <w:t>C) and waited for 1-2h until an agarose film was formed on top of the glass slides. For making liposomes, DPPC (1,2-dipalmitoyl-sn-glycero-3-phosphocholine, Avanti Polar Lipids, Inc.) was used with cholesterol (Sigma-Aldrich). At first, DPPC was prepared in 2 mM in chloroform, and cholesterol was prepared in 400 mm in chloroform. Both of the solutions were mixed with equal volume (1 mL each) to have 5:1 molar ratio (DPPC:cholesterol). For staining the liposomes with DiR (1,1'-Dioctadecyl-3,3,3',3'-Tetra methylindotricarbocyanine Iodide) dye, 4 mL of DiR (1 mM in chloroform) was mixed with 2 mL DPPC:cholesterol. Then, 50 mL of labeled liposomes was dropped onto agarose-covered glass slides and spread out homogeneously by rolling a glass rod. Then, slides were placed in a vacuum chamber for 30 min. After removing from the vacuum chamber, slides were placed in a clean petri dish and 1xPBS was added from the side of the petri dish to allow hydration and swelling of liposomes for 3h. For peptide-membrane localization assay, FITC labeled KFFIIK and Rhodamine-B labeled EFFIIE peptides (Biomatik Corporation) were used. KFFIIK and EFFIIE were first solubilized in 10 mM as a stock solution in water, which was diluted to 0.5 mM with 1x PBS. The fluorescent portion consisted of 1:100 molar ratio. For example, FITC-KFFIIK was 50 mM in 0.5 mM KFFIIK peptide as a final concentration. After liposome formation, 0.5 mM of fluorescent labeled one peptide counterpart (200 mL) were incubated with liposomes for 60 min, then oppositely charged 0.5 mM of fluorescent labeled peptide (200 mL) was added and incubated for another 60 min. The imaging was performed with Keyence BZ-X800 with BZ-X filter Cy7 (DiR labeled liposome), BZ-X filter GFP (FITC-KFFIIK), and BZ-X filter mCherry (Rho-EFFIIE).</w:t>
      </w:r>
    </w:p>
    <w:p w14:paraId="77B70D34" w14:textId="5ADC4F5A" w:rsidR="00AA30C9" w:rsidRPr="00904368" w:rsidRDefault="00AA30C9" w:rsidP="00E44507">
      <w:pPr>
        <w:spacing w:line="480" w:lineRule="auto"/>
        <w:rPr>
          <w:rFonts w:cstheme="minorHAnsi"/>
          <w:sz w:val="24"/>
          <w:szCs w:val="24"/>
        </w:rPr>
      </w:pPr>
      <w:r w:rsidRPr="00904368">
        <w:rPr>
          <w:rFonts w:cstheme="minorHAnsi"/>
          <w:b/>
          <w:bCs/>
          <w:sz w:val="24"/>
          <w:szCs w:val="24"/>
        </w:rPr>
        <w:t xml:space="preserve">Assembly and aggregation kinetics determination. </w:t>
      </w:r>
      <w:r w:rsidRPr="00904368">
        <w:rPr>
          <w:rFonts w:cstheme="minorHAnsi"/>
          <w:sz w:val="24"/>
          <w:szCs w:val="24"/>
        </w:rPr>
        <w:t xml:space="preserve">Thioflavin T (ThT) (Sigma-Aldrich) and 1,6-Diphenyl-1,3,5-hexatriene (DPH) (Sigma-Aldrich) were used to understand the kinetics involved in ordered assembly and aggregation kinetics. </w:t>
      </w:r>
      <w:r w:rsidR="001969F1" w:rsidRPr="00904368">
        <w:rPr>
          <w:rFonts w:cstheme="minorHAnsi"/>
          <w:sz w:val="24"/>
          <w:szCs w:val="24"/>
        </w:rPr>
        <w:t>Both fluorescence</w:t>
      </w:r>
      <w:r w:rsidRPr="00904368">
        <w:rPr>
          <w:rFonts w:cstheme="minorHAnsi"/>
          <w:sz w:val="24"/>
          <w:szCs w:val="24"/>
        </w:rPr>
        <w:t xml:space="preserve"> measurements included albumin (bovine serum albumin, Sigma-Aldrich) with different concentrations indicated based on weight/volume% (w%) and without albumin (in 1x PBS). At first, fresh albumin (40mg/mL, 4 w%) was dissolved in 1x PBS and diluted into 2, 1, 0.5, 0.2, 0.1, 0.05, 0.02, 0.002 w% in 1x PBS. Then, stock peptides (10 mM in water) were diluted (0.5 mM) in different albumin concentrations, individually. For ThT measurements, 5 mL from 400 mM ThT in PBS was added to 195 mL of 0.5 mM KFFIIK and EFFIIE (either in different albumin concentrations or in 1x PBS), individually. Then, each peptide in the same albumin concentration was mixed and read with BioTek Neo2SM microplate reader for 4 h with 10 min intervals (Ex: 440, Em:480 with gain:90). For DPH analysis, stock DPH (1 mM in water) was diluted to 80 mM working concentration in 1x PBS. Similar to ThT assay, 5 mL from 80 mM DPH in 1x PBS was added to 195 </w:t>
      </w:r>
      <w:r w:rsidR="001969F1" w:rsidRPr="00904368">
        <w:rPr>
          <w:rFonts w:cstheme="minorHAnsi"/>
          <w:sz w:val="24"/>
          <w:szCs w:val="24"/>
        </w:rPr>
        <w:t>m</w:t>
      </w:r>
      <w:r w:rsidRPr="00904368">
        <w:rPr>
          <w:rFonts w:cstheme="minorHAnsi"/>
          <w:sz w:val="24"/>
          <w:szCs w:val="24"/>
        </w:rPr>
        <w:t>L of 0.5 mM KFFIIK and EFFIIE (in different albumin concentrations for in 1x PBS), individually. Then, each peptide in the same albumin concentration was mixed and read with BioTek Neo2SM microplate reader for 4h with 10 min intervals (Ex: 360, Em:450 with gain:100). Albumin with different concentrations (without any peptide) was also analyzed for both of the assays and subtracted from [II]+Albumin data. For [II] in 0w% albumin, 1x PBS (with ThT or DPH) was used as a background for subtraction. For ThT analysis, relative intensity values were calculated within each group. Data fitting was applied with a one-phase association to calculate half-time in ordered assembly kinetics by using GraphPad Prism 9.3.0.</w:t>
      </w:r>
    </w:p>
    <w:p w14:paraId="75BDC2E7" w14:textId="2EA80236" w:rsidR="001E5F03" w:rsidRPr="00904368" w:rsidRDefault="001E5F03" w:rsidP="00E44507">
      <w:pPr>
        <w:spacing w:line="480" w:lineRule="auto"/>
        <w:rPr>
          <w:rFonts w:cstheme="minorHAnsi"/>
          <w:sz w:val="24"/>
          <w:szCs w:val="24"/>
        </w:rPr>
      </w:pPr>
      <w:r w:rsidRPr="00904368">
        <w:rPr>
          <w:rFonts w:cstheme="minorHAnsi"/>
          <w:b/>
          <w:bCs/>
          <w:sz w:val="24"/>
          <w:szCs w:val="24"/>
        </w:rPr>
        <w:t>AFM analysis.</w:t>
      </w:r>
      <w:r w:rsidRPr="00904368">
        <w:rPr>
          <w:rFonts w:cstheme="minorHAnsi"/>
          <w:sz w:val="24"/>
          <w:szCs w:val="24"/>
        </w:rPr>
        <w:t xml:space="preserve"> Morphological characterization of [II] was performed with AFM (NX-10 Park Systems Corp) with a non-contact mode by using cantilever probe (OMCL-AC160TS 5M). Peptide were prepared by either with albumin (0.002 w%, 0.02 w%, 0.2 w%, 2 w%) or without albumin (0 w%) in PBS. At first, 0.5 mM KFFIIK (50 μL) was prepared with or without albumin and 0.5 mM EFFIIE (50 μL) was prepared with or without albumin in PBS. Then, two oppositely charged peptides were mixed and incubated overnight (~ 20h). For sample preparation, mixed samples were diluted to 0.1 mM with water and 20 μL dropped onto silicon wafer. Prepared samples were dried at room temperature and imaged with a 1 kHz scanning frequency. Data points were taken in a 256 x 256 grid over 5 μm–by–5 μm area.</w:t>
      </w:r>
    </w:p>
    <w:p w14:paraId="7E05C579" w14:textId="6F95F3C3" w:rsidR="001E5F03" w:rsidRPr="00366531" w:rsidRDefault="001E5F03" w:rsidP="00E44507">
      <w:pPr>
        <w:spacing w:line="480" w:lineRule="auto"/>
        <w:rPr>
          <w:rFonts w:cstheme="minorHAnsi"/>
          <w:b/>
          <w:bCs/>
          <w:sz w:val="24"/>
          <w:szCs w:val="24"/>
        </w:rPr>
      </w:pPr>
      <w:r w:rsidRPr="00904368">
        <w:rPr>
          <w:rFonts w:cstheme="minorHAnsi"/>
          <w:b/>
          <w:bCs/>
          <w:sz w:val="24"/>
          <w:szCs w:val="24"/>
        </w:rPr>
        <w:t>Dynamic Light scattering (DLS)</w:t>
      </w:r>
      <w:r w:rsidR="00366531">
        <w:rPr>
          <w:rFonts w:cstheme="minorHAnsi"/>
          <w:b/>
          <w:bCs/>
          <w:sz w:val="24"/>
          <w:szCs w:val="24"/>
        </w:rPr>
        <w:t xml:space="preserve">. </w:t>
      </w:r>
      <w:r w:rsidRPr="00904368">
        <w:rPr>
          <w:rFonts w:cstheme="minorHAnsi"/>
          <w:sz w:val="24"/>
          <w:szCs w:val="24"/>
        </w:rPr>
        <w:t>Hydrodynamic size and ζ potential of single and mixed peptides were measured by DLS.</w:t>
      </w:r>
      <w:r w:rsidR="006924D0" w:rsidRPr="00904368">
        <w:rPr>
          <w:rFonts w:cstheme="minorHAnsi"/>
          <w:sz w:val="24"/>
          <w:szCs w:val="24"/>
        </w:rPr>
        <w:fldChar w:fldCharType="begin"/>
      </w:r>
      <w:r w:rsidR="008F09C1">
        <w:rPr>
          <w:rFonts w:cstheme="minorHAnsi"/>
          <w:sz w:val="24"/>
          <w:szCs w:val="24"/>
        </w:rPr>
        <w:instrText xml:space="preserve"> ADDIN ZOTERO_ITEM CSL_CITATION {"citationID":"3tZqozQ0","properties":{"formattedCitation":"\\super 205\\nosupersub{}","plainCitation":"205","noteIndex":0},"citationItems":[{"id":11903,"uris":["http://zotero.org/groups/2667333/items/NJIDZKEK"],"itemData":{"id":11903,"type":"article-journal","abstract":"Amyloid fibrils are fibrous protein assemblies with distinctive cross-β structures. For amyloidosis, there are disease-associated mutations outside of the cross-β structures. Thus, it is necessary to elucidate the role of peripheral sequences outside the cross-β structure. Amyloid fibrils are generally 10nm in width; however, the amyloid fibrils of truncated barnase M1 peptides missing the C-terminal sequence outside the cross-β structure are 20nm in width. In this study, we performed comparative analysis of the structural stability of amyloids formed by the respective peptides. We found that the C-terminal amino acids dramatically affect the conformational instability in the presence of a denaturing reagent.","container-title":"FEBS Letters","DOI":"10.1016/j.febslet.2015.10.015","ISSN":"0014-5793","issue":"23","journalAbbreviation":"FEBS Letters","language":"en","note":"tex.ids= saiki_structural_2015-1","page":"3541-3547","source":"ScienceDirect","title":"Structural stability of amyloid fibrils depends on the existence of the peripheral sequence near the core cross-β region","URL":"https://www.sciencedirect.com/science/article/pii/S0014579315009394","volume":"589","author":[{"family":"Saiki","given":"Masatoshi"},{"family":"Shiba","given":"Kohei"},{"family":"Okumura","given":"Masaki"}],"accessed":{"date-parts":[["2022",7,25]]},"issued":{"date-parts":[["2015",11,30]]},"citation-key":"saiki_structural_2015"}}],"schema":"https://github.com/citation-style-language/schema/raw/master/csl-citation.json"} </w:instrText>
      </w:r>
      <w:r w:rsidR="006924D0" w:rsidRPr="00904368">
        <w:rPr>
          <w:rFonts w:cstheme="minorHAnsi"/>
          <w:sz w:val="24"/>
          <w:szCs w:val="24"/>
        </w:rPr>
        <w:fldChar w:fldCharType="separate"/>
      </w:r>
      <w:r w:rsidR="008F09C1" w:rsidRPr="008F09C1">
        <w:rPr>
          <w:rFonts w:ascii="Arial" w:cs="Arial"/>
          <w:sz w:val="24"/>
          <w:vertAlign w:val="superscript"/>
        </w:rPr>
        <w:t>205</w:t>
      </w:r>
      <w:r w:rsidR="006924D0" w:rsidRPr="00904368">
        <w:rPr>
          <w:rFonts w:cstheme="minorHAnsi"/>
          <w:sz w:val="24"/>
          <w:szCs w:val="24"/>
        </w:rPr>
        <w:fldChar w:fldCharType="end"/>
      </w:r>
      <w:r w:rsidR="006924D0" w:rsidRPr="00904368">
        <w:rPr>
          <w:rFonts w:cstheme="minorHAnsi"/>
          <w:sz w:val="24"/>
          <w:szCs w:val="24"/>
        </w:rPr>
        <w:t xml:space="preserve"> </w:t>
      </w:r>
      <w:r w:rsidRPr="00904368">
        <w:rPr>
          <w:rFonts w:cstheme="minorHAnsi"/>
          <w:sz w:val="24"/>
          <w:szCs w:val="24"/>
        </w:rPr>
        <w:t>For particle size analysis, intensity of scattered light was measured under Brownian motion and hydrodynamic radius, R_h, was calculated by using stokes- Einstein equation (Eq. 1):</w:t>
      </w:r>
    </w:p>
    <w:p w14:paraId="3E75A752" w14:textId="77777777" w:rsidR="001E5F03" w:rsidRPr="00904368" w:rsidRDefault="001E5F03" w:rsidP="00E44507">
      <w:pPr>
        <w:spacing w:line="480" w:lineRule="auto"/>
        <w:rPr>
          <w:rFonts w:cstheme="minorHAnsi"/>
          <w:sz w:val="24"/>
          <w:szCs w:val="24"/>
        </w:rPr>
      </w:pPr>
      <w:r w:rsidRPr="00904368">
        <w:rPr>
          <w:rFonts w:cstheme="minorHAnsi"/>
          <w:sz w:val="24"/>
          <w:szCs w:val="24"/>
        </w:rPr>
        <w:t>R_h=kT/(6πηD_t )</w:t>
      </w:r>
    </w:p>
    <w:p w14:paraId="50DD190B" w14:textId="42A0D213" w:rsidR="001E5F03" w:rsidRPr="00904368" w:rsidRDefault="001E5F03" w:rsidP="00E44507">
      <w:pPr>
        <w:spacing w:line="480" w:lineRule="auto"/>
        <w:rPr>
          <w:rFonts w:cstheme="minorHAnsi"/>
          <w:sz w:val="24"/>
          <w:szCs w:val="24"/>
        </w:rPr>
      </w:pPr>
      <w:r w:rsidRPr="00904368">
        <w:rPr>
          <w:rFonts w:cstheme="minorHAnsi"/>
          <w:sz w:val="24"/>
          <w:szCs w:val="24"/>
        </w:rPr>
        <w:t>where k is the Boltzmann’s constant, T is temperature in K (298 K) and η is the solvent viscosity. Diameter that measures in DLS is value that refers to diffusion of the particle. A ZetaSizer Nano ZS (Malvern, UK) instrument with a detector angle of 173° in a backscatter mode was used for analysis. Clear disposable cell cuvettes were first washed three times with 0.22-μm filtered deionized water (resistance of 18.2 megohm·cm). Before measurements, peptide solutions in phosphate-buffered saline were also filtered with a 0.22-μm filter to avoid any dust that can alter the measurements. For individual peptides, 500 μM (500 μl) positively and negatively charged peptides were used in PBS. For [II], equimolar (500 μM, 250 μl) of KFFIIK and, equimolar (500 μM, 250 μl) EFFIIE were mixed analyzed immediately, at 30 min and overnight (~20 h). For [II] with albumin samples, individual peptides (500 μM each) were prepared in albumin solution (0.002, 0.02, 0.05, 0.1, 0.2, 0.5, 1, or 2 w% albumin in PBS) individually and mixed with equal volume (250 μL each). Then analyzed immediately, at 30 min and overnight (~20 h). ζ potential measurements were performed at 30 min.</w:t>
      </w:r>
    </w:p>
    <w:p w14:paraId="534D1D30" w14:textId="55F9F18B" w:rsidR="00AA30C9" w:rsidRPr="00904368" w:rsidRDefault="00AA30C9" w:rsidP="00E44507">
      <w:pPr>
        <w:spacing w:line="480" w:lineRule="auto"/>
        <w:rPr>
          <w:rFonts w:cstheme="minorHAnsi"/>
          <w:b/>
          <w:bCs/>
          <w:sz w:val="24"/>
          <w:szCs w:val="24"/>
        </w:rPr>
      </w:pPr>
      <w:r w:rsidRPr="00904368">
        <w:rPr>
          <w:rFonts w:cstheme="minorHAnsi"/>
          <w:b/>
          <w:bCs/>
          <w:sz w:val="24"/>
          <w:szCs w:val="24"/>
        </w:rPr>
        <w:t>FRET analysis</w:t>
      </w:r>
      <w:r w:rsidR="001969F1" w:rsidRPr="00904368">
        <w:rPr>
          <w:rFonts w:cstheme="minorHAnsi"/>
          <w:b/>
          <w:bCs/>
          <w:sz w:val="24"/>
          <w:szCs w:val="24"/>
        </w:rPr>
        <w:t xml:space="preserve">. </w:t>
      </w:r>
      <w:r w:rsidRPr="00904368">
        <w:rPr>
          <w:rFonts w:cstheme="minorHAnsi"/>
          <w:sz w:val="24"/>
          <w:szCs w:val="24"/>
        </w:rPr>
        <w:t>FITC and TRITC could act as the donor and acceptor of a FRET pair, respectively.</w:t>
      </w:r>
      <w:r w:rsidR="001969F1" w:rsidRPr="00904368">
        <w:rPr>
          <w:rFonts w:cstheme="minorHAnsi"/>
          <w:sz w:val="24"/>
          <w:szCs w:val="24"/>
        </w:rPr>
        <w:fldChar w:fldCharType="begin"/>
      </w:r>
      <w:r w:rsidR="008F09C1">
        <w:rPr>
          <w:rFonts w:cstheme="minorHAnsi"/>
          <w:sz w:val="24"/>
          <w:szCs w:val="24"/>
        </w:rPr>
        <w:instrText xml:space="preserve"> ADDIN ZOTERO_ITEM CSL_CITATION {"citationID":"i7iS6O1z","properties":{"formattedCitation":"\\super 196\\nosupersub{}","plainCitation":"196","noteIndex":0},"citationItems":[{"id":10516,"uris":["http://zotero.org/groups/2667333/items/4BW3MMLT"],"itemData":{"id":10516,"type":"article-journal","abstract":"We report on a novel technique to develop an optical immunosensor based on fluorescence resonance energy transfer (FRET). IgG antibodies were labeled with acceptor fluorophores while one of three carrier molecules (protein A, protein G, or F(ab′)2 fragment) was labeled with donor fluorophores. The carrier molecule was incubated with the antibody to allow specific binding to the Fc portion. The labeled antibody–protein complex was then exposed to specific and nonspecific antigens, and experiments were designed to determine the ‘in solution’ response. The paper reports the results of three different donor–acceptor FRET pairs, fluorescein isothiocyanate/tetramethylrhodamine isothiocyanate, Texas Red/Cy5, and Alexa Fluor 546/Alexa Fluor 594. The effects of the fluorophore to protein conjugation ratio (F/P ratio) and acceptor to donor fluorophore ratios between the antibody and protein (A/D ratio) were examined. In the presence of specific antigens, the antibodies underwent a conformational change, resulting in an energy transfer from the donor to the acceptor fluorophore as measured by a change in fluorescence. The non-specific antigens elicited little or no changes. The Alexa Fluor FRET pair demonstrated the largest change in fluorescence, resulting in a 35% change. The F/P and A/D ratio will affect the efficiency of energy transfer, but there exists a suitable range of A/D and F/P ratios for the FRET pairs. The feasibility of the FRET immunosensor technique was established; however, it will be necessary to immobilize the complexes onto optical substrates so that consistent trends can be obtained that would allow calibration plots.","container-title":"Biosensors and Bioelectronics","DOI":"10.1016/S0956-5663(03)00215-X","ISSN":"0956-5663","issue":"3","journalAbbreviation":"Biosensors and Bioelectronics","language":"en","note":"tex.ids= lichlyter_development_2003-1","page":"219-226","source":"ScienceDirect","title":"Development of a novel FRET immunosensor technique","URL":"https://www.sciencedirect.com/science/article/pii/S095656630300215X","volume":"19","author":[{"family":"Lichlyter","given":"Darcy J"},{"family":"Grant","given":"Sheila A"},{"family":"Soykan","given":"Orhan"}],"accessed":{"date-parts":[["2022",2,20]]},"issued":{"date-parts":[["2003",11,30]]},"citation-key":"lichlyter_development_2003-1"}}],"schema":"https://github.com/citation-style-language/schema/raw/master/csl-citation.json"} </w:instrText>
      </w:r>
      <w:r w:rsidR="001969F1" w:rsidRPr="00904368">
        <w:rPr>
          <w:rFonts w:cstheme="minorHAnsi"/>
          <w:sz w:val="24"/>
          <w:szCs w:val="24"/>
        </w:rPr>
        <w:fldChar w:fldCharType="separate"/>
      </w:r>
      <w:r w:rsidR="008F09C1" w:rsidRPr="008F09C1">
        <w:rPr>
          <w:rFonts w:ascii="Arial" w:cs="Arial"/>
          <w:sz w:val="24"/>
          <w:vertAlign w:val="superscript"/>
        </w:rPr>
        <w:t>196</w:t>
      </w:r>
      <w:r w:rsidR="001969F1" w:rsidRPr="00904368">
        <w:rPr>
          <w:rFonts w:cstheme="minorHAnsi"/>
          <w:sz w:val="24"/>
          <w:szCs w:val="24"/>
        </w:rPr>
        <w:fldChar w:fldCharType="end"/>
      </w:r>
      <w:r w:rsidR="001969F1" w:rsidRPr="00904368">
        <w:rPr>
          <w:rFonts w:cstheme="minorHAnsi"/>
          <w:sz w:val="24"/>
          <w:szCs w:val="24"/>
        </w:rPr>
        <w:t xml:space="preserve"> </w:t>
      </w:r>
      <w:r w:rsidRPr="00904368">
        <w:rPr>
          <w:rFonts w:cstheme="minorHAnsi"/>
          <w:sz w:val="24"/>
          <w:szCs w:val="24"/>
        </w:rPr>
        <w:t xml:space="preserve">FITC-KFFIIK peptide was prepared as 500 </w:t>
      </w:r>
      <w:r w:rsidR="00E31D5F" w:rsidRPr="00904368">
        <w:rPr>
          <w:rFonts w:cstheme="minorHAnsi"/>
          <w:sz w:val="24"/>
          <w:szCs w:val="24"/>
        </w:rPr>
        <w:t>m</w:t>
      </w:r>
      <w:r w:rsidRPr="00904368">
        <w:rPr>
          <w:rFonts w:cstheme="minorHAnsi"/>
          <w:sz w:val="24"/>
          <w:szCs w:val="24"/>
        </w:rPr>
        <w:t>M (1:50 FITC-KFFIIK:KFFIIK molar ratio) and albumin was prepared as 2</w:t>
      </w:r>
      <w:r w:rsidR="00E31D5F" w:rsidRPr="00904368">
        <w:rPr>
          <w:rFonts w:cstheme="minorHAnsi"/>
          <w:sz w:val="24"/>
          <w:szCs w:val="24"/>
        </w:rPr>
        <w:t xml:space="preserve"> w% </w:t>
      </w:r>
      <w:r w:rsidRPr="00904368">
        <w:rPr>
          <w:rFonts w:cstheme="minorHAnsi"/>
          <w:sz w:val="24"/>
          <w:szCs w:val="24"/>
        </w:rPr>
        <w:t xml:space="preserve">(20 mg/mL, 300 </w:t>
      </w:r>
      <w:r w:rsidR="00E31D5F" w:rsidRPr="00904368">
        <w:rPr>
          <w:rFonts w:cstheme="minorHAnsi"/>
          <w:sz w:val="24"/>
          <w:szCs w:val="24"/>
        </w:rPr>
        <w:t>m</w:t>
      </w:r>
      <w:r w:rsidRPr="00904368">
        <w:rPr>
          <w:rFonts w:cstheme="minorHAnsi"/>
          <w:sz w:val="24"/>
          <w:szCs w:val="24"/>
        </w:rPr>
        <w:t xml:space="preserve">M) mixed with TRITC-albumin as 1:100 molar ratio. EFFIIE peptide was prepared as 500 </w:t>
      </w:r>
      <w:r w:rsidR="00E31D5F" w:rsidRPr="00904368">
        <w:rPr>
          <w:rFonts w:cstheme="minorHAnsi"/>
          <w:sz w:val="24"/>
          <w:szCs w:val="24"/>
        </w:rPr>
        <w:t>m</w:t>
      </w:r>
      <w:r w:rsidRPr="00904368">
        <w:rPr>
          <w:rFonts w:cstheme="minorHAnsi"/>
          <w:sz w:val="24"/>
          <w:szCs w:val="24"/>
        </w:rPr>
        <w:t xml:space="preserve">M. For a group consisting of FITC-KFFIIK and TRITC-albumin, 50 </w:t>
      </w:r>
      <w:r w:rsidR="00E31D5F" w:rsidRPr="00904368">
        <w:rPr>
          <w:rFonts w:cstheme="minorHAnsi"/>
          <w:sz w:val="24"/>
          <w:szCs w:val="24"/>
        </w:rPr>
        <w:t>m</w:t>
      </w:r>
      <w:r w:rsidRPr="00904368">
        <w:rPr>
          <w:rFonts w:cstheme="minorHAnsi"/>
          <w:sz w:val="24"/>
          <w:szCs w:val="24"/>
        </w:rPr>
        <w:t xml:space="preserve">L of FITC-KFFIIK was mixed 10 </w:t>
      </w:r>
      <w:r w:rsidR="00E31D5F" w:rsidRPr="00904368">
        <w:rPr>
          <w:rFonts w:cstheme="minorHAnsi"/>
          <w:sz w:val="24"/>
          <w:szCs w:val="24"/>
        </w:rPr>
        <w:t>m</w:t>
      </w:r>
      <w:r w:rsidRPr="00904368">
        <w:rPr>
          <w:rFonts w:cstheme="minorHAnsi"/>
          <w:sz w:val="24"/>
          <w:szCs w:val="24"/>
        </w:rPr>
        <w:t xml:space="preserve">L TRITC-albumin and 50 </w:t>
      </w:r>
      <w:r w:rsidR="00E31D5F" w:rsidRPr="00904368">
        <w:rPr>
          <w:rFonts w:cstheme="minorHAnsi"/>
          <w:sz w:val="24"/>
          <w:szCs w:val="24"/>
        </w:rPr>
        <w:t>m</w:t>
      </w:r>
      <w:r w:rsidRPr="00904368">
        <w:rPr>
          <w:rFonts w:cstheme="minorHAnsi"/>
          <w:sz w:val="24"/>
          <w:szCs w:val="24"/>
        </w:rPr>
        <w:t xml:space="preserve">L of PBS was added to have a final volume 110 </w:t>
      </w:r>
      <w:r w:rsidR="00E31D5F" w:rsidRPr="00904368">
        <w:rPr>
          <w:rFonts w:cstheme="minorHAnsi"/>
          <w:sz w:val="24"/>
          <w:szCs w:val="24"/>
        </w:rPr>
        <w:t>m</w:t>
      </w:r>
      <w:r w:rsidRPr="00904368">
        <w:rPr>
          <w:rFonts w:cstheme="minorHAnsi"/>
          <w:sz w:val="24"/>
          <w:szCs w:val="24"/>
        </w:rPr>
        <w:t xml:space="preserve">L. For 0w\% albumin, 50 </w:t>
      </w:r>
      <w:r w:rsidR="00E31D5F" w:rsidRPr="00904368">
        <w:rPr>
          <w:rFonts w:cstheme="minorHAnsi"/>
          <w:sz w:val="24"/>
          <w:szCs w:val="24"/>
        </w:rPr>
        <w:t>m</w:t>
      </w:r>
      <w:r w:rsidRPr="00904368">
        <w:rPr>
          <w:rFonts w:cstheme="minorHAnsi"/>
          <w:sz w:val="24"/>
          <w:szCs w:val="24"/>
        </w:rPr>
        <w:t xml:space="preserve">L of FITC-KFFIIK was mixed with 60 </w:t>
      </w:r>
      <w:r w:rsidR="00E31D5F" w:rsidRPr="00904368">
        <w:rPr>
          <w:rFonts w:cstheme="minorHAnsi"/>
          <w:sz w:val="24"/>
          <w:szCs w:val="24"/>
        </w:rPr>
        <w:t>m</w:t>
      </w:r>
      <w:r w:rsidRPr="00904368">
        <w:rPr>
          <w:rFonts w:cstheme="minorHAnsi"/>
          <w:sz w:val="24"/>
          <w:szCs w:val="24"/>
        </w:rPr>
        <w:t>L of PBS. [II] was prepared as follows. F0r 0.2</w:t>
      </w:r>
      <w:r w:rsidR="00E31D5F" w:rsidRPr="00904368">
        <w:rPr>
          <w:rFonts w:cstheme="minorHAnsi"/>
          <w:sz w:val="24"/>
          <w:szCs w:val="24"/>
        </w:rPr>
        <w:t xml:space="preserve"> </w:t>
      </w:r>
      <w:r w:rsidRPr="00904368">
        <w:rPr>
          <w:rFonts w:cstheme="minorHAnsi"/>
          <w:sz w:val="24"/>
          <w:szCs w:val="24"/>
        </w:rPr>
        <w:t xml:space="preserve">w% albumin. 50 </w:t>
      </w:r>
      <w:r w:rsidR="00E31D5F" w:rsidRPr="00904368">
        <w:rPr>
          <w:rFonts w:cstheme="minorHAnsi"/>
          <w:sz w:val="24"/>
          <w:szCs w:val="24"/>
        </w:rPr>
        <w:t>m</w:t>
      </w:r>
      <w:r w:rsidRPr="00904368">
        <w:rPr>
          <w:rFonts w:cstheme="minorHAnsi"/>
          <w:sz w:val="24"/>
          <w:szCs w:val="24"/>
        </w:rPr>
        <w:t xml:space="preserve">L of FITC-KFFIIK was mixed with 50 </w:t>
      </w:r>
      <w:r w:rsidR="00E31D5F" w:rsidRPr="00904368">
        <w:rPr>
          <w:rFonts w:cstheme="minorHAnsi"/>
          <w:sz w:val="24"/>
          <w:szCs w:val="24"/>
        </w:rPr>
        <w:t>m</w:t>
      </w:r>
      <w:r w:rsidRPr="00904368">
        <w:rPr>
          <w:rFonts w:cstheme="minorHAnsi"/>
          <w:sz w:val="24"/>
          <w:szCs w:val="24"/>
        </w:rPr>
        <w:t xml:space="preserve">L of EFFIIE and 10 </w:t>
      </w:r>
      <w:r w:rsidR="00E31D5F" w:rsidRPr="00904368">
        <w:rPr>
          <w:rFonts w:cstheme="minorHAnsi"/>
          <w:sz w:val="24"/>
          <w:szCs w:val="24"/>
        </w:rPr>
        <w:t>m</w:t>
      </w:r>
      <w:r w:rsidRPr="00904368">
        <w:rPr>
          <w:rFonts w:cstheme="minorHAnsi"/>
          <w:sz w:val="24"/>
          <w:szCs w:val="24"/>
        </w:rPr>
        <w:t xml:space="preserve">L of TRITC-albumin was added to have a final volume 110 </w:t>
      </w:r>
      <w:r w:rsidR="00E31D5F" w:rsidRPr="00904368">
        <w:rPr>
          <w:rFonts w:cstheme="minorHAnsi"/>
          <w:sz w:val="24"/>
          <w:szCs w:val="24"/>
        </w:rPr>
        <w:t>m</w:t>
      </w:r>
      <w:r w:rsidRPr="00904368">
        <w:rPr>
          <w:rFonts w:cstheme="minorHAnsi"/>
          <w:sz w:val="24"/>
          <w:szCs w:val="24"/>
        </w:rPr>
        <w:t xml:space="preserve">L. For 0% albumin, 50 </w:t>
      </w:r>
      <w:r w:rsidR="00E31D5F" w:rsidRPr="00904368">
        <w:rPr>
          <w:rFonts w:cstheme="minorHAnsi"/>
          <w:sz w:val="24"/>
          <w:szCs w:val="24"/>
        </w:rPr>
        <w:t>m</w:t>
      </w:r>
      <w:r w:rsidRPr="00904368">
        <w:rPr>
          <w:rFonts w:cstheme="minorHAnsi"/>
          <w:sz w:val="24"/>
          <w:szCs w:val="24"/>
        </w:rPr>
        <w:t xml:space="preserve">L of FITC-KFFIIK was mixed with 50 </w:t>
      </w:r>
      <w:r w:rsidR="00E31D5F" w:rsidRPr="00904368">
        <w:rPr>
          <w:rFonts w:cstheme="minorHAnsi"/>
          <w:sz w:val="24"/>
          <w:szCs w:val="24"/>
        </w:rPr>
        <w:t>m</w:t>
      </w:r>
      <w:r w:rsidRPr="00904368">
        <w:rPr>
          <w:rFonts w:cstheme="minorHAnsi"/>
          <w:sz w:val="24"/>
          <w:szCs w:val="24"/>
        </w:rPr>
        <w:t xml:space="preserve">L of EFFIIE and 10 </w:t>
      </w:r>
      <w:r w:rsidR="00E31D5F" w:rsidRPr="00904368">
        <w:rPr>
          <w:rFonts w:cstheme="minorHAnsi"/>
          <w:sz w:val="24"/>
          <w:szCs w:val="24"/>
        </w:rPr>
        <w:t>m</w:t>
      </w:r>
      <w:r w:rsidRPr="00904368">
        <w:rPr>
          <w:rFonts w:cstheme="minorHAnsi"/>
          <w:sz w:val="24"/>
          <w:szCs w:val="24"/>
        </w:rPr>
        <w:t xml:space="preserve">L of PBS was added. These mixtures were incubated for 30 min and 24h at room temperature and subjected to fluorescence measurements with an excitation of 488 nm for FITC as donor and scan between the emission of 500 and 700 nm for TRITC as acceptor. </w:t>
      </w:r>
    </w:p>
    <w:p w14:paraId="50659CAB" w14:textId="723A9D0F" w:rsidR="00AA30C9" w:rsidRPr="00904368" w:rsidRDefault="00AA30C9" w:rsidP="00E44507">
      <w:pPr>
        <w:spacing w:line="480" w:lineRule="auto"/>
        <w:rPr>
          <w:rFonts w:cstheme="minorHAnsi"/>
          <w:sz w:val="24"/>
          <w:szCs w:val="24"/>
        </w:rPr>
      </w:pPr>
      <w:r w:rsidRPr="00904368">
        <w:rPr>
          <w:rFonts w:cstheme="minorHAnsi"/>
          <w:b/>
          <w:bCs/>
          <w:sz w:val="24"/>
          <w:szCs w:val="24"/>
        </w:rPr>
        <w:t>Cell Culture</w:t>
      </w:r>
      <w:r w:rsidR="00E31D5F" w:rsidRPr="00904368">
        <w:rPr>
          <w:rFonts w:cstheme="minorHAnsi"/>
          <w:b/>
          <w:bCs/>
          <w:sz w:val="24"/>
          <w:szCs w:val="24"/>
        </w:rPr>
        <w:t>.</w:t>
      </w:r>
      <w:r w:rsidRPr="00904368">
        <w:rPr>
          <w:rFonts w:cstheme="minorHAnsi"/>
          <w:sz w:val="24"/>
          <w:szCs w:val="24"/>
        </w:rPr>
        <w:t xml:space="preserve"> EMT6 cells were cultured in Roswell Park Memorial Institute (RPMI) 1640 Medium, supplemented with 10% FBS (Hyclone SH30910.03) and 1% antibiotics; penicillin (100 U/mL), and streptomycin (100 </w:t>
      </w:r>
      <w:r w:rsidR="00E31D5F" w:rsidRPr="00904368">
        <w:rPr>
          <w:rFonts w:cstheme="minorHAnsi"/>
          <w:sz w:val="24"/>
          <w:szCs w:val="24"/>
        </w:rPr>
        <w:t>m</w:t>
      </w:r>
      <w:r w:rsidRPr="00904368">
        <w:rPr>
          <w:rFonts w:cstheme="minorHAnsi"/>
          <w:sz w:val="24"/>
          <w:szCs w:val="24"/>
        </w:rPr>
        <w:t>g/mL) (Thermo Fisher 15240062) according to the manufacturer’s instructions. Cells were cultured in a humidified incubator at 37</w:t>
      </w:r>
      <w:r w:rsidR="00E31D5F" w:rsidRPr="00904368">
        <w:rPr>
          <w:rFonts w:cstheme="minorHAnsi"/>
          <w:sz w:val="24"/>
          <w:szCs w:val="24"/>
        </w:rPr>
        <w:sym w:font="Symbol" w:char="F0B0"/>
      </w:r>
      <w:r w:rsidR="00E31D5F" w:rsidRPr="00904368">
        <w:rPr>
          <w:rFonts w:cstheme="minorHAnsi"/>
          <w:sz w:val="24"/>
          <w:szCs w:val="24"/>
        </w:rPr>
        <w:t xml:space="preserve">C </w:t>
      </w:r>
      <w:r w:rsidRPr="00904368">
        <w:rPr>
          <w:rFonts w:cstheme="minorHAnsi"/>
          <w:sz w:val="24"/>
          <w:szCs w:val="24"/>
        </w:rPr>
        <w:t xml:space="preserve">supplied with 5% CO2. T75 flasks (TPP 90076) were used for culturing and cells were passaged upon 85% confluency by using trypsin (Sigma 59418C). Cell culture media was changed every 2 days. </w:t>
      </w:r>
    </w:p>
    <w:p w14:paraId="5CA926FD" w14:textId="6DBF0649" w:rsidR="00AA30C9" w:rsidRPr="00904368" w:rsidRDefault="00AA30C9" w:rsidP="00E44507">
      <w:pPr>
        <w:spacing w:line="480" w:lineRule="auto"/>
        <w:rPr>
          <w:rFonts w:cstheme="minorHAnsi"/>
          <w:b/>
          <w:bCs/>
          <w:sz w:val="24"/>
          <w:szCs w:val="24"/>
        </w:rPr>
      </w:pPr>
      <w:r w:rsidRPr="00904368">
        <w:rPr>
          <w:rFonts w:cstheme="minorHAnsi"/>
          <w:b/>
          <w:bCs/>
          <w:sz w:val="24"/>
          <w:szCs w:val="24"/>
        </w:rPr>
        <w:t>Peptide preparation for in vitro experiments</w:t>
      </w:r>
      <w:r w:rsidR="00E31D5F" w:rsidRPr="00904368">
        <w:rPr>
          <w:rFonts w:cstheme="minorHAnsi"/>
          <w:b/>
          <w:bCs/>
          <w:sz w:val="24"/>
          <w:szCs w:val="24"/>
        </w:rPr>
        <w:t xml:space="preserve">. </w:t>
      </w:r>
      <w:r w:rsidRPr="00904368">
        <w:rPr>
          <w:rFonts w:cstheme="minorHAnsi"/>
          <w:sz w:val="24"/>
          <w:szCs w:val="24"/>
        </w:rPr>
        <w:t>[II] peptides were prepared in either 0.2</w:t>
      </w:r>
      <w:r w:rsidR="00E31D5F" w:rsidRPr="00904368">
        <w:rPr>
          <w:rFonts w:cstheme="minorHAnsi"/>
          <w:sz w:val="24"/>
          <w:szCs w:val="24"/>
        </w:rPr>
        <w:t xml:space="preserve"> </w:t>
      </w:r>
      <w:r w:rsidRPr="00904368">
        <w:rPr>
          <w:rFonts w:cstheme="minorHAnsi"/>
          <w:sz w:val="24"/>
          <w:szCs w:val="24"/>
        </w:rPr>
        <w:t>w% albumin or 0</w:t>
      </w:r>
      <w:r w:rsidR="00E31D5F" w:rsidRPr="00904368">
        <w:rPr>
          <w:rFonts w:cstheme="minorHAnsi"/>
          <w:sz w:val="24"/>
          <w:szCs w:val="24"/>
        </w:rPr>
        <w:t xml:space="preserve"> </w:t>
      </w:r>
      <w:r w:rsidRPr="00904368">
        <w:rPr>
          <w:rFonts w:cstheme="minorHAnsi"/>
          <w:sz w:val="24"/>
          <w:szCs w:val="24"/>
        </w:rPr>
        <w:t>w% albumin for in vitro conditions. First, albumin was prepared as a stock solution in 2</w:t>
      </w:r>
      <w:r w:rsidR="00E31D5F" w:rsidRPr="00904368">
        <w:rPr>
          <w:rFonts w:cstheme="minorHAnsi"/>
          <w:sz w:val="24"/>
          <w:szCs w:val="24"/>
        </w:rPr>
        <w:t xml:space="preserve"> w</w:t>
      </w:r>
      <w:r w:rsidRPr="00904368">
        <w:rPr>
          <w:rFonts w:cstheme="minorHAnsi"/>
          <w:sz w:val="24"/>
          <w:szCs w:val="24"/>
        </w:rPr>
        <w:t>% (20 mg in 1 mL the RPMI medium). Then, was diluted 1:10 to reach 0.2</w:t>
      </w:r>
      <w:r w:rsidR="00E31D5F" w:rsidRPr="00904368">
        <w:rPr>
          <w:rFonts w:cstheme="minorHAnsi"/>
          <w:sz w:val="24"/>
          <w:szCs w:val="24"/>
        </w:rPr>
        <w:t xml:space="preserve"> </w:t>
      </w:r>
      <w:r w:rsidRPr="00904368">
        <w:rPr>
          <w:rFonts w:cstheme="minorHAnsi"/>
          <w:sz w:val="24"/>
          <w:szCs w:val="24"/>
        </w:rPr>
        <w:t>w% in the RPMI medium. The prepared KFFIIK and EFFIIE stock peptides (10 mM in water) were diluted to 0.5 mM separately into 0.2</w:t>
      </w:r>
      <w:r w:rsidR="00E31D5F" w:rsidRPr="00904368">
        <w:rPr>
          <w:rFonts w:cstheme="minorHAnsi"/>
          <w:sz w:val="24"/>
          <w:szCs w:val="24"/>
        </w:rPr>
        <w:t xml:space="preserve"> </w:t>
      </w:r>
      <w:r w:rsidRPr="00904368">
        <w:rPr>
          <w:rFonts w:cstheme="minorHAnsi"/>
          <w:sz w:val="24"/>
          <w:szCs w:val="24"/>
        </w:rPr>
        <w:t>w% albumin/medium. For 0</w:t>
      </w:r>
      <w:r w:rsidR="00E31D5F" w:rsidRPr="00904368">
        <w:rPr>
          <w:rFonts w:cstheme="minorHAnsi"/>
          <w:sz w:val="24"/>
          <w:szCs w:val="24"/>
        </w:rPr>
        <w:t xml:space="preserve"> </w:t>
      </w:r>
      <w:r w:rsidRPr="00904368">
        <w:rPr>
          <w:rFonts w:cstheme="minorHAnsi"/>
          <w:sz w:val="24"/>
          <w:szCs w:val="24"/>
        </w:rPr>
        <w:t xml:space="preserve">w% albumin condition, KFFIIK and EFFIIE stock peptides 10 mM in water) were diluted to 0.5 mM separately into albumin/medium. For 96 well plate, each well consisted of 100 </w:t>
      </w:r>
      <w:r w:rsidR="00E31D5F" w:rsidRPr="00904368">
        <w:rPr>
          <w:rFonts w:cstheme="minorHAnsi"/>
          <w:sz w:val="24"/>
          <w:szCs w:val="24"/>
        </w:rPr>
        <w:t xml:space="preserve">mL </w:t>
      </w:r>
      <w:r w:rsidRPr="00904368">
        <w:rPr>
          <w:rFonts w:cstheme="minorHAnsi"/>
          <w:sz w:val="24"/>
          <w:szCs w:val="24"/>
        </w:rPr>
        <w:t xml:space="preserve">of peptide having 50 </w:t>
      </w:r>
      <w:r w:rsidR="00E31D5F" w:rsidRPr="00904368">
        <w:rPr>
          <w:rFonts w:cstheme="minorHAnsi"/>
          <w:sz w:val="24"/>
          <w:szCs w:val="24"/>
        </w:rPr>
        <w:t xml:space="preserve">mL </w:t>
      </w:r>
      <w:r w:rsidRPr="00904368">
        <w:rPr>
          <w:rFonts w:cstheme="minorHAnsi"/>
          <w:sz w:val="24"/>
          <w:szCs w:val="24"/>
        </w:rPr>
        <w:t xml:space="preserve">EFFIIE and 50 </w:t>
      </w:r>
      <w:r w:rsidR="00E31D5F" w:rsidRPr="00904368">
        <w:rPr>
          <w:rFonts w:cstheme="minorHAnsi"/>
          <w:sz w:val="24"/>
          <w:szCs w:val="24"/>
        </w:rPr>
        <w:t xml:space="preserve">mL </w:t>
      </w:r>
      <w:r w:rsidRPr="00904368">
        <w:rPr>
          <w:rFonts w:cstheme="minorHAnsi"/>
          <w:sz w:val="24"/>
          <w:szCs w:val="24"/>
        </w:rPr>
        <w:t>KFFIIK in either only RPMI medium (0</w:t>
      </w:r>
      <w:r w:rsidR="00E31D5F" w:rsidRPr="00904368">
        <w:rPr>
          <w:rFonts w:cstheme="minorHAnsi"/>
          <w:sz w:val="24"/>
          <w:szCs w:val="24"/>
        </w:rPr>
        <w:t xml:space="preserve"> </w:t>
      </w:r>
      <w:r w:rsidRPr="00904368">
        <w:rPr>
          <w:rFonts w:cstheme="minorHAnsi"/>
          <w:sz w:val="24"/>
          <w:szCs w:val="24"/>
        </w:rPr>
        <w:t>w% albumin) or 0.2</w:t>
      </w:r>
      <w:r w:rsidR="00E31D5F" w:rsidRPr="00904368">
        <w:rPr>
          <w:rFonts w:cstheme="minorHAnsi"/>
          <w:sz w:val="24"/>
          <w:szCs w:val="24"/>
        </w:rPr>
        <w:t xml:space="preserve"> </w:t>
      </w:r>
      <w:r w:rsidRPr="00904368">
        <w:rPr>
          <w:rFonts w:cstheme="minorHAnsi"/>
          <w:sz w:val="24"/>
          <w:szCs w:val="24"/>
        </w:rPr>
        <w:t xml:space="preserve">w% albumin in RPMI medium. </w:t>
      </w:r>
    </w:p>
    <w:p w14:paraId="042F447B" w14:textId="2D9825B1" w:rsidR="00AA30C9" w:rsidRPr="00904368" w:rsidRDefault="00AA30C9" w:rsidP="00E44507">
      <w:pPr>
        <w:spacing w:line="480" w:lineRule="auto"/>
        <w:rPr>
          <w:rFonts w:cstheme="minorHAnsi"/>
          <w:sz w:val="24"/>
          <w:szCs w:val="24"/>
        </w:rPr>
      </w:pPr>
      <w:r w:rsidRPr="00904368">
        <w:rPr>
          <w:rFonts w:cstheme="minorHAnsi"/>
          <w:b/>
          <w:bCs/>
          <w:sz w:val="24"/>
          <w:szCs w:val="24"/>
        </w:rPr>
        <w:t>Viability</w:t>
      </w:r>
      <w:r w:rsidR="009B497D" w:rsidRPr="00904368">
        <w:rPr>
          <w:rFonts w:cstheme="minorHAnsi"/>
          <w:b/>
          <w:bCs/>
          <w:sz w:val="24"/>
          <w:szCs w:val="24"/>
        </w:rPr>
        <w:t xml:space="preserve"> assay</w:t>
      </w:r>
      <w:r w:rsidR="00E31D5F" w:rsidRPr="00904368">
        <w:rPr>
          <w:rFonts w:cstheme="minorHAnsi"/>
          <w:b/>
          <w:bCs/>
          <w:sz w:val="24"/>
          <w:szCs w:val="24"/>
        </w:rPr>
        <w:t>.</w:t>
      </w:r>
      <w:r w:rsidRPr="00904368">
        <w:rPr>
          <w:rFonts w:cstheme="minorHAnsi"/>
          <w:sz w:val="24"/>
          <w:szCs w:val="24"/>
        </w:rPr>
        <w:t xml:space="preserve"> Cells were seeded onto 96 well plates and left for O/N attachment. The next day, media was removed and treatments were carried out. Viability was measured with Cell Titer Glo 2.0 solution (Promega G9248). The luminescent signal was measured in accordance with the manufacturer’s instructions. Measurements were carried out with BioTek Neo2SM microplate reader and relative viability was calculated by using untreated control group.</w:t>
      </w:r>
      <w:r w:rsidR="009B497D" w:rsidRPr="00904368">
        <w:rPr>
          <w:rFonts w:cstheme="minorHAnsi"/>
          <w:sz w:val="24"/>
          <w:szCs w:val="24"/>
        </w:rPr>
        <w:t xml:space="preserve"> Live-Dead assay was carried out using Viability/Cytotoxicity Assay kit (BIOTIUM 30002). After peptide treatment, cells were treated with calcein and ethidium homodimer in accordance with the manufacturer's instructions. Fluorescent images were taken by using Keyence bz-x710 microscope.</w:t>
      </w:r>
    </w:p>
    <w:p w14:paraId="015C7670" w14:textId="40EABE09" w:rsidR="00AA30C9" w:rsidRPr="00904368" w:rsidRDefault="00AA30C9" w:rsidP="00E44507">
      <w:pPr>
        <w:spacing w:line="480" w:lineRule="auto"/>
        <w:rPr>
          <w:rFonts w:cstheme="minorHAnsi"/>
          <w:sz w:val="24"/>
          <w:szCs w:val="24"/>
        </w:rPr>
      </w:pPr>
      <w:r w:rsidRPr="00904368">
        <w:rPr>
          <w:rFonts w:cstheme="minorHAnsi"/>
          <w:b/>
          <w:bCs/>
          <w:sz w:val="24"/>
          <w:szCs w:val="24"/>
        </w:rPr>
        <w:t>LDH Release</w:t>
      </w:r>
      <w:r w:rsidR="00E31D5F" w:rsidRPr="00904368">
        <w:rPr>
          <w:rFonts w:cstheme="minorHAnsi"/>
          <w:b/>
          <w:bCs/>
          <w:sz w:val="24"/>
          <w:szCs w:val="24"/>
        </w:rPr>
        <w:t>.</w:t>
      </w:r>
      <w:r w:rsidR="00E31D5F" w:rsidRPr="00904368">
        <w:rPr>
          <w:rFonts w:cstheme="minorHAnsi"/>
          <w:sz w:val="24"/>
          <w:szCs w:val="24"/>
        </w:rPr>
        <w:t xml:space="preserve"> </w:t>
      </w:r>
      <w:r w:rsidRPr="00904368">
        <w:rPr>
          <w:rFonts w:cstheme="minorHAnsi"/>
          <w:sz w:val="24"/>
          <w:szCs w:val="24"/>
        </w:rPr>
        <w:t>LDH release was measured with Cytoscan-LDH Cytotoxicity Assay (G-BIOSCIENCES 786-210). Briefly, at the end the treatments, collected supernatants were mixed with reaction mixture and incubated for 20 min at 37</w:t>
      </w:r>
      <w:r w:rsidR="00E31D5F" w:rsidRPr="00904368">
        <w:rPr>
          <w:rFonts w:cstheme="minorHAnsi"/>
          <w:sz w:val="24"/>
          <w:szCs w:val="24"/>
        </w:rPr>
        <w:sym w:font="Symbol" w:char="F0B0"/>
      </w:r>
      <w:r w:rsidR="00E31D5F" w:rsidRPr="00904368">
        <w:rPr>
          <w:rFonts w:cstheme="minorHAnsi"/>
          <w:sz w:val="24"/>
          <w:szCs w:val="24"/>
        </w:rPr>
        <w:t>C</w:t>
      </w:r>
      <w:r w:rsidRPr="00904368">
        <w:rPr>
          <w:rFonts w:cstheme="minorHAnsi"/>
          <w:sz w:val="24"/>
          <w:szCs w:val="24"/>
        </w:rPr>
        <w:t>. Reaction was stopped with stop solution, and absorbance was measured at 490 nm and 680 nm. Triton-X treatment is used as a 100% LDH release control. Absorbance at 680 nm is used as the background signal and values were subtracted from absorbance values at 490 nm. Measurements were carried out with BioTek Neo2SM microplate reader and relative LDH release was quantified based on the positive control for LDH release (maximum LDH release through Triton-X treatment).</w:t>
      </w:r>
    </w:p>
    <w:p w14:paraId="088924BB" w14:textId="0B483629" w:rsidR="009B497D" w:rsidRPr="00904368" w:rsidRDefault="009B497D" w:rsidP="00E44507">
      <w:pPr>
        <w:spacing w:line="480" w:lineRule="auto"/>
        <w:rPr>
          <w:rFonts w:cstheme="minorHAnsi"/>
          <w:sz w:val="24"/>
          <w:szCs w:val="24"/>
        </w:rPr>
      </w:pPr>
      <w:r w:rsidRPr="00904368">
        <w:rPr>
          <w:rFonts w:cstheme="minorHAnsi"/>
          <w:b/>
          <w:bCs/>
          <w:sz w:val="24"/>
          <w:szCs w:val="24"/>
        </w:rPr>
        <w:t xml:space="preserve">Immunocytochemistry. </w:t>
      </w:r>
      <w:r w:rsidRPr="00904368">
        <w:rPr>
          <w:rFonts w:cstheme="minorHAnsi"/>
          <w:sz w:val="24"/>
          <w:szCs w:val="24"/>
        </w:rPr>
        <w:t>Phalloidin staining OVCAR-8 cells were seeded on glass coverslips in a 24 well plate. Cells were treated with [II] for 1-3 and 6h. After each treatment period, cells were washed with 1X PBS and fixed with 4% PFA for 20 min, then, stained for 30 min with Phalloidin-iFluor 555 (Abcam ab176756) in 1% BSA. After the staining coverslips were mounted in ProLong Glass Antifade Mountant with NucBlue Stain (Thermo Fisher P36981) and stored in the dark until imaging.</w:t>
      </w:r>
    </w:p>
    <w:p w14:paraId="5333B59C" w14:textId="7D9ADB13" w:rsidR="00AA30C9" w:rsidRPr="00904368" w:rsidRDefault="00AA30C9" w:rsidP="00E44507">
      <w:pPr>
        <w:spacing w:line="480" w:lineRule="auto"/>
        <w:rPr>
          <w:rFonts w:cstheme="minorHAnsi"/>
          <w:b/>
          <w:bCs/>
          <w:sz w:val="24"/>
          <w:szCs w:val="24"/>
        </w:rPr>
      </w:pPr>
      <w:r w:rsidRPr="00904368">
        <w:rPr>
          <w:rFonts w:cstheme="minorHAnsi"/>
          <w:b/>
          <w:bCs/>
          <w:sz w:val="24"/>
          <w:szCs w:val="24"/>
        </w:rPr>
        <w:t>Confocal Imaging</w:t>
      </w:r>
      <w:r w:rsidR="00E31D5F" w:rsidRPr="00904368">
        <w:rPr>
          <w:rFonts w:cstheme="minorHAnsi"/>
          <w:b/>
          <w:bCs/>
          <w:sz w:val="24"/>
          <w:szCs w:val="24"/>
        </w:rPr>
        <w:t xml:space="preserve">. </w:t>
      </w:r>
      <w:r w:rsidRPr="00904368">
        <w:rPr>
          <w:rFonts w:cstheme="minorHAnsi"/>
          <w:sz w:val="24"/>
          <w:szCs w:val="24"/>
        </w:rPr>
        <w:t>EMT6 cells were seeded on glass coverslips in a 24 well plate and incubated overnight for attachment. Prior to the experiment, cells were labeled with WGA 633 membrane stain (ThermoFisher W21404) accordingly with the manufacturer's instructions. After membrane staining, cells were washed 2x with PBS and treated in the presence (0.2</w:t>
      </w:r>
      <w:r w:rsidR="00E31D5F" w:rsidRPr="00904368">
        <w:rPr>
          <w:rFonts w:cstheme="minorHAnsi"/>
          <w:sz w:val="24"/>
          <w:szCs w:val="24"/>
        </w:rPr>
        <w:t xml:space="preserve"> </w:t>
      </w:r>
      <w:r w:rsidRPr="00904368">
        <w:rPr>
          <w:rFonts w:cstheme="minorHAnsi"/>
          <w:sz w:val="24"/>
          <w:szCs w:val="24"/>
        </w:rPr>
        <w:t>w%) and absence (0</w:t>
      </w:r>
      <w:r w:rsidR="00E31D5F" w:rsidRPr="00904368">
        <w:rPr>
          <w:rFonts w:cstheme="minorHAnsi"/>
          <w:sz w:val="24"/>
          <w:szCs w:val="24"/>
        </w:rPr>
        <w:t xml:space="preserve"> </w:t>
      </w:r>
      <w:r w:rsidRPr="00904368">
        <w:rPr>
          <w:rFonts w:cstheme="minorHAnsi"/>
          <w:sz w:val="24"/>
          <w:szCs w:val="24"/>
        </w:rPr>
        <w:t>w%) of albumin.</w:t>
      </w:r>
    </w:p>
    <w:p w14:paraId="64C06F82" w14:textId="09CE5884" w:rsidR="00AA30C9" w:rsidRPr="00904368" w:rsidRDefault="00AA30C9" w:rsidP="00E44507">
      <w:pPr>
        <w:spacing w:line="480" w:lineRule="auto"/>
        <w:rPr>
          <w:rFonts w:cstheme="minorHAnsi"/>
          <w:sz w:val="24"/>
          <w:szCs w:val="24"/>
        </w:rPr>
      </w:pPr>
      <w:r w:rsidRPr="00904368">
        <w:rPr>
          <w:rFonts w:cstheme="minorHAnsi"/>
          <w:b/>
          <w:bCs/>
          <w:sz w:val="24"/>
          <w:szCs w:val="24"/>
        </w:rPr>
        <w:t>Immunoblotting, Reagents</w:t>
      </w:r>
      <w:r w:rsidR="00E31D5F" w:rsidRPr="00904368">
        <w:rPr>
          <w:rFonts w:cstheme="minorHAnsi"/>
          <w:b/>
          <w:bCs/>
          <w:sz w:val="24"/>
          <w:szCs w:val="24"/>
        </w:rPr>
        <w:t>.</w:t>
      </w:r>
      <w:r w:rsidR="00E31D5F" w:rsidRPr="00904368">
        <w:rPr>
          <w:rFonts w:cstheme="minorHAnsi"/>
          <w:sz w:val="24"/>
          <w:szCs w:val="24"/>
        </w:rPr>
        <w:t xml:space="preserve"> </w:t>
      </w:r>
      <w:r w:rsidRPr="00904368">
        <w:rPr>
          <w:rFonts w:cstheme="minorHAnsi"/>
          <w:sz w:val="24"/>
          <w:szCs w:val="24"/>
        </w:rPr>
        <w:t xml:space="preserve">Acrylamide/Bis-acrylamide, 30% solution (Sigma A3699), 1.5 M Tris-HCl, pH 8.8 (Teknova T1588), Tris HCl Buffer 0.5 M solution, sterile pH 6.8 (Bio Basic SD8122), Ammonium persulfate (Sigma A3678), UltraPure 10% SDS (Invitrogen 15553-027), TEMED (Thermo Fisher Scientific 17919), Dithiothreitol (DTT) (BIO-RAD 1610610) Tris Base (Fisher Bioreagents BP152), Glycine (Fisher Bioreagents BP381), 4x Laemmli sample buffer (BIO-RAD 1610747), TWEEN 20 (Sigma P9416), Mini Trans-Blot filter paper (BIO-RAD 1703932), Nitrocellulose Membranes 0.45 </w:t>
      </w:r>
      <w:r w:rsidR="00E31D5F" w:rsidRPr="00904368">
        <w:rPr>
          <w:rFonts w:cstheme="minorHAnsi"/>
          <w:sz w:val="24"/>
          <w:szCs w:val="24"/>
        </w:rPr>
        <w:t xml:space="preserve">mm </w:t>
      </w:r>
      <w:r w:rsidRPr="00904368">
        <w:rPr>
          <w:rFonts w:cstheme="minorHAnsi"/>
          <w:sz w:val="24"/>
          <w:szCs w:val="24"/>
        </w:rPr>
        <w:t>(BIO-RAD 1620115), EveryBlot Blocking Buffer (BIO-RAD 12010020), Clarity Western ECL Substrate (BIO-RAD 170-5060).</w:t>
      </w:r>
    </w:p>
    <w:p w14:paraId="42D50190" w14:textId="29FBCE91" w:rsidR="00AA30C9" w:rsidRPr="00904368" w:rsidRDefault="00AA30C9" w:rsidP="00E44507">
      <w:pPr>
        <w:spacing w:line="480" w:lineRule="auto"/>
        <w:rPr>
          <w:rFonts w:cstheme="minorHAnsi"/>
          <w:sz w:val="24"/>
          <w:szCs w:val="24"/>
        </w:rPr>
      </w:pPr>
      <w:r w:rsidRPr="00904368">
        <w:rPr>
          <w:rFonts w:cstheme="minorHAnsi"/>
          <w:b/>
          <w:bCs/>
          <w:sz w:val="24"/>
          <w:szCs w:val="24"/>
        </w:rPr>
        <w:t>Procedure</w:t>
      </w:r>
      <w:r w:rsidR="00E31D5F" w:rsidRPr="00904368">
        <w:rPr>
          <w:rFonts w:cstheme="minorHAnsi"/>
          <w:b/>
          <w:bCs/>
          <w:sz w:val="24"/>
          <w:szCs w:val="24"/>
        </w:rPr>
        <w:t>.</w:t>
      </w:r>
      <w:r w:rsidR="00E31D5F" w:rsidRPr="00904368">
        <w:rPr>
          <w:rFonts w:cstheme="minorHAnsi"/>
          <w:sz w:val="24"/>
          <w:szCs w:val="24"/>
        </w:rPr>
        <w:t xml:space="preserve"> </w:t>
      </w:r>
      <w:r w:rsidRPr="00904368">
        <w:rPr>
          <w:rFonts w:cstheme="minorHAnsi"/>
          <w:sz w:val="24"/>
          <w:szCs w:val="24"/>
        </w:rPr>
        <w:t>Samples were prepared in Laemmli buffer and boiled for 8 min at 96</w:t>
      </w:r>
      <w:r w:rsidR="00E31D5F" w:rsidRPr="00904368">
        <w:rPr>
          <w:rFonts w:cstheme="minorHAnsi"/>
          <w:sz w:val="24"/>
          <w:szCs w:val="24"/>
        </w:rPr>
        <w:sym w:font="Symbol" w:char="F0B0"/>
      </w:r>
      <w:r w:rsidR="00E31D5F" w:rsidRPr="00904368">
        <w:rPr>
          <w:rFonts w:cstheme="minorHAnsi"/>
          <w:sz w:val="24"/>
          <w:szCs w:val="24"/>
        </w:rPr>
        <w:t>C</w:t>
      </w:r>
      <w:r w:rsidRPr="00904368">
        <w:rPr>
          <w:rFonts w:cstheme="minorHAnsi"/>
          <w:sz w:val="24"/>
          <w:szCs w:val="24"/>
        </w:rPr>
        <w:t xml:space="preserve">. Then, proteins were separated with sodium dodecyl sulfate-polyacrylamide gel electrophoresis (SDS-PAGE) gels (8.5% and 15%) and transferred to nitrocellulose membranes (45 </w:t>
      </w:r>
      <w:r w:rsidR="00E31D5F" w:rsidRPr="00904368">
        <w:rPr>
          <w:rFonts w:cstheme="minorHAnsi"/>
          <w:sz w:val="24"/>
          <w:szCs w:val="24"/>
        </w:rPr>
        <w:t>m</w:t>
      </w:r>
      <w:r w:rsidRPr="00904368">
        <w:rPr>
          <w:rFonts w:cstheme="minorHAnsi"/>
          <w:sz w:val="24"/>
          <w:szCs w:val="24"/>
        </w:rPr>
        <w:t>m). After transfer, the membranes were blocked EverBlot Blocking Buffer and washed with Tris Buffered Saline with 0.1% Tween 20 (TBST). Blots were incubated with Phospho-YAP (Ser127) (Cell Signaling 13008), YAP (Cell Signaling 4912), Phospho-eIF2</w:t>
      </w:r>
      <w:r w:rsidR="00E31D5F" w:rsidRPr="00904368">
        <w:rPr>
          <w:rFonts w:cstheme="minorHAnsi"/>
          <w:sz w:val="24"/>
          <w:szCs w:val="24"/>
        </w:rPr>
        <w:t xml:space="preserve">a </w:t>
      </w:r>
      <w:r w:rsidRPr="00904368">
        <w:rPr>
          <w:rFonts w:cstheme="minorHAnsi"/>
          <w:sz w:val="24"/>
          <w:szCs w:val="24"/>
        </w:rPr>
        <w:t>(S51) (Cell Signaling 9721), eIF2</w:t>
      </w:r>
      <w:r w:rsidR="00E31D5F" w:rsidRPr="00904368">
        <w:rPr>
          <w:rFonts w:cstheme="minorHAnsi"/>
          <w:sz w:val="24"/>
          <w:szCs w:val="24"/>
        </w:rPr>
        <w:t>a</w:t>
      </w:r>
      <w:r w:rsidRPr="00904368">
        <w:rPr>
          <w:rFonts w:cstheme="minorHAnsi"/>
          <w:sz w:val="24"/>
          <w:szCs w:val="24"/>
        </w:rPr>
        <w:t xml:space="preserve"> (Cell Signaling 9722) overnight. The next day blots were washed and incubated with Goat anti rabbit secondary antibody (Invitrogen 31460) and imaged with Clarity Western ECL substrate (BIO RAD 170-5060). </w:t>
      </w:r>
      <w:r w:rsidR="00E31D5F" w:rsidRPr="00904368">
        <w:rPr>
          <w:rFonts w:cstheme="minorHAnsi"/>
          <w:sz w:val="24"/>
          <w:szCs w:val="24"/>
        </w:rPr>
        <w:t>b</w:t>
      </w:r>
      <w:r w:rsidRPr="00904368">
        <w:rPr>
          <w:rFonts w:cstheme="minorHAnsi"/>
          <w:sz w:val="24"/>
          <w:szCs w:val="24"/>
        </w:rPr>
        <w:t>-actin (Santa Cruz sc-47778 HRP) was used as an internal loading control. Blots were imaged by using Azure c600.</w:t>
      </w:r>
    </w:p>
    <w:p w14:paraId="1A675F83" w14:textId="4B3B5D2A" w:rsidR="006D7736" w:rsidRPr="00904368" w:rsidRDefault="00AA30C9" w:rsidP="00E44507">
      <w:pPr>
        <w:spacing w:line="480" w:lineRule="auto"/>
        <w:rPr>
          <w:rFonts w:cstheme="minorHAnsi"/>
          <w:sz w:val="24"/>
          <w:szCs w:val="24"/>
        </w:rPr>
      </w:pPr>
      <w:r w:rsidRPr="00904368">
        <w:rPr>
          <w:rFonts w:cstheme="minorHAnsi"/>
          <w:b/>
          <w:bCs/>
          <w:sz w:val="24"/>
          <w:szCs w:val="24"/>
        </w:rPr>
        <w:t>Immunocytochemistry</w:t>
      </w:r>
      <w:r w:rsidR="00E31D5F" w:rsidRPr="00904368">
        <w:rPr>
          <w:rFonts w:cstheme="minorHAnsi"/>
          <w:b/>
          <w:bCs/>
          <w:sz w:val="24"/>
          <w:szCs w:val="24"/>
        </w:rPr>
        <w:t>.</w:t>
      </w:r>
      <w:r w:rsidRPr="00904368">
        <w:rPr>
          <w:rFonts w:cstheme="minorHAnsi"/>
          <w:sz w:val="24"/>
          <w:szCs w:val="24"/>
        </w:rPr>
        <w:t xml:space="preserve"> EMT6 cells were seeded on glass coverslips in a 24 well plate and incubated overnight for attachment. After indicated treatments, samples were washed with 1X PBS, and fixed with 4% PFA for 20 min. Then, Triton-X (0.5%) was used to permeabilize the cells for 20 min on shaker. Samples were blocked with 3% BSA for 1h on shaker, washed 3 times with 1X PBS and incubated with the following antibodies Phospho-YAP (S127) (Cell Signaling 13008), YAP (Cell Signaling 4912) or calreticulin (Cell Signaling D3E6) overnight on shaker on ice. The next day samples were washed and incubated for 1h on shaker with DyLight™ 488 Donkey anti-rabbit IgG (minimal x-reactivity) Antibody (BioLegend 406404). After the incubation period, samples were washed and incubated with Flash Phalloidin™ Red 594 (BioLegend 424203) for 30 min on shaker. Lastly, samples were washed and mounted in ProLong™ Glass Antifade Mountant with NucBlue™ Stain (Thermo Fisher P36981) and stored in the dark until imaging.</w:t>
      </w:r>
    </w:p>
    <w:p w14:paraId="3F71F358" w14:textId="11913DB4" w:rsidR="004D13D1" w:rsidRDefault="004D13D1" w:rsidP="00E44507">
      <w:pPr>
        <w:spacing w:line="480" w:lineRule="auto"/>
        <w:rPr>
          <w:rFonts w:cstheme="minorHAnsi"/>
          <w:sz w:val="22"/>
          <w:szCs w:val="22"/>
        </w:rPr>
      </w:pPr>
    </w:p>
    <w:p w14:paraId="0BF8E7DA" w14:textId="66E35848" w:rsidR="004D13D1" w:rsidRDefault="004D13D1" w:rsidP="00E44507">
      <w:pPr>
        <w:spacing w:line="480" w:lineRule="auto"/>
        <w:rPr>
          <w:rFonts w:cstheme="minorHAnsi"/>
          <w:sz w:val="22"/>
          <w:szCs w:val="22"/>
        </w:rPr>
      </w:pPr>
    </w:p>
    <w:p w14:paraId="3ABEA3F0" w14:textId="3EA4099A" w:rsidR="004D13D1" w:rsidRDefault="004D13D1" w:rsidP="00E44507">
      <w:pPr>
        <w:spacing w:line="480" w:lineRule="auto"/>
        <w:rPr>
          <w:rFonts w:cstheme="minorHAnsi"/>
          <w:sz w:val="22"/>
          <w:szCs w:val="22"/>
        </w:rPr>
      </w:pPr>
    </w:p>
    <w:p w14:paraId="36112380" w14:textId="4A8BB513" w:rsidR="004D13D1" w:rsidRDefault="004D13D1" w:rsidP="00E44507">
      <w:pPr>
        <w:spacing w:line="480" w:lineRule="auto"/>
        <w:rPr>
          <w:rFonts w:cstheme="minorHAnsi"/>
          <w:sz w:val="22"/>
          <w:szCs w:val="22"/>
        </w:rPr>
      </w:pPr>
    </w:p>
    <w:p w14:paraId="6CAE6FFE" w14:textId="3F8A3DD5" w:rsidR="004D13D1" w:rsidRDefault="004D13D1" w:rsidP="00E44507">
      <w:pPr>
        <w:spacing w:line="480" w:lineRule="auto"/>
        <w:rPr>
          <w:rFonts w:cstheme="minorHAnsi"/>
          <w:sz w:val="22"/>
          <w:szCs w:val="22"/>
        </w:rPr>
      </w:pPr>
    </w:p>
    <w:p w14:paraId="3572F470" w14:textId="16184149" w:rsidR="00904368" w:rsidRDefault="00904368" w:rsidP="00E44507">
      <w:pPr>
        <w:spacing w:line="480" w:lineRule="auto"/>
        <w:rPr>
          <w:rFonts w:cstheme="minorHAnsi"/>
          <w:sz w:val="22"/>
          <w:szCs w:val="22"/>
        </w:rPr>
      </w:pPr>
    </w:p>
    <w:p w14:paraId="3B8D43C5" w14:textId="77777777" w:rsidR="00904368" w:rsidRDefault="00904368" w:rsidP="00E44507">
      <w:pPr>
        <w:spacing w:line="480" w:lineRule="auto"/>
        <w:rPr>
          <w:rFonts w:cstheme="minorHAnsi"/>
          <w:sz w:val="22"/>
          <w:szCs w:val="22"/>
        </w:rPr>
      </w:pPr>
    </w:p>
    <w:p w14:paraId="68B4443F" w14:textId="77665F28" w:rsidR="004D13D1" w:rsidRDefault="004D13D1" w:rsidP="004D13D1">
      <w:pPr>
        <w:pStyle w:val="Heading1"/>
        <w:spacing w:line="480" w:lineRule="auto"/>
      </w:pPr>
      <w:bookmarkStart w:id="146" w:name="_Toc121134646"/>
      <w:r>
        <w:t>CHAPTER 4. MODUL</w:t>
      </w:r>
      <w:r w:rsidR="004367B3">
        <w:t>ATING</w:t>
      </w:r>
      <w:r>
        <w:t xml:space="preserve"> PEPTIDE AGGREGATION KINETICS</w:t>
      </w:r>
      <w:bookmarkEnd w:id="146"/>
      <w:r w:rsidR="00771BA6">
        <w:t xml:space="preserve"> </w:t>
      </w:r>
    </w:p>
    <w:p w14:paraId="7AC7547D" w14:textId="77777777" w:rsidR="00652BE9" w:rsidRPr="00904368" w:rsidRDefault="00652BE9" w:rsidP="00652BE9">
      <w:pPr>
        <w:spacing w:line="480" w:lineRule="auto"/>
        <w:rPr>
          <w:sz w:val="24"/>
          <w:szCs w:val="24"/>
        </w:rPr>
      </w:pPr>
      <w:r w:rsidRPr="00904368">
        <w:rPr>
          <w:sz w:val="24"/>
          <w:szCs w:val="24"/>
        </w:rPr>
        <w:t xml:space="preserve">Manuscripts in preparation: </w:t>
      </w:r>
    </w:p>
    <w:p w14:paraId="7E1FE1CE" w14:textId="0A0044C8" w:rsidR="00652BE9" w:rsidRPr="00904368" w:rsidRDefault="00652BE9" w:rsidP="00652BE9">
      <w:pPr>
        <w:spacing w:line="480" w:lineRule="auto"/>
        <w:rPr>
          <w:rStyle w:val="SubtleReference"/>
          <w:b w:val="0"/>
          <w:bCs/>
          <w:sz w:val="24"/>
          <w:szCs w:val="24"/>
        </w:rPr>
      </w:pPr>
      <w:r w:rsidRPr="00904368">
        <w:rPr>
          <w:rStyle w:val="SubtleReference"/>
          <w:b w:val="0"/>
          <w:bCs/>
          <w:sz w:val="24"/>
          <w:szCs w:val="24"/>
        </w:rPr>
        <w:t>From: Gunay, G.</w:t>
      </w:r>
      <w:r w:rsidRPr="00904368">
        <w:rPr>
          <w:rStyle w:val="SubtleReference"/>
          <w:b w:val="0"/>
          <w:bCs/>
          <w:sz w:val="24"/>
          <w:szCs w:val="24"/>
          <w:vertAlign w:val="superscript"/>
        </w:rPr>
        <w:t>#</w:t>
      </w:r>
      <w:r w:rsidRPr="00904368">
        <w:rPr>
          <w:rStyle w:val="SubtleReference"/>
          <w:b w:val="0"/>
          <w:bCs/>
          <w:sz w:val="24"/>
          <w:szCs w:val="24"/>
        </w:rPr>
        <w:t xml:space="preserve">, </w:t>
      </w:r>
      <w:r w:rsidR="00120D13" w:rsidRPr="00904368">
        <w:rPr>
          <w:rStyle w:val="SubtleReference"/>
          <w:b w:val="0"/>
          <w:bCs/>
          <w:sz w:val="24"/>
          <w:szCs w:val="24"/>
        </w:rPr>
        <w:t>Hamsici</w:t>
      </w:r>
      <w:r w:rsidR="00120D13" w:rsidRPr="00904368">
        <w:rPr>
          <w:rStyle w:val="SubtleReference"/>
          <w:b w:val="0"/>
          <w:bCs/>
          <w:sz w:val="24"/>
          <w:szCs w:val="24"/>
          <w:vertAlign w:val="superscript"/>
        </w:rPr>
        <w:t>#</w:t>
      </w:r>
      <w:r w:rsidR="00120D13" w:rsidRPr="00904368">
        <w:rPr>
          <w:rStyle w:val="SubtleReference"/>
          <w:b w:val="0"/>
          <w:bCs/>
          <w:sz w:val="24"/>
          <w:szCs w:val="24"/>
        </w:rPr>
        <w:t xml:space="preserve">, S., </w:t>
      </w:r>
      <w:r w:rsidRPr="00904368">
        <w:rPr>
          <w:rStyle w:val="SubtleReference"/>
          <w:b w:val="0"/>
          <w:bCs/>
          <w:sz w:val="24"/>
          <w:szCs w:val="24"/>
        </w:rPr>
        <w:t xml:space="preserve">&amp; Acar, H. (2022). Peptide Aggregation kinetics modulates immunological cell death </w:t>
      </w:r>
      <w:r w:rsidRPr="00904368">
        <w:rPr>
          <w:rStyle w:val="SubtleReference"/>
          <w:b w:val="0"/>
          <w:bCs/>
          <w:sz w:val="24"/>
          <w:szCs w:val="24"/>
          <w:vertAlign w:val="superscript"/>
        </w:rPr>
        <w:t>#</w:t>
      </w:r>
      <w:r w:rsidRPr="00904368">
        <w:rPr>
          <w:rStyle w:val="SubtleReference"/>
          <w:b w:val="0"/>
          <w:bCs/>
          <w:sz w:val="24"/>
          <w:szCs w:val="24"/>
        </w:rPr>
        <w:t>Contributed equally</w:t>
      </w:r>
    </w:p>
    <w:p w14:paraId="2DBE6B8E" w14:textId="65F015A4" w:rsidR="001147A8" w:rsidRPr="00025CB0" w:rsidRDefault="00412F48" w:rsidP="00652BE9">
      <w:pPr>
        <w:spacing w:line="480" w:lineRule="auto"/>
        <w:rPr>
          <w:rFonts w:cstheme="minorHAnsi"/>
          <w:color w:val="000000" w:themeColor="text1"/>
          <w:sz w:val="24"/>
          <w:szCs w:val="24"/>
          <w:shd w:val="clear" w:color="auto" w:fill="FFFFFF"/>
        </w:rPr>
      </w:pPr>
      <w:r w:rsidRPr="00A66A3D">
        <w:rPr>
          <w:rFonts w:ascii="Arial" w:hAnsi="Arial" w:cs="Arial"/>
          <w:i/>
          <w:iCs/>
          <w:color w:val="000000" w:themeColor="text1"/>
          <w:sz w:val="24"/>
          <w:szCs w:val="24"/>
          <w:shd w:val="clear" w:color="auto" w:fill="FFFFFF"/>
        </w:rPr>
        <w:t xml:space="preserve">The formation of heterogenous mixtures of peptide aggregates is closely related </w:t>
      </w:r>
      <w:r w:rsidR="00484A28" w:rsidRPr="00A66A3D">
        <w:rPr>
          <w:rFonts w:ascii="Arial" w:hAnsi="Arial" w:cs="Arial"/>
          <w:i/>
          <w:iCs/>
          <w:color w:val="000000" w:themeColor="text1"/>
          <w:sz w:val="24"/>
          <w:szCs w:val="24"/>
          <w:shd w:val="clear" w:color="auto" w:fill="FFFFFF"/>
        </w:rPr>
        <w:t xml:space="preserve">to </w:t>
      </w:r>
      <w:r w:rsidRPr="00025CB0">
        <w:rPr>
          <w:rFonts w:ascii="Arial" w:hAnsi="Arial" w:cs="Arial"/>
          <w:i/>
          <w:iCs/>
          <w:color w:val="000000" w:themeColor="text1"/>
          <w:sz w:val="24"/>
          <w:szCs w:val="24"/>
          <w:shd w:val="clear" w:color="auto" w:fill="FFFFFF"/>
        </w:rPr>
        <w:t>neurodegenerative diseases like Alzheimer’s disease.</w:t>
      </w:r>
      <w:r w:rsidR="00480891" w:rsidRPr="00025CB0">
        <w:rPr>
          <w:rFonts w:ascii="Arial" w:hAnsi="Arial" w:cs="Arial"/>
          <w:i/>
          <w:iCs/>
          <w:color w:val="000000" w:themeColor="text1"/>
          <w:sz w:val="24"/>
          <w:szCs w:val="24"/>
          <w:shd w:val="clear" w:color="auto" w:fill="FFFFFF"/>
        </w:rPr>
        <w:t xml:space="preserve"> </w:t>
      </w:r>
      <w:r w:rsidR="00480891" w:rsidRPr="00025CB0">
        <w:rPr>
          <w:rFonts w:cstheme="minorHAnsi"/>
          <w:i/>
          <w:iCs/>
          <w:sz w:val="24"/>
          <w:szCs w:val="24"/>
        </w:rPr>
        <w:t xml:space="preserve">Structural rearrangements during aggregation are important because they affect the kinetics of toxic </w:t>
      </w:r>
      <w:r w:rsidR="00D81679">
        <w:rPr>
          <w:rFonts w:cstheme="minorHAnsi"/>
          <w:i/>
          <w:iCs/>
          <w:sz w:val="24"/>
          <w:szCs w:val="24"/>
        </w:rPr>
        <w:t>globular aggregates</w:t>
      </w:r>
      <w:r w:rsidR="00480891" w:rsidRPr="00025CB0">
        <w:rPr>
          <w:rFonts w:cstheme="minorHAnsi"/>
          <w:i/>
          <w:iCs/>
          <w:sz w:val="24"/>
          <w:szCs w:val="24"/>
        </w:rPr>
        <w:t xml:space="preserve">. However, the heterogeneity of structures and the dynamic process make the identification of this process extremely difficult. Here, we designed a </w:t>
      </w:r>
      <w:r w:rsidR="001147A8" w:rsidRPr="00025CB0">
        <w:rPr>
          <w:rFonts w:cstheme="minorHAnsi"/>
          <w:i/>
          <w:iCs/>
          <w:sz w:val="24"/>
          <w:szCs w:val="24"/>
        </w:rPr>
        <w:t xml:space="preserve">co-assembled </w:t>
      </w:r>
      <w:r w:rsidR="00480891" w:rsidRPr="00025CB0">
        <w:rPr>
          <w:rFonts w:cstheme="minorHAnsi"/>
          <w:i/>
          <w:iCs/>
          <w:sz w:val="24"/>
          <w:szCs w:val="24"/>
        </w:rPr>
        <w:t xml:space="preserve">peptide </w:t>
      </w:r>
      <w:r w:rsidR="001147A8" w:rsidRPr="00025CB0">
        <w:rPr>
          <w:rFonts w:cstheme="minorHAnsi"/>
          <w:i/>
          <w:iCs/>
          <w:sz w:val="24"/>
          <w:szCs w:val="24"/>
        </w:rPr>
        <w:t xml:space="preserve">aggregation </w:t>
      </w:r>
      <w:r w:rsidR="00480891" w:rsidRPr="00025CB0">
        <w:rPr>
          <w:rFonts w:cstheme="minorHAnsi"/>
          <w:i/>
          <w:iCs/>
          <w:sz w:val="24"/>
          <w:szCs w:val="24"/>
        </w:rPr>
        <w:t>model to study the structure-property and toxicity of amyloid-like structure.</w:t>
      </w:r>
      <w:r w:rsidR="00D13C65">
        <w:rPr>
          <w:rFonts w:cstheme="minorHAnsi"/>
          <w:i/>
          <w:iCs/>
          <w:sz w:val="24"/>
          <w:szCs w:val="24"/>
        </w:rPr>
        <w:t xml:space="preserve"> </w:t>
      </w:r>
      <w:r w:rsidR="00025CB0" w:rsidRPr="00025CB0">
        <w:rPr>
          <w:rFonts w:cstheme="minorHAnsi"/>
          <w:i/>
          <w:iCs/>
          <w:sz w:val="24"/>
          <w:szCs w:val="24"/>
        </w:rPr>
        <w:t>This strategy offers</w:t>
      </w:r>
      <w:r w:rsidR="001147A8" w:rsidRPr="00025CB0">
        <w:rPr>
          <w:rFonts w:ascii="Arial" w:hAnsi="Arial" w:cs="Arial"/>
          <w:i/>
          <w:iCs/>
          <w:color w:val="000000" w:themeColor="text1"/>
          <w:sz w:val="24"/>
          <w:szCs w:val="24"/>
          <w:shd w:val="clear" w:color="auto" w:fill="FFFFFF"/>
        </w:rPr>
        <w:t xml:space="preserve"> </w:t>
      </w:r>
      <w:r w:rsidR="00025CB0" w:rsidRPr="00025CB0">
        <w:rPr>
          <w:rFonts w:ascii="Arial" w:hAnsi="Arial" w:cs="Arial"/>
          <w:i/>
          <w:iCs/>
          <w:color w:val="000000" w:themeColor="text1"/>
          <w:sz w:val="24"/>
          <w:szCs w:val="24"/>
          <w:shd w:val="clear" w:color="auto" w:fill="FFFFFF"/>
        </w:rPr>
        <w:t>a</w:t>
      </w:r>
      <w:r w:rsidR="001147A8" w:rsidRPr="00025CB0">
        <w:rPr>
          <w:rFonts w:ascii="Arial" w:hAnsi="Arial" w:cs="Arial"/>
          <w:i/>
          <w:iCs/>
          <w:color w:val="000000" w:themeColor="text1"/>
          <w:sz w:val="24"/>
          <w:szCs w:val="24"/>
          <w:shd w:val="clear" w:color="auto" w:fill="FFFFFF"/>
        </w:rPr>
        <w:t xml:space="preserve"> simple and controllable aggregation model which mimics the cell membrane damaging functionality of</w:t>
      </w:r>
      <w:r w:rsidR="001147A8" w:rsidRPr="00025CB0">
        <w:rPr>
          <w:rFonts w:ascii="Symbol" w:hAnsi="Symbol" w:cs="Arial"/>
          <w:i/>
          <w:iCs/>
          <w:color w:val="000000" w:themeColor="text1"/>
          <w:sz w:val="24"/>
          <w:szCs w:val="24"/>
          <w:shd w:val="clear" w:color="auto" w:fill="FFFFFF"/>
        </w:rPr>
        <w:t xml:space="preserve"> </w:t>
      </w:r>
      <w:r w:rsidR="00FD29F3">
        <w:rPr>
          <w:rFonts w:ascii="Symbol" w:hAnsi="Symbol" w:cs="Arial"/>
          <w:i/>
          <w:iCs/>
          <w:color w:val="000000" w:themeColor="text1"/>
          <w:sz w:val="24"/>
          <w:szCs w:val="24"/>
          <w:shd w:val="clear" w:color="auto" w:fill="FFFFFF"/>
        </w:rPr>
        <w:t xml:space="preserve"> </w:t>
      </w:r>
      <w:r w:rsidR="00FD29F3">
        <w:rPr>
          <w:rFonts w:cstheme="minorHAnsi"/>
          <w:i/>
          <w:iCs/>
          <w:color w:val="000000" w:themeColor="text1"/>
          <w:sz w:val="24"/>
          <w:szCs w:val="24"/>
          <w:shd w:val="clear" w:color="auto" w:fill="FFFFFF"/>
        </w:rPr>
        <w:t xml:space="preserve">amyloid forming </w:t>
      </w:r>
      <w:r w:rsidR="001147A8" w:rsidRPr="00025CB0">
        <w:rPr>
          <w:rFonts w:cstheme="minorHAnsi"/>
          <w:i/>
          <w:iCs/>
          <w:color w:val="000000" w:themeColor="text1"/>
          <w:sz w:val="24"/>
          <w:szCs w:val="24"/>
          <w:shd w:val="clear" w:color="auto" w:fill="FFFFFF"/>
        </w:rPr>
        <w:t>protein</w:t>
      </w:r>
      <w:r w:rsidR="00FD29F3">
        <w:rPr>
          <w:rFonts w:cstheme="minorHAnsi"/>
          <w:i/>
          <w:iCs/>
          <w:color w:val="000000" w:themeColor="text1"/>
          <w:sz w:val="24"/>
          <w:szCs w:val="24"/>
          <w:shd w:val="clear" w:color="auto" w:fill="FFFFFF"/>
        </w:rPr>
        <w:t>s</w:t>
      </w:r>
      <w:r w:rsidR="001147A8" w:rsidRPr="00025CB0">
        <w:rPr>
          <w:rFonts w:cstheme="minorHAnsi"/>
          <w:i/>
          <w:iCs/>
          <w:color w:val="000000" w:themeColor="text1"/>
          <w:sz w:val="24"/>
          <w:szCs w:val="24"/>
          <w:shd w:val="clear" w:color="auto" w:fill="FFFFFF"/>
        </w:rPr>
        <w:t xml:space="preserve">. </w:t>
      </w:r>
      <w:r w:rsidR="00025CB0" w:rsidRPr="00025CB0">
        <w:rPr>
          <w:rFonts w:cstheme="minorHAnsi"/>
          <w:i/>
          <w:iCs/>
          <w:color w:val="000000" w:themeColor="text1"/>
          <w:sz w:val="24"/>
          <w:szCs w:val="24"/>
          <w:shd w:val="clear" w:color="auto" w:fill="FFFFFF"/>
        </w:rPr>
        <w:t>We utilized the controllable aggregation model to develop two vaccination strategies</w:t>
      </w:r>
      <w:r w:rsidR="00025CB0" w:rsidRPr="00025CB0">
        <w:rPr>
          <w:rFonts w:cstheme="minorHAnsi"/>
          <w:i/>
          <w:iCs/>
          <w:sz w:val="24"/>
          <w:szCs w:val="24"/>
        </w:rPr>
        <w:t>: antigen-specific antibody production against model antigen ovalbumin and prophylactic tumor vaccine application. Overall, control over aggregation kinetics and structure provided modulation of immune system.</w:t>
      </w:r>
    </w:p>
    <w:p w14:paraId="237D7101" w14:textId="3B54E6A8" w:rsidR="001147A8" w:rsidRDefault="001147A8" w:rsidP="00652BE9">
      <w:pPr>
        <w:spacing w:line="480" w:lineRule="auto"/>
        <w:rPr>
          <w:rFonts w:ascii="Arial" w:hAnsi="Arial" w:cs="Arial"/>
          <w:i/>
          <w:iCs/>
          <w:color w:val="000000" w:themeColor="text1"/>
          <w:sz w:val="24"/>
          <w:szCs w:val="24"/>
          <w:shd w:val="clear" w:color="auto" w:fill="FFFFFF"/>
        </w:rPr>
      </w:pPr>
    </w:p>
    <w:p w14:paraId="43219685" w14:textId="7A983DD6" w:rsidR="002F7A01" w:rsidRDefault="002F7A01" w:rsidP="00652BE9">
      <w:pPr>
        <w:spacing w:line="480" w:lineRule="auto"/>
        <w:rPr>
          <w:rFonts w:ascii="Arial" w:hAnsi="Arial" w:cs="Arial"/>
          <w:i/>
          <w:iCs/>
          <w:color w:val="000000" w:themeColor="text1"/>
          <w:sz w:val="24"/>
          <w:szCs w:val="24"/>
          <w:shd w:val="clear" w:color="auto" w:fill="FFFFFF"/>
        </w:rPr>
      </w:pPr>
    </w:p>
    <w:p w14:paraId="3D892C8F" w14:textId="77777777" w:rsidR="002F7A01" w:rsidRDefault="002F7A01" w:rsidP="00652BE9">
      <w:pPr>
        <w:spacing w:line="480" w:lineRule="auto"/>
        <w:rPr>
          <w:rFonts w:ascii="Arial" w:hAnsi="Arial" w:cs="Arial"/>
          <w:i/>
          <w:iCs/>
          <w:color w:val="000000" w:themeColor="text1"/>
          <w:sz w:val="24"/>
          <w:szCs w:val="24"/>
          <w:shd w:val="clear" w:color="auto" w:fill="FFFFFF"/>
        </w:rPr>
      </w:pPr>
    </w:p>
    <w:p w14:paraId="2FB56C77" w14:textId="2A923AF3" w:rsidR="00771BA6" w:rsidRPr="00771BA6" w:rsidRDefault="00771BA6">
      <w:pPr>
        <w:pStyle w:val="Heading2"/>
        <w:numPr>
          <w:ilvl w:val="1"/>
          <w:numId w:val="7"/>
        </w:numPr>
        <w:spacing w:line="480" w:lineRule="auto"/>
      </w:pPr>
      <w:bookmarkStart w:id="147" w:name="_Toc121134647"/>
      <w:r>
        <w:t>INTRODUCTION</w:t>
      </w:r>
      <w:bookmarkEnd w:id="147"/>
    </w:p>
    <w:p w14:paraId="7D420484" w14:textId="0CF323D9" w:rsidR="004D13D1" w:rsidRPr="00904368" w:rsidRDefault="004D13D1" w:rsidP="00E44507">
      <w:pPr>
        <w:spacing w:line="480" w:lineRule="auto"/>
        <w:rPr>
          <w:rFonts w:cstheme="minorHAnsi"/>
          <w:sz w:val="24"/>
          <w:szCs w:val="24"/>
        </w:rPr>
      </w:pPr>
      <w:r w:rsidRPr="00904368">
        <w:rPr>
          <w:rFonts w:cstheme="minorHAnsi"/>
          <w:sz w:val="24"/>
          <w:szCs w:val="24"/>
        </w:rPr>
        <w:t>A wide variety of human disorders are characterized by the formation of supramolecular aggregates.</w:t>
      </w:r>
      <w:r w:rsidR="00DF6FED" w:rsidRPr="00904368">
        <w:rPr>
          <w:rFonts w:cstheme="minorHAnsi"/>
          <w:sz w:val="24"/>
          <w:szCs w:val="24"/>
        </w:rPr>
        <w:fldChar w:fldCharType="begin"/>
      </w:r>
      <w:r w:rsidR="008F09C1">
        <w:rPr>
          <w:rFonts w:cstheme="minorHAnsi"/>
          <w:sz w:val="24"/>
          <w:szCs w:val="24"/>
        </w:rPr>
        <w:instrText xml:space="preserve"> ADDIN ZOTERO_ITEM CSL_CITATION {"citationID":"a1rgugilfi6","properties":{"formattedCitation":"\\super 206\\nosupersub{}","plainCitation":"206","noteIndex":0},"citationItems":[{"id":10596,"uris":["http://zotero.org/groups/2667333/items/YS3G496N"],"itemData":{"id":10596,"type":"article-journal","abstract":"Peptides or proteins convert under some conditions from their soluble forms into highly ordered fibrillar aggregates. Such transitions can give rise to pathological conditions ranging from neurodegenerative disorders to systemic amyloidoses. In this review, we identify the diseases known to be associated with formation of fibrillar aggregates and the specific peptides and proteins involved in each case. We describe, in addition, that living organisms can take advantage of the inherent ability of proteins to form such structures to generate novel and diverse biological functions. We review recent advances toward the elucidation of the structures of amyloid fibrils and the mechanisms of their formation at a molecular level. Finally, we discuss the relative importance of the common main-chain and side-chain interactions in determining the propensities of proteins to aggregate and describe some of the evidence that the oligomeric fibril precursors are the primary origins of pathological behavior.","container-title":"Annual Review of Biochemistry","DOI":"10.1146/annurev.biochem.75.101304.123901","ISSN":"0066-4154","journalAbbreviation":"Annu Rev Biochem","language":"eng","note":"PMID: 16756495\ntex.ids= chiti_protein_2006-1","page":"333-366","source":"PubMed","title":"Protein misfolding, functional amyloid, and human disease","volume":"75","author":[{"family":"Chiti","given":"Fabrizio"},{"family":"Dobson","given":"Christopher M."}],"issued":{"date-parts":[["2006"]]},"citation-key":"chiti_protein_2006"}}],"schema":"https://github.com/citation-style-language/schema/raw/master/csl-citation.json"} </w:instrText>
      </w:r>
      <w:r w:rsidR="00DF6FED" w:rsidRPr="00904368">
        <w:rPr>
          <w:rFonts w:cstheme="minorHAnsi"/>
          <w:sz w:val="24"/>
          <w:szCs w:val="24"/>
        </w:rPr>
        <w:fldChar w:fldCharType="separate"/>
      </w:r>
      <w:r w:rsidR="008F09C1" w:rsidRPr="008F09C1">
        <w:rPr>
          <w:rFonts w:ascii="Arial" w:cs="Arial"/>
          <w:sz w:val="24"/>
          <w:vertAlign w:val="superscript"/>
        </w:rPr>
        <w:t>206</w:t>
      </w:r>
      <w:r w:rsidR="00DF6FED" w:rsidRPr="00904368">
        <w:rPr>
          <w:rFonts w:cstheme="minorHAnsi"/>
          <w:sz w:val="24"/>
          <w:szCs w:val="24"/>
        </w:rPr>
        <w:fldChar w:fldCharType="end"/>
      </w:r>
      <w:r w:rsidRPr="00904368">
        <w:rPr>
          <w:rFonts w:cstheme="minorHAnsi"/>
          <w:sz w:val="24"/>
          <w:szCs w:val="24"/>
        </w:rPr>
        <w:t xml:space="preserve"> For instance, more than 30 human proteins, including transthyretin (TTR), islet amyloid polypeptide (IAPP), </w:t>
      </w:r>
      <w:r w:rsidR="00DF6FED" w:rsidRPr="00904368">
        <w:rPr>
          <w:rFonts w:cstheme="minorHAnsi"/>
          <w:sz w:val="24"/>
          <w:szCs w:val="24"/>
        </w:rPr>
        <w:sym w:font="Symbol" w:char="F020"/>
      </w:r>
      <w:r w:rsidR="00DF6FED" w:rsidRPr="00904368">
        <w:rPr>
          <w:rFonts w:cstheme="minorHAnsi"/>
          <w:sz w:val="24"/>
          <w:szCs w:val="24"/>
        </w:rPr>
        <w:sym w:font="Symbol" w:char="F061"/>
      </w:r>
      <w:r w:rsidR="00DF6FED" w:rsidRPr="00904368">
        <w:rPr>
          <w:rFonts w:cstheme="minorHAnsi"/>
          <w:sz w:val="24"/>
          <w:szCs w:val="24"/>
        </w:rPr>
        <w:t>-</w:t>
      </w:r>
      <w:r w:rsidRPr="00904368">
        <w:rPr>
          <w:rFonts w:cstheme="minorHAnsi"/>
          <w:sz w:val="24"/>
          <w:szCs w:val="24"/>
        </w:rPr>
        <w:t>synuclein, and amyloid-beta (A</w:t>
      </w:r>
      <w:r w:rsidR="00DF6FED" w:rsidRPr="00904368">
        <w:rPr>
          <w:rFonts w:cstheme="minorHAnsi"/>
          <w:sz w:val="24"/>
          <w:szCs w:val="24"/>
        </w:rPr>
        <w:sym w:font="Symbol" w:char="F062"/>
      </w:r>
      <w:r w:rsidRPr="00904368">
        <w:rPr>
          <w:rFonts w:cstheme="minorHAnsi"/>
          <w:sz w:val="24"/>
          <w:szCs w:val="24"/>
        </w:rPr>
        <w:t>), contribute to a variety of degenerative disorders by misfolding and/or misassembling into different aggregate structures</w:t>
      </w:r>
      <w:r w:rsidR="00BA0437" w:rsidRPr="00904368">
        <w:rPr>
          <w:rFonts w:cstheme="minorHAnsi"/>
          <w:sz w:val="24"/>
          <w:szCs w:val="24"/>
        </w:rPr>
        <w:t>.</w:t>
      </w:r>
      <w:r w:rsidR="00DF6FED" w:rsidRPr="00904368">
        <w:rPr>
          <w:rFonts w:cstheme="minorHAnsi"/>
          <w:sz w:val="24"/>
          <w:szCs w:val="24"/>
        </w:rPr>
        <w:fldChar w:fldCharType="begin"/>
      </w:r>
      <w:r w:rsidR="008F09C1">
        <w:rPr>
          <w:rFonts w:cstheme="minorHAnsi"/>
          <w:sz w:val="24"/>
          <w:szCs w:val="24"/>
        </w:rPr>
        <w:instrText xml:space="preserve"> ADDIN ZOTERO_ITEM CSL_CITATION {"citationID":"a1u5ie2unlc","properties":{"formattedCitation":"\\super 207\\nosupersub{}","plainCitation":"207","noteIndex":0},"citationItems":[{"id":12225,"uris":["http://zotero.org/groups/2667333/items/ZNG5PEZA"],"itemData":{"id":12225,"type":"article-journal","container-title":"Amyloid","DOI":"10.3109/13506129.2014.964858","ISSN":"1350-6129","issue":"4","note":"publisher: Taylor &amp; Francis\n_eprint: https://doi.org/10.3109/13506129.2014.964858\nPMID: 25263598","page":"221-224","source":"Taylor and Francis+NEJM","title":"Nomenclature 2014: Amyloid fibril proteins and clinical classification of the amyloidosis","title-short":"Nomenclature 2014","URL":"https://doi.org/10.3109/13506129.2014.964858","volume":"21","author":[{"family":"Sipe","given":"Jean D."},{"family":"Benson","given":"Merrill D."},{"family":"Buxbaum","given":"Joel N."},{"family":"Ikeda","given":"Shu-ichi"},{"family":"Merlini","given":"Giampaolo"},{"family":"Saraiva","given":"Maria J. M."},{"family":"Westermark","given":"Per"}],"accessed":{"date-parts":[["2022",9,5]]},"issued":{"date-parts":[["2014",12,1]]},"citation-key":"sipe_nomenclature_2014"}}],"schema":"https://github.com/citation-style-language/schema/raw/master/csl-citation.json"} </w:instrText>
      </w:r>
      <w:r w:rsidR="00DF6FED" w:rsidRPr="00904368">
        <w:rPr>
          <w:rFonts w:cstheme="minorHAnsi"/>
          <w:sz w:val="24"/>
          <w:szCs w:val="24"/>
        </w:rPr>
        <w:fldChar w:fldCharType="separate"/>
      </w:r>
      <w:r w:rsidR="008F09C1" w:rsidRPr="008F09C1">
        <w:rPr>
          <w:rFonts w:ascii="Arial" w:cs="Arial"/>
          <w:sz w:val="24"/>
          <w:vertAlign w:val="superscript"/>
        </w:rPr>
        <w:t>207</w:t>
      </w:r>
      <w:r w:rsidR="00DF6FED" w:rsidRPr="00904368">
        <w:rPr>
          <w:rFonts w:cstheme="minorHAnsi"/>
          <w:sz w:val="24"/>
          <w:szCs w:val="24"/>
        </w:rPr>
        <w:fldChar w:fldCharType="end"/>
      </w:r>
      <w:r w:rsidRPr="00904368">
        <w:rPr>
          <w:rFonts w:cstheme="minorHAnsi"/>
          <w:sz w:val="24"/>
          <w:szCs w:val="24"/>
        </w:rPr>
        <w:t xml:space="preserve"> It is still unclear how </w:t>
      </w:r>
      <w:r w:rsidR="009E3EB9">
        <w:rPr>
          <w:rFonts w:cstheme="minorHAnsi"/>
          <w:sz w:val="24"/>
          <w:szCs w:val="24"/>
        </w:rPr>
        <w:t xml:space="preserve">the </w:t>
      </w:r>
      <w:r w:rsidRPr="00904368">
        <w:rPr>
          <w:rFonts w:cstheme="minorHAnsi"/>
          <w:sz w:val="24"/>
          <w:szCs w:val="24"/>
        </w:rPr>
        <w:t xml:space="preserve">disease is brought on and how aggregation occurs structurally and molecularly since no probes </w:t>
      </w:r>
      <w:r w:rsidR="009E3EB9">
        <w:rPr>
          <w:rFonts w:cstheme="minorHAnsi"/>
          <w:sz w:val="24"/>
          <w:szCs w:val="24"/>
        </w:rPr>
        <w:t>can</w:t>
      </w:r>
      <w:r w:rsidRPr="00904368">
        <w:rPr>
          <w:rFonts w:cstheme="minorHAnsi"/>
          <w:sz w:val="24"/>
          <w:szCs w:val="24"/>
        </w:rPr>
        <w:t xml:space="preserve"> track the various aggregate types created or structures produced during this dynamic process.</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{"citationID":"a1joa289su4","properties":{"formattedCitation":"\\super 65\\nosupersub{}","plainCitation":"65","noteIndex":0},"citationItems":[{"id":12226,"uris":["http://zotero.org/groups/2667333/items/33DR4JTU"],"itemData":{"id":12226,"type":"article-journal","abstract":"The misfolding and/or misassembly of more than 30 human proteins — for example, transthyretin, immunoglobulin light chain, serum amyloid A and amyloid-β — into various aggregate structures, a process known as amyloidogenesis, cause a range of degenerative disorders, collectively called amyloid diseases.Amyloidogenesis is a dynamic process; thus, the protein aggregates produced adopt a range of structures ranging from small, relatively unstructured oligomers to structurally well-defined cross-β-sheet amyloid fibrils. Some structures may only be produced in humans.Although there is mounting genetic and pharmacological evidence that the process of protein aggregation is an important driver of neurodegeneration, a structure–proteotoxicity relationship is lacking for all human amyloid diseases. Moreover, we do not understand how the process of aggregation leads to the loss of postmitotic tissue in any human amyloid disease.In this Review, we summarize current and emerging strategies to ameliorate degenerative disorders associated with protein aggregation, with a focus on disease-modifying strategies that prevent the formation of and/or eliminate protein aggregates.Potential therapeutic strategies for degenerative disorders associated with protein aggregation include: protein stabilization to prevent the conformational changes that enable aggregation, protein reduction to lower the concentration of the aggregation-prone protein and thereby slow aggregation, aggregate clearance or remodelling to reduce proteotoxicity, cellular proteostasis network adaptation to enhance proteome quality control, and reducing seeding and cell-to-cell spreading.","container-title":"Nature Reviews Drug Discovery","DOI":"10.1038/nrd4593","ISSN":"1474-1784","issue":"11","journalAbbreviation":"Nat Rev Drug Discov","language":"en","license":"2015 Nature Publishing Group, a division of Macmillan Publishers Limited. All Rights Reserved.","note":"number: 11\npublisher: Nature Publishing Group","page":"759-780","source":"www.nature.com","title":"Targeting protein aggregation for the treatment of degenerative diseases","URL":"https://www.nature.com/articles/nrd4593","volume":"14","author":[{"family":"Eisele","given":"Yvonne S."},{"family":"Monteiro","given":"Cecilia"},{"family":"Fearns","given":"Colleen"},{"family":"Encalada","given":"Sandra E."},{"family":"Wiseman","given":"R. Luke"},{"family":"Powers","given":"Evan T."},{"family":"Kelly","given":"Jeffery W."}],"accessed":{"date-parts":[["2022",9,5]]},"issued":{"date-parts":[["2015",11]]},"citation-key":"eisele_targeting_2015"}}],"schema":"https://github.com/citation-style-language/schema/raw/master/csl-citation.json"}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65</w:t>
      </w:r>
      <w:r w:rsidR="00BA0437" w:rsidRPr="00904368">
        <w:rPr>
          <w:rFonts w:cstheme="minorHAnsi"/>
          <w:sz w:val="24"/>
          <w:szCs w:val="24"/>
        </w:rPr>
        <w:fldChar w:fldCharType="end"/>
      </w:r>
      <w:r w:rsidR="00BA0437" w:rsidRPr="00904368">
        <w:rPr>
          <w:rFonts w:cstheme="minorHAnsi"/>
          <w:sz w:val="24"/>
          <w:szCs w:val="24"/>
        </w:rPr>
        <w:t xml:space="preserve"> </w:t>
      </w:r>
      <w:r w:rsidRPr="00904368">
        <w:rPr>
          <w:rFonts w:cstheme="minorHAnsi"/>
          <w:sz w:val="24"/>
          <w:szCs w:val="24"/>
        </w:rPr>
        <w:t>Also, the variety of intermediate structures produced by different nucleation processes makes it more challenging to isolate and accurately predict the toxic agents causing amyloid disease.</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{"citationID":"a16id4dfh6a","properties":{"formattedCitation":"\\super 66\\nosupersub{}","plainCitation":"66","noteIndex":0},"citationItems":[{"id":12229,"uris":["http://zotero.org/groups/2667333/items/QI5VUH55"],"itemData":{"id":12229,"type":"article-journal","abstract":"Understanding the mechanisms of amyloid formation and toxicity remain major challenges. Although substantial progress has been made in the development of methods able to identify the species formed during self-assembly and to describe the kinetic mechanisms of aggregation, the structure(s) of non-native species, including potentially toxic oligomers, remain elusive. Moreover, how fibrils contribute to disease remains unclear. Here we review recent advances in the development of small molecules and other reagents that are helping to define the mechanisms of protein aggregation in molecular detail. Such probes form a powerful platform with which to better define the mechanisms of structural conversion into amyloid fibrils and may provide the much-needed stepping stone for future development of successful therapeutic agents.","container-title":"Current Opinion in Chemical Biology","DOI":"10.1016/j.cbpa.2017.06.008","ISSN":"1879-0402","journalAbbreviation":"Curr Opin Chem Biol","language":"eng","note":"PMID: 28649012","page":"90-99","source":"PubMed","title":"Small molecule probes of protein aggregation","volume":"39","author":[{"family":"Young","given":"Lydia M."},{"family":"Ashcroft","given":"Alison E."},{"family":"Radford","given":"Sheena E."}],"issued":{"date-parts":[["2017",8]]},"citation-key":"young_small_2017"}}],"schema":"https://github.com/citation-style-language/schema/raw/master/csl-citation.json"}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66</w:t>
      </w:r>
      <w:r w:rsidR="00BA0437" w:rsidRPr="00904368">
        <w:rPr>
          <w:rFonts w:cstheme="minorHAnsi"/>
          <w:sz w:val="24"/>
          <w:szCs w:val="24"/>
        </w:rPr>
        <w:fldChar w:fldCharType="end"/>
      </w:r>
      <w:r w:rsidRPr="00904368">
        <w:rPr>
          <w:rFonts w:cstheme="minorHAnsi"/>
          <w:sz w:val="24"/>
          <w:szCs w:val="24"/>
        </w:rPr>
        <w:t xml:space="preserve"> However, according to the latest hypothesis</w:t>
      </w:r>
      <w:r w:rsidR="009E3EB9">
        <w:rPr>
          <w:rFonts w:cstheme="minorHAnsi"/>
          <w:sz w:val="24"/>
          <w:szCs w:val="24"/>
        </w:rPr>
        <w:t xml:space="preserve">, </w:t>
      </w:r>
      <w:r w:rsidRPr="00904368">
        <w:rPr>
          <w:rFonts w:cstheme="minorHAnsi"/>
          <w:sz w:val="24"/>
          <w:szCs w:val="24"/>
        </w:rPr>
        <w:t>which is called toxic oligomer hypothesis, the smaller diffusible oligomers, which display a variety of structural variations, rather than the insoluble cross</w:t>
      </w:r>
      <w:r w:rsidR="00BA0437" w:rsidRPr="00904368">
        <w:rPr>
          <w:rFonts w:cstheme="minorHAnsi"/>
          <w:sz w:val="24"/>
          <w:szCs w:val="24"/>
        </w:rPr>
        <w:t>-</w:t>
      </w:r>
      <w:r w:rsidR="00BA0437" w:rsidRPr="00904368">
        <w:rPr>
          <w:rFonts w:cstheme="minorHAnsi"/>
          <w:sz w:val="24"/>
          <w:szCs w:val="24"/>
        </w:rPr>
        <w:sym w:font="Symbol" w:char="F062"/>
      </w:r>
      <w:r w:rsidR="00BA0437" w:rsidRPr="00904368">
        <w:rPr>
          <w:rFonts w:cstheme="minorHAnsi"/>
          <w:sz w:val="24"/>
          <w:szCs w:val="24"/>
        </w:rPr>
        <w:t>-</w:t>
      </w:r>
      <w:r w:rsidRPr="00904368">
        <w:rPr>
          <w:rFonts w:cstheme="minorHAnsi"/>
          <w:sz w:val="24"/>
          <w:szCs w:val="24"/>
        </w:rPr>
        <w:t>sheet amyloid fibrils, are the cause of degenerative effects</w:t>
      </w:r>
      <w:r w:rsidR="00BA0437" w:rsidRPr="00904368">
        <w:rPr>
          <w:rFonts w:cstheme="minorHAnsi"/>
          <w:sz w:val="24"/>
          <w:szCs w:val="24"/>
        </w:rPr>
        <w:t>.</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{"citationID":"acrdg7pbqd","properties":{"formattedCitation":"\\super 208\\nosupersub{}","plainCitation":"208","noteIndex":0},"citationItems":[{"id":12232,"uris":["http://zotero.org/groups/2667333/items/PR3SFNVG"],"itemData":{"id":12232,"type":"article-journal","abstract":"Inhibition of amyloid β peptide (Aβ) aggregation is an important goal due to the connection of this process with Alzheimer’s disease. Traditionally, inhibitors were developed with an aim to retard the overall macroscopic aggregation. However, recent advances imply that approaches based on mechanistic insights may be more powerful. In such approaches, the microscopic steps underlying the aggregation process are identified, and it is established which of these step(s) lead to neurotoxicity. Inhibitors are then derived to specifically target steps involved in toxicity. The Aβ aggregation process is composed of at minimum three microscopic steps: primary nucleation of monomers only, secondary nucleation of monomers on fibril surface, and elongation of fibrils by monomer addition. The vast majority of toxic species are generated from the secondary nucleation process: this may be a key process to inhibit in order to limit toxicity. Inhibition of primary nucleation, which delays the emergence of toxic species without affecting their total concentration, may also be effective. Inhibition of elongation may instead increase the toxicity over time. Here we briefly review findings regarding secondary nucleation of Aβ, its dominance over primary nucleation, and attempts to derive inhibitors that specifically target secondary nucleation with an aim to limit toxicity.","container-title":"Pure and Applied Chemistry","DOI":"10.1515/pac-2018-1017","ISSN":"1365-3075","issue":"2","language":"en","note":"publisher: De Gruyter","page":"211-229","source":"www.degruyter.com","title":"Mechanism of amyloid protein aggregation and the role of inhibitors","URL":"https://www.degruyter.com/document/doi/10.1515/pac-2018-1017/html","volume":"91","author":[{"family":"Linse","given":"Sara"}],"accessed":{"date-parts":[["2022",9,5]]},"issued":{"date-parts":[["2019",2,1]]},"citation-key":"linse_mechanism_2019"}}],"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208</w:t>
      </w:r>
      <w:r w:rsidR="00BA0437" w:rsidRPr="00904368">
        <w:rPr>
          <w:rFonts w:cstheme="minorHAnsi"/>
          <w:sz w:val="24"/>
          <w:szCs w:val="24"/>
        </w:rPr>
        <w:fldChar w:fldCharType="end"/>
      </w:r>
      <w:r w:rsidR="00BA0437" w:rsidRPr="00904368">
        <w:rPr>
          <w:rFonts w:cstheme="minorHAnsi"/>
          <w:sz w:val="24"/>
          <w:szCs w:val="24"/>
        </w:rPr>
        <w:t xml:space="preserve"> </w:t>
      </w:r>
      <w:r w:rsidRPr="00904368">
        <w:rPr>
          <w:rFonts w:cstheme="minorHAnsi"/>
          <w:sz w:val="24"/>
          <w:szCs w:val="24"/>
        </w:rPr>
        <w:t>Therefore, it is important to analyze oligomeric structures during the aggregation pathway to understand the relationship between oligomers and toxicity.</w:t>
      </w:r>
    </w:p>
    <w:p w14:paraId="06B5E59A" w14:textId="4C9533EC" w:rsidR="002B51EA" w:rsidRDefault="004D13D1" w:rsidP="004D13D1">
      <w:pPr>
        <w:spacing w:line="480" w:lineRule="auto"/>
        <w:rPr>
          <w:rFonts w:cstheme="minorHAnsi"/>
          <w:sz w:val="24"/>
          <w:szCs w:val="24"/>
        </w:rPr>
      </w:pPr>
      <w:r w:rsidRPr="00904368">
        <w:rPr>
          <w:rFonts w:cstheme="minorHAnsi"/>
          <w:sz w:val="24"/>
          <w:szCs w:val="24"/>
        </w:rPr>
        <w:t xml:space="preserve">It is widely accepted that amyloid fibrillization is a nucleated polymerization phenomenon because the kinetics of fibril formation </w:t>
      </w:r>
      <w:r w:rsidR="009E3EB9">
        <w:rPr>
          <w:rFonts w:cstheme="minorHAnsi"/>
          <w:sz w:val="24"/>
          <w:szCs w:val="24"/>
        </w:rPr>
        <w:t xml:space="preserve">is </w:t>
      </w:r>
      <w:r w:rsidRPr="00904368">
        <w:rPr>
          <w:rFonts w:cstheme="minorHAnsi"/>
          <w:sz w:val="24"/>
          <w:szCs w:val="24"/>
        </w:rPr>
        <w:t>mostly sigmoidal.</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{"citationID":"a2mq112kuoj","properties":{"formattedCitation":"\\super 165\\nosupersub{}","plainCitation":"165","noteIndex":0},"citationItems":[{"id":11971,"uris":["http://zotero.org/groups/2667333/items/VBXF38HS"],"itemData":{"id":11971,"type":"article-journal","abstract":"Transiently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165</w:t>
      </w:r>
      <w:r w:rsidR="00BA0437" w:rsidRPr="00904368">
        <w:rPr>
          <w:rFonts w:cstheme="minorHAnsi"/>
          <w:sz w:val="24"/>
          <w:szCs w:val="24"/>
        </w:rPr>
        <w:fldChar w:fldCharType="end"/>
      </w:r>
      <w:r w:rsidR="00BA0437" w:rsidRPr="00904368">
        <w:rPr>
          <w:rFonts w:cstheme="minorHAnsi"/>
          <w:sz w:val="24"/>
          <w:szCs w:val="24"/>
        </w:rPr>
        <w:t xml:space="preserve"> </w:t>
      </w:r>
      <w:r w:rsidRPr="00904368">
        <w:rPr>
          <w:rFonts w:cstheme="minorHAnsi"/>
          <w:sz w:val="24"/>
          <w:szCs w:val="24"/>
        </w:rPr>
        <w:t xml:space="preserve">According to this model, there are three distinct steps which are </w:t>
      </w:r>
      <w:r w:rsidR="009E3EB9">
        <w:rPr>
          <w:rFonts w:cstheme="minorHAnsi"/>
          <w:sz w:val="24"/>
          <w:szCs w:val="24"/>
        </w:rPr>
        <w:t xml:space="preserve">the </w:t>
      </w:r>
      <w:r w:rsidRPr="00904368">
        <w:rPr>
          <w:rFonts w:cstheme="minorHAnsi"/>
          <w:sz w:val="24"/>
          <w:szCs w:val="24"/>
        </w:rPr>
        <w:t>lag phase, nucleation or elongation phase and plateau phase.</w:t>
      </w:r>
      <w:r w:rsidR="00A66A3D" w:rsidRPr="00904368">
        <w:rPr>
          <w:rFonts w:cstheme="minorHAnsi"/>
          <w:sz w:val="24"/>
          <w:szCs w:val="24"/>
        </w:rPr>
        <w:fldChar w:fldCharType="begin"/>
      </w:r>
      <w:r w:rsidR="008F09C1">
        <w:rPr>
          <w:rFonts w:cstheme="minorHAnsi"/>
          <w:sz w:val="24"/>
          <w:szCs w:val="24"/>
        </w:rPr>
        <w:instrText xml:space="preserve"> ADDIN ZOTERO_ITEM CSL_CITATION {"citationID":"ORb1tf2I","properties":{"formattedCitation":"\\super 165\\nosupersub{}","plainCitation":"165","noteIndex":0},"citationItems":[{"id":11971,"uris":["http://zotero.org/groups/2667333/items/VBXF38HS"],"itemData":{"id":11971,"type":"article-journal","abstract":"Transiently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T."}],"accessed":{"date-parts":[["2022",8,9]]},"issued":{"date-parts":[["2017",11,22]]},"citation-key":"serrano_free_2017"}}],"schema":"https://github.com/citation-style-language/schema/raw/master/csl-citation.json"} </w:instrText>
      </w:r>
      <w:r w:rsidR="00A66A3D" w:rsidRPr="00904368">
        <w:rPr>
          <w:rFonts w:cstheme="minorHAnsi"/>
          <w:sz w:val="24"/>
          <w:szCs w:val="24"/>
        </w:rPr>
        <w:fldChar w:fldCharType="separate"/>
      </w:r>
      <w:r w:rsidR="008F09C1" w:rsidRPr="008F09C1">
        <w:rPr>
          <w:rFonts w:ascii="Arial" w:cs="Arial"/>
          <w:sz w:val="24"/>
          <w:vertAlign w:val="superscript"/>
        </w:rPr>
        <w:t>165</w:t>
      </w:r>
      <w:r w:rsidR="00A66A3D" w:rsidRPr="00904368">
        <w:rPr>
          <w:rFonts w:cstheme="minorHAnsi"/>
          <w:sz w:val="24"/>
          <w:szCs w:val="24"/>
        </w:rPr>
        <w:fldChar w:fldCharType="end"/>
      </w:r>
      <w:r w:rsidR="00A66A3D">
        <w:rPr>
          <w:rFonts w:cstheme="minorHAnsi"/>
          <w:sz w:val="24"/>
          <w:szCs w:val="24"/>
        </w:rPr>
        <w:t xml:space="preserve"> </w:t>
      </w:r>
      <w:r w:rsidRPr="00904368">
        <w:rPr>
          <w:rFonts w:cstheme="minorHAnsi"/>
          <w:sz w:val="24"/>
          <w:szCs w:val="24"/>
        </w:rPr>
        <w:t>Through hydrophobic and aromatic interactions, a hydrophobic core</w:t>
      </w:r>
      <w:r w:rsidR="00760803">
        <w:rPr>
          <w:rFonts w:cstheme="minorHAnsi"/>
          <w:sz w:val="24"/>
          <w:szCs w:val="24"/>
        </w:rPr>
        <w:t xml:space="preserve"> -</w:t>
      </w:r>
      <w:r w:rsidRPr="00904368">
        <w:rPr>
          <w:rFonts w:cstheme="minorHAnsi"/>
          <w:sz w:val="24"/>
          <w:szCs w:val="24"/>
        </w:rPr>
        <w:t xml:space="preserve"> also known as the amyloidogenic core, </w:t>
      </w:r>
      <w:r w:rsidR="00760803">
        <w:rPr>
          <w:rFonts w:cstheme="minorHAnsi"/>
          <w:sz w:val="24"/>
          <w:szCs w:val="24"/>
        </w:rPr>
        <w:t>form and</w:t>
      </w:r>
      <w:r w:rsidR="00760803" w:rsidRPr="00904368">
        <w:rPr>
          <w:rFonts w:cstheme="minorHAnsi"/>
          <w:sz w:val="24"/>
          <w:szCs w:val="24"/>
        </w:rPr>
        <w:t xml:space="preserve"> </w:t>
      </w:r>
      <w:r w:rsidRPr="00904368">
        <w:rPr>
          <w:rFonts w:cstheme="minorHAnsi"/>
          <w:sz w:val="24"/>
          <w:szCs w:val="24"/>
        </w:rPr>
        <w:t xml:space="preserve">self-associate with </w:t>
      </w:r>
      <w:r w:rsidR="00760803">
        <w:rPr>
          <w:rFonts w:cstheme="minorHAnsi"/>
          <w:sz w:val="24"/>
          <w:szCs w:val="24"/>
        </w:rPr>
        <w:t xml:space="preserve">another peptide </w:t>
      </w:r>
      <w:r w:rsidRPr="00904368">
        <w:rPr>
          <w:rFonts w:cstheme="minorHAnsi"/>
          <w:sz w:val="24"/>
          <w:szCs w:val="24"/>
        </w:rPr>
        <w:t>during the lag phase</w:t>
      </w:r>
      <w:r w:rsidR="00BA0437" w:rsidRPr="00904368">
        <w:rPr>
          <w:rFonts w:cstheme="minorHAnsi"/>
          <w:sz w:val="24"/>
          <w:szCs w:val="24"/>
        </w:rPr>
        <w:t>.</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{"citationID":"a1tubvv1s0j","properties":{"formattedCitation":"\\super 209\\nosupersub{}","plainCitation":"209","noteIndex":0},"citationItems":[{"id":11786,"uris":["http://zotero.org/groups/2667333/items/WMKVMTLD"],"itemData":{"id":11786,"type":"article-journal","container-title":"Chemical Communications","DOI":"10.1039/D0CC01551B","issue":"34","language":"en","note":"publisher: Royal Society of Chemistry","page":"4627-4639","source":"pubs.rsc.org","title":"High-resolution probing of early events in amyloid-β aggregation related to Alzheimer's disease","URL":"https://pubs.rsc.org/en/content/articlelanding/2020/cc/d0cc01551b","volume":"56","author":[{"family":"R. Sahoo","given":"Bikash"},{"family":"J. Cox","given":"Sarah"},{"family":"Ramamoorthy","given":"Ayyalusamy"}],"accessed":{"date-parts":[["2022",7,14]]},"issued":{"date-parts":[["2020"]]},"citation-key":"rsahoo_high-resolution_2020"}}],"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209</w:t>
      </w:r>
      <w:r w:rsidR="00BA0437" w:rsidRPr="00904368">
        <w:rPr>
          <w:rFonts w:cstheme="minorHAnsi"/>
          <w:sz w:val="24"/>
          <w:szCs w:val="24"/>
        </w:rPr>
        <w:fldChar w:fldCharType="end"/>
      </w:r>
      <w:r w:rsidR="00BA0437" w:rsidRPr="00904368">
        <w:rPr>
          <w:rFonts w:cstheme="minorHAnsi"/>
          <w:sz w:val="24"/>
          <w:szCs w:val="24"/>
        </w:rPr>
        <w:t xml:space="preserve"> </w:t>
      </w:r>
      <w:r w:rsidR="002C7C75">
        <w:rPr>
          <w:rFonts w:cstheme="minorHAnsi"/>
          <w:sz w:val="24"/>
          <w:szCs w:val="24"/>
        </w:rPr>
        <w:t>Monomers and oligomers above their critical concentration,</w:t>
      </w:r>
      <w:r w:rsidRPr="00904368">
        <w:rPr>
          <w:rFonts w:cstheme="minorHAnsi"/>
          <w:sz w:val="24"/>
          <w:szCs w:val="24"/>
        </w:rPr>
        <w:t xml:space="preserve"> combine to form protofibrils, yield</w:t>
      </w:r>
      <w:r w:rsidR="009E3EB9">
        <w:rPr>
          <w:rFonts w:cstheme="minorHAnsi"/>
          <w:sz w:val="24"/>
          <w:szCs w:val="24"/>
        </w:rPr>
        <w:t xml:space="preserve">ing </w:t>
      </w:r>
      <w:r w:rsidRPr="00904368">
        <w:rPr>
          <w:rFonts w:cstheme="minorHAnsi"/>
          <w:sz w:val="24"/>
          <w:szCs w:val="24"/>
        </w:rPr>
        <w:t xml:space="preserve">the final, highly ordered </w:t>
      </w:r>
      <w:r w:rsidR="00BA0437" w:rsidRPr="00904368">
        <w:rPr>
          <w:rFonts w:cstheme="minorHAnsi"/>
          <w:sz w:val="24"/>
          <w:szCs w:val="24"/>
        </w:rPr>
        <w:sym w:font="Symbol" w:char="F062"/>
      </w:r>
      <w:r w:rsidR="00BA0437" w:rsidRPr="00904368">
        <w:rPr>
          <w:rFonts w:cstheme="minorHAnsi"/>
          <w:sz w:val="24"/>
          <w:szCs w:val="24"/>
        </w:rPr>
        <w:t>-</w:t>
      </w:r>
      <w:r w:rsidRPr="00904368">
        <w:rPr>
          <w:rFonts w:cstheme="minorHAnsi"/>
          <w:sz w:val="24"/>
          <w:szCs w:val="24"/>
        </w:rPr>
        <w:t>sheet structures.</w:t>
      </w:r>
      <w:r w:rsidR="00E40CA1">
        <w:rPr>
          <w:rFonts w:cstheme="minorHAnsi"/>
          <w:sz w:val="24"/>
          <w:szCs w:val="24"/>
        </w:rPr>
        <w:fldChar w:fldCharType="begin"/>
      </w:r>
      <w:r w:rsidR="008F09C1">
        <w:rPr>
          <w:rFonts w:cstheme="minorHAnsi"/>
          <w:sz w:val="24"/>
          <w:szCs w:val="24"/>
        </w:rPr>
        <w:instrText xml:space="preserve"> ADDIN ZOTERO_ITEM CSL_CITATION {"citationID":"asg894qbgu","properties":{"formattedCitation":"\\super 165\\nosupersub{}","plainCitation":"165","noteIndex":0},"citationItems":[{"id":11971,"uris":["http://zotero.org/groups/2667333/items/VBXF38HS"],"itemData":{"id":11971,"type":"article-journal","abstract":"Transiently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T."}],"accessed":{"date-parts":[["2022",8,9]]},"issued":{"date-parts":[["2017",11,22]]},"citation-key":"serrano_free_2017"}}],"schema":"https://github.com/citation-style-language/schema/raw/master/csl-citation.json"} </w:instrText>
      </w:r>
      <w:r w:rsidR="00E40CA1">
        <w:rPr>
          <w:rFonts w:cstheme="minorHAnsi"/>
          <w:sz w:val="24"/>
          <w:szCs w:val="24"/>
        </w:rPr>
        <w:fldChar w:fldCharType="separate"/>
      </w:r>
      <w:r w:rsidR="008F09C1" w:rsidRPr="008F09C1">
        <w:rPr>
          <w:rFonts w:ascii="Arial" w:cs="Arial"/>
          <w:sz w:val="24"/>
          <w:vertAlign w:val="superscript"/>
        </w:rPr>
        <w:t>165</w:t>
      </w:r>
      <w:r w:rsidR="00E40CA1">
        <w:rPr>
          <w:rFonts w:cstheme="minorHAnsi"/>
          <w:sz w:val="24"/>
          <w:szCs w:val="24"/>
        </w:rPr>
        <w:fldChar w:fldCharType="end"/>
      </w:r>
      <w:r w:rsidRPr="00904368">
        <w:rPr>
          <w:rFonts w:cstheme="minorHAnsi"/>
          <w:sz w:val="24"/>
          <w:szCs w:val="24"/>
        </w:rPr>
        <w:t xml:space="preserve"> In general, the formation of oligomeric aggregation nuclei (nucleation) is considered a key event in the onset of protein aggregation and often the rate-limiting step of fibril growth</w:t>
      </w:r>
      <w:r w:rsidR="00BA0437" w:rsidRPr="00904368">
        <w:rPr>
          <w:rFonts w:cstheme="minorHAnsi"/>
          <w:sz w:val="24"/>
          <w:szCs w:val="24"/>
        </w:rPr>
        <w:t>.</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{"citationID":"a1v2oe9bi3q","properties":{"formattedCitation":"\\super 210\\nosupersub{}","plainCitation":"210","noteIndex":0},"citationItems":[{"id":12791,"uris":["http://zotero.org/groups/2667333/items/9CBHSGYH"],"itemData":{"id":12791,"type":"article-journal","abstract":"A great deal must still be learnt on the structural features of amyloid assemblies, particularly prefibrillar aggregates, and the relationship of the latter with amyloid cytotoxicity. Presently, it is recognized that the population of unstable, heterogeneous amyloid oligomers and protofibrils is mainly responsible for amyloid cytotoxicity. Conversely, mature fibrils are considered stable, harmless reservoirs of molecular species devoid of toxicity in the polymerized state. This view has been modified by recent reports showing that mature fibrils grown at different conditions can display different structural features and stabilities, possibly leading them to undergo disassembly with the leak of toxic oligomers. Fibril polymorphism is paralleled by oligomer polymorphism and both can be traced back to amyloid growth from differently destabilized monomers with distinct structural features at differing conditions. Recent research has started to unravel oligomer structural and biophysical features and the relationship between the latter and oligomer cytotoxicity. These data have led to the proposal that, together, both oligomer and membrane physical features determine the extent of oligomer–membrane interaction with the resulting disruption of membrane integrity and cell impairment. Such a view can help to explain the variable vulnerability of different cell types to the same amyloids and the lack of relationship between amyloid load and the severity of clinical symptoms. It also stresses the importance, for cell/tissue impairment, of the presence, in tissue, in addition to toxic oligomers, of fibrils conformers of reduced stability as a possible source of toxic oligomers, whose leakage can be favoured upon interaction with suitable surfaces or by other environmental conditions.","container-title":"The FEBS Journal","DOI":"10.1111/j.1742-4658.2010.07889.x","ISSN":"1742-4658","issue":"22","language":"en","license":"Journal compilation © 2010 FEBS. No claim to original Italian government works","note":"_eprint: https://onlinelibrary.wiley.com/doi/pdf/10.1111/j.1742-4658.2010.07889.x","page":"4602-4613","source":"Wiley Online Library","title":"Biochemical and biophysical features of both oligomer/fibril and cell membrane in amyloid cytotoxicity","URL":"https://onlinelibrary.wiley.com/doi/abs/10.1111/j.1742-4658.2010.07889.x","volume":"277","author":[{"family":"Stefani","given":"Massimo"}],"accessed":{"date-parts":[["2022",9,28]]},"issued":{"date-parts":[["2010"]]},"citation-key":"stefani_biochemical_2010"}}],"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210</w:t>
      </w:r>
      <w:r w:rsidR="00BA0437" w:rsidRPr="00904368">
        <w:rPr>
          <w:rFonts w:cstheme="minorHAnsi"/>
          <w:sz w:val="24"/>
          <w:szCs w:val="24"/>
        </w:rPr>
        <w:fldChar w:fldCharType="end"/>
      </w:r>
      <w:r w:rsidRPr="00904368">
        <w:rPr>
          <w:rFonts w:cstheme="minorHAnsi"/>
          <w:sz w:val="24"/>
          <w:szCs w:val="24"/>
        </w:rPr>
        <w:t xml:space="preserve"> For the nucleation step, intermolecular hydrophobic interactions are among the key determinants of the rate and extent of the hydrophobic collapse of the misfolded monomers into oligomers, along with A</w:t>
      </w:r>
      <w:r w:rsidR="00BA0437" w:rsidRPr="00904368">
        <w:rPr>
          <w:rFonts w:cstheme="minorHAnsi"/>
          <w:sz w:val="24"/>
          <w:szCs w:val="24"/>
        </w:rPr>
        <w:sym w:font="Symbol" w:char="F062"/>
      </w:r>
      <w:r w:rsidR="00BA0437" w:rsidRPr="00904368">
        <w:rPr>
          <w:rFonts w:cstheme="minorHAnsi"/>
          <w:sz w:val="24"/>
          <w:szCs w:val="24"/>
        </w:rPr>
        <w:t xml:space="preserve"> </w:t>
      </w:r>
      <w:r w:rsidRPr="00904368">
        <w:rPr>
          <w:rFonts w:cstheme="minorHAnsi"/>
          <w:sz w:val="24"/>
          <w:szCs w:val="24"/>
        </w:rPr>
        <w:t>concentration, medium temperature, and polarity.</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{"citationID":"agkf2r5mkv","properties":{"formattedCitation":"\\super 67,210\\nosupersub{}","plainCitation":"67,210","noteIndex":0},"citationItems":[{"id":12791,"uris":["http://zotero.org/groups/2667333/items/9CBHSGYH"],"itemData":{"id":12791,"type":"article-journal","abstract":"A great deal must still be learnt on the structural features of amyloid assemblies, particularly prefibrillar aggregates, and the relationship of the latter with amyloid cytotoxicity. Presently, it is recognized that the population of unstable, heterogeneous amyloid oligomers and protofibrils is mainly responsible for amyloid cytotoxicity. Conversely, mature fibrils are considered stable, harmless reservoirs of molecular species devoid of toxicity in the polymerized state. This view has been modified by recent reports showing that mature fibrils grown at different conditions can display different structural features and stabilities, possibly leading them to undergo disassembly with the leak of toxic oligomers. Fibril polymorphism is paralleled by oligomer polymorphism and both can be traced back to amyloid growth from differently destabilized monomers with distinct structural features at differing conditions. Recent research has started to unravel oligomer structural and biophysical features and the relationship between the latter and oligomer cytotoxicity. These data have led to the proposal that, together, both oligomer and membrane physical features determine the extent of oligomer–membrane interaction with the resulting disruption of membrane integrity and cell impairment. Such a view can help to explain the variable vulnerability of different cell types to the same amyloids and the lack of relationship between amyloid load and the severity of clinical symptoms. It also stresses the importance, for cell/tissue impairment, of the presence, in tissue, in addition to toxic oligomers, of fibrils conformers of reduced stability as a possible source of toxic oligomers, whose leakage can be favoured upon interaction with suitable surfaces or by other environmental conditions.","container-title":"The FEBS Journal","DOI":"10.1111/j.1742-4658.2010.07889.x","ISSN":"1742-4658","issue":"22","language":"en","license":"Journal compilation © 2010 FEBS. No claim to original Italian government works","note":"_eprint: https://onlinelibrary.wiley.com/doi/pdf/10.1111/j.1742-4658.2010.07889.x","page":"4602-4613","source":"Wiley Online Library","title":"Biochemical and biophysical features of both oligomer/fibril and cell membrane in amyloid cytotoxicity","URL":"https://onlinelibrary.wiley.com/doi/abs/10.1111/j.1742-4658.2010.07889.x","volume":"277","author":[{"family":"Stefani","given":"Massimo"}],"accessed":{"date-parts":[["2022",9,28]]},"issued":{"date-parts":[["2010"]]},"citation-key":"stefani_biochemical_2010"}},{"id":12236,"uris":["http://zotero.org/groups/2667333/items/92GIIWLQ"],"itemData":{"id":12236,"type":"article-journal","abstract":"This review will focus on the process of amyloid-type protein aggregation. Amyloid fibrils are an important hallmark of protein misfolding diseases and therefore have been investigated for decades. Only recently, however, atomic or near-atomic resolution structures have been elucidated from various in vitro and ex vivo obtained fibrils. In parallel, the process of fibril formation has been studied in vitro under highly artificial but comparatively reproducible conditions. The review starts with a summary of what is known and speculated from artificial in vitro amyloid-type protein aggregation experiments. A partially hypothetic fibril selection model will be described that may be suitable to explain why amyloid fibrils look the way they do, in particular, why at least all so far reported high resolution cryo-electron microscopy obtained fibril structures are in register, parallel, cross-β-sheet fibrils that mostly consist of two protofilaments twisted around each other. An intrinsic feature of the model is the prion-like nature of all amyloid assemblies. Transferring the model from the in vitro point of view to the in vivo situation is not straightforward, highly hypothetic, and leaves many open questions that need to be addressed in the future.","container-title":"Chemical Reviews","DOI":"10.1021/acs.chemrev.1c00196","ISSN":"0009-2665","issue":"13","journalAbbreviation":"Chem. Rev.","note":"publisher: American Chemical Society","page":"8285-8307","source":"ACS Publications","title":"Amyloid-type Protein Aggregation and Prion-like Properties of Amyloids","URL":"https://doi.org/10.1021/acs.chemrev.1c00196","volume":"121","author":[{"family":"Willbold","given":"Dieter"},{"family":"Strodel","given":"Birgit"},{"family":"Schröder","given":"Gunnar F."},{"family":"Hoyer","given":"Wolfgang"},{"family":"Heise","given":"Henrike"}],"accessed":{"date-parts":[["2022",9,5]]},"issued":{"date-parts":[["2021",7,14]]},"citation-key":"willbold_amyloid-type_2021"}}],"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67,210</w:t>
      </w:r>
      <w:r w:rsidR="00BA0437" w:rsidRPr="00904368">
        <w:rPr>
          <w:rFonts w:cstheme="minorHAnsi"/>
          <w:sz w:val="24"/>
          <w:szCs w:val="24"/>
        </w:rPr>
        <w:fldChar w:fldCharType="end"/>
      </w:r>
      <w:r w:rsidR="00BA0437" w:rsidRPr="00904368">
        <w:rPr>
          <w:rFonts w:cstheme="minorHAnsi"/>
          <w:sz w:val="24"/>
          <w:szCs w:val="24"/>
        </w:rPr>
        <w:t xml:space="preserve"> </w:t>
      </w:r>
      <w:r w:rsidR="00760803">
        <w:rPr>
          <w:rFonts w:cstheme="minorHAnsi"/>
          <w:sz w:val="24"/>
          <w:szCs w:val="24"/>
        </w:rPr>
        <w:t xml:space="preserve">The critical determinants of the </w:t>
      </w:r>
      <w:r w:rsidRPr="00904368">
        <w:rPr>
          <w:rFonts w:cstheme="minorHAnsi"/>
          <w:sz w:val="24"/>
          <w:szCs w:val="24"/>
        </w:rPr>
        <w:t>propensity</w:t>
      </w:r>
      <w:r w:rsidR="00760803">
        <w:rPr>
          <w:rFonts w:cstheme="minorHAnsi"/>
          <w:sz w:val="24"/>
          <w:szCs w:val="24"/>
        </w:rPr>
        <w:t xml:space="preserve"> of proteins</w:t>
      </w:r>
      <w:r w:rsidRPr="00904368">
        <w:rPr>
          <w:rFonts w:cstheme="minorHAnsi"/>
          <w:sz w:val="24"/>
          <w:szCs w:val="24"/>
        </w:rPr>
        <w:t xml:space="preserve"> to form amyloid </w:t>
      </w:r>
      <w:r w:rsidR="003F63F0">
        <w:rPr>
          <w:rFonts w:cstheme="minorHAnsi"/>
          <w:sz w:val="24"/>
          <w:szCs w:val="24"/>
        </w:rPr>
        <w:t xml:space="preserve">structures </w:t>
      </w:r>
      <w:r w:rsidR="00760803">
        <w:rPr>
          <w:rFonts w:cstheme="minorHAnsi"/>
          <w:sz w:val="24"/>
          <w:szCs w:val="24"/>
        </w:rPr>
        <w:t>varies with</w:t>
      </w:r>
      <w:r w:rsidRPr="00904368">
        <w:rPr>
          <w:rFonts w:cstheme="minorHAnsi"/>
          <w:sz w:val="24"/>
          <w:szCs w:val="24"/>
        </w:rPr>
        <w:t xml:space="preserve"> amino acid mutations within the sequence,</w:t>
      </w:r>
      <w:r w:rsidR="00BA0437" w:rsidRPr="00904368">
        <w:rPr>
          <w:rFonts w:cstheme="minorHAnsi"/>
          <w:sz w:val="24"/>
          <w:szCs w:val="24"/>
        </w:rPr>
        <w:fldChar w:fldCharType="begin"/>
      </w:r>
      <w:r w:rsidR="008F09C1">
        <w:rPr>
          <w:rFonts w:cstheme="minorHAnsi"/>
          <w:sz w:val="24"/>
          <w:szCs w:val="24"/>
        </w:rPr>
        <w:instrText xml:space="preserve"> ADDIN ZOTERO_ITEM CSL_CITATION {"citationID":"a2il5o9i44t","properties":{"formattedCitation":"\\super 211\\nosupersub{}","plainCitation":"211","noteIndex":0},"citationItems":[{"id":11795,"uris":["http://zotero.org/groups/2667333/items/6MJ983L2"],"itemData":{"id":11795,"type":"article-journal","abstract":"Protein aggregation into amyloid fibrils and protofibrillar aggregates is associated with a number of the most common neurodegenerative diseases. We have established, using a computational approach, that knowledge of the primary sequences of proteins is sufficient to predict their in vitro aggregation propensities. Here we demonstrate, using rational mutagenesis of the Aβ42 peptide based on such computational predictions of aggregation propensity, the existence of a strong correlation between the propensity of Aβ42 to form protofibrils and its effect on neuronal dysfunction and degeneration in a Drosophila model of Alzheimer disease. Our findings provide a quantitative description of the molecular basis for the pathogenicity of Aβ and link directly and systematically the intrinsic properties of biomolecules, predicted in silico and confirmed in vitro, to pathogenic events taking place in a living organism.","container-title":"PLOS Biology","DOI":"10.1371/journal.pbio.0050290","ISSN":"1545-7885","issue":"11","journalAbbreviation":"PLOS Biology","language":"en","note":"publisher: Public Library of Science","page":"e290","source":"PLoS Journals","title":"Systematic In Vivo Analysis of the Intrinsic Determinants of Amyloid β Pathogenicity","URL":"https://journals.plos.org/plosbiology/article?id=10.1371/journal.pbio.0050290","volume":"5","author":[{"family":"Luheshi","given":"Leila M."},{"family":"Tartaglia","given":"Gian Gaetano"},{"family":"Brorsson","given":"Ann-Christin"},{"family":"Pawar","given":"Amol P."},{"family":"Watson","given":"Ian E."},{"family":"Chiti","given":"Fabrizio"},{"family":"Vendruscolo","given":"Michele"},{"family":"Lomas","given":"David A."},{"family":"Dobson","given":"Christopher M."},{"family":"Crowther","given":"Damian C."}],"accessed":{"date-parts":[["2022",7,14]]},"issued":{"date-parts":[["2007",10,30]]},"citation-key":"luheshi_systematic_2007"}}],"schema":"https://github.com/citation-style-language/schema/raw/master/csl-citation.json"} </w:instrText>
      </w:r>
      <w:r w:rsidR="00BA0437" w:rsidRPr="00904368">
        <w:rPr>
          <w:rFonts w:cstheme="minorHAnsi"/>
          <w:sz w:val="24"/>
          <w:szCs w:val="24"/>
        </w:rPr>
        <w:fldChar w:fldCharType="separate"/>
      </w:r>
      <w:r w:rsidR="008F09C1" w:rsidRPr="008F09C1">
        <w:rPr>
          <w:rFonts w:ascii="Arial" w:cs="Arial"/>
          <w:sz w:val="24"/>
          <w:vertAlign w:val="superscript"/>
        </w:rPr>
        <w:t>211</w:t>
      </w:r>
      <w:r w:rsidR="00BA0437" w:rsidRPr="00904368">
        <w:rPr>
          <w:rFonts w:cstheme="minorHAnsi"/>
          <w:sz w:val="24"/>
          <w:szCs w:val="24"/>
        </w:rPr>
        <w:fldChar w:fldCharType="end"/>
      </w:r>
      <w:r w:rsidRPr="00904368">
        <w:rPr>
          <w:rFonts w:cstheme="minorHAnsi"/>
          <w:sz w:val="24"/>
          <w:szCs w:val="24"/>
        </w:rPr>
        <w:t xml:space="preserve"> external stimuli such as </w:t>
      </w:r>
      <w:r w:rsidR="009E3EB9">
        <w:rPr>
          <w:rFonts w:cstheme="minorHAnsi"/>
          <w:sz w:val="24"/>
          <w:szCs w:val="24"/>
        </w:rPr>
        <w:t xml:space="preserve">the </w:t>
      </w:r>
      <w:r w:rsidRPr="00904368">
        <w:rPr>
          <w:rFonts w:cstheme="minorHAnsi"/>
          <w:sz w:val="24"/>
          <w:szCs w:val="24"/>
        </w:rPr>
        <w:t>addition of ions</w:t>
      </w:r>
      <w:r w:rsidR="0016446D" w:rsidRPr="00904368">
        <w:rPr>
          <w:rFonts w:cstheme="minorHAnsi"/>
          <w:sz w:val="24"/>
          <w:szCs w:val="24"/>
        </w:rPr>
        <w:fldChar w:fldCharType="begin"/>
      </w:r>
      <w:r w:rsidR="008F09C1">
        <w:rPr>
          <w:rFonts w:cstheme="minorHAnsi"/>
          <w:sz w:val="24"/>
          <w:szCs w:val="24"/>
        </w:rPr>
        <w:instrText xml:space="preserve"> ADDIN ZOTERO_ITEM CSL_CITATION {"citationID":"aenee99k08","properties":{"formattedCitation":"\\super 212\\nosupersub{}","plainCitation":"212","noteIndex":0},"citationItems":[{"id":11798,"uris":["http://zotero.org/groups/2667333/items/ABQXE2QC"],"itemData":{"id":11798,"type":"article-journal","abstract":"Metal ions, including copper and zinc, have been implicated in the pathogenesis of Alzheimer’s disease through a variety of mechanisms including increased amyloid-β affinity and redox effects. Recent reports have demonstrated that the amyloid-β monomer does not necessarily travel through a definitive intermediary en-route to a stable amyloid fibril structure. Rather, amyloid-β misfolding may follow a variety of pathways resulting in a fibrillar end-product or a variety of oligomeric end-products with a diversity of structures and sizes. The presence of metal ions has been demonstrated to alter the kinetic pathway of the amyloid-β peptide which may lead to more toxic oligomeric end-products. In this work, we review the contemporary literature supporting the hypothesis that metal ions alter the reaction pathway of amyloid-β misfolding leading to more neurotoxic species.","container-title":"Biomolecules","DOI":"10.3390/biom4010101","ISSN":"2218-273X","issue":"1","language":"en","license":"http://creativecommons.org/licenses/by/3.0/","note":"number: 1\npublisher: Multidisciplinary Digital Publishing Institute","page":"101-116","source":"www.mdpi.com","title":"Effect of Metals on Kinetic Pathways of Amyloid-β Aggregation","URL":"https://www.mdpi.com/2218-273X/4/1/101","volume":"4","author":[{"family":"Hane","given":"Francis"},{"family":"Leonenko","given":"Zoya"}],"accessed":{"date-parts":[["2022",7,14]]},"issued":{"date-parts":[["2014",3]]},"citation-key":"hane_effect_2014"}}],"schema":"https://github.com/citation-style-language/schema/raw/master/csl-citation.json"} </w:instrText>
      </w:r>
      <w:r w:rsidR="0016446D" w:rsidRPr="00904368">
        <w:rPr>
          <w:rFonts w:cstheme="minorHAnsi"/>
          <w:sz w:val="24"/>
          <w:szCs w:val="24"/>
        </w:rPr>
        <w:fldChar w:fldCharType="separate"/>
      </w:r>
      <w:r w:rsidR="008F09C1" w:rsidRPr="008F09C1">
        <w:rPr>
          <w:rFonts w:ascii="Arial" w:cs="Arial"/>
          <w:sz w:val="24"/>
          <w:vertAlign w:val="superscript"/>
        </w:rPr>
        <w:t>212</w:t>
      </w:r>
      <w:r w:rsidR="0016446D" w:rsidRPr="00904368">
        <w:rPr>
          <w:rFonts w:cstheme="minorHAnsi"/>
          <w:sz w:val="24"/>
          <w:szCs w:val="24"/>
        </w:rPr>
        <w:fldChar w:fldCharType="end"/>
      </w:r>
      <w:r w:rsidR="0016446D" w:rsidRPr="00904368">
        <w:rPr>
          <w:rFonts w:cstheme="minorHAnsi"/>
          <w:sz w:val="24"/>
          <w:szCs w:val="24"/>
        </w:rPr>
        <w:t xml:space="preserve"> </w:t>
      </w:r>
      <w:r w:rsidRPr="00904368">
        <w:rPr>
          <w:rFonts w:cstheme="minorHAnsi"/>
          <w:sz w:val="24"/>
          <w:szCs w:val="24"/>
        </w:rPr>
        <w:t xml:space="preserve">or </w:t>
      </w:r>
      <w:r w:rsidR="003F63F0">
        <w:rPr>
          <w:rFonts w:cstheme="minorHAnsi"/>
          <w:sz w:val="24"/>
          <w:szCs w:val="24"/>
        </w:rPr>
        <w:t xml:space="preserve">chaperons like </w:t>
      </w:r>
      <w:r w:rsidRPr="00904368">
        <w:rPr>
          <w:rFonts w:cstheme="minorHAnsi"/>
          <w:sz w:val="24"/>
          <w:szCs w:val="24"/>
        </w:rPr>
        <w:t>albumin.</w:t>
      </w:r>
      <w:r w:rsidR="0016446D" w:rsidRPr="00904368">
        <w:rPr>
          <w:rFonts w:cstheme="minorHAnsi"/>
          <w:sz w:val="24"/>
          <w:szCs w:val="24"/>
        </w:rPr>
        <w:fldChar w:fldCharType="begin"/>
      </w:r>
      <w:r w:rsidR="008F09C1">
        <w:rPr>
          <w:rFonts w:cstheme="minorHAnsi"/>
          <w:sz w:val="24"/>
          <w:szCs w:val="24"/>
        </w:rPr>
        <w:instrText xml:space="preserve"> ADDIN ZOTERO_ITEM CSL_CITATION {"citationID":"a8o3tmio6o","properties":{"formattedCitation":"\\super 213\\nosupersub{}","plainCitation":"213","noteIndex":0},"citationItems":[{"id":12383,"uris":["http://zotero.org/groups/2667333/items/FBHSQD6A"],"itemData":{"id":12383,"type":"article-journal","abstract":"Aggregation of otherwise soluble proteins into amyloid structures is a hallmark of many disorders, such as Alzheimer's and Parkinson's. There is increasing evidence that the small aggregations, instead of ordered fibrillar aggregates, are the main toxic structures. However, the studies on the small aggregation phase are limited due to the variety of structures and the complexity of the physiological environment. Here, we showed an engineered co-assembling oppositely charged amyloid-like peptide pair ([II]) as a simple tool to establish methodologies to study the mechanism and kinetics of aggregation and relate its aggregation to toxicity. The toxicity mechanism of [II] is through cell membrane damage and cell stress, as shown with YAP and eIF2α, as in the amyloid protein-initiated diseases. Albumin is demonstrated as an extrinsic and physiologically relevant molecule in controlling [II] aggregation lag time and its toxicity. This study represents a molecular engineering strategy to create simplistic molecular tools for establishing methodologies to study the aggregation process and kinetics of amyloid-like proteins in various conditions. Understanding the nature of protein aggregation kinetics and linking them to their biological functions through engineered peptides paves the way for future designs and drug development applications. This article is protected by copyright. All rights reserved.","container-title":"AIChE Journal","DOI":"10.1002/aic.17893","ISSN":"1547-5905","issue":"n/a","language":"en","note":"_eprint: https://onlinelibrary.wiley.com/doi/pdf/10.1002/aic.17893\nCitation Key: hamsici_controllable_2022","page":"e17893","source":"Wiley Online Library","title":"Controllable membrane damage by tunable peptide aggregation with albumin","URL":"https://onlinelibrary.wiley.com/doi/abs/10.1002/aic.17893","volume":"n/a","author":[{"family":"Hamsici","given":"Seren"},{"family":"Gunay","given":"Gokhan"},{"family":"Acar","given":"Handan"}],"accessed":{"date-parts":[["2022",9,10]]},"issued":{"date-parts":[["2022"]]},"citation-key":"hamsici_controllable_2022"}}],"schema":"https://github.com/citation-style-language/schema/raw/master/csl-citation.json"} </w:instrText>
      </w:r>
      <w:r w:rsidR="0016446D" w:rsidRPr="00904368">
        <w:rPr>
          <w:rFonts w:cstheme="minorHAnsi"/>
          <w:sz w:val="24"/>
          <w:szCs w:val="24"/>
        </w:rPr>
        <w:fldChar w:fldCharType="separate"/>
      </w:r>
      <w:r w:rsidR="008F09C1" w:rsidRPr="008F09C1">
        <w:rPr>
          <w:rFonts w:ascii="Arial" w:cs="Arial"/>
          <w:sz w:val="24"/>
          <w:vertAlign w:val="superscript"/>
        </w:rPr>
        <w:t>213</w:t>
      </w:r>
      <w:r w:rsidR="0016446D" w:rsidRPr="00904368">
        <w:rPr>
          <w:rFonts w:cstheme="minorHAnsi"/>
          <w:sz w:val="24"/>
          <w:szCs w:val="24"/>
        </w:rPr>
        <w:fldChar w:fldCharType="end"/>
      </w:r>
      <w:r w:rsidRPr="00904368">
        <w:rPr>
          <w:rFonts w:cstheme="minorHAnsi"/>
          <w:sz w:val="24"/>
          <w:szCs w:val="24"/>
        </w:rPr>
        <w:t xml:space="preserve">  </w:t>
      </w:r>
      <w:r w:rsidR="00825D7F">
        <w:rPr>
          <w:rFonts w:cstheme="minorHAnsi"/>
          <w:sz w:val="24"/>
          <w:szCs w:val="24"/>
        </w:rPr>
        <w:t xml:space="preserve">These determinants affect the kinetics of fibrilization, and so the toxicity of the amyloids. The experimental understanding of the kinetics landscape of any amyloid structure can be determined by </w:t>
      </w:r>
      <w:r w:rsidR="002B51EA">
        <w:rPr>
          <w:rFonts w:cstheme="minorHAnsi"/>
          <w:sz w:val="24"/>
          <w:szCs w:val="24"/>
        </w:rPr>
        <w:t xml:space="preserve">the fluorescent intensity change of Thioflavin T (ThT, a fluorescent marker for amyloid structure, more explanation is in Section </w:t>
      </w:r>
      <w:r w:rsidR="00E40CA1">
        <w:rPr>
          <w:rFonts w:cstheme="minorHAnsi"/>
          <w:sz w:val="24"/>
          <w:szCs w:val="24"/>
        </w:rPr>
        <w:t>1.3.1</w:t>
      </w:r>
      <w:r w:rsidR="002B51EA">
        <w:rPr>
          <w:rFonts w:cstheme="minorHAnsi"/>
          <w:sz w:val="24"/>
          <w:szCs w:val="24"/>
        </w:rPr>
        <w:t xml:space="preserve">) by time. The information collected from the </w:t>
      </w:r>
      <w:r w:rsidR="00825D7F">
        <w:rPr>
          <w:rFonts w:cstheme="minorHAnsi"/>
          <w:sz w:val="24"/>
          <w:szCs w:val="24"/>
        </w:rPr>
        <w:t>amyloid fibrilization kinetics of samples with</w:t>
      </w:r>
      <w:r w:rsidR="002B51EA">
        <w:rPr>
          <w:rFonts w:cstheme="minorHAnsi"/>
          <w:sz w:val="24"/>
          <w:szCs w:val="24"/>
        </w:rPr>
        <w:t xml:space="preserve"> different determinants was combined in a mathematical model </w:t>
      </w:r>
      <w:r w:rsidR="00825D7F">
        <w:rPr>
          <w:rFonts w:cstheme="minorHAnsi"/>
          <w:sz w:val="24"/>
          <w:szCs w:val="24"/>
        </w:rPr>
        <w:t>to identify the affected parameters</w:t>
      </w:r>
      <w:r w:rsidR="00E40CA1">
        <w:rPr>
          <w:rFonts w:cstheme="minorHAnsi"/>
          <w:sz w:val="24"/>
          <w:szCs w:val="24"/>
        </w:rPr>
        <w:fldChar w:fldCharType="begin"/>
      </w:r>
      <w:r w:rsidR="008F09C1">
        <w:rPr>
          <w:rFonts w:cstheme="minorHAnsi"/>
          <w:sz w:val="24"/>
          <w:szCs w:val="24"/>
        </w:rPr>
        <w:instrText xml:space="preserve"> ADDIN ZOTERO_ITEM CSL_CITATION {"citationID":"alfdo70dkp","properties":{"formattedCitation":"\\super 63,189\\nosupersub{}","plainCitation":"63,189","noteIndex":0},"citationItems":[{"id":10795,"uris":["http://zotero.org/groups/2667333/items/KILXNGAW"],"itemData":{"id":10795,"type":"article-journal","container-title":"Physical Chemistry Chemical Physics","DOI":"10.1039/C4CP05563B","issue":"12","language":"en","note":"publisher: Royal Society of Chemistry\ntex.ids= arosio_lag_2015-1","page":"7606-7618","source":"pubs.rsc.org","title":"On the lag phase in amyloid fibril formation","URL":"https://pubs.rsc.org/en/content/articlelanding/2015/cp/c4cp05563b","volume":"17","author":[{"family":"Arosio","given":"Paolo"},{"family":"J. Knowles","given":"Tuomas P."},{"family":"Linse","given":"Sara"}],"accessed":{"date-parts":[["2022",4,19]]},"issued":{"date-parts":[["2015"]]},"citation-key":"arosio_lag_2015"}},{"id":12737,"uris":["http://zotero.org/groups/2667333/items/XKMKHG3K"],"itemData":{"id":12737,"type":"article-journal","abstract":"The misfolding and aberrant assembly of peptides and proteins into fibrillar aggregates is the hallmark of many pathologies. Fibril formation is accompanied by oligomeric species thought to be the primary pathogenic agents in many of these diseases. With the aim of identifying the structural determinants responsible for the toxicity of misfolded oligomers, we created 12 oligomeric variants from the N-terminal domain of the E. coli HypF protein (HypF-N) by replacing one or more charged amino acid residues with neutral apolar residues and allowing the mutated proteins to aggregate under two sets of conditions. The resulting oligomeric species have different degrees of cytotoxicity when added to the extracellular medium of the cells, as assessed by the extent of 3-(4,5-dimethylthiazol-2-yl)-2,5-diphenyltetrazolium bromide (MTT) reduction, apoptosis, and influx of Ca2+ into the cells. The structural properties of the oligomeric variants were characterized by evaluating their surface hydrophobicity with 8-anilinonaphthalene-1-sulfonate (ANS) binding and by measuring their size by means of turbidimetry as well as light scattering. We find that increases in the surface hydrophobicity of the oligomers following mutation can promote the formation of larger assemblies and that the overall toxicity correlates with a combination of both surface hydrophobicity and size, with the most toxic oligomers having high hydrophobicity and small size. These results have allowed the relationships between these three parameters to be studied simultaneously and quantitatively, and have enabled the generation of an equation that is able to rationalize and even predict toxicity of the oligomers resulting from their surface hydrophobicity and size.","container-title":"ACS Chemical Biology","DOI":"10.1021/cb500505m","ISSN":"1554-8929","issue":"10","journalAbbreviation":"ACS Chem. Biol.","note":"publisher: American Chemical Society","page":"2309-2317","source":"ACS Publications","title":"Toxicity of Protein Oligomers Is Rationalized by a Function Combining Size and Surface Hydrophobicity","URL":"https://doi.org/10.1021/cb500505m","volume":"9","author":[{"family":"Mannini","given":"Benedetta"},{"family":"Mulvihill","given":"Estefania"},{"family":"Sgromo","given":"Caterina"},{"family":"Cascella","given":"Roberta"},{"family":"Khodarahmi","given":"Reza"},{"family":"Ramazzotti","given":"Matteo"},{"family":"Dobson","given":"Christopher M."},{"family":"Cecchi","given":"Cristina"},{"family":"Chiti","given":"Fabrizio"}],"accessed":{"date-parts":[["2022",9,22]]},"issued":{"date-parts":[["2014",10,17]]},"citation-key":"mannini_toxicity_2014"}}],"schema":"https://github.com/citation-style-language/schema/raw/master/csl-citation.json"} </w:instrText>
      </w:r>
      <w:r w:rsidR="00E40CA1">
        <w:rPr>
          <w:rFonts w:cstheme="minorHAnsi"/>
          <w:sz w:val="24"/>
          <w:szCs w:val="24"/>
        </w:rPr>
        <w:fldChar w:fldCharType="separate"/>
      </w:r>
      <w:r w:rsidR="008F09C1" w:rsidRPr="008F09C1">
        <w:rPr>
          <w:rFonts w:ascii="Arial" w:cs="Arial"/>
          <w:sz w:val="24"/>
          <w:vertAlign w:val="superscript"/>
        </w:rPr>
        <w:t>63,189</w:t>
      </w:r>
      <w:r w:rsidR="00E40CA1">
        <w:rPr>
          <w:rFonts w:cstheme="minorHAnsi"/>
          <w:sz w:val="24"/>
          <w:szCs w:val="24"/>
        </w:rPr>
        <w:fldChar w:fldCharType="end"/>
      </w:r>
      <w:r w:rsidR="00E40CA1">
        <w:rPr>
          <w:rFonts w:cstheme="minorHAnsi"/>
          <w:sz w:val="24"/>
          <w:szCs w:val="24"/>
        </w:rPr>
        <w:t xml:space="preserve">. </w:t>
      </w:r>
    </w:p>
    <w:p w14:paraId="08191052" w14:textId="74C518EB" w:rsidR="004D13D1" w:rsidRPr="00904368" w:rsidRDefault="00825D7F" w:rsidP="004A051B">
      <w:pPr>
        <w:spacing w:line="480" w:lineRule="auto"/>
        <w:rPr>
          <w:rFonts w:cstheme="minorHAnsi"/>
          <w:sz w:val="24"/>
          <w:szCs w:val="24"/>
        </w:rPr>
      </w:pPr>
      <w:r>
        <w:rPr>
          <w:rFonts w:cstheme="minorHAnsi"/>
          <w:sz w:val="24"/>
          <w:szCs w:val="24"/>
        </w:rPr>
        <w:t>The determination of the kinetics landscape parameters can be identified by fitting the model to the collected ThT data of the amyloid samples in different concentrations.</w:t>
      </w:r>
      <w:r w:rsidR="003F63F0">
        <w:rPr>
          <w:rFonts w:cstheme="minorHAnsi"/>
          <w:sz w:val="24"/>
          <w:szCs w:val="24"/>
        </w:rPr>
        <w:fldChar w:fldCharType="begin"/>
      </w:r>
      <w:r w:rsidR="008F09C1">
        <w:rPr>
          <w:rFonts w:cstheme="minorHAnsi"/>
          <w:sz w:val="24"/>
          <w:szCs w:val="24"/>
        </w:rPr>
        <w:instrText xml:space="preserve"> ADDIN ZOTERO_ITEM CSL_CITATION {"citationID":"a2pp6das8lm","properties":{"formattedCitation":"\\super 214\\nosupersub{}","plainCitation":"214","noteIndex":0},"citationItems":[{"id":10833,"uris":["http://zotero.org/groups/2667333/items/EDK3898P"],"itemData":{"id":10833,"type":"article-journal","abstract":"Understanding the mechanism of amyloid formation (protein aggregation) is important for developing treatments for many neurodegenerative diseases. Amylofit is a program for determining mechanisms and rates from protein aggregation kinetics.","container-title":"Nature Protocols","DOI":"10.1038/nprot.2016.010","ISSN":"1750-2799","issue":"2","journalAbbreviation":"Nat Protoc","language":"en","license":"2016 Nature Publishing Group, a division of Macmillan Publishers Limited. All Rights Reserved.","note":"number: 2\npublisher: Nature Publishing Group","page":"252-272","source":"www.nature.com","title":"Molecular mechanisms of protein aggregation from global fitting of kinetic models","URL":"https://www.nature.com/articles/nprot.2016.010","volume":"11","author":[{"family":"Meisl","given":"Georg"},{"family":"Kirkegaard","given":"Julius B."},{"family":"Arosio","given":"Paolo"},{"family":"Michaels","given":"Thomas C. T."},{"family":"Vendruscolo","given":"Michele"},{"family":"Dobson","given":"Christopher M."},{"family":"Linse","given":"Sara"},{"family":"Knowles","given":"Tuomas P. J."}],"accessed":{"date-parts":[["2022",4,21]]},"issued":{"date-parts":[["2016",2]]},"citation-key":"meisl_molecular_2016"}}],"schema":"https://github.com/citation-style-language/schema/raw/master/csl-citation.json"} </w:instrText>
      </w:r>
      <w:r w:rsidR="003F63F0">
        <w:rPr>
          <w:rFonts w:cstheme="minorHAnsi"/>
          <w:sz w:val="24"/>
          <w:szCs w:val="24"/>
        </w:rPr>
        <w:fldChar w:fldCharType="separate"/>
      </w:r>
      <w:r w:rsidR="008F09C1" w:rsidRPr="008F09C1">
        <w:rPr>
          <w:rFonts w:ascii="Arial" w:cs="Arial"/>
          <w:sz w:val="24"/>
          <w:vertAlign w:val="superscript"/>
        </w:rPr>
        <w:t>214</w:t>
      </w:r>
      <w:r w:rsidR="003F63F0">
        <w:rPr>
          <w:rFonts w:cstheme="minorHAnsi"/>
          <w:sz w:val="24"/>
          <w:szCs w:val="24"/>
        </w:rPr>
        <w:fldChar w:fldCharType="end"/>
      </w:r>
      <w:r>
        <w:rPr>
          <w:rFonts w:cstheme="minorHAnsi"/>
          <w:sz w:val="24"/>
          <w:szCs w:val="24"/>
        </w:rPr>
        <w:t xml:space="preserve"> </w:t>
      </w:r>
      <w:r w:rsidR="004A051B">
        <w:rPr>
          <w:rFonts w:cstheme="minorHAnsi"/>
          <w:sz w:val="24"/>
          <w:szCs w:val="24"/>
        </w:rPr>
        <w:t xml:space="preserve">This approach is applicable when the aggregation mechanism follows a sigmoidal curve, </w:t>
      </w:r>
      <w:r w:rsidR="00633542">
        <w:rPr>
          <w:rFonts w:cstheme="minorHAnsi"/>
          <w:sz w:val="24"/>
          <w:szCs w:val="24"/>
        </w:rPr>
        <w:t>having a</w:t>
      </w:r>
      <w:r w:rsidR="004A051B">
        <w:rPr>
          <w:rFonts w:cstheme="minorHAnsi"/>
          <w:sz w:val="24"/>
          <w:szCs w:val="24"/>
        </w:rPr>
        <w:t xml:space="preserve"> lag time. In other words, if the sample form a detectable amount of pre</w:t>
      </w:r>
      <w:r w:rsidR="00633542">
        <w:rPr>
          <w:rFonts w:cstheme="minorHAnsi"/>
          <w:sz w:val="24"/>
          <w:szCs w:val="24"/>
        </w:rPr>
        <w:t>-</w:t>
      </w:r>
      <w:r w:rsidR="004A051B">
        <w:rPr>
          <w:rFonts w:cstheme="minorHAnsi"/>
          <w:sz w:val="24"/>
          <w:szCs w:val="24"/>
        </w:rPr>
        <w:t>fibrilization seeds or oligomers</w:t>
      </w:r>
      <w:r w:rsidR="004D13D1" w:rsidRPr="00904368">
        <w:rPr>
          <w:rFonts w:cstheme="minorHAnsi"/>
          <w:sz w:val="24"/>
          <w:szCs w:val="24"/>
        </w:rPr>
        <w:t>.</w:t>
      </w:r>
      <w:r w:rsidR="0016446D" w:rsidRPr="00904368">
        <w:rPr>
          <w:rFonts w:cstheme="minorHAnsi"/>
          <w:sz w:val="24"/>
          <w:szCs w:val="24"/>
        </w:rPr>
        <w:fldChar w:fldCharType="begin"/>
      </w:r>
      <w:r w:rsidR="008F09C1">
        <w:rPr>
          <w:rFonts w:cstheme="minorHAnsi"/>
          <w:sz w:val="24"/>
          <w:szCs w:val="24"/>
        </w:rPr>
        <w:instrText xml:space="preserve"> ADDIN ZOTERO_ITEM CSL_CITATION {"citationID":"atepu89i7o","properties":{"formattedCitation":"\\super 90\\nosupersub{}","plainCitation":"90","noteIndex":0},"citationItems":[{"id":98,"uris":["http://zotero.org/users/5797676/items/GR8IEZWM"],"itemData":{"id":98,"type":"article-journal","abstract":"Thioflavin T (ThT) has been widely used to investigate amyloid formation since 1989. While concerns have recently been raised about its use as a probe specific for amyloid, ThT still continues to be a very valuable tool for studying kinetic aspects of fibrillation and associated inhibition mechanisms. This review aims to provide a conceptual instruction manual, covering appropriate considerations and pitfalls related to the use of ThT. We start by giving a brief introduction to amyloid formation with focus on the morphology of different aggregate species, followed by a discussion of the quality of protein needed to obtain reliable fibrillation data. After an overview of the photochemical basis for ThT’s amyloid binding properties and artifacts that may arise from this, we describe how to plan and analyze ThT assays. We conclude with recommendations for complementary techniques to address shortcomings in the ThT assay.","container-title":"Amyloid","DOI":"10.1080/13506129.2017.1304905","ISSN":"1350-6129","issue":"1","note":"publisher: Taylor &amp; Francis\n_eprint: https://doi.org/10.1080/13506129.2017.1304905\nPMID: 28393556","page":"1-16","source":"Taylor and Francis+NEJM","title":"ThT 101: a primer on the use of thioflavin T to investigate amyloid formation","title-short":"ThT 101","URL":"https://doi.org/10.1080/13506129.2017.1304905","volume":"24","author":[{"family":"Malmos","given":"Kirsten Gade"},{"family":"Blancas-Mejia","given":"Luis M."},{"family":"Weber","given":"Benedikt"},{"family":"Buchner","given":"Johannes"},{"family":"Ramirez-Alvarado","given":"Marina"},{"family":"Naiki","given":"Hironobu"},{"family":"Otzen","given":"Daniel"}],"accessed":{"date-parts":[["2020",8,15]]},"issued":{"date-parts":[["2017",1,2]]},"citation-key":"malmosThT101Primer2017"}}],"schema":"https://github.com/citation-style-language/schema/raw/master/csl-citation.json"} </w:instrText>
      </w:r>
      <w:r w:rsidR="0016446D" w:rsidRPr="00904368">
        <w:rPr>
          <w:rFonts w:cstheme="minorHAnsi"/>
          <w:sz w:val="24"/>
          <w:szCs w:val="24"/>
        </w:rPr>
        <w:fldChar w:fldCharType="separate"/>
      </w:r>
      <w:r w:rsidR="008F09C1" w:rsidRPr="008F09C1">
        <w:rPr>
          <w:rFonts w:ascii="Arial" w:cs="Arial"/>
          <w:sz w:val="24"/>
          <w:vertAlign w:val="superscript"/>
        </w:rPr>
        <w:t>90</w:t>
      </w:r>
      <w:r w:rsidR="0016446D" w:rsidRPr="00904368">
        <w:rPr>
          <w:rFonts w:cstheme="minorHAnsi"/>
          <w:sz w:val="24"/>
          <w:szCs w:val="24"/>
        </w:rPr>
        <w:fldChar w:fldCharType="end"/>
      </w:r>
      <w:r w:rsidR="004D13D1" w:rsidRPr="00904368">
        <w:rPr>
          <w:rFonts w:cstheme="minorHAnsi"/>
          <w:sz w:val="24"/>
          <w:szCs w:val="24"/>
        </w:rPr>
        <w:t xml:space="preserve"> </w:t>
      </w:r>
      <w:r w:rsidR="004A051B">
        <w:rPr>
          <w:rFonts w:cstheme="minorHAnsi"/>
          <w:sz w:val="24"/>
          <w:szCs w:val="24"/>
        </w:rPr>
        <w:t xml:space="preserve">However, </w:t>
      </w:r>
      <w:r w:rsidR="00633542">
        <w:rPr>
          <w:rFonts w:cstheme="minorHAnsi"/>
          <w:sz w:val="24"/>
          <w:szCs w:val="24"/>
        </w:rPr>
        <w:t>when</w:t>
      </w:r>
      <w:r w:rsidR="004A051B">
        <w:rPr>
          <w:rFonts w:cstheme="minorHAnsi"/>
          <w:sz w:val="24"/>
          <w:szCs w:val="24"/>
        </w:rPr>
        <w:t xml:space="preserve"> the fibrilization of the p</w:t>
      </w:r>
      <w:r w:rsidR="00633542">
        <w:rPr>
          <w:rFonts w:cstheme="minorHAnsi"/>
          <w:sz w:val="24"/>
          <w:szCs w:val="24"/>
        </w:rPr>
        <w:t>rotein</w:t>
      </w:r>
      <w:r w:rsidR="004A051B">
        <w:rPr>
          <w:rFonts w:cstheme="minorHAnsi"/>
          <w:sz w:val="24"/>
          <w:szCs w:val="24"/>
        </w:rPr>
        <w:t xml:space="preserve"> is exponential</w:t>
      </w:r>
      <w:r w:rsidR="00633542">
        <w:rPr>
          <w:rFonts w:cstheme="minorHAnsi"/>
          <w:sz w:val="24"/>
          <w:szCs w:val="24"/>
        </w:rPr>
        <w:t>, no lag time was observed.</w:t>
      </w:r>
      <w:r w:rsidR="009E3EB9" w:rsidRPr="00904368">
        <w:rPr>
          <w:rFonts w:cstheme="minorHAnsi"/>
          <w:sz w:val="24"/>
          <w:szCs w:val="24"/>
        </w:rPr>
        <w:fldChar w:fldCharType="begin"/>
      </w:r>
      <w:r w:rsidR="008F09C1">
        <w:rPr>
          <w:rFonts w:cstheme="minorHAnsi"/>
          <w:sz w:val="24"/>
          <w:szCs w:val="24"/>
        </w:rPr>
        <w:instrText xml:space="preserve"> ADDIN ZOTERO_ITEM CSL_CITATION {"citationID":"a18llh5b372","properties":{"formattedCitation":"\\super 63\\nosupersub{}","plainCitation":"63","noteIndex":0},"citationItems":[{"id":12737,"uris":["http://zotero.org/groups/2667333/items/XKMKHG3K"],"itemData":{"id":12737,"type":"article-journal","abstract":"The misfolding and aberrant assembly of peptides and proteins into fibrillar aggregates is the hallmark of many pathologies. Fibril formation is accompanied by oligomeric species thought to be the primary pathogenic agents in many of these diseases. With the aim of identifying the structural determinants responsible for the toxicity of misfolded oligomers, we created 12 oligomeric variants from the N-terminal domain of the E. coli HypF protein (HypF-N) by replacing one or more charged amino acid residues with neutral apolar residues and allowing the mutated proteins to aggregate under two sets of conditions. The resulting oligomeric species have different degrees of cytotoxicity when added to the extracellular medium of the cells, as assessed by the extent of 3-(4,5-dimethylthiazol-2-yl)-2,5-diphenyltetrazolium bromide (MTT) reduction, apoptosis, and influx of Ca2+ into the cells. The structural properties of the oligomeric variants were characterized by evaluating their surface hydrophobicity with 8-anilinonaphthalene-1-sulfonate (ANS) binding and by measuring their size by means of turbidimetry as well as light scattering. We find that increases in the surface hydrophobicity of the oligomers following mutation can promote the formation of larger assemblies and that the overall toxicity correlates with a combination of both surface hydrophobicity and size, with the most toxic oligomers having high hydrophobicity and small size. These results have allowed the relationships between these three parameters to be studied simultaneously and quantitatively, and have enabled the generation of an equation that is able to rationalize and even predict toxicity of the oligomers resulting from their surface hydrophobicity and size.","container-title":"ACS Chemical Biology","DOI":"10.1021/cb500505m","ISSN":"1554-8929","issue":"10","journalAbbreviation":"ACS Chem. Biol.","note":"publisher: American Chemical Society","page":"2309-2317","source":"ACS Publications","title":"Toxicity of Protein Oligomers Is Rationalized by a Function Combining Size and Surface Hydrophobicity","URL":"https://doi.org/10.1021/cb500505m","volume":"9","author":[{"family":"Mannini","given":"Benedetta"},{"family":"Mulvihill","given":"Estefania"},{"family":"Sgromo","given":"Caterina"},{"family":"Cascella","given":"Roberta"},{"family":"Khodarahmi","given":"Reza"},{"family":"Ramazzotti","given":"Matteo"},{"family":"Dobson","given":"Christopher M."},{"family":"Cecchi","given":"Cristina"},{"family":"Chiti","given":"Fabrizio"}],"accessed":{"date-parts":[["2022",9,22]]},"issued":{"date-parts":[["2014",10,17]]},"citation-key":"mannini_toxicity_2014"}}],"schema":"https://github.com/citation-style-language/schema/raw/master/csl-citation.json"} </w:instrText>
      </w:r>
      <w:r w:rsidR="009E3EB9" w:rsidRPr="00904368">
        <w:rPr>
          <w:rFonts w:cstheme="minorHAnsi"/>
          <w:sz w:val="24"/>
          <w:szCs w:val="24"/>
        </w:rPr>
        <w:fldChar w:fldCharType="separate"/>
      </w:r>
      <w:r w:rsidR="008F09C1" w:rsidRPr="008F09C1">
        <w:rPr>
          <w:rFonts w:ascii="Arial" w:cs="Arial"/>
          <w:sz w:val="24"/>
          <w:vertAlign w:val="superscript"/>
        </w:rPr>
        <w:t>63</w:t>
      </w:r>
      <w:r w:rsidR="009E3EB9" w:rsidRPr="00904368">
        <w:rPr>
          <w:rFonts w:cstheme="minorHAnsi"/>
          <w:sz w:val="24"/>
          <w:szCs w:val="24"/>
        </w:rPr>
        <w:fldChar w:fldCharType="end"/>
      </w:r>
      <w:r w:rsidR="009E3EB9">
        <w:rPr>
          <w:rFonts w:cstheme="minorHAnsi"/>
          <w:sz w:val="24"/>
          <w:szCs w:val="24"/>
        </w:rPr>
        <w:t xml:space="preserve"> </w:t>
      </w:r>
      <w:r w:rsidR="004D13D1" w:rsidRPr="00904368">
        <w:rPr>
          <w:rFonts w:cstheme="minorHAnsi"/>
          <w:sz w:val="24"/>
          <w:szCs w:val="24"/>
        </w:rPr>
        <w:t xml:space="preserve">The possible reason </w:t>
      </w:r>
      <w:r w:rsidR="002F7A01">
        <w:rPr>
          <w:rFonts w:cstheme="minorHAnsi"/>
          <w:sz w:val="24"/>
          <w:szCs w:val="24"/>
        </w:rPr>
        <w:t>is</w:t>
      </w:r>
      <w:r w:rsidR="009E3EB9">
        <w:rPr>
          <w:rFonts w:cstheme="minorHAnsi"/>
          <w:sz w:val="24"/>
          <w:szCs w:val="24"/>
        </w:rPr>
        <w:t xml:space="preserve"> </w:t>
      </w:r>
      <w:r w:rsidR="004D13D1" w:rsidRPr="00904368">
        <w:rPr>
          <w:rFonts w:cstheme="minorHAnsi"/>
          <w:sz w:val="24"/>
          <w:szCs w:val="24"/>
        </w:rPr>
        <w:t>increased hydrophobicity overcom</w:t>
      </w:r>
      <w:r w:rsidR="009E3EB9">
        <w:rPr>
          <w:rFonts w:cstheme="minorHAnsi"/>
          <w:sz w:val="24"/>
          <w:szCs w:val="24"/>
        </w:rPr>
        <w:t>e the</w:t>
      </w:r>
      <w:r w:rsidR="004D13D1" w:rsidRPr="00904368">
        <w:rPr>
          <w:rFonts w:cstheme="minorHAnsi"/>
          <w:sz w:val="24"/>
          <w:szCs w:val="24"/>
        </w:rPr>
        <w:t xml:space="preserve"> nucleation process due to exceeding the kinetic </w:t>
      </w:r>
      <w:r w:rsidR="004A051B">
        <w:rPr>
          <w:rFonts w:cstheme="minorHAnsi"/>
          <w:sz w:val="24"/>
          <w:szCs w:val="24"/>
        </w:rPr>
        <w:t xml:space="preserve">barrier of </w:t>
      </w:r>
      <w:r w:rsidR="009E3EB9">
        <w:rPr>
          <w:rFonts w:cstheme="minorHAnsi"/>
          <w:sz w:val="24"/>
          <w:szCs w:val="24"/>
        </w:rPr>
        <w:t xml:space="preserve">the </w:t>
      </w:r>
      <w:r w:rsidR="004D13D1" w:rsidRPr="00904368">
        <w:rPr>
          <w:rFonts w:cstheme="minorHAnsi"/>
          <w:sz w:val="24"/>
          <w:szCs w:val="24"/>
        </w:rPr>
        <w:t>lag phase</w:t>
      </w:r>
      <w:r w:rsidR="004A051B">
        <w:rPr>
          <w:rFonts w:cstheme="minorHAnsi"/>
          <w:sz w:val="24"/>
          <w:szCs w:val="24"/>
        </w:rPr>
        <w:t xml:space="preserve"> formation</w:t>
      </w:r>
      <w:r w:rsidR="004D13D1" w:rsidRPr="00904368">
        <w:rPr>
          <w:rFonts w:cstheme="minorHAnsi"/>
          <w:sz w:val="24"/>
          <w:szCs w:val="24"/>
        </w:rPr>
        <w:t>. Another study show</w:t>
      </w:r>
      <w:r w:rsidR="009E3EB9">
        <w:rPr>
          <w:rFonts w:cstheme="minorHAnsi"/>
          <w:sz w:val="24"/>
          <w:szCs w:val="24"/>
        </w:rPr>
        <w:t>ed</w:t>
      </w:r>
      <w:r w:rsidR="004D13D1" w:rsidRPr="00904368">
        <w:rPr>
          <w:rFonts w:cstheme="minorHAnsi"/>
          <w:sz w:val="24"/>
          <w:szCs w:val="24"/>
        </w:rPr>
        <w:t xml:space="preserve"> the importance of concentration</w:t>
      </w:r>
      <w:r w:rsidR="00DC3D4A" w:rsidRPr="00904368">
        <w:rPr>
          <w:rFonts w:cstheme="minorHAnsi"/>
          <w:sz w:val="24"/>
          <w:szCs w:val="24"/>
        </w:rPr>
        <w:t>-</w:t>
      </w:r>
      <w:r w:rsidR="004D13D1" w:rsidRPr="00904368">
        <w:rPr>
          <w:rFonts w:cstheme="minorHAnsi"/>
          <w:sz w:val="24"/>
          <w:szCs w:val="24"/>
        </w:rPr>
        <w:t xml:space="preserve">based aggregation mechanism </w:t>
      </w:r>
      <w:r w:rsidR="00480891">
        <w:rPr>
          <w:rFonts w:cstheme="minorHAnsi"/>
          <w:sz w:val="24"/>
          <w:szCs w:val="24"/>
        </w:rPr>
        <w:t xml:space="preserve">of </w:t>
      </w:r>
      <w:r w:rsidR="00633542">
        <w:rPr>
          <w:rFonts w:cstheme="minorHAnsi"/>
          <w:sz w:val="24"/>
          <w:szCs w:val="24"/>
        </w:rPr>
        <w:t xml:space="preserve">a </w:t>
      </w:r>
      <w:r w:rsidR="00480891">
        <w:rPr>
          <w:rFonts w:cstheme="minorHAnsi"/>
          <w:sz w:val="24"/>
          <w:szCs w:val="24"/>
        </w:rPr>
        <w:t xml:space="preserve">small peptide, </w:t>
      </w:r>
      <w:r w:rsidR="004D13D1" w:rsidRPr="00904368">
        <w:rPr>
          <w:rFonts w:cstheme="minorHAnsi"/>
          <w:sz w:val="24"/>
          <w:szCs w:val="24"/>
        </w:rPr>
        <w:t>FGAIL</w:t>
      </w:r>
      <w:r w:rsidR="00480891">
        <w:rPr>
          <w:rFonts w:cstheme="minorHAnsi"/>
          <w:sz w:val="24"/>
          <w:szCs w:val="24"/>
        </w:rPr>
        <w:t>, forming amyloid-like struc</w:t>
      </w:r>
      <w:r w:rsidR="00633542">
        <w:rPr>
          <w:rFonts w:cstheme="minorHAnsi"/>
          <w:sz w:val="24"/>
          <w:szCs w:val="24"/>
        </w:rPr>
        <w:t>tur</w:t>
      </w:r>
      <w:r w:rsidR="00480891">
        <w:rPr>
          <w:rFonts w:cstheme="minorHAnsi"/>
          <w:sz w:val="24"/>
          <w:szCs w:val="24"/>
        </w:rPr>
        <w:t>es</w:t>
      </w:r>
      <w:r w:rsidR="00633542">
        <w:rPr>
          <w:rFonts w:cstheme="minorHAnsi"/>
          <w:sz w:val="24"/>
          <w:szCs w:val="24"/>
        </w:rPr>
        <w:t xml:space="preserve">. </w:t>
      </w:r>
      <w:r w:rsidR="00DC3D4A" w:rsidRPr="00904368">
        <w:rPr>
          <w:rFonts w:cstheme="minorHAnsi"/>
          <w:sz w:val="24"/>
          <w:szCs w:val="24"/>
        </w:rPr>
        <w:fldChar w:fldCharType="begin"/>
      </w:r>
      <w:r w:rsidR="008F09C1">
        <w:rPr>
          <w:rFonts w:cstheme="minorHAnsi"/>
          <w:sz w:val="24"/>
          <w:szCs w:val="24"/>
        </w:rPr>
        <w:instrText xml:space="preserve"> ADDIN ZOTERO_ITEM CSL_CITATION {"citationID":"a15sqabhe3h","properties":{"formattedCitation":"\\super 165\\nosupersub{}","plainCitation":"165","noteIndex":0},"citationItems":[{"id":11971,"uris":["http://zotero.org/groups/2667333/items/VBXF38HS"],"itemData":{"id":11971,"type":"article-journal","abstract":"Transiently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T."}],"accessed":{"date-parts":[["2022",8,9]]},"issued":{"date-parts":[["2017",11,22]]},"citation-key":"serrano_free_2017"}}],"schema":"https://github.com/citation-style-language/schema/raw/master/csl-citation.json"} </w:instrText>
      </w:r>
      <w:r w:rsidR="00DC3D4A" w:rsidRPr="00904368">
        <w:rPr>
          <w:rFonts w:cstheme="minorHAnsi"/>
          <w:sz w:val="24"/>
          <w:szCs w:val="24"/>
        </w:rPr>
        <w:fldChar w:fldCharType="separate"/>
      </w:r>
      <w:r w:rsidR="008F09C1" w:rsidRPr="008F09C1">
        <w:rPr>
          <w:rFonts w:ascii="Arial" w:cs="Arial"/>
          <w:sz w:val="24"/>
          <w:vertAlign w:val="superscript"/>
        </w:rPr>
        <w:t>165</w:t>
      </w:r>
      <w:r w:rsidR="00DC3D4A" w:rsidRPr="00904368">
        <w:rPr>
          <w:rFonts w:cstheme="minorHAnsi"/>
          <w:sz w:val="24"/>
          <w:szCs w:val="24"/>
        </w:rPr>
        <w:fldChar w:fldCharType="end"/>
      </w:r>
      <w:r w:rsidR="004D13D1" w:rsidRPr="00904368">
        <w:rPr>
          <w:rFonts w:cstheme="minorHAnsi"/>
          <w:sz w:val="24"/>
          <w:szCs w:val="24"/>
        </w:rPr>
        <w:t xml:space="preserve"> </w:t>
      </w:r>
      <w:r w:rsidR="00480891">
        <w:rPr>
          <w:rFonts w:cstheme="minorHAnsi"/>
          <w:sz w:val="24"/>
          <w:szCs w:val="24"/>
        </w:rPr>
        <w:t>These studies revealed</w:t>
      </w:r>
      <w:r w:rsidR="002F7A01">
        <w:rPr>
          <w:rFonts w:cstheme="minorHAnsi"/>
          <w:sz w:val="24"/>
          <w:szCs w:val="24"/>
        </w:rPr>
        <w:t xml:space="preserve"> that </w:t>
      </w:r>
      <w:r w:rsidR="00480891">
        <w:rPr>
          <w:rFonts w:cstheme="minorHAnsi"/>
          <w:sz w:val="24"/>
          <w:szCs w:val="24"/>
        </w:rPr>
        <w:t xml:space="preserve">the concentration and the size of the peptides are also affective in </w:t>
      </w:r>
      <w:r w:rsidR="004D13D1" w:rsidRPr="00904368">
        <w:rPr>
          <w:rFonts w:cstheme="minorHAnsi"/>
          <w:sz w:val="24"/>
          <w:szCs w:val="24"/>
        </w:rPr>
        <w:t>slowing aggregation, extending the lag time, and stabilizing the population of oligomers</w:t>
      </w:r>
      <w:r w:rsidR="00480891">
        <w:rPr>
          <w:rFonts w:cstheme="minorHAnsi"/>
          <w:sz w:val="24"/>
          <w:szCs w:val="24"/>
        </w:rPr>
        <w:t>, which all steps of the</w:t>
      </w:r>
      <w:r w:rsidR="004D13D1" w:rsidRPr="00904368">
        <w:rPr>
          <w:rFonts w:cstheme="minorHAnsi"/>
          <w:sz w:val="24"/>
          <w:szCs w:val="24"/>
        </w:rPr>
        <w:t xml:space="preserve"> free energy </w:t>
      </w:r>
      <w:r w:rsidR="00480891">
        <w:rPr>
          <w:rFonts w:cstheme="minorHAnsi"/>
          <w:sz w:val="24"/>
          <w:szCs w:val="24"/>
        </w:rPr>
        <w:t xml:space="preserve">change of monomers to </w:t>
      </w:r>
      <w:r w:rsidR="004D13D1" w:rsidRPr="00904368">
        <w:rPr>
          <w:rFonts w:cstheme="minorHAnsi"/>
          <w:sz w:val="24"/>
          <w:szCs w:val="24"/>
        </w:rPr>
        <w:t>fibril</w:t>
      </w:r>
      <w:r w:rsidR="00480891">
        <w:rPr>
          <w:rFonts w:cstheme="minorHAnsi"/>
          <w:sz w:val="24"/>
          <w:szCs w:val="24"/>
        </w:rPr>
        <w:t xml:space="preserve"> formation</w:t>
      </w:r>
      <w:r w:rsidR="004D13D1" w:rsidRPr="00904368">
        <w:rPr>
          <w:rFonts w:cstheme="minorHAnsi"/>
          <w:sz w:val="24"/>
          <w:szCs w:val="24"/>
        </w:rPr>
        <w:t>.</w:t>
      </w:r>
      <w:r w:rsidR="009E3EB9" w:rsidRPr="00904368">
        <w:rPr>
          <w:rFonts w:cstheme="minorHAnsi"/>
          <w:sz w:val="24"/>
          <w:szCs w:val="24"/>
        </w:rPr>
        <w:fldChar w:fldCharType="begin"/>
      </w:r>
      <w:r w:rsidR="008F09C1">
        <w:rPr>
          <w:rFonts w:cstheme="minorHAnsi"/>
          <w:sz w:val="24"/>
          <w:szCs w:val="24"/>
        </w:rPr>
        <w:instrText xml:space="preserve"> ADDIN ZOTERO_ITEM CSL_CITATION {"citationID":"7BTW0opb","properties":{"formattedCitation":"\\super 165\\nosupersub{}","plainCitation":"165","noteIndex":0},"citationItems":[{"id":11971,"uris":["http://zotero.org/groups/2667333/items/VBXF38HS"],"itemData":{"id":11971,"type":"article-journal","abstract":"Transiently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T."}],"accessed":{"date-parts":[["2022",8,9]]},"issued":{"date-parts":[["2017",11,22]]},"citation-key":"serrano_free_2017"}}],"schema":"https://github.com/citation-style-language/schema/raw/master/csl-citation.json"} </w:instrText>
      </w:r>
      <w:r w:rsidR="009E3EB9" w:rsidRPr="00904368">
        <w:rPr>
          <w:rFonts w:cstheme="minorHAnsi"/>
          <w:sz w:val="24"/>
          <w:szCs w:val="24"/>
        </w:rPr>
        <w:fldChar w:fldCharType="separate"/>
      </w:r>
      <w:r w:rsidR="008F09C1" w:rsidRPr="008F09C1">
        <w:rPr>
          <w:rFonts w:ascii="Arial" w:cs="Arial"/>
          <w:sz w:val="24"/>
          <w:vertAlign w:val="superscript"/>
        </w:rPr>
        <w:t>165</w:t>
      </w:r>
      <w:r w:rsidR="009E3EB9" w:rsidRPr="00904368">
        <w:rPr>
          <w:rFonts w:cstheme="minorHAnsi"/>
          <w:sz w:val="24"/>
          <w:szCs w:val="24"/>
        </w:rPr>
        <w:fldChar w:fldCharType="end"/>
      </w:r>
      <w:r w:rsidR="004D13D1" w:rsidRPr="00904368">
        <w:rPr>
          <w:rFonts w:cstheme="minorHAnsi"/>
          <w:sz w:val="24"/>
          <w:szCs w:val="24"/>
        </w:rPr>
        <w:t xml:space="preserve"> If oligomeric intermediates refold into amyloid fibrils, a free energy for </w:t>
      </w:r>
      <w:r w:rsidR="00412F48">
        <w:rPr>
          <w:rFonts w:cstheme="minorHAnsi"/>
          <w:sz w:val="24"/>
          <w:szCs w:val="24"/>
        </w:rPr>
        <w:t>“</w:t>
      </w:r>
      <w:r w:rsidR="004D13D1" w:rsidRPr="00904368">
        <w:rPr>
          <w:rFonts w:cstheme="minorHAnsi"/>
          <w:sz w:val="24"/>
          <w:szCs w:val="24"/>
        </w:rPr>
        <w:t>oligomer activation" was met.</w:t>
      </w:r>
      <w:r w:rsidR="009E3EB9" w:rsidRPr="00904368">
        <w:rPr>
          <w:rFonts w:cstheme="minorHAnsi"/>
          <w:sz w:val="24"/>
          <w:szCs w:val="24"/>
        </w:rPr>
        <w:fldChar w:fldCharType="begin"/>
      </w:r>
      <w:r w:rsidR="008F09C1">
        <w:rPr>
          <w:rFonts w:cstheme="minorHAnsi"/>
          <w:sz w:val="24"/>
          <w:szCs w:val="24"/>
        </w:rPr>
        <w:instrText xml:space="preserve"> ADDIN ZOTERO_ITEM CSL_CITATION {"citationID":"O3CgwAvZ","properties":{"formattedCitation":"\\super 165\\nosupersub{}","plainCitation":"165","noteIndex":0},"citationItems":[{"id":11971,"uris":["http://zotero.org/groups/2667333/items/VBXF38HS"],"itemData":{"id":11971,"type":"article-journal","abstract":"Transiently populated oligomers formed en route to amyloid fibrils may constitute the most toxic aggregates associated with many amyloid-associated diseases. Most nucleation theories used to describe amyloid aggregation predict low oligomer concentrations and do not take into account free energy costs that may be associated with structural rearrangements between the oligomer and fiber states. We have used isotope labeling and two-dimensional infrared spectroscopy to spectrally resolve an oligomeric intermediate during the aggregation of the human islet amyloid protein (hIAPP or amylin), the protein associated with type II diabetes. A structural rearrangement includes the F23G24A25I26L27 region of hIAPP, which starts from a random coil structure, evolves into ordered β-sheet oligomers containing at least 5 strands, and then partially disorders in the fibril structure. The supercritical concentration is measured to be between 150 and 250 μM, which is the thermodynamic parameter that sets the free energy of the oligomers. A 3-state kinetic model fits the experimental data, but only if it includes a concentration independent free energy barrier &gt;3 kcal/mol that represents the free energy cost of refolding the oligomeric intermediate into the structure of the amyloid fibril; i.e., “oligomer activation” is required. The barrier creates a transition state in the free energy landscape that slows fibril formation and creates a stable population of oligomers during the lag phase, even at concentrations below the supercritical concentration. Largely missing in current kinetic models is a link between structure and kinetics. Our experiments and modeling provide evidence that protein structural rearrangements during aggregation impact the populations and kinetics of toxic oligomeric species.","container-title":"Journal of the American Chemical Society","DOI":"10.1021/jacs.7b08830","ISSN":"0002-7863","issue":"46","journalAbbreviation":"J. Am. Chem. Soc.","note":"publisher: American Chemical Society","page":"16748-16758","source":"ACS Publications","title":"A Free Energy Barrier Caused by the Refolding of an Oligomeric Intermediate Controls the Lag Time of Amyloid Formation by hIAPP","URL":"https://doi.org/10.1021/jacs.7b08830","volume":"139","author":[{"family":"Serrano","given":"Arnaldo L."},{"family":"Lomont","given":"Justin P."},{"family":"Tu","given":"Ling-Hsien"},{"family":"Raleigh","given":"Daniel P."},{"family":"Zanni","given":"Martin T."}],"accessed":{"date-parts":[["2022",8,9]]},"issued":{"date-parts":[["2017",11,22]]},"citation-key":"serrano_free_2017"}}],"schema":"https://github.com/citation-style-language/schema/raw/master/csl-citation.json"} </w:instrText>
      </w:r>
      <w:r w:rsidR="009E3EB9" w:rsidRPr="00904368">
        <w:rPr>
          <w:rFonts w:cstheme="minorHAnsi"/>
          <w:sz w:val="24"/>
          <w:szCs w:val="24"/>
        </w:rPr>
        <w:fldChar w:fldCharType="separate"/>
      </w:r>
      <w:r w:rsidR="008F09C1" w:rsidRPr="008F09C1">
        <w:rPr>
          <w:rFonts w:ascii="Arial" w:cs="Arial"/>
          <w:sz w:val="24"/>
          <w:vertAlign w:val="superscript"/>
        </w:rPr>
        <w:t>165</w:t>
      </w:r>
      <w:r w:rsidR="009E3EB9" w:rsidRPr="00904368">
        <w:rPr>
          <w:rFonts w:cstheme="minorHAnsi"/>
          <w:sz w:val="24"/>
          <w:szCs w:val="24"/>
        </w:rPr>
        <w:fldChar w:fldCharType="end"/>
      </w:r>
      <w:r w:rsidR="009E3EB9">
        <w:rPr>
          <w:rFonts w:cstheme="minorHAnsi"/>
          <w:sz w:val="24"/>
          <w:szCs w:val="24"/>
        </w:rPr>
        <w:t xml:space="preserve"> </w:t>
      </w:r>
    </w:p>
    <w:p w14:paraId="40590A8D" w14:textId="0C0501FA" w:rsidR="0003569C" w:rsidRDefault="00FD29F3" w:rsidP="004D13D1">
      <w:pPr>
        <w:spacing w:line="480" w:lineRule="auto"/>
        <w:rPr>
          <w:rFonts w:cstheme="minorHAnsi"/>
          <w:sz w:val="24"/>
          <w:szCs w:val="24"/>
        </w:rPr>
      </w:pPr>
      <w:r>
        <w:rPr>
          <w:rFonts w:cstheme="minorHAnsi"/>
          <w:sz w:val="24"/>
          <w:szCs w:val="24"/>
        </w:rPr>
        <w:t xml:space="preserve">Proteins that are in the unfolded oligomeric state interact with the cell membrane in a higher level. </w:t>
      </w:r>
      <w:r w:rsidR="00FF6751">
        <w:rPr>
          <w:rFonts w:cstheme="minorHAnsi"/>
          <w:sz w:val="24"/>
          <w:szCs w:val="24"/>
        </w:rPr>
        <w:t>The hydrophobic residues that are typically in the core of the folded proteins become dispersed on the surface of unfolded oligomer proteins. These hydrophobic residues facilitate the adherence and penetration of the unfolded peptides into the plasma membrane.</w:t>
      </w:r>
      <w:r w:rsidRPr="00FD29F3">
        <w:rPr>
          <w:rFonts w:cstheme="minorHAnsi"/>
          <w:sz w:val="24"/>
          <w:szCs w:val="24"/>
        </w:rPr>
        <w:t xml:space="preserve"> </w:t>
      </w:r>
      <w:r>
        <w:rPr>
          <w:rFonts w:cstheme="minorHAnsi"/>
          <w:sz w:val="24"/>
          <w:szCs w:val="24"/>
        </w:rPr>
        <w:t>Cell membrane interactions of the e</w:t>
      </w:r>
      <w:r w:rsidRPr="00904368">
        <w:rPr>
          <w:rFonts w:cstheme="minorHAnsi"/>
          <w:sz w:val="24"/>
          <w:szCs w:val="24"/>
        </w:rPr>
        <w:t>arly oligomers</w:t>
      </w:r>
      <w:r>
        <w:rPr>
          <w:rFonts w:cstheme="minorHAnsi"/>
          <w:sz w:val="24"/>
          <w:szCs w:val="24"/>
        </w:rPr>
        <w:t xml:space="preserve"> are causing lipid membrane disruption and initiating </w:t>
      </w:r>
      <w:r w:rsidRPr="00904368">
        <w:rPr>
          <w:rFonts w:cstheme="minorHAnsi"/>
          <w:sz w:val="24"/>
          <w:szCs w:val="24"/>
        </w:rPr>
        <w:t>essential cellular functions.</w:t>
      </w:r>
      <w:r w:rsidRPr="00904368">
        <w:rPr>
          <w:rFonts w:cstheme="minorHAnsi"/>
          <w:sz w:val="24"/>
          <w:szCs w:val="24"/>
        </w:rPr>
        <w:fldChar w:fldCharType="begin"/>
      </w:r>
      <w:r w:rsidR="008F09C1">
        <w:rPr>
          <w:rFonts w:cstheme="minorHAnsi"/>
          <w:sz w:val="24"/>
          <w:szCs w:val="24"/>
        </w:rPr>
        <w:instrText xml:space="preserve"> ADDIN ZOTERO_ITEM CSL_CITATION {"citationID":"a1onsh5n9hk","properties":{"formattedCitation":"\\super 215\\nosupersub{}","plainCitation":"215","noteIndex":0},"citationItems":[{"id":11699,"uris":["http://zotero.org/groups/2667333/items/HCJM8LCT"],"itemData":{"id":11699,"type":"article-journal","abstract":"Amyloid cytotoxicity, structure and polymorphisms are themes of increasing importance. Present knowledge considers any peptide/protein able to undergo misfolding and aggregation generating intrinsically cytotoxic amyloids. It also describes growth and structure of amyloid fibrils and their possible disassembly, whereas reduced information is available on oligomer structure. Recent research has highlighted the importance of the environmental conditions as determinants of the amyloid polymorphisms and cytotoxicity. Another body of evidence describes chemical or biological surfaces as key sites of protein misfolding and aggregation or of interaction with amyloids and the resulting biochemical modifications inducing cell functional/viability impairment. In particular, the membrane lipid composition appears to modulate cell response to toxic amyloids, thus contributing to explain the variable vulnerability to the same amyloids of different cell types. Finally, a recent view describes amyloid toxicity as an emerging property dependent on a complex interplay between the biophysical features of early aggregates and the interacting cell membranes taken as a whole system.","collection-title":"XXI SIBPA Meeting","container-title":"Biophysical Chemistry","DOI":"10.1016/j.bpc.2013.06.003","ISSN":"0301-4622","journalAbbreviation":"Biophysical Chemistry","language":"en","page":"30-43","source":"ScienceDirect","title":"The amyloid-cell membrane system. The interplay between the biophysical features of oligomers/fibrils and cell membrane defines amyloid toxicity","URL":"https://www.sciencedirect.com/science/article/pii/S0301462213000926","volume":"182","author":[{"family":"Cecchi","given":"Cristina"},{"family":"Stefani","given":"Massimo"}],"accessed":{"date-parts":[["2022",7,8]]},"issued":{"date-parts":[["2013",12,1]]},"citation-key":"cecchi_amyloid-cell_2013"}}],"schema":"https://github.com/citation-style-language/schema/raw/master/csl-citation.json"} </w:instrText>
      </w:r>
      <w:r w:rsidRPr="00904368">
        <w:rPr>
          <w:rFonts w:cstheme="minorHAnsi"/>
          <w:sz w:val="24"/>
          <w:szCs w:val="24"/>
        </w:rPr>
        <w:fldChar w:fldCharType="separate"/>
      </w:r>
      <w:r w:rsidR="008F09C1" w:rsidRPr="008F09C1">
        <w:rPr>
          <w:rFonts w:ascii="Arial" w:cs="Arial"/>
          <w:sz w:val="24"/>
          <w:vertAlign w:val="superscript"/>
        </w:rPr>
        <w:t>215</w:t>
      </w:r>
      <w:r w:rsidRPr="00904368">
        <w:rPr>
          <w:rFonts w:cstheme="minorHAnsi"/>
          <w:sz w:val="24"/>
          <w:szCs w:val="24"/>
        </w:rPr>
        <w:fldChar w:fldCharType="end"/>
      </w:r>
      <w:r>
        <w:rPr>
          <w:rFonts w:cstheme="minorHAnsi"/>
          <w:sz w:val="24"/>
          <w:szCs w:val="24"/>
        </w:rPr>
        <w:t xml:space="preserve"> </w:t>
      </w:r>
      <w:r w:rsidR="004D13D1" w:rsidRPr="00904368">
        <w:rPr>
          <w:rFonts w:cstheme="minorHAnsi"/>
          <w:sz w:val="24"/>
          <w:szCs w:val="24"/>
        </w:rPr>
        <w:t>For example, A</w:t>
      </w:r>
      <w:r w:rsidR="00DC3D4A" w:rsidRPr="00904368">
        <w:rPr>
          <w:rFonts w:cstheme="minorHAnsi"/>
          <w:sz w:val="24"/>
          <w:szCs w:val="24"/>
        </w:rPr>
        <w:sym w:font="Symbol" w:char="F062"/>
      </w:r>
      <w:r w:rsidR="004D13D1" w:rsidRPr="00904368">
        <w:rPr>
          <w:rFonts w:cstheme="minorHAnsi"/>
          <w:sz w:val="24"/>
          <w:szCs w:val="24"/>
        </w:rPr>
        <w:t>42 (which has additional I and A) is more hydrophobic and more cytotoxic than A</w:t>
      </w:r>
      <w:r w:rsidR="00DC3D4A" w:rsidRPr="00904368">
        <w:rPr>
          <w:rFonts w:cstheme="minorHAnsi"/>
          <w:sz w:val="24"/>
          <w:szCs w:val="24"/>
        </w:rPr>
        <w:sym w:font="Symbol" w:char="F062"/>
      </w:r>
      <w:r w:rsidR="004D13D1" w:rsidRPr="00904368">
        <w:rPr>
          <w:rFonts w:cstheme="minorHAnsi"/>
          <w:sz w:val="24"/>
          <w:szCs w:val="24"/>
        </w:rPr>
        <w:t>40 isoform</w:t>
      </w:r>
      <w:r w:rsidR="00DC3D4A" w:rsidRPr="00904368">
        <w:rPr>
          <w:rFonts w:cstheme="minorHAnsi"/>
          <w:sz w:val="24"/>
          <w:szCs w:val="24"/>
        </w:rPr>
        <w:t>.</w:t>
      </w:r>
      <w:r w:rsidR="00DC3D4A" w:rsidRPr="00904368">
        <w:rPr>
          <w:rFonts w:cstheme="minorHAnsi"/>
          <w:sz w:val="24"/>
          <w:szCs w:val="24"/>
        </w:rPr>
        <w:fldChar w:fldCharType="begin"/>
      </w:r>
      <w:r w:rsidR="008F09C1">
        <w:rPr>
          <w:rFonts w:cstheme="minorHAnsi"/>
          <w:sz w:val="24"/>
          <w:szCs w:val="24"/>
        </w:rPr>
        <w:instrText xml:space="preserve"> ADDIN ZOTERO_ITEM CSL_CITATION {"citationID":"a2kr9kegka","properties":{"formattedCitation":"\\super 216\\nosupersub{}","plainCitation":"216","noteIndex":0},"citationItems":[{"id":11708,"uris":["http://zotero.org/groups/2667333/items/7WSB3NHU"],"itemData":{"id":11708,"type":"article-journal","abstract":"The amyloid peptides Aβ40 and Aβ42 of Alzheimer's disease contribute differentially to the disease process. The findings show here that small changes in the Aβ42/40 ratio have significant effects on the neurotoxicity of Aβ mixtures., The amyloid peptides Aβ40 and Aβ42 of Alzheimer's disease are thought to contribute differentially to the disease process. Although Aβ42 seems more pathogenic than Aβ40, the reason for this is not well understood. We show here that small alterations in the Aβ42:Aβ40 ratio dramatically affect the biophysical and biological properties of the Aβ mixtures reflected in their aggregation kinetics, the morphology of the resulting amyloid fibrils and synaptic function tested in vitro and in vivo. A minor increase in the Aβ42:Aβ40 ratio stabilizes toxic oligomeric species with intermediate conformations. The initial toxic impact of these Aβ species is synaptic in nature, but this can spread into the cells leading to neuronal cell death. The fact that the relative ratio of Aβ peptides is more crucial than the absolute amounts of peptides for the induction of neurotoxic conformations has important implications for anti-amyloid therapy. Our work also suggests the dynamic nature of the equilibrium between toxic and non-toxic intermediates.","container-title":"The EMBO Journal","DOI":"10.1038/emboj.2010.211","ISSN":"0261-4189","issue":"19","journalAbbreviation":"EMBO J","note":"PMID: 20818335\nPMCID: PMC2957213","page":"3408-3420","source":"PubMed Central","title":"Neurotoxicity of Alzheimer's disease Aβ peptides is induced by small changes in the Aβ42 to Aβ40 ratio","URL":"https://www.ncbi.nlm.nih.gov/pmc/articles/PMC2957213/","volume":"29","author":[{"family":"Kuperstein","given":"Inna"},{"family":"Broersen","given":"Kerensa"},{"family":"Benilova","given":"Iryna"},{"family":"Rozenski","given":"Jef"},{"family":"Jonckheere","given":"Wim"},{"family":"Debulpaep","given":"Maja"},{"family":"Vandersteen","given":"Annelies"},{"family":"Segers-Nolten","given":"Ine"},{"family":"Van Der Werf","given":"Kees"},{"family":"Subramaniam","given":"Vinod"},{"family":"Braeken","given":"Dries"},{"family":"Callewaert","given":"Geert"},{"family":"Bartic","given":"Carmen"},{"family":"D'Hooge","given":"Rudi"},{"family":"Martins","given":"Ivo Cristiano"},{"family":"Rousseau","given":"Frederic"},{"family":"Schymkowitz","given":"Joost"},{"family":"De Strooper","given":"Bart"}],"accessed":{"date-parts":[["2022",7,8]]},"issued":{"date-parts":[["2010",10,6]]},"citation-key":"kuperstein_neurotoxicity_2010"}}],"schema":"https://github.com/citation-style-language/schema/raw/master/csl-citation.json"} </w:instrText>
      </w:r>
      <w:r w:rsidR="00DC3D4A" w:rsidRPr="00904368">
        <w:rPr>
          <w:rFonts w:cstheme="minorHAnsi"/>
          <w:sz w:val="24"/>
          <w:szCs w:val="24"/>
        </w:rPr>
        <w:fldChar w:fldCharType="separate"/>
      </w:r>
      <w:r w:rsidR="008F09C1" w:rsidRPr="008F09C1">
        <w:rPr>
          <w:rFonts w:ascii="Arial" w:cs="Arial"/>
          <w:sz w:val="24"/>
          <w:vertAlign w:val="superscript"/>
        </w:rPr>
        <w:t>216</w:t>
      </w:r>
      <w:r w:rsidR="00DC3D4A" w:rsidRPr="00904368">
        <w:rPr>
          <w:rFonts w:cstheme="minorHAnsi"/>
          <w:sz w:val="24"/>
          <w:szCs w:val="24"/>
        </w:rPr>
        <w:fldChar w:fldCharType="end"/>
      </w:r>
      <w:r w:rsidR="00DC3D4A" w:rsidRPr="00904368">
        <w:rPr>
          <w:rFonts w:cstheme="minorHAnsi"/>
          <w:sz w:val="24"/>
          <w:szCs w:val="24"/>
        </w:rPr>
        <w:t xml:space="preserve"> </w:t>
      </w:r>
      <w:r w:rsidR="004D13D1" w:rsidRPr="00904368">
        <w:rPr>
          <w:rFonts w:cstheme="minorHAnsi"/>
          <w:sz w:val="24"/>
          <w:szCs w:val="24"/>
        </w:rPr>
        <w:t xml:space="preserve">Furthermore, </w:t>
      </w:r>
      <w:r w:rsidR="009E3EB9">
        <w:rPr>
          <w:rFonts w:cstheme="minorHAnsi"/>
          <w:sz w:val="24"/>
          <w:szCs w:val="24"/>
        </w:rPr>
        <w:t xml:space="preserve">the </w:t>
      </w:r>
      <w:r w:rsidR="004D13D1" w:rsidRPr="00904368">
        <w:rPr>
          <w:rFonts w:cstheme="minorHAnsi"/>
          <w:sz w:val="24"/>
          <w:szCs w:val="24"/>
        </w:rPr>
        <w:t>size of the oligomers is another parameter showing the membrane localization and penetration</w:t>
      </w:r>
      <w:r w:rsidR="0003569C">
        <w:rPr>
          <w:rFonts w:cstheme="minorHAnsi"/>
          <w:sz w:val="24"/>
          <w:szCs w:val="24"/>
        </w:rPr>
        <w:t>;</w:t>
      </w:r>
      <w:r w:rsidR="00FF6751">
        <w:rPr>
          <w:rFonts w:cstheme="minorHAnsi"/>
          <w:sz w:val="24"/>
          <w:szCs w:val="24"/>
        </w:rPr>
        <w:t xml:space="preserve"> the </w:t>
      </w:r>
      <w:r w:rsidR="0003569C">
        <w:rPr>
          <w:rFonts w:cstheme="minorHAnsi"/>
          <w:sz w:val="24"/>
          <w:szCs w:val="24"/>
        </w:rPr>
        <w:t xml:space="preserve">decrease in size of the oligomers has known increase effect on the cytotoxicity, due to the </w:t>
      </w:r>
      <w:r w:rsidR="0003569C" w:rsidRPr="00904368">
        <w:rPr>
          <w:rFonts w:cstheme="minorHAnsi"/>
          <w:sz w:val="24"/>
          <w:szCs w:val="24"/>
        </w:rPr>
        <w:t>enhanced binding capability of small oligomers to the membrane</w:t>
      </w:r>
      <w:r w:rsidR="004D13D1" w:rsidRPr="00904368">
        <w:rPr>
          <w:rFonts w:cstheme="minorHAnsi"/>
          <w:sz w:val="24"/>
          <w:szCs w:val="24"/>
        </w:rPr>
        <w:t>.</w:t>
      </w:r>
      <w:r w:rsidR="00DC3D4A" w:rsidRPr="00904368">
        <w:rPr>
          <w:rFonts w:cstheme="minorHAnsi"/>
          <w:sz w:val="24"/>
          <w:szCs w:val="24"/>
        </w:rPr>
        <w:fldChar w:fldCharType="begin"/>
      </w:r>
      <w:r w:rsidR="008F09C1">
        <w:rPr>
          <w:rFonts w:cstheme="minorHAnsi"/>
          <w:sz w:val="24"/>
          <w:szCs w:val="24"/>
        </w:rPr>
        <w:instrText xml:space="preserve"> ADDIN ZOTERO_ITEM CSL_CITATION {"citationID":"a976u200s9","properties":{"formattedCitation":"\\super 217\\nosupersub{}","plainCitation":"217","noteIndex":0},"citationItems":[{"id":12928,"uris":["http://zotero.org/groups/2667333/items/C7TPU8VL"],"itemData":{"id":12928,"type":"article-journal","abstract":"The link between the size of soluble amyloid beta (Abeta) oligomers and their toxicity to rat cerebellar granule cells (CGC) was investigated. Variation in conditions during in vitro oligomerization of Abeta(1-42) resulted in peptide assemblies with different particle size as measured by atomic force microscopy and confirmed by dynamic light scattering and fluorescence correlation spectroscopy. Small oligomers of Abeta(1-42) with a mean particle z-height of 1-2 nm exhibited propensity to bind to phospholipid vesicles and they were the most toxic species that induced rapid neuronal necrosis at submicromolar concentrations whereas the bigger aggregates (z-height above 4-5 nm) did not bind vesicles and did not cause detectable neuronal death. A similar neurotoxic pattern was also observed in primary cultures of cortex neurons whereas Abeta(1-42) oligomers, monomers and fibrils were non-toxic to glial cells in CGC cultures or macrophage J774 cells. However, both oligomeric forms of Abeta(1-42) induced reduction of neuronal cell densities in the CGC cultures.","container-title":"Archives of Biochemistry and Biophysics","DOI":"10.1016/j.abb.2010.02.001","ISSN":"1096-0384","issue":"2","journalAbbreviation":"Arch Biochem Biophys","language":"eng","note":"PMID: 20153288\nPMCID: PMC2853175","page":"84-92","source":"PubMed","title":"Size-dependent neurotoxicity of beta-amyloid oligomers","volume":"496","author":[{"family":"Cizas","given":"Paulius"},{"family":"Budvytyte","given":"Rima"},{"family":"Morkuniene","given":"Ramune"},{"family":"Moldovan","given":"Radu"},{"family":"Broccio","given":"Matteo"},{"family":"Lösche","given":"Mathias"},{"family":"Niaura","given":"Gediminas"},{"family":"Valincius","given":"Gintaras"},{"family":"Borutaite","given":"Vilmante"}],"issued":{"date-parts":[["2010",4,15]]},"citation-key":"cizas_size-dependent_2010"}}],"schema":"https://github.com/citation-style-language/schema/raw/master/csl-citation.json"} </w:instrText>
      </w:r>
      <w:r w:rsidR="00DC3D4A" w:rsidRPr="00904368">
        <w:rPr>
          <w:rFonts w:cstheme="minorHAnsi"/>
          <w:sz w:val="24"/>
          <w:szCs w:val="24"/>
        </w:rPr>
        <w:fldChar w:fldCharType="separate"/>
      </w:r>
      <w:r w:rsidR="008F09C1" w:rsidRPr="008F09C1">
        <w:rPr>
          <w:rFonts w:ascii="Arial" w:cs="Arial"/>
          <w:sz w:val="24"/>
          <w:vertAlign w:val="superscript"/>
        </w:rPr>
        <w:t>217</w:t>
      </w:r>
      <w:r w:rsidR="00DC3D4A" w:rsidRPr="00904368">
        <w:rPr>
          <w:rFonts w:cstheme="minorHAnsi"/>
          <w:sz w:val="24"/>
          <w:szCs w:val="24"/>
        </w:rPr>
        <w:fldChar w:fldCharType="end"/>
      </w:r>
      <w:r w:rsidR="004D13D1" w:rsidRPr="00904368">
        <w:rPr>
          <w:rFonts w:cstheme="minorHAnsi"/>
          <w:sz w:val="24"/>
          <w:szCs w:val="24"/>
        </w:rPr>
        <w:t xml:space="preserve"> </w:t>
      </w:r>
      <w:r w:rsidR="0003569C">
        <w:rPr>
          <w:rFonts w:cstheme="minorHAnsi"/>
          <w:sz w:val="24"/>
          <w:szCs w:val="24"/>
        </w:rPr>
        <w:t xml:space="preserve">The accumulation of the amyloid-structures on the plasma membrane create </w:t>
      </w:r>
      <w:r w:rsidR="004D13D1" w:rsidRPr="00904368">
        <w:rPr>
          <w:rFonts w:cstheme="minorHAnsi"/>
          <w:sz w:val="24"/>
          <w:szCs w:val="24"/>
        </w:rPr>
        <w:t>damage</w:t>
      </w:r>
      <w:r w:rsidR="00A05B7B">
        <w:rPr>
          <w:rFonts w:cstheme="minorHAnsi"/>
          <w:sz w:val="24"/>
          <w:szCs w:val="24"/>
        </w:rPr>
        <w:t xml:space="preserve"> which</w:t>
      </w:r>
      <w:r w:rsidR="00A05B7B" w:rsidRPr="00904368">
        <w:rPr>
          <w:rFonts w:cstheme="minorHAnsi"/>
          <w:sz w:val="24"/>
          <w:szCs w:val="24"/>
        </w:rPr>
        <w:t xml:space="preserve"> </w:t>
      </w:r>
      <w:r w:rsidR="004D13D1" w:rsidRPr="00904368">
        <w:rPr>
          <w:rFonts w:cstheme="minorHAnsi"/>
          <w:sz w:val="24"/>
          <w:szCs w:val="24"/>
        </w:rPr>
        <w:t xml:space="preserve">results in </w:t>
      </w:r>
      <w:r w:rsidR="00E52A61">
        <w:rPr>
          <w:rFonts w:cstheme="minorHAnsi"/>
          <w:sz w:val="24"/>
          <w:szCs w:val="24"/>
        </w:rPr>
        <w:t xml:space="preserve">an </w:t>
      </w:r>
      <w:r w:rsidR="004D13D1" w:rsidRPr="00904368">
        <w:rPr>
          <w:rFonts w:cstheme="minorHAnsi"/>
          <w:sz w:val="24"/>
          <w:szCs w:val="24"/>
        </w:rPr>
        <w:t>inflammatory response</w:t>
      </w:r>
      <w:r w:rsidR="00A05B7B">
        <w:rPr>
          <w:rFonts w:cstheme="minorHAnsi"/>
          <w:sz w:val="24"/>
          <w:szCs w:val="24"/>
        </w:rPr>
        <w:t xml:space="preserve"> and</w:t>
      </w:r>
      <w:r w:rsidR="004D13D1" w:rsidRPr="00904368">
        <w:rPr>
          <w:rFonts w:cstheme="minorHAnsi"/>
          <w:sz w:val="24"/>
          <w:szCs w:val="24"/>
        </w:rPr>
        <w:t xml:space="preserve"> causes chronic activation of innate-immune systems by </w:t>
      </w:r>
      <w:r w:rsidR="00E52A61">
        <w:rPr>
          <w:rFonts w:cstheme="minorHAnsi"/>
          <w:sz w:val="24"/>
          <w:szCs w:val="24"/>
        </w:rPr>
        <w:t>releasing</w:t>
      </w:r>
      <w:r w:rsidR="004D13D1" w:rsidRPr="00904368">
        <w:rPr>
          <w:rFonts w:cstheme="minorHAnsi"/>
          <w:sz w:val="24"/>
          <w:szCs w:val="24"/>
        </w:rPr>
        <w:t xml:space="preserve"> damage</w:t>
      </w:r>
      <w:r w:rsidR="00E52A61">
        <w:rPr>
          <w:rFonts w:cstheme="minorHAnsi"/>
          <w:sz w:val="24"/>
          <w:szCs w:val="24"/>
        </w:rPr>
        <w:t>-</w:t>
      </w:r>
      <w:r w:rsidR="004D13D1" w:rsidRPr="00904368">
        <w:rPr>
          <w:rFonts w:cstheme="minorHAnsi"/>
          <w:sz w:val="24"/>
          <w:szCs w:val="24"/>
        </w:rPr>
        <w:t>associated molecular patterns (DAMPs).</w:t>
      </w:r>
      <w:r w:rsidR="00FA2FE4" w:rsidRPr="00904368">
        <w:rPr>
          <w:rFonts w:cstheme="minorHAnsi"/>
          <w:sz w:val="24"/>
          <w:szCs w:val="24"/>
        </w:rPr>
        <w:fldChar w:fldCharType="begin"/>
      </w:r>
      <w:r w:rsidR="008F09C1">
        <w:rPr>
          <w:rFonts w:cstheme="minorHAnsi"/>
          <w:sz w:val="24"/>
          <w:szCs w:val="24"/>
        </w:rPr>
        <w:instrText xml:space="preserve"> ADDIN ZOTERO_ITEM CSL_CITATION {"citationID":"a17452ss94f","properties":{"formattedCitation":"\\super 218,219\\nosupersub{}","plainCitation":"218,219","noteIndex":0},"citationItems":[{"id":12931,"uris":["http://zotero.org/groups/2667333/items/93IH6IRC"],"itemData":{"id":12931,"type":"article-journal","abstract":"Pathogen-associated molecular patterns (PAMPs) and endogenous “danger” signals, known as danger-associated molecular patterns (DAMPs), released from cells alert the innate immune system and activate several signal transduction pathways through interactions with the highly conserved pattern recognition receptors (PRRs). Both PAMPs and DAMPs directly induce proinflammatory cascades and trigger the formation of the inflammasome, mediating the release of cytokines. Here, we highlight the role of DAMPs, including amyloid β (Aβ), high-mobility group box 1 (HMGB1), the S100 family proteins, chromogranin A, and nucleic acids, in the innate-immune activation during the course of Alzheimer disease (AD), the most frequent neurodegenerative disorder.","container-title":"Journal of Leukocyte Biology","DOI":"10.1189/jlb.3MR0416-204R","ISSN":"1938-3673","issue":"1","language":"en","note":"_eprint: https://onlinelibrary.wiley.com/doi/pdf/10.1189/jlb.3MR0416-204R","page":"87-98","source":"Wiley Online Library","title":"Danger-associated molecular patterns in Alzheimer’s disease","URL":"https://onlinelibrary.wiley.com/doi/abs/10.1189/jlb.3MR0416-204R","volume":"101","author":[{"family":"Venegas","given":"Carmen"},{"family":"Heneka","given":"Michael T."}],"accessed":{"date-parts":[["2022",9,29]]},"issued":{"date-parts":[["2017"]]},"citation-key":"venegas_danger-associated_2017"}},{"id":12937,"uris":["http://zotero.org/groups/2667333/items/J7H77J9F"],"itemData":{"id":12937,"type":"article-journal","abstract":"Neuroinflammation is characterized by microglial and astroglial cell activation, and is frequently associated with neurodegenerative disease.Aberrant or misfolded proteins can activate pattern recognition receptors that are expressed by innate immune cells of the brain, leading to neuroinflammatory responses.Pro-inflammatory mediators — such as cytokines, chemokines, complement components and free radicals — can lead to functional impairments and structural changes in the brain.Mutations in genes that encode innate immune proteins, such as triggering receptor expressed by myeloid cells 2 (TREM2) and CD33, may increase the risk of developing certain neurodegenerative diseases.Several exogenous factors — such as midlife obesity, poor oral health or systemic inflammation — may drive the pathogenesis of neurodegenerative disease by augmenting neuroinflammation.A better understanding of the innate immune mechanisms that promote neuroinflammation may enable the future development of anti-inflammatory and neuroprotective therapies for neurodegenerative diseases. These therapies have to be carefully considered, as innate immune pathways can have beneficial, as well as pathological, roles in the brain.","container-title":"Nature Reviews Immunology","DOI":"10.1038/nri3705","ISSN":"1474-1741","issue":"7","journalAbbreviation":"Nat Rev Immunol","language":"en","license":"2014 Nature Publishing Group, a division of Macmillan Publishers Limited. All Rights Reserved.","note":"number: 7\npublisher: Nature Publishing Group","page":"463-477","source":"www.nature.com","title":"Innate immune activation in neurodegenerative disease","URL":"https://www.nature.com/articles/nri3705","volume":"14","author":[{"family":"Heneka","given":"Michael T."},{"family":"Kummer","given":"Markus P."},{"family":"Latz","given":"Eicke"}],"accessed":{"date-parts":[["2022",9,29]]},"issued":{"date-parts":[["2014",7]]},"citation-key":"heneka_innate_2014"}}],"schema":"https://github.com/citation-style-language/schema/raw/master/csl-citation.json"} </w:instrText>
      </w:r>
      <w:r w:rsidR="00FA2FE4" w:rsidRPr="00904368">
        <w:rPr>
          <w:rFonts w:cstheme="minorHAnsi"/>
          <w:sz w:val="24"/>
          <w:szCs w:val="24"/>
        </w:rPr>
        <w:fldChar w:fldCharType="separate"/>
      </w:r>
      <w:r w:rsidR="008F09C1" w:rsidRPr="008F09C1">
        <w:rPr>
          <w:rFonts w:ascii="Arial" w:cs="Arial"/>
          <w:sz w:val="24"/>
          <w:vertAlign w:val="superscript"/>
        </w:rPr>
        <w:t>218,219</w:t>
      </w:r>
      <w:r w:rsidR="00FA2FE4" w:rsidRPr="00904368">
        <w:rPr>
          <w:rFonts w:cstheme="minorHAnsi"/>
          <w:sz w:val="24"/>
          <w:szCs w:val="24"/>
        </w:rPr>
        <w:fldChar w:fldCharType="end"/>
      </w:r>
      <w:r w:rsidR="00FA2FE4" w:rsidRPr="00904368">
        <w:rPr>
          <w:rFonts w:cstheme="minorHAnsi"/>
          <w:sz w:val="24"/>
          <w:szCs w:val="24"/>
        </w:rPr>
        <w:t xml:space="preserve"> </w:t>
      </w:r>
    </w:p>
    <w:p w14:paraId="6B3A9B5A" w14:textId="53385400" w:rsidR="007B54DC" w:rsidRDefault="00FD29F3" w:rsidP="004D13D1">
      <w:pPr>
        <w:spacing w:line="480" w:lineRule="auto"/>
        <w:rPr>
          <w:rFonts w:cstheme="minorHAnsi"/>
          <w:sz w:val="24"/>
          <w:szCs w:val="24"/>
        </w:rPr>
      </w:pPr>
      <w:r>
        <w:rPr>
          <w:rFonts w:cstheme="minorHAnsi"/>
          <w:sz w:val="24"/>
          <w:szCs w:val="24"/>
        </w:rPr>
        <w:t xml:space="preserve">Despite the evidenced importance of </w:t>
      </w:r>
      <w:r w:rsidR="0003569C">
        <w:rPr>
          <w:rFonts w:cstheme="minorHAnsi"/>
          <w:sz w:val="24"/>
          <w:szCs w:val="24"/>
        </w:rPr>
        <w:t xml:space="preserve">understanding the structure-property relationship of the </w:t>
      </w:r>
      <w:r>
        <w:rPr>
          <w:rFonts w:cstheme="minorHAnsi"/>
          <w:sz w:val="24"/>
          <w:szCs w:val="24"/>
        </w:rPr>
        <w:t>amyloid-forming</w:t>
      </w:r>
      <w:r w:rsidR="0003569C">
        <w:rPr>
          <w:rFonts w:cstheme="minorHAnsi"/>
          <w:sz w:val="24"/>
          <w:szCs w:val="24"/>
        </w:rPr>
        <w:t xml:space="preserve"> cytotoxic peptides </w:t>
      </w:r>
      <w:r>
        <w:rPr>
          <w:rFonts w:cstheme="minorHAnsi"/>
          <w:sz w:val="24"/>
          <w:szCs w:val="24"/>
        </w:rPr>
        <w:t xml:space="preserve">for </w:t>
      </w:r>
      <w:r w:rsidR="00DA7EB8">
        <w:rPr>
          <w:rFonts w:cstheme="minorHAnsi"/>
          <w:sz w:val="24"/>
          <w:szCs w:val="24"/>
        </w:rPr>
        <w:t>understanding</w:t>
      </w:r>
      <w:r w:rsidR="0003569C">
        <w:rPr>
          <w:rFonts w:cstheme="minorHAnsi"/>
          <w:sz w:val="24"/>
          <w:szCs w:val="24"/>
        </w:rPr>
        <w:t xml:space="preserve"> the mechanism and progression of the disease</w:t>
      </w:r>
      <w:r w:rsidR="004D13D1" w:rsidRPr="00904368">
        <w:rPr>
          <w:rFonts w:cstheme="minorHAnsi"/>
          <w:sz w:val="24"/>
          <w:szCs w:val="24"/>
        </w:rPr>
        <w:t xml:space="preserve">, the dynamic process of amyloid aggregation and heterogeneity limits the studies related </w:t>
      </w:r>
      <w:r w:rsidR="00E52A61">
        <w:rPr>
          <w:rFonts w:cstheme="minorHAnsi"/>
          <w:sz w:val="24"/>
          <w:szCs w:val="24"/>
        </w:rPr>
        <w:t xml:space="preserve">to </w:t>
      </w:r>
      <w:r w:rsidR="004D13D1" w:rsidRPr="00904368">
        <w:rPr>
          <w:rFonts w:cstheme="minorHAnsi"/>
          <w:sz w:val="24"/>
          <w:szCs w:val="24"/>
        </w:rPr>
        <w:t>oligomer</w:t>
      </w:r>
      <w:r w:rsidR="00E52A61">
        <w:rPr>
          <w:rFonts w:cstheme="minorHAnsi"/>
          <w:sz w:val="24"/>
          <w:szCs w:val="24"/>
        </w:rPr>
        <w:t>-</w:t>
      </w:r>
      <w:r w:rsidR="004D13D1" w:rsidRPr="00904368">
        <w:rPr>
          <w:rFonts w:cstheme="minorHAnsi"/>
          <w:sz w:val="24"/>
          <w:szCs w:val="24"/>
        </w:rPr>
        <w:t xml:space="preserve">based </w:t>
      </w:r>
      <w:r w:rsidR="00FA2FE4" w:rsidRPr="00904368">
        <w:rPr>
          <w:rFonts w:cstheme="minorHAnsi"/>
          <w:sz w:val="24"/>
          <w:szCs w:val="24"/>
        </w:rPr>
        <w:t>cytotoxicity</w:t>
      </w:r>
      <w:r w:rsidR="004D13D1" w:rsidRPr="00904368">
        <w:rPr>
          <w:rFonts w:cstheme="minorHAnsi"/>
          <w:sz w:val="24"/>
          <w:szCs w:val="24"/>
        </w:rPr>
        <w:t xml:space="preserve">. To understand the relationship </w:t>
      </w:r>
      <w:r w:rsidR="0003569C">
        <w:rPr>
          <w:rFonts w:cstheme="minorHAnsi"/>
          <w:sz w:val="24"/>
          <w:szCs w:val="24"/>
        </w:rPr>
        <w:t>of structure-property of amyloidogenic oligomers</w:t>
      </w:r>
      <w:r w:rsidR="00A05B7B">
        <w:rPr>
          <w:rFonts w:cstheme="minorHAnsi"/>
          <w:sz w:val="24"/>
          <w:szCs w:val="24"/>
        </w:rPr>
        <w:t xml:space="preserve">: i. </w:t>
      </w:r>
      <w:r w:rsidR="0003569C">
        <w:rPr>
          <w:rFonts w:cstheme="minorHAnsi"/>
          <w:sz w:val="24"/>
          <w:szCs w:val="24"/>
        </w:rPr>
        <w:t>samples were taken in different times of the fibrilization,</w:t>
      </w:r>
      <w:r w:rsidR="00A05B7B" w:rsidRPr="00904368">
        <w:rPr>
          <w:rFonts w:cstheme="minorHAnsi"/>
          <w:sz w:val="24"/>
          <w:szCs w:val="24"/>
        </w:rPr>
        <w:fldChar w:fldCharType="begin"/>
      </w:r>
      <w:r w:rsidR="008F09C1">
        <w:rPr>
          <w:rFonts w:cstheme="minorHAnsi"/>
          <w:sz w:val="24"/>
          <w:szCs w:val="24"/>
        </w:rPr>
        <w:instrText xml:space="preserve"> ADDIN ZOTERO_ITEM CSL_CITATION {"citationID":"a2mk2i9dq7r","properties":{"formattedCitation":"\\super 220\\nosupersub{}","plainCitation":"220","noteIndex":0},"citationItems":[{"id":11193,"uris":["http://zotero.org/groups/2667333/items/HHUA6T3D"],"itemData":{"id":11193,"type":"article-journal","abstract":"Oligomeric assemblies formed from a variety of disease-associated peptides and proteins have been strongly associated with toxicity in many neurodegenerative conditions, such as Alzheimer’s disease. The precise nature of the toxic agents, however, remains still to be established. We show that prefibrillar aggregates of E22G (arctic) variant of the Aβ1−42 peptide bind strongly to 1-anilinonaphthalene 8-sulfonate and that changes in this property correlate significantly with changes in its cytotoxicity. Moreover, we show that this phenomenon is common to other amyloid systems, such as wild-type Aβ1–42, the I59T variant of human lysozyme and an SH3 domain. These findings are consistent with a model in which the exposure of hydrophobic surfaces as a result of the aggregation of misfolded species is a crucial and common feature of these pathogenic species.","container-title":"ACS Chemical Biology","DOI":"10.1021/cb1001203","ISSN":"1554-8929","issue":"8","journalAbbreviation":"ACS Chem. Biol.","note":"publisher: American Chemical Society","page":"735-740","source":"ACS Publications","title":"ANS Binding Reveals Common Features of Cytotoxic Amyloid Species","URL":"https://doi.org/10.1021/cb1001203","volume":"5","author":[{"family":"Bolognesi","given":"Benedetta"},{"family":"Kumita","given":"Janet R."},{"family":"Barros","given":"Teresa P."},{"family":"Esbjorner","given":"Elin K."},{"family":"Luheshi","given":"Leila M."},{"family":"Crowther","given":"Damian C."},{"family":"Wilson","given":"Mark R."},{"family":"Dobson","given":"Christopher M."},{"family":"Favrin","given":"Giorgio"},{"family":"Yerbury","given":"Justin J."}],"accessed":{"date-parts":[["2022",6,6]]},"issued":{"date-parts":[["2010",8,20]]},"citation-key":"bolognesi_ans_2010"}}],"schema":"https://github.com/citation-style-language/schema/raw/master/csl-citation.json"} </w:instrText>
      </w:r>
      <w:r w:rsidR="00A05B7B" w:rsidRPr="00904368">
        <w:rPr>
          <w:rFonts w:cstheme="minorHAnsi"/>
          <w:sz w:val="24"/>
          <w:szCs w:val="24"/>
        </w:rPr>
        <w:fldChar w:fldCharType="separate"/>
      </w:r>
      <w:r w:rsidR="008F09C1" w:rsidRPr="008F09C1">
        <w:rPr>
          <w:rFonts w:ascii="Arial" w:cs="Arial"/>
          <w:sz w:val="24"/>
          <w:vertAlign w:val="superscript"/>
        </w:rPr>
        <w:t>220</w:t>
      </w:r>
      <w:r w:rsidR="00A05B7B" w:rsidRPr="00904368">
        <w:rPr>
          <w:rFonts w:cstheme="minorHAnsi"/>
          <w:sz w:val="24"/>
          <w:szCs w:val="24"/>
        </w:rPr>
        <w:fldChar w:fldCharType="end"/>
      </w:r>
      <w:r w:rsidR="0003569C">
        <w:rPr>
          <w:rFonts w:cstheme="minorHAnsi"/>
          <w:sz w:val="24"/>
          <w:szCs w:val="24"/>
        </w:rPr>
        <w:t xml:space="preserve"> </w:t>
      </w:r>
      <w:r w:rsidR="00A05B7B">
        <w:rPr>
          <w:rFonts w:cstheme="minorHAnsi"/>
          <w:sz w:val="24"/>
          <w:szCs w:val="24"/>
        </w:rPr>
        <w:t xml:space="preserve">ii. </w:t>
      </w:r>
      <w:r w:rsidR="007B54DC">
        <w:rPr>
          <w:rFonts w:cstheme="minorHAnsi"/>
          <w:sz w:val="24"/>
          <w:szCs w:val="24"/>
        </w:rPr>
        <w:t>aggregation was stopped by using various inhibitors,</w:t>
      </w:r>
      <w:r w:rsidR="00A05B7B" w:rsidRPr="00904368">
        <w:rPr>
          <w:rFonts w:cstheme="minorHAnsi"/>
          <w:sz w:val="24"/>
          <w:szCs w:val="24"/>
        </w:rPr>
        <w:fldChar w:fldCharType="begin"/>
      </w:r>
      <w:r w:rsidR="008F09C1">
        <w:rPr>
          <w:rFonts w:cstheme="minorHAnsi"/>
          <w:sz w:val="24"/>
          <w:szCs w:val="24"/>
        </w:rPr>
        <w:instrText xml:space="preserve"> ADDIN ZOTERO_ITEM CSL_CITATION {"citationID":"a2qh7i8vt86","properties":{"formattedCitation":"\\super 221\\nosupersub{}","plainCitation":"221","noteIndex":0},"citationItems":[{"id":11603,"uris":["http://zotero.org/groups/2667333/items/ZLKIM4UY"],"itemData":{"id":11603,"type":"article-journal","container-title":"Science","DOI":"10.1126/science.1079469","issue":"5618","note":"publisher: American Association for the Advancement of Science","page":"486-489","source":"science.org (Atypon)","title":"Common Structure of Soluble Amyloid Oligomers Implies Common Mechanism of Pathogenesis","URL":"https://www.science.org/doi/10.1126/science.1079469","volume":"300","author":[{"family":"Kayed","given":"Rakez"},{"family":"Head","given":"Elizabeth"},{"family":"Thompson","given":"Jennifer L."},{"family":"McIntire","given":"Theresa M."},{"family":"Milton","given":"Saskia C."},{"family":"Cotman","given":"Carl W."},{"family":"Glabe","given":"Charles G."}],"accessed":{"date-parts":[["2022",7,6]]},"issued":{"date-parts":[["2003",4,18]]},"citation-key":"kayed_common_2003"}}],"schema":"https://github.com/citation-style-language/schema/raw/master/csl-citation.json"} </w:instrText>
      </w:r>
      <w:r w:rsidR="00A05B7B" w:rsidRPr="00904368">
        <w:rPr>
          <w:rFonts w:cstheme="minorHAnsi"/>
          <w:sz w:val="24"/>
          <w:szCs w:val="24"/>
        </w:rPr>
        <w:fldChar w:fldCharType="separate"/>
      </w:r>
      <w:r w:rsidR="008F09C1" w:rsidRPr="008F09C1">
        <w:rPr>
          <w:rFonts w:ascii="Arial" w:cs="Arial"/>
          <w:sz w:val="24"/>
          <w:vertAlign w:val="superscript"/>
        </w:rPr>
        <w:t>221</w:t>
      </w:r>
      <w:r w:rsidR="00A05B7B" w:rsidRPr="00904368">
        <w:rPr>
          <w:rFonts w:cstheme="minorHAnsi"/>
          <w:sz w:val="24"/>
          <w:szCs w:val="24"/>
        </w:rPr>
        <w:fldChar w:fldCharType="end"/>
      </w:r>
      <w:r w:rsidR="007B54DC">
        <w:rPr>
          <w:rFonts w:cstheme="minorHAnsi"/>
          <w:sz w:val="24"/>
          <w:szCs w:val="24"/>
        </w:rPr>
        <w:t xml:space="preserve"> </w:t>
      </w:r>
      <w:r w:rsidR="00A05B7B">
        <w:rPr>
          <w:rFonts w:cstheme="minorHAnsi"/>
          <w:sz w:val="24"/>
          <w:szCs w:val="24"/>
        </w:rPr>
        <w:t xml:space="preserve">iii. </w:t>
      </w:r>
      <w:r w:rsidR="007B54DC">
        <w:rPr>
          <w:rFonts w:cstheme="minorHAnsi"/>
          <w:sz w:val="24"/>
          <w:szCs w:val="24"/>
        </w:rPr>
        <w:t>oligomers were isolated based on their sizes and conformation with highly challenging techniques.</w:t>
      </w:r>
      <w:r w:rsidR="00A05B7B" w:rsidRPr="00904368">
        <w:rPr>
          <w:rFonts w:cstheme="minorHAnsi"/>
          <w:sz w:val="24"/>
          <w:szCs w:val="24"/>
        </w:rPr>
        <w:fldChar w:fldCharType="begin"/>
      </w:r>
      <w:r w:rsidR="008F09C1">
        <w:rPr>
          <w:rFonts w:cstheme="minorHAnsi"/>
          <w:sz w:val="24"/>
          <w:szCs w:val="24"/>
        </w:rPr>
        <w:instrText xml:space="preserve"> ADDIN ZOTERO_ITEM CSL_CITATION {"citationID":"ab3lv6d64g","properties":{"formattedCitation":"\\super 222\\nosupersub{}","plainCitation":"222","noteIndex":0},"citationItems":[{"id":12940,"uris":["http://zotero.org/groups/2667333/items/NIJQYZ9M"],"itemData":{"id":12940,"type":"article-journal","container-title":"Chemical Society Reviews","DOI":"10.1039/C6CS00731G","issue":"2","language":"en","note":"publisher: Royal Society of Chemistry","page":"310-323","source":"pubs.rsc.org","title":"Towards an understanding of amyloid-β oligomers: characterization, toxicity mechanisms, and inhibitors","title-short":"Towards an understanding of amyloid-β oligomers","URL":"https://pubs.rsc.org/en/content/articlelanding/2017/cs/c6cs00731g","volume":"46","author":[{"family":"C. Lee","given":"Shin Jung"},{"family":"Nam","given":"Eunju"},{"family":"Jin Lee","given":"Hyuck"},{"family":"G. Savelieff","given":"Masha"},{"family":"Hee Lim","given":"Mi"}],"accessed":{"date-parts":[["2022",9,29]]},"issued":{"date-parts":[["2017"]]},"citation-key":"clee_towards_2017"}}],"schema":"https://github.com/citation-style-language/schema/raw/master/csl-citation.json"} </w:instrText>
      </w:r>
      <w:r w:rsidR="00A05B7B" w:rsidRPr="00904368">
        <w:rPr>
          <w:rFonts w:cstheme="minorHAnsi"/>
          <w:sz w:val="24"/>
          <w:szCs w:val="24"/>
        </w:rPr>
        <w:fldChar w:fldCharType="separate"/>
      </w:r>
      <w:r w:rsidR="008F09C1" w:rsidRPr="008F09C1">
        <w:rPr>
          <w:rFonts w:ascii="Arial" w:cs="Arial"/>
          <w:sz w:val="24"/>
          <w:vertAlign w:val="superscript"/>
        </w:rPr>
        <w:t>222</w:t>
      </w:r>
      <w:r w:rsidR="00A05B7B" w:rsidRPr="00904368">
        <w:rPr>
          <w:rFonts w:cstheme="minorHAnsi"/>
          <w:sz w:val="24"/>
          <w:szCs w:val="24"/>
        </w:rPr>
        <w:fldChar w:fldCharType="end"/>
      </w:r>
      <w:r w:rsidR="00A05B7B">
        <w:rPr>
          <w:rFonts w:cstheme="minorHAnsi"/>
          <w:sz w:val="24"/>
          <w:szCs w:val="24"/>
        </w:rPr>
        <w:t xml:space="preserve"> </w:t>
      </w:r>
      <w:r w:rsidR="007B54DC">
        <w:rPr>
          <w:rFonts w:cstheme="minorHAnsi"/>
          <w:sz w:val="24"/>
          <w:szCs w:val="24"/>
        </w:rPr>
        <w:t xml:space="preserve">However, there is no technique that allows the formation of oligomers with different aggregation kinetics of the same peptide, which could provide a systematic understanding of the structure-property and cytotoxicity relationship of amyloids. </w:t>
      </w:r>
    </w:p>
    <w:p w14:paraId="5824B910" w14:textId="47E5301C" w:rsidR="00FA2FE4" w:rsidRDefault="004D13D1" w:rsidP="004D13D1">
      <w:pPr>
        <w:spacing w:line="480" w:lineRule="auto"/>
        <w:rPr>
          <w:rFonts w:cstheme="minorHAnsi"/>
          <w:sz w:val="24"/>
          <w:szCs w:val="24"/>
        </w:rPr>
      </w:pPr>
      <w:r w:rsidRPr="00904368">
        <w:rPr>
          <w:rFonts w:cstheme="minorHAnsi"/>
          <w:sz w:val="24"/>
          <w:szCs w:val="24"/>
        </w:rPr>
        <w:t xml:space="preserve">Previously, we created a co-assembling oppositely charged (CoOP) </w:t>
      </w:r>
      <w:r w:rsidR="007B54DC">
        <w:rPr>
          <w:rFonts w:cstheme="minorHAnsi"/>
          <w:sz w:val="24"/>
          <w:szCs w:val="24"/>
        </w:rPr>
        <w:t>as a strategy to study the effects of intermolecular interactions on the amyloid formation with small peptides.</w:t>
      </w:r>
      <w:r w:rsidR="00FA2FE4" w:rsidRPr="00904368">
        <w:rPr>
          <w:rFonts w:cstheme="minorHAnsi"/>
          <w:sz w:val="24"/>
          <w:szCs w:val="24"/>
        </w:rPr>
        <w:fldChar w:fldCharType="begin"/>
      </w:r>
      <w:r w:rsidR="008F09C1">
        <w:rPr>
          <w:rFonts w:cstheme="minorHAnsi"/>
          <w:sz w:val="24"/>
          <w:szCs w:val="24"/>
        </w:rPr>
        <w:instrText xml:space="preserve"> ADDIN ZOTERO_ITEM CSL_CITATION {"citationID":"ahgfv0cfdo","properties":{"formattedCitation":"\\super 168\\nosupersub{}","plainCitation":"168","noteIndex":0},"citationItems":[{"id":10392,"uris":["http://zotero.org/groups/2667333/items/CDKDX376"],"itemData":{"id":10392,"type":"article-journal","abstract":"Co-assembly of oppositely charged peptides (CoOP) links intermolecular interactions and material properties.","archive_location":"world","container-title":"Science Advances","DOI":"10.1126/sciadv.abj0305","language":"EN","license":"Copyright © 2022 The Authors, some rights reserved; exclusive licensee American Association for the Advancement of Science. No claim to original U.S. Government Works. Distributed under a Creative Commons Attribution NonCommercial License 4.0 (CC BY-NC).","note":"publisher: American Association for the Advancement of Science\ntex.ids= doi:10.1126/sciadv.abj0305","source":"www.science.org","title":"Peptide framework for screening the effects of amino acids on assembly","URL":"https://www.science.org/doi/abs/10.1126/sciadv.abj0305","author":[{"family":"Hamsici","given":"Seren"},{"family":"White","given":"Andrew D."},{"family":"Acar","given":"Handan"}],"accessed":{"date-parts":[["2022",1,19]]},"issued":{"date-parts":[["2022",1]]},"citation-key":"hamsici_peptide_2022"}}],"schema":"https://github.com/citation-style-language/schema/raw/master/csl-citation.json"} </w:instrText>
      </w:r>
      <w:r w:rsidR="00FA2FE4" w:rsidRPr="00904368">
        <w:rPr>
          <w:rFonts w:cstheme="minorHAnsi"/>
          <w:sz w:val="24"/>
          <w:szCs w:val="24"/>
        </w:rPr>
        <w:fldChar w:fldCharType="separate"/>
      </w:r>
      <w:r w:rsidR="008F09C1" w:rsidRPr="008F09C1">
        <w:rPr>
          <w:rFonts w:ascii="Arial" w:cs="Arial"/>
          <w:sz w:val="24"/>
          <w:vertAlign w:val="superscript"/>
        </w:rPr>
        <w:t>168</w:t>
      </w:r>
      <w:r w:rsidR="00FA2FE4" w:rsidRPr="00904368">
        <w:rPr>
          <w:rFonts w:cstheme="minorHAnsi"/>
          <w:sz w:val="24"/>
          <w:szCs w:val="24"/>
        </w:rPr>
        <w:fldChar w:fldCharType="end"/>
      </w:r>
      <w:r w:rsidR="00FA2FE4" w:rsidRPr="00904368">
        <w:rPr>
          <w:rFonts w:cstheme="minorHAnsi"/>
          <w:sz w:val="24"/>
          <w:szCs w:val="24"/>
        </w:rPr>
        <w:t xml:space="preserve"> </w:t>
      </w:r>
      <w:r w:rsidR="007B54DC">
        <w:rPr>
          <w:rFonts w:cstheme="minorHAnsi"/>
          <w:sz w:val="24"/>
          <w:szCs w:val="24"/>
        </w:rPr>
        <w:t xml:space="preserve">By utilizing this tool, we identified that CoOPs formed with diisoleucine [II] show amyloid-like structures that also induced </w:t>
      </w:r>
      <w:r w:rsidRPr="00904368">
        <w:rPr>
          <w:rFonts w:cstheme="minorHAnsi"/>
          <w:sz w:val="24"/>
          <w:szCs w:val="24"/>
        </w:rPr>
        <w:t>membrane damage</w:t>
      </w:r>
      <w:r w:rsidR="007B54DC">
        <w:rPr>
          <w:rFonts w:cstheme="minorHAnsi"/>
          <w:sz w:val="24"/>
          <w:szCs w:val="24"/>
        </w:rPr>
        <w:t xml:space="preserve"> and immunogenic cell death</w:t>
      </w:r>
      <w:r w:rsidR="00DA7EB8">
        <w:rPr>
          <w:rFonts w:cstheme="minorHAnsi"/>
          <w:sz w:val="24"/>
          <w:szCs w:val="24"/>
        </w:rPr>
        <w:t>,</w:t>
      </w:r>
      <w:r w:rsidR="007B54DC">
        <w:rPr>
          <w:rFonts w:cstheme="minorHAnsi"/>
          <w:sz w:val="24"/>
          <w:szCs w:val="24"/>
        </w:rPr>
        <w:t xml:space="preserve"> of which effects </w:t>
      </w:r>
      <w:r w:rsidR="00DA7EB8">
        <w:rPr>
          <w:rFonts w:cstheme="minorHAnsi"/>
          <w:sz w:val="24"/>
          <w:szCs w:val="24"/>
        </w:rPr>
        <w:t xml:space="preserve">we </w:t>
      </w:r>
      <w:r w:rsidR="007B54DC">
        <w:rPr>
          <w:rFonts w:cstheme="minorHAnsi"/>
          <w:sz w:val="24"/>
          <w:szCs w:val="24"/>
        </w:rPr>
        <w:t xml:space="preserve">harvested </w:t>
      </w:r>
      <w:r w:rsidRPr="00904368">
        <w:rPr>
          <w:rFonts w:cstheme="minorHAnsi"/>
          <w:sz w:val="24"/>
          <w:szCs w:val="24"/>
        </w:rPr>
        <w:t>as a vaccine adjuvant against influenza</w:t>
      </w:r>
      <w:r w:rsidR="00FA2FE4" w:rsidRPr="00904368">
        <w:rPr>
          <w:rFonts w:cstheme="minorHAnsi"/>
          <w:sz w:val="24"/>
          <w:szCs w:val="24"/>
        </w:rPr>
        <w:t>.</w:t>
      </w:r>
      <w:r w:rsidR="00FA2FE4" w:rsidRPr="00904368">
        <w:rPr>
          <w:rFonts w:cstheme="minorHAnsi"/>
          <w:sz w:val="24"/>
          <w:szCs w:val="24"/>
        </w:rPr>
        <w:fldChar w:fldCharType="begin"/>
      </w:r>
      <w:r w:rsidR="008F09C1">
        <w:rPr>
          <w:rFonts w:cstheme="minorHAnsi"/>
          <w:sz w:val="24"/>
          <w:szCs w:val="24"/>
        </w:rPr>
        <w:instrText xml:space="preserve"> ADDIN ZOTERO_ITEM CSL_CITATION {"citationID":"a28bt6d7n1s","properties":{"formattedCitation":"\\super 169\\nosupersub{}","plainCitation":"169","noteIndex":0},"citationItems":[{"id":11147,"uris":["http://zotero.org/groups/2667333/items/Y7SGNY6E"],"itemData":{"id":11147,"type":"article-journal","abstract":"Immunogenic cell death (ICD) arises when cells are under stress, and their membranes are damaged. They release damage-associated molecular patterns (DAMPs) that stimulate and drive the type and magnitude of the immune response. In the presence of an antigen, DAMPs ride the longevity and efficacy of antigen-specific immunity. Yet, no tool can induce the controlled ICD with predictable results. A peptide-based tool, [II], is designed that aggregates in the cell and causes cell membrane damage, generates ICD and DAMPs release on various cell types, and hence can act as an adjuvant. An influenza vaccine is prepared by combining [II] with influenza hemagglutinin (HA) subunit antigens. The results show that [II] induced significantly higher HA-specific immunoglobulin G1 (IgG1) and IgG2a antibodies than HA-only immunized mice, while the peptide itself did not elicit antibodies. This paper demonstrates the first peptide-aggregation induced immunogenic rupture (PAIIR) approach as a vaccine adjuvant. PAIIR is a promising adjuvant with a high potential to promote universal protection upon influenza HA vaccination.","container-title":"Advanced Science","DOI":"10.1002/advs.202105868","ISSN":"2198-3844","issue":"n/a","language":"en","note":"_eprint: https://onlinelibrary.wiley.com/doi/pdf/10.1002/advs.202105868","page":"2105868","source":"Wiley Online Library","title":"Peptide Aggregation Induced Immunogenic Rupture (PAIIR)","URL":"https://onlinelibrary.wiley.com/doi/abs/10.1002/advs.202105868","volume":"n/a","author":[{"family":"Gunay","given":"Gokhan"},{"family":"Hamsici","given":"Seren"},{"family":"Lang","given":"Gillian A."},{"family":"Lang","given":"Mark L."},{"family":"Kovats","given":"Susan"},{"family":"Acar","given":"Handan"}],"accessed":{"date-parts":[["2022",5,28]]},"issued":{"date-parts":[["2022"]]},"citation-key":"gunay_peptide_2022"}}],"schema":"https://github.com/citation-style-language/schema/raw/master/csl-citation.json"} </w:instrText>
      </w:r>
      <w:r w:rsidR="00FA2FE4" w:rsidRPr="00904368">
        <w:rPr>
          <w:rFonts w:cstheme="minorHAnsi"/>
          <w:sz w:val="24"/>
          <w:szCs w:val="24"/>
        </w:rPr>
        <w:fldChar w:fldCharType="separate"/>
      </w:r>
      <w:r w:rsidR="008F09C1" w:rsidRPr="008F09C1">
        <w:rPr>
          <w:rFonts w:ascii="Arial" w:cs="Arial"/>
          <w:sz w:val="24"/>
          <w:vertAlign w:val="superscript"/>
        </w:rPr>
        <w:t>169</w:t>
      </w:r>
      <w:r w:rsidR="00FA2FE4" w:rsidRPr="00904368">
        <w:rPr>
          <w:rFonts w:cstheme="minorHAnsi"/>
          <w:sz w:val="24"/>
          <w:szCs w:val="24"/>
        </w:rPr>
        <w:fldChar w:fldCharType="end"/>
      </w:r>
      <w:r w:rsidR="00FA2FE4" w:rsidRPr="00904368">
        <w:rPr>
          <w:rFonts w:cstheme="minorHAnsi"/>
          <w:sz w:val="24"/>
          <w:szCs w:val="24"/>
        </w:rPr>
        <w:t xml:space="preserve"> </w:t>
      </w:r>
      <w:r w:rsidRPr="00904368">
        <w:rPr>
          <w:rFonts w:cstheme="minorHAnsi"/>
          <w:sz w:val="24"/>
          <w:szCs w:val="24"/>
        </w:rPr>
        <w:t xml:space="preserve">Furthermore, we applied this tool to </w:t>
      </w:r>
      <w:r w:rsidR="00DA7EB8">
        <w:rPr>
          <w:rFonts w:cstheme="minorHAnsi"/>
          <w:sz w:val="24"/>
          <w:szCs w:val="24"/>
        </w:rPr>
        <w:t>induce</w:t>
      </w:r>
      <w:r w:rsidR="00DA7EB8" w:rsidRPr="00904368">
        <w:rPr>
          <w:rFonts w:cstheme="minorHAnsi"/>
          <w:sz w:val="24"/>
          <w:szCs w:val="24"/>
        </w:rPr>
        <w:t xml:space="preserve"> </w:t>
      </w:r>
      <w:r w:rsidRPr="00904368">
        <w:rPr>
          <w:rFonts w:cstheme="minorHAnsi"/>
          <w:sz w:val="24"/>
          <w:szCs w:val="24"/>
        </w:rPr>
        <w:t>controllable membrane damage by changing the peptide aggregation with albumin</w:t>
      </w:r>
      <w:r w:rsidR="00DA7EB8">
        <w:rPr>
          <w:rFonts w:cstheme="minorHAnsi"/>
          <w:sz w:val="24"/>
          <w:szCs w:val="24"/>
        </w:rPr>
        <w:t xml:space="preserve">, the degree of DAMP release from cells, which regulated the </w:t>
      </w:r>
      <w:r w:rsidR="00DA7EB8" w:rsidRPr="00904368">
        <w:rPr>
          <w:rFonts w:cstheme="minorHAnsi"/>
          <w:sz w:val="24"/>
          <w:szCs w:val="24"/>
        </w:rPr>
        <w:t>antigen specific antibody production</w:t>
      </w:r>
      <w:r w:rsidR="00DA7EB8">
        <w:rPr>
          <w:rFonts w:cstheme="minorHAnsi"/>
          <w:sz w:val="24"/>
          <w:szCs w:val="24"/>
        </w:rPr>
        <w:t xml:space="preserve"> in vivo</w:t>
      </w:r>
      <w:r w:rsidR="00FA2FE4" w:rsidRPr="00904368">
        <w:rPr>
          <w:rFonts w:cstheme="minorHAnsi"/>
          <w:sz w:val="24"/>
          <w:szCs w:val="24"/>
        </w:rPr>
        <w:t>.</w:t>
      </w:r>
      <w:r w:rsidR="00FA2FE4" w:rsidRPr="00904368">
        <w:rPr>
          <w:rFonts w:cstheme="minorHAnsi"/>
          <w:sz w:val="24"/>
          <w:szCs w:val="24"/>
        </w:rPr>
        <w:fldChar w:fldCharType="begin"/>
      </w:r>
      <w:r w:rsidR="008F09C1">
        <w:rPr>
          <w:rFonts w:cstheme="minorHAnsi"/>
          <w:sz w:val="24"/>
          <w:szCs w:val="24"/>
        </w:rPr>
        <w:instrText xml:space="preserve"> ADDIN ZOTERO_ITEM CSL_CITATION {"citationID":"a1hqo5h97a8","properties":{"formattedCitation":"\\super 213\\nosupersub{}","plainCitation":"213","noteIndex":0},"citationItems":[{"id":12383,"uris":["http://zotero.org/groups/2667333/items/FBHSQD6A"],"itemData":{"id":12383,"type":"article-journal","abstract":"Aggregation of otherwise soluble proteins into amyloid structures is a hallmark of many disorders, such as Alzheimer's and Parkinson's. There is increasing evidence that the small aggregations, instead of ordered fibrillar aggregates, are the main toxic structures. However, the studies on the small aggregation phase are limited due to the variety of structures and the complexity of the physiological environment. Here, we showed an engineered co-assembling oppositely charged amyloid-like peptide pair ([II]) as a simple tool to establish methodologies to study the mechanism and kinetics of aggregation and relate its aggregation to toxicity. The toxicity mechanism of [II] is through cell membrane damage and cell stress, as shown with YAP and eIF2α, as in the amyloid protein-initiated diseases. Albumin is demonstrated as an extrinsic and physiologically relevant molecule in controlling [II] aggregation lag time and its toxicity. This study represents a molecular engineering strategy to create simplistic molecular tools for establishing methodologies to study the aggregation process and kinetics of amyloid-like proteins in various conditions. Understanding the nature of protein aggregation kinetics and linking them to their biological functions through engineered peptides paves the way for future designs and drug development applications. This article is protected by copyright. All rights reserved.","container-title":"AIChE Journal","DOI":"10.1002/aic.17893","ISSN":"1547-5905","issue":"n/a","language":"en","note":"_eprint: https://onlinelibrary.wiley.com/doi/pdf/10.1002/aic.17893\nCitation Key: hamsici_controllable_2022","page":"e17893","source":"Wiley Online Library","title":"Controllable membrane damage by tunable peptide aggregation with albumin","URL":"https://onlinelibrary.wiley.com/doi/abs/10.1002/aic.17893","volume":"n/a","author":[{"family":"Hamsici","given":"Seren"},{"family":"Gunay","given":"Gokhan"},{"family":"Acar","given":"Handan"}],"accessed":{"date-parts":[["2022",9,10]]},"issued":{"date-parts":[["2022"]]},"citation-key":"hamsici_controllable_2022"}}],"schema":"https://github.com/citation-style-language/schema/raw/master/csl-citation.json"} </w:instrText>
      </w:r>
      <w:r w:rsidR="00FA2FE4" w:rsidRPr="00904368">
        <w:rPr>
          <w:rFonts w:cstheme="minorHAnsi"/>
          <w:sz w:val="24"/>
          <w:szCs w:val="24"/>
        </w:rPr>
        <w:fldChar w:fldCharType="separate"/>
      </w:r>
      <w:r w:rsidR="008F09C1" w:rsidRPr="008F09C1">
        <w:rPr>
          <w:rFonts w:ascii="Arial" w:cs="Arial"/>
          <w:sz w:val="24"/>
          <w:vertAlign w:val="superscript"/>
        </w:rPr>
        <w:t>213</w:t>
      </w:r>
      <w:r w:rsidR="00FA2FE4" w:rsidRPr="00904368">
        <w:rPr>
          <w:rFonts w:cstheme="minorHAnsi"/>
          <w:sz w:val="24"/>
          <w:szCs w:val="24"/>
        </w:rPr>
        <w:fldChar w:fldCharType="end"/>
      </w:r>
      <w:r w:rsidR="00FA2FE4" w:rsidRPr="00904368">
        <w:rPr>
          <w:rFonts w:cstheme="minorHAnsi"/>
          <w:sz w:val="24"/>
          <w:szCs w:val="24"/>
        </w:rPr>
        <w:t xml:space="preserve"> </w:t>
      </w:r>
      <w:r w:rsidRPr="00904368">
        <w:rPr>
          <w:rFonts w:cstheme="minorHAnsi"/>
          <w:sz w:val="24"/>
          <w:szCs w:val="24"/>
        </w:rPr>
        <w:t xml:space="preserve"> In this study, we analyzed </w:t>
      </w:r>
      <w:r w:rsidR="00DA7EB8">
        <w:rPr>
          <w:rFonts w:cstheme="minorHAnsi"/>
          <w:sz w:val="24"/>
          <w:szCs w:val="24"/>
        </w:rPr>
        <w:t xml:space="preserve">a correlation between the properties of the </w:t>
      </w:r>
      <w:r w:rsidR="0000533B">
        <w:rPr>
          <w:rFonts w:cstheme="minorHAnsi"/>
          <w:sz w:val="24"/>
          <w:szCs w:val="24"/>
        </w:rPr>
        <w:t>globular and fibrillar aggregates</w:t>
      </w:r>
      <w:r w:rsidR="00DA7EB8">
        <w:rPr>
          <w:rFonts w:cstheme="minorHAnsi"/>
          <w:sz w:val="24"/>
          <w:szCs w:val="24"/>
        </w:rPr>
        <w:t xml:space="preserve"> and their function</w:t>
      </w:r>
      <w:r w:rsidRPr="00904368">
        <w:rPr>
          <w:rFonts w:cstheme="minorHAnsi"/>
          <w:sz w:val="24"/>
          <w:szCs w:val="24"/>
        </w:rPr>
        <w:t xml:space="preserve">. </w:t>
      </w:r>
      <w:r w:rsidR="00E55FAA">
        <w:rPr>
          <w:rFonts w:cstheme="minorHAnsi"/>
          <w:sz w:val="24"/>
          <w:szCs w:val="24"/>
        </w:rPr>
        <w:t>We studied the</w:t>
      </w:r>
      <w:r w:rsidRPr="00904368">
        <w:rPr>
          <w:rFonts w:cstheme="minorHAnsi"/>
          <w:sz w:val="24"/>
          <w:szCs w:val="24"/>
        </w:rPr>
        <w:t xml:space="preserve"> peptide and albumin concentrations</w:t>
      </w:r>
      <w:r w:rsidR="00E55FAA">
        <w:rPr>
          <w:rFonts w:cstheme="minorHAnsi"/>
          <w:sz w:val="24"/>
          <w:szCs w:val="24"/>
        </w:rPr>
        <w:t xml:space="preserve"> as the critical determinants of the kinetics, which altered the cytotoxicity</w:t>
      </w:r>
      <w:r w:rsidR="00694184">
        <w:rPr>
          <w:rFonts w:cstheme="minorHAnsi"/>
          <w:sz w:val="24"/>
          <w:szCs w:val="24"/>
        </w:rPr>
        <w:t xml:space="preserve">. </w:t>
      </w:r>
      <w:r w:rsidR="00DA7EB8" w:rsidRPr="00694184">
        <w:rPr>
          <w:rFonts w:cstheme="minorHAnsi"/>
          <w:sz w:val="24"/>
          <w:szCs w:val="24"/>
        </w:rPr>
        <w:t xml:space="preserve">We hypothesized that the defined correlation between the </w:t>
      </w:r>
      <w:r w:rsidR="00DA7EB8">
        <w:rPr>
          <w:rFonts w:cstheme="minorHAnsi"/>
          <w:sz w:val="24"/>
          <w:szCs w:val="24"/>
        </w:rPr>
        <w:t xml:space="preserve">structure, kinetic parameters, and immune responses can create a defined trend for [II] as an immunoengineering tool with predictable effects. </w:t>
      </w:r>
      <w:r w:rsidRPr="00904368">
        <w:rPr>
          <w:rFonts w:cstheme="minorHAnsi"/>
          <w:sz w:val="24"/>
          <w:szCs w:val="24"/>
        </w:rPr>
        <w:t xml:space="preserve">Finally, </w:t>
      </w:r>
      <w:r w:rsidR="00E52A61">
        <w:rPr>
          <w:rFonts w:cstheme="minorHAnsi"/>
          <w:sz w:val="24"/>
          <w:szCs w:val="24"/>
        </w:rPr>
        <w:t>controlled</w:t>
      </w:r>
      <w:r w:rsidRPr="00904368">
        <w:rPr>
          <w:rFonts w:cstheme="minorHAnsi"/>
          <w:sz w:val="24"/>
          <w:szCs w:val="24"/>
        </w:rPr>
        <w:t xml:space="preserve"> </w:t>
      </w:r>
      <w:r w:rsidR="00FA2FE4" w:rsidRPr="00904368">
        <w:rPr>
          <w:rFonts w:cstheme="minorHAnsi"/>
          <w:sz w:val="24"/>
          <w:szCs w:val="24"/>
        </w:rPr>
        <w:t>cytotoxicity</w:t>
      </w:r>
      <w:r w:rsidRPr="00904368">
        <w:rPr>
          <w:rFonts w:cstheme="minorHAnsi"/>
          <w:sz w:val="24"/>
          <w:szCs w:val="24"/>
        </w:rPr>
        <w:t xml:space="preserve"> levels were further applied to </w:t>
      </w:r>
      <w:r w:rsidR="00E52A61">
        <w:rPr>
          <w:rFonts w:cstheme="minorHAnsi"/>
          <w:sz w:val="24"/>
          <w:szCs w:val="24"/>
        </w:rPr>
        <w:t>modulate</w:t>
      </w:r>
      <w:r w:rsidRPr="00904368">
        <w:rPr>
          <w:rFonts w:cstheme="minorHAnsi"/>
          <w:sz w:val="24"/>
          <w:szCs w:val="24"/>
        </w:rPr>
        <w:t xml:space="preserve"> </w:t>
      </w:r>
      <w:r w:rsidR="00E52A61">
        <w:rPr>
          <w:rFonts w:cstheme="minorHAnsi"/>
          <w:sz w:val="24"/>
          <w:szCs w:val="24"/>
        </w:rPr>
        <w:t xml:space="preserve">the </w:t>
      </w:r>
      <w:r w:rsidRPr="00904368">
        <w:rPr>
          <w:rFonts w:cstheme="minorHAnsi"/>
          <w:sz w:val="24"/>
          <w:szCs w:val="24"/>
        </w:rPr>
        <w:t>immune response, which was used for prophylactic</w:t>
      </w:r>
      <w:r w:rsidR="000B57F4">
        <w:rPr>
          <w:rFonts w:cstheme="minorHAnsi"/>
          <w:sz w:val="24"/>
          <w:szCs w:val="24"/>
        </w:rPr>
        <w:t xml:space="preserve"> breast cancer</w:t>
      </w:r>
      <w:r w:rsidRPr="00904368">
        <w:rPr>
          <w:rFonts w:cstheme="minorHAnsi"/>
          <w:sz w:val="24"/>
          <w:szCs w:val="24"/>
        </w:rPr>
        <w:t xml:space="preserve"> vaccine application</w:t>
      </w:r>
      <w:r w:rsidR="000B57F4">
        <w:rPr>
          <w:rFonts w:cstheme="minorHAnsi"/>
          <w:sz w:val="24"/>
          <w:szCs w:val="24"/>
        </w:rPr>
        <w:t xml:space="preserve"> and </w:t>
      </w:r>
      <w:r w:rsidRPr="00904368">
        <w:rPr>
          <w:rFonts w:cstheme="minorHAnsi"/>
          <w:sz w:val="24"/>
          <w:szCs w:val="24"/>
        </w:rPr>
        <w:t xml:space="preserve">the level of antigen-specific antibody production against the model antigen Ovalbumin (OVA). </w:t>
      </w:r>
      <w:r w:rsidR="002F7A01">
        <w:rPr>
          <w:rFonts w:cstheme="minorHAnsi"/>
          <w:sz w:val="24"/>
          <w:szCs w:val="24"/>
        </w:rPr>
        <w:t>This</w:t>
      </w:r>
      <w:r w:rsidR="00DA7EB8">
        <w:rPr>
          <w:rFonts w:cstheme="minorHAnsi"/>
          <w:sz w:val="24"/>
          <w:szCs w:val="24"/>
        </w:rPr>
        <w:t xml:space="preserve"> study </w:t>
      </w:r>
      <w:r w:rsidR="005167B5">
        <w:rPr>
          <w:rFonts w:cstheme="minorHAnsi"/>
          <w:sz w:val="24"/>
          <w:szCs w:val="24"/>
        </w:rPr>
        <w:t xml:space="preserve">shows the first molecular engineering tool that can be modulated with predictable immune responses and </w:t>
      </w:r>
      <w:r w:rsidR="00DA7EB8">
        <w:rPr>
          <w:rFonts w:cstheme="minorHAnsi"/>
          <w:sz w:val="24"/>
          <w:szCs w:val="24"/>
        </w:rPr>
        <w:t>define global rules for peptide-based immuno</w:t>
      </w:r>
      <w:r w:rsidR="005167B5">
        <w:rPr>
          <w:rFonts w:cstheme="minorHAnsi"/>
          <w:sz w:val="24"/>
          <w:szCs w:val="24"/>
        </w:rPr>
        <w:t>engineering</w:t>
      </w:r>
      <w:r w:rsidR="00DA7EB8">
        <w:rPr>
          <w:rFonts w:cstheme="minorHAnsi"/>
          <w:sz w:val="24"/>
          <w:szCs w:val="24"/>
        </w:rPr>
        <w:t xml:space="preserve"> tools.</w:t>
      </w:r>
    </w:p>
    <w:p w14:paraId="33C3AE6E" w14:textId="77777777" w:rsidR="0026340E" w:rsidRPr="00904368" w:rsidRDefault="0026340E" w:rsidP="004D13D1">
      <w:pPr>
        <w:spacing w:line="480" w:lineRule="auto"/>
        <w:rPr>
          <w:rFonts w:cstheme="minorHAnsi"/>
          <w:sz w:val="24"/>
          <w:szCs w:val="24"/>
        </w:rPr>
      </w:pPr>
    </w:p>
    <w:p w14:paraId="61216ADD" w14:textId="57713D20" w:rsidR="001C61E3" w:rsidRDefault="00771BA6">
      <w:pPr>
        <w:pStyle w:val="Heading2"/>
        <w:numPr>
          <w:ilvl w:val="1"/>
          <w:numId w:val="7"/>
        </w:numPr>
      </w:pPr>
      <w:bookmarkStart w:id="148" w:name="_Toc121134648"/>
      <w:r>
        <w:t>RESULTS</w:t>
      </w:r>
      <w:r w:rsidR="0057370B">
        <w:t xml:space="preserve"> AND DISCUSSION</w:t>
      </w:r>
      <w:bookmarkEnd w:id="148"/>
    </w:p>
    <w:p w14:paraId="5DC3C385" w14:textId="77777777" w:rsidR="00771BA6" w:rsidRPr="00771BA6" w:rsidRDefault="00771BA6" w:rsidP="00771BA6"/>
    <w:p w14:paraId="5185A6CE" w14:textId="698AB29A" w:rsidR="001C61E3" w:rsidRDefault="00771BA6">
      <w:pPr>
        <w:pStyle w:val="Heading3"/>
        <w:numPr>
          <w:ilvl w:val="2"/>
          <w:numId w:val="7"/>
        </w:numPr>
      </w:pPr>
      <w:bookmarkStart w:id="149" w:name="_Toc121134649"/>
      <w:r w:rsidRPr="00771BA6">
        <w:t xml:space="preserve">The </w:t>
      </w:r>
      <w:r>
        <w:t>C</w:t>
      </w:r>
      <w:r w:rsidRPr="00771BA6">
        <w:t xml:space="preserve">hange of </w:t>
      </w:r>
      <w:r>
        <w:t>P</w:t>
      </w:r>
      <w:r w:rsidRPr="00771BA6">
        <w:t xml:space="preserve">eptide </w:t>
      </w:r>
      <w:r>
        <w:t>A</w:t>
      </w:r>
      <w:r w:rsidRPr="00771BA6">
        <w:t xml:space="preserve">ggregation </w:t>
      </w:r>
      <w:r>
        <w:t>K</w:t>
      </w:r>
      <w:r w:rsidRPr="00771BA6">
        <w:t xml:space="preserve">inetics </w:t>
      </w:r>
      <w:r>
        <w:t>A</w:t>
      </w:r>
      <w:r w:rsidRPr="00771BA6">
        <w:t>ffect</w:t>
      </w:r>
      <w:r>
        <w:t>s</w:t>
      </w:r>
      <w:r w:rsidRPr="00771BA6">
        <w:t xml:space="preserve"> </w:t>
      </w:r>
      <w:r>
        <w:t>C</w:t>
      </w:r>
      <w:r w:rsidRPr="00771BA6">
        <w:t xml:space="preserve">ellular </w:t>
      </w:r>
      <w:r>
        <w:t>V</w:t>
      </w:r>
      <w:r w:rsidRPr="00771BA6">
        <w:t>iability</w:t>
      </w:r>
      <w:bookmarkEnd w:id="149"/>
    </w:p>
    <w:p w14:paraId="08F2AE91" w14:textId="77777777" w:rsidR="00771BA6" w:rsidRPr="00771BA6" w:rsidRDefault="00771BA6" w:rsidP="00771BA6"/>
    <w:p w14:paraId="6574831C" w14:textId="3D850AFC" w:rsidR="005B2127" w:rsidRDefault="00771BA6" w:rsidP="005B2127">
      <w:pPr>
        <w:spacing w:line="480" w:lineRule="auto"/>
        <w:rPr>
          <w:rFonts w:cstheme="minorHAnsi"/>
          <w:sz w:val="24"/>
          <w:szCs w:val="24"/>
        </w:rPr>
      </w:pPr>
      <w:r w:rsidRPr="00904368">
        <w:rPr>
          <w:rFonts w:cstheme="minorHAnsi"/>
          <w:sz w:val="24"/>
          <w:szCs w:val="24"/>
        </w:rPr>
        <w:t xml:space="preserve">Albumin serves as the </w:t>
      </w:r>
      <w:r w:rsidR="00CC6F3F">
        <w:rPr>
          <w:rFonts w:cstheme="minorHAnsi"/>
          <w:sz w:val="24"/>
          <w:szCs w:val="24"/>
        </w:rPr>
        <w:t>primary</w:t>
      </w:r>
      <w:r w:rsidRPr="00904368">
        <w:rPr>
          <w:rFonts w:cstheme="minorHAnsi"/>
          <w:sz w:val="24"/>
          <w:szCs w:val="24"/>
        </w:rPr>
        <w:t xml:space="preserve"> </w:t>
      </w:r>
      <w:r w:rsidR="000B57F4">
        <w:rPr>
          <w:rFonts w:cstheme="minorHAnsi"/>
          <w:sz w:val="24"/>
          <w:szCs w:val="24"/>
        </w:rPr>
        <w:t>chaperone</w:t>
      </w:r>
      <w:r w:rsidRPr="00904368">
        <w:rPr>
          <w:rFonts w:cstheme="minorHAnsi"/>
          <w:sz w:val="24"/>
          <w:szCs w:val="24"/>
        </w:rPr>
        <w:t xml:space="preserve"> for </w:t>
      </w:r>
      <w:r w:rsidR="00FA2FE4" w:rsidRPr="00904368">
        <w:rPr>
          <w:rFonts w:cstheme="minorHAnsi"/>
          <w:sz w:val="24"/>
          <w:szCs w:val="24"/>
        </w:rPr>
        <w:t>A</w:t>
      </w:r>
      <w:r w:rsidR="00FA2FE4" w:rsidRPr="00904368">
        <w:rPr>
          <w:rFonts w:cstheme="minorHAnsi"/>
          <w:sz w:val="24"/>
          <w:szCs w:val="24"/>
        </w:rPr>
        <w:sym w:font="Symbol" w:char="F062"/>
      </w:r>
      <w:r w:rsidR="000B57F4">
        <w:rPr>
          <w:rFonts w:cstheme="minorHAnsi"/>
          <w:sz w:val="24"/>
          <w:szCs w:val="24"/>
        </w:rPr>
        <w:t xml:space="preserve"> in </w:t>
      </w:r>
      <w:r w:rsidR="005167B5">
        <w:rPr>
          <w:rFonts w:cstheme="minorHAnsi"/>
          <w:sz w:val="24"/>
          <w:szCs w:val="24"/>
        </w:rPr>
        <w:t xml:space="preserve">the </w:t>
      </w:r>
      <w:r w:rsidR="000B57F4">
        <w:rPr>
          <w:rFonts w:cstheme="minorHAnsi"/>
          <w:sz w:val="24"/>
          <w:szCs w:val="24"/>
        </w:rPr>
        <w:t xml:space="preserve">blood </w:t>
      </w:r>
      <w:r w:rsidR="000B57F4" w:rsidRPr="00904368">
        <w:rPr>
          <w:rFonts w:cstheme="minorHAnsi"/>
          <w:sz w:val="24"/>
          <w:szCs w:val="24"/>
        </w:rPr>
        <w:t>(</w:t>
      </w:r>
      <w:r w:rsidR="000B57F4">
        <w:rPr>
          <w:rFonts w:cstheme="minorHAnsi"/>
          <w:sz w:val="24"/>
          <w:szCs w:val="24"/>
        </w:rPr>
        <w:t xml:space="preserve">albumin amount: </w:t>
      </w:r>
      <w:r w:rsidR="000B57F4" w:rsidRPr="00904368">
        <w:rPr>
          <w:rFonts w:cstheme="minorHAnsi"/>
          <w:sz w:val="24"/>
          <w:szCs w:val="24"/>
        </w:rPr>
        <w:t xml:space="preserve">640 </w:t>
      </w:r>
      <w:r w:rsidR="000B57F4" w:rsidRPr="00904368">
        <w:rPr>
          <w:rFonts w:cstheme="minorHAnsi"/>
          <w:sz w:val="24"/>
          <w:szCs w:val="24"/>
        </w:rPr>
        <w:sym w:font="Symbol" w:char="F06D"/>
      </w:r>
      <w:r w:rsidR="000B57F4" w:rsidRPr="00904368">
        <w:rPr>
          <w:rFonts w:cstheme="minorHAnsi"/>
          <w:sz w:val="24"/>
          <w:szCs w:val="24"/>
        </w:rPr>
        <w:t xml:space="preserve">M) </w:t>
      </w:r>
      <w:r w:rsidR="000B57F4">
        <w:rPr>
          <w:rFonts w:cstheme="minorHAnsi"/>
          <w:sz w:val="24"/>
          <w:szCs w:val="24"/>
        </w:rPr>
        <w:t xml:space="preserve"> and cerebrospinal fluid </w:t>
      </w:r>
      <w:r w:rsidR="000B57F4" w:rsidRPr="00904368">
        <w:rPr>
          <w:rFonts w:cstheme="minorHAnsi"/>
          <w:sz w:val="24"/>
          <w:szCs w:val="24"/>
        </w:rPr>
        <w:t>(</w:t>
      </w:r>
      <w:r w:rsidR="000B57F4">
        <w:rPr>
          <w:rFonts w:cstheme="minorHAnsi"/>
          <w:sz w:val="24"/>
          <w:szCs w:val="24"/>
        </w:rPr>
        <w:t xml:space="preserve">albumin amount: </w:t>
      </w:r>
      <w:r w:rsidR="000B57F4" w:rsidRPr="00904368">
        <w:rPr>
          <w:rFonts w:cstheme="minorHAnsi"/>
          <w:sz w:val="24"/>
          <w:szCs w:val="24"/>
        </w:rPr>
        <w:t xml:space="preserve">3 </w:t>
      </w:r>
      <w:r w:rsidR="000B57F4" w:rsidRPr="00904368">
        <w:rPr>
          <w:rFonts w:cstheme="minorHAnsi"/>
          <w:sz w:val="24"/>
          <w:szCs w:val="24"/>
        </w:rPr>
        <w:sym w:font="Symbol" w:char="F06D"/>
      </w:r>
      <w:r w:rsidR="000B57F4" w:rsidRPr="00904368">
        <w:rPr>
          <w:rFonts w:cstheme="minorHAnsi"/>
          <w:sz w:val="24"/>
          <w:szCs w:val="24"/>
        </w:rPr>
        <w:t>M)</w:t>
      </w:r>
      <w:r w:rsidRPr="00904368">
        <w:rPr>
          <w:rFonts w:cstheme="minorHAnsi"/>
          <w:sz w:val="24"/>
          <w:szCs w:val="24"/>
        </w:rPr>
        <w:t>, and is the most abundant protein in both plasma and cerebrospinal fluid.</w:t>
      </w:r>
      <w:r w:rsidR="00FA2FE4" w:rsidRPr="00904368">
        <w:rPr>
          <w:rFonts w:cstheme="minorHAnsi"/>
          <w:sz w:val="24"/>
          <w:szCs w:val="24"/>
        </w:rPr>
        <w:fldChar w:fldCharType="begin"/>
      </w:r>
      <w:r w:rsidR="008F09C1">
        <w:rPr>
          <w:rFonts w:cstheme="minorHAnsi"/>
          <w:sz w:val="24"/>
          <w:szCs w:val="24"/>
        </w:rPr>
        <w:instrText xml:space="preserve"> ADDIN ZOTERO_ITEM CSL_CITATION {"citationID":"a3udvg4qs8","properties":{"formattedCitation":"\\super 223\\nosupersub{}","plainCitation":"223","noteIndex":0},"citationItems":[{"id":11301,"uris":["http://zotero.org/groups/2667333/items/DVNBF66C"],"itemData":{"id":11301,"type":"article-journal","abstract":"Amyloid β (Aβ) in brain parenchyma is thought to play a central role in the pathogenesis of Alzheimer's disease (AD). Aβ is transported from the brain to the plasma via complex transport mechanisms at the blood-brain barrier (BBB). About 90–95% of plasma Aβ may be bound to albumin. Replacement of serum albumin in plasma has been proposed as a promising therapy for AD. However, the efficacy of this approach may be compromised by altered BBB Aβ receptors in AD, as well as multiple pools of Aβ from other organs in exchange with plasma Aβ, competing for albumin binding sites. The flow of interstitial fluid (ISF) into cerebrospinal fluid (CSF) is another major route of Aβ clearance. Though the concentration of albumin in CSF is much lower than in plasma, the mixing of CSF with ISF is not impeded by a highly selective barrier and, hence, Aβ in the two pools is in more direct exchange. Furthermore, unlike in plasma, Aβ in CSF is not in direct exchange with multiple organ sources of Aβ. Here we consider albumin replacement in CSF as an alternative method for therapeutic brain Aβ removal and describe the possible advantages and rationale supporting this hypothesis.","container-title":"Frontiers in Neurology","DOI":"10.3389/fneur.2019.01036","ISSN":"1664-2295","journalAbbreviation":"Front Neurol","note":"PMID: 31681137\nPMCID: PMC6813234\ntex.ids= menendez-gonzalez_albumin_2019-1","page":"1036","source":"PubMed Central","title":"Albumin Exchange in Alzheimer's Disease: Might CSF Be an Alternative Route to Plasma?","title-short":"Albumin Exchange in Alzheimer's Disease","URL":"https://www.ncbi.nlm.nih.gov/pmc/articles/PMC6813234/","volume":"10","author":[{"family":"Menendez-Gonzalez","given":"Manuel"},{"family":"Gasparovic","given":"Charles"}],"accessed":{"date-parts":[["2022",6,23]]},"issued":{"date-parts":[["2019",10,18]]},"citation-key":"menendez-gonzalez_albumin_2019"}}],"schema":"https://github.com/citation-style-language/schema/raw/master/csl-citation.json"} </w:instrText>
      </w:r>
      <w:r w:rsidR="00FA2FE4" w:rsidRPr="00904368">
        <w:rPr>
          <w:rFonts w:cstheme="minorHAnsi"/>
          <w:sz w:val="24"/>
          <w:szCs w:val="24"/>
        </w:rPr>
        <w:fldChar w:fldCharType="separate"/>
      </w:r>
      <w:r w:rsidR="008F09C1" w:rsidRPr="008F09C1">
        <w:rPr>
          <w:rFonts w:ascii="Arial" w:cs="Arial"/>
          <w:sz w:val="24"/>
          <w:vertAlign w:val="superscript"/>
        </w:rPr>
        <w:t>223</w:t>
      </w:r>
      <w:r w:rsidR="00FA2FE4" w:rsidRPr="00904368">
        <w:rPr>
          <w:rFonts w:cstheme="minorHAnsi"/>
          <w:sz w:val="24"/>
          <w:szCs w:val="24"/>
        </w:rPr>
        <w:fldChar w:fldCharType="end"/>
      </w:r>
      <w:r w:rsidRPr="00904368">
        <w:rPr>
          <w:rFonts w:cstheme="minorHAnsi"/>
          <w:sz w:val="24"/>
          <w:szCs w:val="24"/>
        </w:rPr>
        <w:t xml:space="preserve"> </w:t>
      </w:r>
      <w:r w:rsidR="005167B5">
        <w:rPr>
          <w:rFonts w:cstheme="minorHAnsi"/>
          <w:sz w:val="24"/>
          <w:szCs w:val="24"/>
        </w:rPr>
        <w:t>Albumin</w:t>
      </w:r>
      <w:r w:rsidR="005167B5" w:rsidRPr="00904368">
        <w:rPr>
          <w:rFonts w:cstheme="minorHAnsi"/>
          <w:sz w:val="24"/>
          <w:szCs w:val="24"/>
        </w:rPr>
        <w:t xml:space="preserve"> </w:t>
      </w:r>
      <w:r w:rsidRPr="00904368">
        <w:rPr>
          <w:rFonts w:cstheme="minorHAnsi"/>
          <w:sz w:val="24"/>
          <w:szCs w:val="24"/>
        </w:rPr>
        <w:t xml:space="preserve">inhibits the kinetics </w:t>
      </w:r>
      <w:r w:rsidR="00A66A3D">
        <w:rPr>
          <w:rFonts w:cstheme="minorHAnsi"/>
          <w:sz w:val="24"/>
          <w:szCs w:val="24"/>
        </w:rPr>
        <w:t>of A</w:t>
      </w:r>
      <w:r w:rsidR="00A66A3D" w:rsidRPr="00A66A3D">
        <w:rPr>
          <w:rFonts w:ascii="Symbol" w:hAnsi="Symbol" w:cstheme="minorHAnsi"/>
          <w:sz w:val="24"/>
          <w:szCs w:val="24"/>
        </w:rPr>
        <w:t>b</w:t>
      </w:r>
      <w:r w:rsidRPr="00904368">
        <w:rPr>
          <w:rFonts w:cstheme="minorHAnsi"/>
          <w:sz w:val="24"/>
          <w:szCs w:val="24"/>
        </w:rPr>
        <w:t xml:space="preserve"> fibrillization, which contributes to the formation of </w:t>
      </w:r>
      <w:r w:rsidR="000B57F4">
        <w:rPr>
          <w:rFonts w:cstheme="minorHAnsi"/>
          <w:sz w:val="24"/>
          <w:szCs w:val="24"/>
        </w:rPr>
        <w:t>increase</w:t>
      </w:r>
      <w:r w:rsidRPr="00904368">
        <w:rPr>
          <w:rFonts w:cstheme="minorHAnsi"/>
          <w:sz w:val="24"/>
          <w:szCs w:val="24"/>
        </w:rPr>
        <w:t xml:space="preserve"> oligomer</w:t>
      </w:r>
      <w:r w:rsidR="000B57F4">
        <w:rPr>
          <w:rFonts w:cstheme="minorHAnsi"/>
          <w:sz w:val="24"/>
          <w:szCs w:val="24"/>
        </w:rPr>
        <w:t>s</w:t>
      </w:r>
      <w:r w:rsidRPr="00904368">
        <w:rPr>
          <w:rFonts w:cstheme="minorHAnsi"/>
          <w:sz w:val="24"/>
          <w:szCs w:val="24"/>
        </w:rPr>
        <w:t>.</w:t>
      </w:r>
      <w:r w:rsidR="00FA2FE4" w:rsidRPr="00904368">
        <w:rPr>
          <w:rFonts w:cstheme="minorHAnsi"/>
          <w:sz w:val="24"/>
          <w:szCs w:val="24"/>
        </w:rPr>
        <w:fldChar w:fldCharType="begin"/>
      </w:r>
      <w:r w:rsidR="008F09C1">
        <w:rPr>
          <w:rFonts w:cstheme="minorHAnsi"/>
          <w:sz w:val="24"/>
          <w:szCs w:val="24"/>
        </w:rPr>
        <w:instrText xml:space="preserve"> ADDIN ZOTERO_ITEM CSL_CITATION {"citationID":"a1pdl381j71","properties":{"formattedCitation":"\\super 190\\nosupersub{}","plainCitation":"190","noteIndex":0},"citationItems":[{"id":10974,"uris":["http://zotero.org/groups/2667333/items/K9Z5ZPN7"],"itemData":{"id":10974,"type":"article-journal","abstract":"&lt;p&gt;Alzheimer disease is a neurodegenerative disorder characterized by extracellular accumulation of amyloid-β peptide (Aβ) in the brain interstitium. Human serum albumin (HSA) binds 95% of Aβ in blood plasma and is thought to inhibit plaque formation in peripheral tissue. However, the role of albumin in binding Aβ in the cerebrospinal fluid has been largely overlooked. Here we investigate the effect of HSA on both Aβ(1–40) and Aβ(1–42) fibril growth. We show that at micromolar cerebrospinal fluid levels, HSA inhibits the kinetics of Aβ fibrillization, significantly increasing the lag time and decreasing the total amount of fibrils produced. Furthermore, we show that the amount of amyloid fibers generated directly correlates to the proportion of Aβ not competitively bound to albumin. Our observations suggest a significant role for HSA regulating Aβ fibril growth in the brain interstitium.&lt;/p&gt;","container-title":"Journal of Biological Chemistry","DOI":"10.1074/jbc.C112.360800","ISSN":"0021-9258, 1083-351X","issue":"33","journalAbbreviation":"Journal of Biological Chemistry","language":"English","note":"publisher: Elsevier\ntex.ids= stanyon_human_2012-1","page":"28163-28168","source":"www.jbc.org","title":"Human Serum Albumin Can Regulate Amyloid-β Peptide Fiber Growth in the Brain Interstitium: IMPLICATIONS FOR ALZHEIMER DISEASE *","title-short":"Human Serum Albumin Can Regulate Amyloid-β Peptide Fiber Growth in the Brain Interstitium","URL":"https://www.jbc.org/article/S0021-9258(20)47838-X/abstract","volume":"287","author":[{"family":"Stanyon","given":"Helen F."},{"family":"Viles","given":"John H."}],"accessed":{"date-parts":[["2022",4,28]]},"issued":{"date-parts":[["2012",8,10]]},"citation-key":"stanyon_human_2012"}}],"schema":"https://github.com/citation-style-language/schema/raw/master/csl-citation.json"} </w:instrText>
      </w:r>
      <w:r w:rsidR="00FA2FE4" w:rsidRPr="00904368">
        <w:rPr>
          <w:rFonts w:cstheme="minorHAnsi"/>
          <w:sz w:val="24"/>
          <w:szCs w:val="24"/>
        </w:rPr>
        <w:fldChar w:fldCharType="separate"/>
      </w:r>
      <w:r w:rsidR="008F09C1" w:rsidRPr="008F09C1">
        <w:rPr>
          <w:rFonts w:ascii="Arial" w:cs="Arial"/>
          <w:sz w:val="24"/>
          <w:vertAlign w:val="superscript"/>
        </w:rPr>
        <w:t>190</w:t>
      </w:r>
      <w:r w:rsidR="00FA2FE4" w:rsidRPr="00904368">
        <w:rPr>
          <w:rFonts w:cstheme="minorHAnsi"/>
          <w:sz w:val="24"/>
          <w:szCs w:val="24"/>
        </w:rPr>
        <w:fldChar w:fldCharType="end"/>
      </w:r>
      <w:r w:rsidRPr="00904368">
        <w:rPr>
          <w:rFonts w:cstheme="minorHAnsi"/>
          <w:sz w:val="24"/>
          <w:szCs w:val="24"/>
        </w:rPr>
        <w:t xml:space="preserve"> Similarly,</w:t>
      </w:r>
      <w:r w:rsidR="005167B5">
        <w:rPr>
          <w:rFonts w:cstheme="minorHAnsi"/>
          <w:sz w:val="24"/>
          <w:szCs w:val="24"/>
        </w:rPr>
        <w:t xml:space="preserve"> albumin also slows down [II] fibrilization, while</w:t>
      </w:r>
      <w:r w:rsidRPr="00904368">
        <w:rPr>
          <w:rFonts w:cstheme="minorHAnsi"/>
          <w:sz w:val="24"/>
          <w:szCs w:val="24"/>
        </w:rPr>
        <w:t xml:space="preserve"> in the absence of albumin [II] peptide aggregation favors fibrillization</w:t>
      </w:r>
      <w:r w:rsidR="000B57F4">
        <w:rPr>
          <w:rFonts w:cstheme="minorHAnsi"/>
          <w:sz w:val="24"/>
          <w:szCs w:val="24"/>
        </w:rPr>
        <w:t>.</w:t>
      </w:r>
      <w:r w:rsidR="000B57F4" w:rsidRPr="00904368">
        <w:rPr>
          <w:rFonts w:cstheme="minorHAnsi"/>
          <w:sz w:val="24"/>
          <w:szCs w:val="24"/>
        </w:rPr>
        <w:fldChar w:fldCharType="begin"/>
      </w:r>
      <w:r w:rsidR="008F09C1">
        <w:rPr>
          <w:rFonts w:cstheme="minorHAnsi"/>
          <w:sz w:val="24"/>
          <w:szCs w:val="24"/>
        </w:rPr>
        <w:instrText xml:space="preserve"> ADDIN ZOTERO_ITEM CSL_CITATION {"citationID":"a222ht8i555","properties":{"formattedCitation":"\\super 213\\nosupersub{}","plainCitation":"213","noteIndex":0},"citationItems":[{"id":12383,"uris":["http://zotero.org/groups/2667333/items/FBHSQD6A"],"itemData":{"id":12383,"type":"article-journal","abstract":"Aggregation of otherwise soluble proteins into amyloid structures is a hallmark of many disorders, such as Alzheimer's and Parkinson's. There is increasing evidence that the small aggregations, instead of ordered fibrillar aggregates, are the main toxic structures. However, the studies on the small aggregation phase are limited due to the variety of structures and the complexity of the physiological environment. Here, we showed an engineered co-assembling oppositely charged amyloid-like peptide pair ([II]) as a simple tool to establish methodologies to study the mechanism and kinetics of aggregation and relate its aggregation to toxicity. The toxicity mechanism of [II] is through cell membrane damage and cell stress, as shown with YAP and eIF2α, as in the amyloid protein-initiated diseases. Albumin is demonstrated as an extrinsic and physiologically relevant molecule in controlling [II] aggregation lag time and its toxicity. This study represents a molecular engineering strategy to create simplistic molecular tools for establishing methodologies to study the aggregation process and kinetics of amyloid-like proteins in various conditions. Understanding the nature of protein aggregation kinetics and linking them to their biological functions through engineered peptides paves the way for future designs and drug development applications. This article is protected by copyright. All rights reserved.","container-title":"AIChE Journal","DOI":"10.1002/aic.17893","ISSN":"1547-5905","issue":"n/a","language":"en","note":"_eprint: https://onlinelibrary.wiley.com/doi/pdf/10.1002/aic.17893\nCitation Key: hamsici_controllable_2022","page":"e17893","source":"Wiley Online Library","title":"Controllable membrane damage by tunable peptide aggregation with albumin","URL":"https://onlinelibrary.wiley.com/doi/abs/10.1002/aic.17893","volume":"n/a","author":[{"family":"Hamsici","given":"Seren"},{"family":"Gunay","given":"Gokhan"},{"family":"Acar","given":"Handan"}],"accessed":{"date-parts":[["2022",9,10]]},"issued":{"date-parts":[["2022"]]},"citation-key":"hamsici_controllable_2022"}}],"schema":"https://github.com/citation-style-language/schema/raw/master/csl-citation.json"} </w:instrText>
      </w:r>
      <w:r w:rsidR="000B57F4" w:rsidRPr="00904368">
        <w:rPr>
          <w:rFonts w:cstheme="minorHAnsi"/>
          <w:sz w:val="24"/>
          <w:szCs w:val="24"/>
        </w:rPr>
        <w:fldChar w:fldCharType="separate"/>
      </w:r>
      <w:r w:rsidR="008F09C1" w:rsidRPr="008F09C1">
        <w:rPr>
          <w:rFonts w:ascii="Arial" w:cs="Arial"/>
          <w:sz w:val="24"/>
          <w:vertAlign w:val="superscript"/>
        </w:rPr>
        <w:t>213</w:t>
      </w:r>
      <w:r w:rsidR="000B57F4" w:rsidRPr="00904368">
        <w:rPr>
          <w:rFonts w:cstheme="minorHAnsi"/>
          <w:sz w:val="24"/>
          <w:szCs w:val="24"/>
        </w:rPr>
        <w:fldChar w:fldCharType="end"/>
      </w:r>
      <w:r w:rsidR="000B57F4">
        <w:rPr>
          <w:rFonts w:cstheme="minorHAnsi"/>
          <w:sz w:val="24"/>
          <w:szCs w:val="24"/>
        </w:rPr>
        <w:t xml:space="preserve"> T</w:t>
      </w:r>
      <w:r w:rsidRPr="00904368">
        <w:rPr>
          <w:rFonts w:cstheme="minorHAnsi"/>
          <w:sz w:val="24"/>
          <w:szCs w:val="24"/>
        </w:rPr>
        <w:t>o analyze the changes in fibrillization</w:t>
      </w:r>
      <w:r w:rsidR="003E5A49">
        <w:rPr>
          <w:rFonts w:cstheme="minorHAnsi"/>
          <w:sz w:val="24"/>
          <w:szCs w:val="24"/>
        </w:rPr>
        <w:t>,</w:t>
      </w:r>
      <w:r w:rsidRPr="00904368">
        <w:rPr>
          <w:rFonts w:cstheme="minorHAnsi"/>
          <w:sz w:val="24"/>
          <w:szCs w:val="24"/>
        </w:rPr>
        <w:t xml:space="preserve"> we prepared [II] peptide</w:t>
      </w:r>
      <w:r w:rsidR="003E5A49">
        <w:rPr>
          <w:rFonts w:cstheme="minorHAnsi"/>
          <w:sz w:val="24"/>
          <w:szCs w:val="24"/>
        </w:rPr>
        <w:t>s</w:t>
      </w:r>
      <w:r w:rsidRPr="00904368">
        <w:rPr>
          <w:rFonts w:cstheme="minorHAnsi"/>
          <w:sz w:val="24"/>
          <w:szCs w:val="24"/>
        </w:rPr>
        <w:t xml:space="preserve"> in different </w:t>
      </w:r>
      <w:r w:rsidR="00FA2FE4" w:rsidRPr="00904368">
        <w:rPr>
          <w:rFonts w:cstheme="minorHAnsi"/>
          <w:sz w:val="24"/>
          <w:szCs w:val="24"/>
        </w:rPr>
        <w:t xml:space="preserve">albumin concentrations (%w/v) </w:t>
      </w:r>
      <w:r w:rsidRPr="00904368">
        <w:rPr>
          <w:rFonts w:cstheme="minorHAnsi"/>
          <w:sz w:val="24"/>
          <w:szCs w:val="24"/>
        </w:rPr>
        <w:t>and measured ThT intensity over time. Increase</w:t>
      </w:r>
      <w:r w:rsidR="003E5A49">
        <w:rPr>
          <w:rFonts w:cstheme="minorHAnsi"/>
          <w:sz w:val="24"/>
          <w:szCs w:val="24"/>
        </w:rPr>
        <w:t xml:space="preserve">d </w:t>
      </w:r>
      <w:r w:rsidRPr="00904368">
        <w:rPr>
          <w:rFonts w:cstheme="minorHAnsi"/>
          <w:sz w:val="24"/>
          <w:szCs w:val="24"/>
        </w:rPr>
        <w:t xml:space="preserve">albumin concentration resulted in lower ThT intensities, favoring </w:t>
      </w:r>
      <w:r w:rsidR="005167B5">
        <w:rPr>
          <w:rFonts w:cstheme="minorHAnsi"/>
          <w:sz w:val="24"/>
          <w:szCs w:val="24"/>
        </w:rPr>
        <w:t xml:space="preserve">globular </w:t>
      </w:r>
      <w:r w:rsidR="00BF2D99">
        <w:rPr>
          <w:rFonts w:cstheme="minorHAnsi"/>
          <w:sz w:val="24"/>
          <w:szCs w:val="24"/>
        </w:rPr>
        <w:t>aggregates</w:t>
      </w:r>
      <w:r w:rsidRPr="00904368">
        <w:rPr>
          <w:rFonts w:cstheme="minorHAnsi"/>
          <w:sz w:val="24"/>
          <w:szCs w:val="24"/>
        </w:rPr>
        <w:t xml:space="preserve">. On the other hand, </w:t>
      </w:r>
      <w:r w:rsidR="003E5A49">
        <w:rPr>
          <w:rFonts w:cstheme="minorHAnsi"/>
          <w:sz w:val="24"/>
          <w:szCs w:val="24"/>
        </w:rPr>
        <w:t xml:space="preserve">a </w:t>
      </w:r>
      <w:r w:rsidRPr="00904368">
        <w:rPr>
          <w:rFonts w:cstheme="minorHAnsi"/>
          <w:sz w:val="24"/>
          <w:szCs w:val="24"/>
        </w:rPr>
        <w:t>decrease in albumin</w:t>
      </w:r>
      <w:r w:rsidR="003E5A49">
        <w:rPr>
          <w:rFonts w:cstheme="minorHAnsi"/>
          <w:sz w:val="24"/>
          <w:szCs w:val="24"/>
        </w:rPr>
        <w:t xml:space="preserve"> concentration</w:t>
      </w:r>
      <w:r w:rsidRPr="00904368">
        <w:rPr>
          <w:rFonts w:cstheme="minorHAnsi"/>
          <w:sz w:val="24"/>
          <w:szCs w:val="24"/>
        </w:rPr>
        <w:t xml:space="preserve"> resulted in higher ThT intensities and favored </w:t>
      </w:r>
      <w:r w:rsidR="00BF2D99">
        <w:rPr>
          <w:rFonts w:cstheme="minorHAnsi"/>
          <w:sz w:val="24"/>
          <w:szCs w:val="24"/>
        </w:rPr>
        <w:t>fibrillar aggregates</w:t>
      </w:r>
      <w:r w:rsidR="00FA2FE4" w:rsidRPr="00904368">
        <w:rPr>
          <w:rFonts w:cstheme="minorHAnsi"/>
          <w:sz w:val="24"/>
          <w:szCs w:val="24"/>
        </w:rPr>
        <w:t xml:space="preserve"> </w:t>
      </w:r>
      <w:r w:rsidR="00C630D3" w:rsidRPr="00904368">
        <w:rPr>
          <w:rFonts w:cstheme="minorHAnsi"/>
          <w:sz w:val="24"/>
          <w:szCs w:val="24"/>
        </w:rPr>
        <w:t>(</w:t>
      </w:r>
      <w:r w:rsidR="00C630D3" w:rsidRPr="00904368">
        <w:rPr>
          <w:rFonts w:cstheme="minorHAnsi"/>
          <w:sz w:val="24"/>
          <w:szCs w:val="24"/>
        </w:rPr>
        <w:fldChar w:fldCharType="begin"/>
      </w:r>
      <w:r w:rsidR="00C630D3" w:rsidRPr="00904368">
        <w:rPr>
          <w:rFonts w:cstheme="minorHAnsi"/>
          <w:sz w:val="24"/>
          <w:szCs w:val="24"/>
        </w:rPr>
        <w:instrText xml:space="preserve"> REF _Ref115635297 \h  \* MERGEFORMAT </w:instrText>
      </w:r>
      <w:r w:rsidR="00C630D3" w:rsidRPr="00904368">
        <w:rPr>
          <w:rFonts w:cstheme="minorHAnsi"/>
          <w:sz w:val="24"/>
          <w:szCs w:val="24"/>
        </w:rPr>
      </w:r>
      <w:r w:rsidR="00C630D3" w:rsidRPr="00904368">
        <w:rPr>
          <w:rFonts w:cstheme="minorHAnsi"/>
          <w:sz w:val="24"/>
          <w:szCs w:val="24"/>
        </w:rPr>
        <w:fldChar w:fldCharType="separate"/>
      </w:r>
      <w:r w:rsidR="00785166" w:rsidRPr="00785166">
        <w:rPr>
          <w:sz w:val="24"/>
          <w:szCs w:val="24"/>
        </w:rPr>
        <w:t xml:space="preserve">Figure 4. </w:t>
      </w:r>
      <w:r w:rsidR="00785166" w:rsidRPr="00785166">
        <w:rPr>
          <w:noProof/>
          <w:sz w:val="24"/>
          <w:szCs w:val="24"/>
        </w:rPr>
        <w:t>1</w:t>
      </w:r>
      <w:r w:rsidR="00C630D3" w:rsidRPr="00904368">
        <w:rPr>
          <w:rFonts w:cstheme="minorHAnsi"/>
          <w:sz w:val="24"/>
          <w:szCs w:val="24"/>
        </w:rPr>
        <w:fldChar w:fldCharType="end"/>
      </w:r>
      <w:r w:rsidR="00C630D3" w:rsidRPr="00904368">
        <w:rPr>
          <w:rFonts w:cstheme="minorHAnsi"/>
          <w:sz w:val="24"/>
          <w:szCs w:val="24"/>
        </w:rPr>
        <w:t xml:space="preserve"> A,B). </w:t>
      </w:r>
      <w:r w:rsidRPr="00904368">
        <w:rPr>
          <w:rFonts w:cstheme="minorHAnsi"/>
          <w:sz w:val="24"/>
          <w:szCs w:val="24"/>
        </w:rPr>
        <w:t xml:space="preserve">ThT analysis also showed that changes in albumin resulted in </w:t>
      </w:r>
      <w:r w:rsidR="00694184">
        <w:rPr>
          <w:rFonts w:cstheme="minorHAnsi"/>
          <w:sz w:val="24"/>
          <w:szCs w:val="24"/>
        </w:rPr>
        <w:t>different ThT intensities indicating different amount of fibrillization</w:t>
      </w:r>
      <w:r w:rsidRPr="00904368">
        <w:rPr>
          <w:rFonts w:cstheme="minorHAnsi"/>
          <w:sz w:val="24"/>
          <w:szCs w:val="24"/>
        </w:rPr>
        <w:t xml:space="preserve"> </w:t>
      </w:r>
      <w:r w:rsidR="00C630D3" w:rsidRPr="00904368">
        <w:rPr>
          <w:rFonts w:cstheme="minorHAnsi"/>
          <w:sz w:val="24"/>
          <w:szCs w:val="24"/>
        </w:rPr>
        <w:t>(</w:t>
      </w:r>
      <w:r w:rsidR="00C630D3" w:rsidRPr="00904368">
        <w:rPr>
          <w:rFonts w:cstheme="minorHAnsi"/>
          <w:sz w:val="24"/>
          <w:szCs w:val="24"/>
        </w:rPr>
        <w:fldChar w:fldCharType="begin"/>
      </w:r>
      <w:r w:rsidR="00C630D3" w:rsidRPr="00904368">
        <w:rPr>
          <w:rFonts w:cstheme="minorHAnsi"/>
          <w:sz w:val="24"/>
          <w:szCs w:val="24"/>
        </w:rPr>
        <w:instrText xml:space="preserve"> REF _Ref115635297 \h  \* MERGEFORMAT </w:instrText>
      </w:r>
      <w:r w:rsidR="00C630D3" w:rsidRPr="00904368">
        <w:rPr>
          <w:rFonts w:cstheme="minorHAnsi"/>
          <w:sz w:val="24"/>
          <w:szCs w:val="24"/>
        </w:rPr>
      </w:r>
      <w:r w:rsidR="00C630D3" w:rsidRPr="00904368">
        <w:rPr>
          <w:rFonts w:cstheme="minorHAnsi"/>
          <w:sz w:val="24"/>
          <w:szCs w:val="24"/>
        </w:rPr>
        <w:fldChar w:fldCharType="separate"/>
      </w:r>
      <w:r w:rsidR="00785166" w:rsidRPr="00785166">
        <w:rPr>
          <w:sz w:val="24"/>
          <w:szCs w:val="24"/>
        </w:rPr>
        <w:t xml:space="preserve">Figure 4. </w:t>
      </w:r>
      <w:r w:rsidR="00785166" w:rsidRPr="00785166">
        <w:rPr>
          <w:noProof/>
          <w:sz w:val="24"/>
          <w:szCs w:val="24"/>
        </w:rPr>
        <w:t>1</w:t>
      </w:r>
      <w:r w:rsidR="00C630D3" w:rsidRPr="00904368">
        <w:rPr>
          <w:rFonts w:cstheme="minorHAnsi"/>
          <w:sz w:val="24"/>
          <w:szCs w:val="24"/>
        </w:rPr>
        <w:fldChar w:fldCharType="end"/>
      </w:r>
      <w:r w:rsidR="00C630D3" w:rsidRPr="00904368">
        <w:rPr>
          <w:rFonts w:cstheme="minorHAnsi"/>
          <w:sz w:val="24"/>
          <w:szCs w:val="24"/>
        </w:rPr>
        <w:t>A</w:t>
      </w:r>
      <w:r w:rsidRPr="00904368">
        <w:rPr>
          <w:rFonts w:cstheme="minorHAnsi"/>
          <w:sz w:val="24"/>
          <w:szCs w:val="24"/>
        </w:rPr>
        <w:t xml:space="preserve">). </w:t>
      </w:r>
      <w:r w:rsidR="00BF2D99">
        <w:rPr>
          <w:rFonts w:cstheme="minorHAnsi"/>
          <w:sz w:val="24"/>
          <w:szCs w:val="24"/>
        </w:rPr>
        <w:t>Previously, we showed the individual peptides of [II] were able to integrate into the lipid membrane, separately.</w:t>
      </w:r>
      <w:r w:rsidR="00BF2D99">
        <w:rPr>
          <w:rFonts w:cstheme="minorHAnsi"/>
          <w:sz w:val="24"/>
          <w:szCs w:val="24"/>
        </w:rPr>
        <w:fldChar w:fldCharType="begin"/>
      </w:r>
      <w:r w:rsidR="008F09C1">
        <w:rPr>
          <w:rFonts w:cstheme="minorHAnsi"/>
          <w:sz w:val="24"/>
          <w:szCs w:val="24"/>
        </w:rPr>
        <w:instrText xml:space="preserve"> ADDIN ZOTERO_ITEM CSL_CITATION {"citationID":"a2d0cvb71lp","properties":{"formattedCitation":"\\super 213\\nosupersub{}","plainCitation":"213","noteIndex":0},"citationItems":[{"id":12383,"uris":["http://zotero.org/groups/2667333/items/FBHSQD6A"],"itemData":{"id":12383,"type":"article-journal","abstract":"Aggregation of otherwise soluble proteins into amyloid structures is a hallmark of many disorders, such as Alzheimer's and Parkinson's. There is increasing evidence that the small aggregations, instead of ordered fibrillar aggregates, are the main toxic structures. However, the studies on the small aggregation phase are limited due to the variety of structures and the complexity of the physiological environment. Here, we showed an engineered co-assembling oppositely charged amyloid-like peptide pair ([II]) as a simple tool to establish methodologies to study the mechanism and kinetics of aggregation and relate its aggregation to toxicity. The toxicity mechanism of [II] is through cell membrane damage and cell stress, as shown with YAP and eIF2α, as in the amyloid protein-initiated diseases. Albumin is demonstrated as an extrinsic and physiologically relevant molecule in controlling [II] aggregation lag time and its toxicity. This study represents a molecular engineering strategy to create simplistic molecular tools for establishing methodologies to study the aggregation process and kinetics of amyloid-like proteins in various conditions. Understanding the nature of protein aggregation kinetics and linking them to their biological functions through engineered peptides paves the way for future designs and drug development applications. This article is protected by copyright. All rights reserved.","container-title":"AIChE Journal","DOI":"10.1002/aic.17893","ISSN":"1547-5905","issue":"n/a","language":"en","note":"_eprint: https://onlinelibrary.wiley.com/doi/pdf/10.1002/aic.17893\nCitation Key: hamsici_controllable_2022","page":"e17893","source":"Wiley Online Library","title":"Controllable membrane damage by tunable peptide aggregation with albumin","URL":"https://onlinelibrary.wiley.com/doi/abs/10.1002/aic.17893","volume":"n/a","author":[{"family":"Hamsici","given":"Seren"},{"family":"Gunay","given":"Gokhan"},{"family":"Acar","given":"Handan"}],"accessed":{"date-parts":[["2022",9,10]]},"issued":{"date-parts":[["2022"]]},"citation-key":"hamsici_controllable_2022"}}],"schema":"https://github.com/citation-style-language/schema/raw/master/csl-citation.json"} </w:instrText>
      </w:r>
      <w:r w:rsidR="00BF2D99">
        <w:rPr>
          <w:rFonts w:cstheme="minorHAnsi"/>
          <w:sz w:val="24"/>
          <w:szCs w:val="24"/>
        </w:rPr>
        <w:fldChar w:fldCharType="separate"/>
      </w:r>
      <w:r w:rsidR="008F09C1" w:rsidRPr="008F09C1">
        <w:rPr>
          <w:rFonts w:ascii="Arial" w:cs="Arial"/>
          <w:sz w:val="24"/>
          <w:vertAlign w:val="superscript"/>
        </w:rPr>
        <w:t>213</w:t>
      </w:r>
      <w:r w:rsidR="00BF2D99">
        <w:rPr>
          <w:rFonts w:cstheme="minorHAnsi"/>
          <w:sz w:val="24"/>
          <w:szCs w:val="24"/>
        </w:rPr>
        <w:fldChar w:fldCharType="end"/>
      </w:r>
      <w:r w:rsidR="00BF2D99">
        <w:rPr>
          <w:rFonts w:cstheme="minorHAnsi"/>
          <w:sz w:val="24"/>
          <w:szCs w:val="24"/>
        </w:rPr>
        <w:t xml:space="preserve"> </w:t>
      </w:r>
      <w:r w:rsidR="005167B5">
        <w:rPr>
          <w:rFonts w:cstheme="minorHAnsi"/>
          <w:sz w:val="24"/>
          <w:szCs w:val="24"/>
        </w:rPr>
        <w:t xml:space="preserve">The treatment of </w:t>
      </w:r>
      <w:r w:rsidR="00694184">
        <w:rPr>
          <w:rFonts w:cstheme="minorHAnsi"/>
          <w:sz w:val="24"/>
          <w:szCs w:val="24"/>
        </w:rPr>
        <w:t>HEK293T</w:t>
      </w:r>
      <w:r w:rsidR="005167B5">
        <w:rPr>
          <w:rFonts w:cstheme="minorHAnsi"/>
          <w:sz w:val="24"/>
          <w:szCs w:val="24"/>
        </w:rPr>
        <w:t xml:space="preserve"> cells with the same amount of [II] prepared with different albumin concentrations (thus having different aggregation kinetics)</w:t>
      </w:r>
      <w:r w:rsidRPr="00904368">
        <w:rPr>
          <w:rFonts w:cstheme="minorHAnsi"/>
          <w:sz w:val="24"/>
          <w:szCs w:val="24"/>
        </w:rPr>
        <w:t xml:space="preserve"> for 3, 6 and 24h </w:t>
      </w:r>
      <w:r w:rsidR="005167B5">
        <w:rPr>
          <w:rFonts w:cstheme="minorHAnsi"/>
          <w:sz w:val="24"/>
          <w:szCs w:val="24"/>
        </w:rPr>
        <w:t xml:space="preserve">showed increased cytotoxicity with increasing albumin concentration </w:t>
      </w:r>
      <w:r w:rsidR="00C630D3" w:rsidRPr="00904368">
        <w:rPr>
          <w:rFonts w:cstheme="minorHAnsi"/>
          <w:sz w:val="24"/>
          <w:szCs w:val="24"/>
        </w:rPr>
        <w:t>(</w:t>
      </w:r>
      <w:r w:rsidR="00C630D3" w:rsidRPr="00904368">
        <w:rPr>
          <w:rFonts w:cstheme="minorHAnsi"/>
          <w:sz w:val="24"/>
          <w:szCs w:val="24"/>
        </w:rPr>
        <w:fldChar w:fldCharType="begin"/>
      </w:r>
      <w:r w:rsidR="00C630D3" w:rsidRPr="00904368">
        <w:rPr>
          <w:rFonts w:cstheme="minorHAnsi"/>
          <w:sz w:val="24"/>
          <w:szCs w:val="24"/>
        </w:rPr>
        <w:instrText xml:space="preserve"> REF _Ref115635297 \h  \* MERGEFORMAT </w:instrText>
      </w:r>
      <w:r w:rsidR="00C630D3" w:rsidRPr="00904368">
        <w:rPr>
          <w:rFonts w:cstheme="minorHAnsi"/>
          <w:sz w:val="24"/>
          <w:szCs w:val="24"/>
        </w:rPr>
      </w:r>
      <w:r w:rsidR="00C630D3" w:rsidRPr="00904368">
        <w:rPr>
          <w:rFonts w:cstheme="minorHAnsi"/>
          <w:sz w:val="24"/>
          <w:szCs w:val="24"/>
        </w:rPr>
        <w:fldChar w:fldCharType="separate"/>
      </w:r>
      <w:r w:rsidR="00785166" w:rsidRPr="00785166">
        <w:rPr>
          <w:sz w:val="24"/>
          <w:szCs w:val="24"/>
        </w:rPr>
        <w:t xml:space="preserve">Figure 4. </w:t>
      </w:r>
      <w:r w:rsidR="00785166" w:rsidRPr="00785166">
        <w:rPr>
          <w:noProof/>
          <w:sz w:val="24"/>
          <w:szCs w:val="24"/>
        </w:rPr>
        <w:t>1</w:t>
      </w:r>
      <w:r w:rsidR="00C630D3" w:rsidRPr="00904368">
        <w:rPr>
          <w:rFonts w:cstheme="minorHAnsi"/>
          <w:sz w:val="24"/>
          <w:szCs w:val="24"/>
        </w:rPr>
        <w:fldChar w:fldCharType="end"/>
      </w:r>
      <w:r w:rsidR="00C630D3" w:rsidRPr="00904368">
        <w:rPr>
          <w:rFonts w:cstheme="minorHAnsi"/>
          <w:sz w:val="24"/>
          <w:szCs w:val="24"/>
        </w:rPr>
        <w:t>C)</w:t>
      </w:r>
      <w:r w:rsidRPr="00904368">
        <w:rPr>
          <w:rFonts w:cstheme="minorHAnsi"/>
          <w:sz w:val="24"/>
          <w:szCs w:val="24"/>
        </w:rPr>
        <w:t>. On the other hand, higher fibrillization resulted in lower cell death.</w:t>
      </w:r>
    </w:p>
    <w:p w14:paraId="71AA764F" w14:textId="77777777" w:rsidR="001D5B97" w:rsidRDefault="001D5B97" w:rsidP="005B2127">
      <w:pPr>
        <w:spacing w:line="480" w:lineRule="auto"/>
        <w:rPr>
          <w:rFonts w:cstheme="minorHAnsi"/>
          <w:sz w:val="24"/>
          <w:szCs w:val="24"/>
        </w:rPr>
      </w:pPr>
    </w:p>
    <w:p w14:paraId="77EFD22C" w14:textId="41D6C7BA" w:rsidR="00771BA6" w:rsidRPr="00904368" w:rsidRDefault="00771BA6" w:rsidP="00771BA6">
      <w:pPr>
        <w:spacing w:line="480" w:lineRule="auto"/>
        <w:rPr>
          <w:rFonts w:cstheme="minorHAnsi"/>
          <w:sz w:val="24"/>
          <w:szCs w:val="24"/>
        </w:rPr>
      </w:pPr>
    </w:p>
    <w:p w14:paraId="7D1EE566" w14:textId="77777777" w:rsidR="004C7567" w:rsidRDefault="004C7567" w:rsidP="00C630D3">
      <w:pPr>
        <w:keepNext/>
        <w:spacing w:line="480" w:lineRule="auto"/>
        <w:jc w:val="center"/>
      </w:pPr>
      <w:r>
        <w:rPr>
          <w:rFonts w:cstheme="minorHAnsi"/>
          <w:noProof/>
          <w:sz w:val="22"/>
          <w:szCs w:val="22"/>
        </w:rPr>
        <w:drawing>
          <wp:inline distT="0" distB="0" distL="0" distR="0" wp14:anchorId="1141088B" wp14:editId="63F2C921">
            <wp:extent cx="4742121" cy="513221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770408" cy="5162832"/>
                    </a:xfrm>
                    <a:prstGeom prst="rect">
                      <a:avLst/>
                    </a:prstGeom>
                  </pic:spPr>
                </pic:pic>
              </a:graphicData>
            </a:graphic>
          </wp:inline>
        </w:drawing>
      </w:r>
    </w:p>
    <w:p w14:paraId="663AC075" w14:textId="1B560087" w:rsidR="004C7567" w:rsidRPr="00BF0332" w:rsidRDefault="004C7567" w:rsidP="008A3EF7">
      <w:pPr>
        <w:pStyle w:val="Caption"/>
        <w:rPr>
          <w:b/>
        </w:rPr>
      </w:pPr>
      <w:bookmarkStart w:id="150" w:name="_Ref115635297"/>
      <w:bookmarkStart w:id="151" w:name="_Toc121134659"/>
      <w:r w:rsidRPr="004C7567">
        <w:t xml:space="preserve">Figure 4. </w:t>
      </w:r>
      <w:fldSimple w:instr=" SEQ Figure_4. \* ARABIC ">
        <w:r w:rsidR="00785166">
          <w:rPr>
            <w:noProof/>
          </w:rPr>
          <w:t>1</w:t>
        </w:r>
      </w:fldSimple>
      <w:bookmarkEnd w:id="150"/>
      <w:r w:rsidRPr="004C7567">
        <w:t xml:space="preserve"> The change of peptide aggregation kinetics affects the cellular viability. </w:t>
      </w:r>
      <w:r w:rsidRPr="00BF0332">
        <w:t xml:space="preserve">ThT measurement of [II] aggregation controlled through albumin concentration (A). Albumin modulates the [II] aggregation state (B). Relative viability of cells treated with 0.5 mM [II] peptide prepared in indicated albumin </w:t>
      </w:r>
      <w:r w:rsidR="00C630D3" w:rsidRPr="00BF0332">
        <w:t>%w/v</w:t>
      </w:r>
      <w:r w:rsidRPr="00BF0332">
        <w:t xml:space="preserve"> for 3, 6 and 24h (C).</w:t>
      </w:r>
      <w:bookmarkEnd w:id="151"/>
    </w:p>
    <w:p w14:paraId="193E761C" w14:textId="36B9B54B" w:rsidR="00120D13" w:rsidRDefault="00120D13" w:rsidP="00120D13"/>
    <w:p w14:paraId="0D6CDE02" w14:textId="21E343BA" w:rsidR="007A3E29" w:rsidRDefault="007A3E29" w:rsidP="00120D13"/>
    <w:p w14:paraId="26AA0639" w14:textId="63BD6F67" w:rsidR="00BF2D99" w:rsidRDefault="00BF2D99" w:rsidP="00120D13"/>
    <w:p w14:paraId="7567B32F" w14:textId="2651FA14" w:rsidR="00BF2D99" w:rsidRDefault="00BF2D99" w:rsidP="00120D13"/>
    <w:p w14:paraId="31F3893D" w14:textId="77777777" w:rsidR="00BF2D99" w:rsidRDefault="00BF2D99" w:rsidP="00120D13"/>
    <w:p w14:paraId="0422244B" w14:textId="77777777" w:rsidR="007A3E29" w:rsidRPr="00120D13" w:rsidRDefault="007A3E29" w:rsidP="00120D13"/>
    <w:p w14:paraId="6142FA24" w14:textId="59DB451D" w:rsidR="004C7567" w:rsidRDefault="004C7567">
      <w:pPr>
        <w:pStyle w:val="Heading3"/>
        <w:numPr>
          <w:ilvl w:val="2"/>
          <w:numId w:val="7"/>
        </w:numPr>
      </w:pPr>
      <w:bookmarkStart w:id="152" w:name="_Toc121134650"/>
      <w:r>
        <w:t xml:space="preserve">Cell Membrane Damage Modulated </w:t>
      </w:r>
      <w:r w:rsidR="002B20B7">
        <w:t>t</w:t>
      </w:r>
      <w:r>
        <w:t xml:space="preserve">hrough Control </w:t>
      </w:r>
      <w:r w:rsidR="00AA65D3">
        <w:t>of</w:t>
      </w:r>
      <w:r>
        <w:t xml:space="preserve"> [II] Aggregation</w:t>
      </w:r>
      <w:bookmarkEnd w:id="152"/>
    </w:p>
    <w:p w14:paraId="22C3BF84" w14:textId="77777777" w:rsidR="004C7567" w:rsidRDefault="004C7567" w:rsidP="004C7567"/>
    <w:p w14:paraId="0774AAC9" w14:textId="69BFA79B" w:rsidR="00086E7B" w:rsidRDefault="00086E7B" w:rsidP="00C9540C">
      <w:pPr>
        <w:spacing w:line="480" w:lineRule="auto"/>
        <w:rPr>
          <w:sz w:val="24"/>
          <w:szCs w:val="24"/>
        </w:rPr>
      </w:pPr>
      <w:r>
        <w:rPr>
          <w:sz w:val="24"/>
          <w:szCs w:val="24"/>
        </w:rPr>
        <w:t>A</w:t>
      </w:r>
      <w:r>
        <w:rPr>
          <w:sz w:val="24"/>
          <w:szCs w:val="24"/>
        </w:rPr>
        <w:sym w:font="Symbol" w:char="F062"/>
      </w:r>
      <w:r w:rsidRPr="006E0E2B">
        <w:rPr>
          <w:sz w:val="24"/>
          <w:szCs w:val="24"/>
        </w:rPr>
        <w:t xml:space="preserve"> aggregation induces membrane damage and contributes to neuroinflammation</w:t>
      </w:r>
      <w:r>
        <w:rPr>
          <w:sz w:val="24"/>
          <w:szCs w:val="24"/>
        </w:rPr>
        <w:fldChar w:fldCharType="begin"/>
      </w:r>
      <w:r w:rsidR="008F09C1">
        <w:rPr>
          <w:sz w:val="24"/>
          <w:szCs w:val="24"/>
        </w:rPr>
        <w:instrText xml:space="preserve"> ADDIN ZOTERO_ITEM CSL_CITATION {"citationID":"a1j9vsig8fn","properties":{"formattedCitation":"\\super 161\\nosupersub{}","plainCitation":"161","noteIndex":0},"citationItems":[{"id":5112,"uris":["http://zotero.org/groups/2667333/items/YZ6H4JXJ"],"itemData":{"id":5112,"type":"article-journal","abstract":"To maintain homeostasis, an organism must detect and resolve sterile tissue damage. The NLRP3 inflammasome coordinates such processes to clear tissue damage and induce repair. Dysregulated NLRP3 inflammasome activity, however, drives many conditions including Alzheimer’s disease (AD). Recent reports posit that β-amyloid and tau aggregates trigger destructive NLRP3 inflammasome signalling in the brain, leading to AD pathophysiology and cognitive decline. Other endogenous molecules (e.g. TNF, ATP, serum amyloid A), as well as dysbiosis, can induce peripheral or central inflammation and thereby promote microglial NLRP3 inflammasome signalling and resultant AD. The NLRP3 inflammasome is thus emerging as a critical driver of sterile neuroinflammation and the resultant pathogenesis and progression of AD.","container-title":"Current Opinion in Immunology","DOI":"10.1016/j.coi.2020.10.011","ISSN":"0952-7915","journalAbbreviation":"Current Opinion in Immunology","language":"en","page":"116-124","source":"ScienceDirect","title":"The NLRP3 inflammasome triggers sterile neuroinflammation and Alzheimer’s disease","URL":"http://www.sciencedirect.com/science/article/pii/S0952791520301102","volume":"68","author":[{"family":"Milner","given":"Mark T"},{"family":"Maddugoda","given":"Madhavi"},{"family":"Götz","given":"Jürgen"},{"family":"Burgener","given":"Sabrina S"},{"family":"Schroder","given":"Kate"}],"accessed":{"date-parts":[["2021",1,12]]},"issued":{"date-parts":[["2021",2,1]]},"citation-key":"milnerNLRP3InflammasomeTriggers2021"}}],"schema":"https://github.com/citation-style-language/schema/raw/master/csl-citation.json"} </w:instrText>
      </w:r>
      <w:r>
        <w:rPr>
          <w:sz w:val="24"/>
          <w:szCs w:val="24"/>
        </w:rPr>
        <w:fldChar w:fldCharType="separate"/>
      </w:r>
      <w:r w:rsidR="008F09C1" w:rsidRPr="008F09C1">
        <w:rPr>
          <w:rFonts w:ascii="Arial" w:cs="Arial"/>
          <w:sz w:val="24"/>
          <w:vertAlign w:val="superscript"/>
        </w:rPr>
        <w:t>161</w:t>
      </w:r>
      <w:r>
        <w:rPr>
          <w:sz w:val="24"/>
          <w:szCs w:val="24"/>
        </w:rPr>
        <w:fldChar w:fldCharType="end"/>
      </w:r>
      <w:r w:rsidRPr="006E0E2B">
        <w:rPr>
          <w:sz w:val="24"/>
          <w:szCs w:val="24"/>
        </w:rPr>
        <w:t>.</w:t>
      </w:r>
      <w:r>
        <w:rPr>
          <w:sz w:val="24"/>
          <w:szCs w:val="24"/>
        </w:rPr>
        <w:t xml:space="preserve"> </w:t>
      </w:r>
      <w:r w:rsidRPr="006E0E2B">
        <w:rPr>
          <w:sz w:val="24"/>
          <w:szCs w:val="24"/>
        </w:rPr>
        <w:t xml:space="preserve">This effect depends on the </w:t>
      </w:r>
      <w:r>
        <w:rPr>
          <w:sz w:val="24"/>
          <w:szCs w:val="24"/>
        </w:rPr>
        <w:t>aggregation status,</w:t>
      </w:r>
      <w:r w:rsidRPr="006E0E2B">
        <w:rPr>
          <w:sz w:val="24"/>
          <w:szCs w:val="24"/>
        </w:rPr>
        <w:t xml:space="preserve"> which can be fibrillar (ordered) or </w:t>
      </w:r>
      <w:r w:rsidR="0000533B">
        <w:rPr>
          <w:sz w:val="24"/>
          <w:szCs w:val="24"/>
        </w:rPr>
        <w:t>globular</w:t>
      </w:r>
      <w:r w:rsidRPr="006E0E2B">
        <w:rPr>
          <w:sz w:val="24"/>
          <w:szCs w:val="24"/>
        </w:rPr>
        <w:t xml:space="preserve"> structures (unordered).</w:t>
      </w:r>
      <w:r>
        <w:rPr>
          <w:sz w:val="24"/>
          <w:szCs w:val="24"/>
        </w:rPr>
        <w:t xml:space="preserve"> </w:t>
      </w:r>
      <w:r w:rsidRPr="006E0E2B">
        <w:rPr>
          <w:sz w:val="24"/>
          <w:szCs w:val="24"/>
        </w:rPr>
        <w:t xml:space="preserve">During </w:t>
      </w:r>
      <w:r>
        <w:rPr>
          <w:sz w:val="24"/>
          <w:szCs w:val="24"/>
        </w:rPr>
        <w:t xml:space="preserve">the </w:t>
      </w:r>
      <w:r w:rsidRPr="006E0E2B">
        <w:rPr>
          <w:sz w:val="24"/>
          <w:szCs w:val="24"/>
        </w:rPr>
        <w:t>amyloid growth process, membrane damage is associated with oligomer</w:t>
      </w:r>
      <w:r>
        <w:rPr>
          <w:sz w:val="24"/>
          <w:szCs w:val="24"/>
        </w:rPr>
        <w:t>-like</w:t>
      </w:r>
      <w:r w:rsidRPr="006E0E2B">
        <w:rPr>
          <w:sz w:val="24"/>
          <w:szCs w:val="24"/>
        </w:rPr>
        <w:t xml:space="preserve"> structures.</w:t>
      </w:r>
      <w:r>
        <w:rPr>
          <w:sz w:val="24"/>
          <w:szCs w:val="24"/>
        </w:rPr>
        <w:t xml:space="preserve"> </w:t>
      </w:r>
      <w:r>
        <w:rPr>
          <w:sz w:val="24"/>
          <w:szCs w:val="24"/>
        </w:rPr>
        <w:fldChar w:fldCharType="begin"/>
      </w:r>
      <w:r w:rsidR="008F09C1">
        <w:rPr>
          <w:sz w:val="24"/>
          <w:szCs w:val="24"/>
        </w:rPr>
        <w:instrText xml:space="preserve"> ADDIN ZOTERO_ITEM CSL_CITATION {"citationID":"a1d5vc8a4je","properties":{"formattedCitation":"\\super 189,215\\nosupersub{}","plainCitation":"189,215","noteIndex":0},"citationItems":[{"id":10795,"uris":["http://zotero.org/groups/2667333/items/KILXNGAW"],"itemData":{"id":10795,"type":"article-journal","container-title":"Physical Chemistry Chemical Physics","DOI":"10.1039/C4CP05563B","issue":"12","language":"en","note":"publisher: Royal Society of Chemistry\ntex.ids= arosio_lag_2015-1","page":"7606-7618","source":"pubs.rsc.org","title":"On the lag phase in amyloid fibril formation","URL":"https://pubs.rsc.org/en/content/articlelanding/2015/cp/c4cp05563b","volume":"17","author":[{"family":"Arosio","given":"Paolo"},{"family":"J. Knowles","given":"Tuomas P."},{"family":"Linse","given":"Sara"}],"accessed":{"date-parts":[["2022",4,19]]},"issued":{"date-parts":[["2015"]]},"citation-key":"arosio_lag_2015"}},{"id":11699,"uris":["http://zotero.org/groups/2667333/items/HCJM8LCT"],"itemData":{"id":11699,"type":"article-journal","abstract":"Amyloid cytotoxicity, structure and polymorphisms are themes of increasing importance. Present knowledge considers any peptide/protein able to undergo misfolding and aggregation generating intrinsically cytotoxic amyloids. It also describes growth and structure of amyloid fibrils and their possible disassembly, whereas reduced information is available on oligomer structure. Recent research has highlighted the importance of the environmental conditions as determinants of the amyloid polymorphisms and cytotoxicity. Another body of evidence describes chemical or biological surfaces as key sites of protein misfolding and aggregation or of interaction with amyloids and the resulting biochemical modifications inducing cell functional/viability impairment. In particular, the membrane lipid composition appears to modulate cell response to toxic amyloids, thus contributing to explain the variable vulnerability to the same amyloids of different cell types. Finally, a recent view describes amyloid toxicity as an emerging property dependent on a complex interplay between the biophysical features of early aggregates and the interacting cell membranes taken as a whole system.","collection-title":"XXI SIBPA Meeting","container-title":"Biophysical Chemistry","DOI":"10.1016/j.bpc.2013.06.003","ISSN":"0301-4622","journalAbbreviation":"Biophysical Chemistry","language":"en","page":"30-43","source":"ScienceDirect","title":"The amyloid-cell membrane system. The interplay between the biophysical features of oligomers/fibrils and cell membrane defines amyloid toxicity","URL":"https://www.sciencedirect.com/science/article/pii/S0301462213000926","volume":"182","author":[{"family":"Cecchi","given":"Cristina"},{"family":"Stefani","given":"Massimo"}],"accessed":{"date-parts":[["2022",7,8]]},"issued":{"date-parts":[["2013",12,1]]},"citation-key":"cecchi_amyloid-cell_2013"}}],"schema":"https://github.com/citation-style-language/schema/raw/master/csl-citation.json"} </w:instrText>
      </w:r>
      <w:r>
        <w:rPr>
          <w:sz w:val="24"/>
          <w:szCs w:val="24"/>
        </w:rPr>
        <w:fldChar w:fldCharType="separate"/>
      </w:r>
      <w:r w:rsidR="008F09C1" w:rsidRPr="008F09C1">
        <w:rPr>
          <w:rFonts w:ascii="Arial" w:cs="Arial"/>
          <w:sz w:val="24"/>
          <w:vertAlign w:val="superscript"/>
        </w:rPr>
        <w:t>189,215</w:t>
      </w:r>
      <w:r>
        <w:rPr>
          <w:sz w:val="24"/>
          <w:szCs w:val="24"/>
        </w:rPr>
        <w:fldChar w:fldCharType="end"/>
      </w:r>
      <w:r>
        <w:rPr>
          <w:sz w:val="24"/>
          <w:szCs w:val="24"/>
        </w:rPr>
        <w:t xml:space="preserve"> T</w:t>
      </w:r>
      <w:r w:rsidRPr="006E0E2B">
        <w:rPr>
          <w:sz w:val="24"/>
          <w:szCs w:val="24"/>
        </w:rPr>
        <w:t>his effect conveys through the interaction of oligomer</w:t>
      </w:r>
      <w:r>
        <w:rPr>
          <w:sz w:val="24"/>
          <w:szCs w:val="24"/>
        </w:rPr>
        <w:t>-like structures</w:t>
      </w:r>
      <w:r w:rsidRPr="006E0E2B">
        <w:rPr>
          <w:sz w:val="24"/>
          <w:szCs w:val="24"/>
        </w:rPr>
        <w:t xml:space="preserve"> with the cell membrane and subsequent disassembly of the lipid bilayer.</w:t>
      </w:r>
      <w:r>
        <w:rPr>
          <w:sz w:val="24"/>
          <w:szCs w:val="24"/>
        </w:rPr>
        <w:fldChar w:fldCharType="begin"/>
      </w:r>
      <w:r w:rsidR="008F09C1">
        <w:rPr>
          <w:sz w:val="24"/>
          <w:szCs w:val="24"/>
        </w:rPr>
        <w:instrText xml:space="preserve"> ADDIN ZOTERO_ITEM CSL_CITATION {"citationID":"a12nakcvgk4","properties":{"formattedCitation":"\\super 224\\nosupersub{}","plainCitation":"224","noteIndex":0},"citationItems":[{"id":11763,"uris":["http://zotero.org/groups/2667333/items/XSB2G8L9"],"itemData":{"id":11763,"type":"article-journal","abstract":"Protein misfolded oligomers are considered the most toxic species amongst those formed in the process of amyloid formation and the molecular basis of their toxicity, although not completely understood, is thought to originate from the interaction with the cellular membrane. Here, we sought to highlight the molecular determinants of oligomer-membrane interaction by atomic force microscopy. We monitored the interaction between multiphase supported lipid bilayers and two types of HypF-N oligomers displaying different structural features and cytotoxicities. By our approach we imaged with unprecedented resolution the ordered and disordered lipid phases of the bilayer and different oligomer structures interacting with either phase. We identified the oligomers and lipids responsible for toxicity and, more generally, we established the importance of the membrane lipid component in mediating oligomer toxicity. Our findings support the importance of GM1 ganglioside in mediating the oligomer-bilayer interaction and support a mechanism of oligomer cytotoxicity involving bilayer destabilization by globular oligomers within GM1-rich ordered raft regions rather than by annular oligomers in the surrounding disordered membrane domains.","container-title":"Oncotarget","DOI":"10.18632/oncotarget.10449","ISSN":"1949-2553","issue":"29","journalAbbreviation":"Oncotarget","note":"PMID: 27391440\nPMCID: PMC5216700","page":"44991-45004","source":"PubMed Central","title":"Interaction of toxic and non-toxic HypF-N oligomers with lipid bilayers investigated at high resolution with atomic force microscopy","URL":"https://www.ncbi.nlm.nih.gov/pmc/articles/PMC5216700/","volume":"7","author":[{"family":"Oropesa-Nuñez","given":"Reinier"},{"family":"Seghezza","given":"Silvia"},{"family":"Dante","given":"Silvia"},{"family":"Diaspro","given":"Alberto"},{"family":"Cascella","given":"Roberta"},{"family":"Cecchi","given":"Cristina"},{"family":"Stefani","given":"Massimo"},{"family":"Chiti","given":"Fabrizio"},{"family":"Canale","given":"Claudio"}],"accessed":{"date-parts":[["2022",7,13]]},"issued":{"date-parts":[["2016",7,6]]},"citation-key":"oropesa-nunez_interaction_2016"}}],"schema":"https://github.com/citation-style-language/schema/raw/master/csl-citation.json"} </w:instrText>
      </w:r>
      <w:r>
        <w:rPr>
          <w:sz w:val="24"/>
          <w:szCs w:val="24"/>
        </w:rPr>
        <w:fldChar w:fldCharType="separate"/>
      </w:r>
      <w:r w:rsidR="008F09C1" w:rsidRPr="008F09C1">
        <w:rPr>
          <w:rFonts w:ascii="Arial" w:cs="Arial"/>
          <w:sz w:val="24"/>
          <w:vertAlign w:val="superscript"/>
        </w:rPr>
        <w:t>224</w:t>
      </w:r>
      <w:r>
        <w:rPr>
          <w:sz w:val="24"/>
          <w:szCs w:val="24"/>
        </w:rPr>
        <w:fldChar w:fldCharType="end"/>
      </w:r>
      <w:r w:rsidRPr="006E0E2B">
        <w:rPr>
          <w:sz w:val="24"/>
          <w:szCs w:val="24"/>
        </w:rPr>
        <w:t xml:space="preserve"> </w:t>
      </w:r>
    </w:p>
    <w:p w14:paraId="6EE833B4" w14:textId="237243AE" w:rsidR="00C9540C" w:rsidRDefault="00FC6085" w:rsidP="00C9540C">
      <w:pPr>
        <w:spacing w:line="480" w:lineRule="auto"/>
        <w:rPr>
          <w:strike/>
          <w:sz w:val="24"/>
          <w:szCs w:val="24"/>
        </w:rPr>
      </w:pPr>
      <w:r>
        <w:rPr>
          <w:sz w:val="24"/>
          <w:szCs w:val="24"/>
        </w:rPr>
        <w:t xml:space="preserve">Aggregation of </w:t>
      </w:r>
      <w:r w:rsidR="00C9540C" w:rsidRPr="00904368">
        <w:rPr>
          <w:sz w:val="24"/>
          <w:szCs w:val="24"/>
        </w:rPr>
        <w:t>[II] induces ICD and DAMP release in multiple cell types through cell membrane damage.</w:t>
      </w:r>
      <w:r w:rsidR="00C9540C" w:rsidRPr="00904368">
        <w:rPr>
          <w:sz w:val="24"/>
          <w:szCs w:val="24"/>
        </w:rPr>
        <w:fldChar w:fldCharType="begin"/>
      </w:r>
      <w:r w:rsidR="008F09C1">
        <w:rPr>
          <w:sz w:val="24"/>
          <w:szCs w:val="24"/>
        </w:rPr>
        <w:instrText xml:space="preserve"> ADDIN ZOTERO_ITEM CSL_CITATION {"citationID":"a6tvpgqgi5","properties":{"formattedCitation":"\\super 169\\nosupersub{}","plainCitation":"169","noteIndex":0},"citationItems":[{"id":11147,"uris":["http://zotero.org/groups/2667333/items/Y7SGNY6E"],"itemData":{"id":11147,"type":"article-journal","abstract":"Immunogenic cell death (ICD) arises when cells are under stress, and their membranes are damaged. They release damage-associated molecular patterns (DAMPs) that stimulate and drive the type and magnitude of the immune response. In the presence of an antigen, DAMPs ride the longevity and efficacy of antigen-specific immunity. Yet, no tool can induce the controlled ICD with predictable results. A peptide-based tool, [II], is designed that aggregates in the cell and causes cell membrane damage, generates ICD and DAMPs release on various cell types, and hence can act as an adjuvant. An influenza vaccine is prepared by combining [II] with influenza hemagglutinin (HA) subunit antigens. The results show that [II] induced significantly higher HA-specific immunoglobulin G1 (IgG1) and IgG2a antibodies than HA-only immunized mice, while the peptide itself did not elicit antibodies. This paper demonstrates the first peptide-aggregation induced immunogenic rupture (PAIIR) approach as a vaccine adjuvant. PAIIR is a promising adjuvant with a high potential to promote universal protection upon influenza HA vaccination.","container-title":"Advanced Science","DOI":"10.1002/advs.202105868","ISSN":"2198-3844","issue":"n/a","language":"en","note":"_eprint: https://onlinelibrary.wiley.com/doi/pdf/10.1002/advs.202105868","page":"2105868","source":"Wiley Online Library","title":"Peptide Aggregation Induced Immunogenic Rupture (PAIIR)","URL":"https://onlinelibrary.wiley.com/doi/abs/10.1002/advs.202105868","volume":"n/a","author":[{"family":"Gunay","given":"Gokhan"},{"family":"Hamsici","given":"Seren"},{"family":"Lang","given":"Gillian A."},{"family":"Lang","given":"Mark L."},{"family":"Kovats","given":"Susan"},{"family":"Acar","given":"Handan"}],"accessed":{"date-parts":[["2022",5,28]]},"issued":{"date-parts":[["2022"]]},"citation-key":"gunay_peptide_2022"}}],"schema":"https://github.com/citation-style-language/schema/raw/master/csl-citation.json"} </w:instrText>
      </w:r>
      <w:r w:rsidR="00C9540C" w:rsidRPr="00904368">
        <w:rPr>
          <w:sz w:val="24"/>
          <w:szCs w:val="24"/>
        </w:rPr>
        <w:fldChar w:fldCharType="separate"/>
      </w:r>
      <w:r w:rsidR="008F09C1" w:rsidRPr="008F09C1">
        <w:rPr>
          <w:rFonts w:ascii="Arial" w:cs="Arial"/>
          <w:sz w:val="24"/>
          <w:vertAlign w:val="superscript"/>
        </w:rPr>
        <w:t>169</w:t>
      </w:r>
      <w:r w:rsidR="00C9540C" w:rsidRPr="00904368">
        <w:rPr>
          <w:sz w:val="24"/>
          <w:szCs w:val="24"/>
        </w:rPr>
        <w:fldChar w:fldCharType="end"/>
      </w:r>
      <w:r w:rsidR="00C9540C" w:rsidRPr="00904368">
        <w:rPr>
          <w:sz w:val="24"/>
          <w:szCs w:val="24"/>
        </w:rPr>
        <w:t xml:space="preserve"> To understand the controllability of membrane damage through modulating aggregation, we quantified lactate dehydrogenase (LDH) release</w:t>
      </w:r>
      <w:r w:rsidR="000B57F4">
        <w:rPr>
          <w:sz w:val="24"/>
          <w:szCs w:val="24"/>
        </w:rPr>
        <w:t xml:space="preserve"> </w:t>
      </w:r>
      <w:r w:rsidR="00AA65D3" w:rsidRPr="00904368">
        <w:rPr>
          <w:sz w:val="24"/>
          <w:szCs w:val="24"/>
        </w:rPr>
        <w:t>(</w:t>
      </w:r>
      <w:r w:rsidR="00AA65D3" w:rsidRPr="00904368">
        <w:rPr>
          <w:sz w:val="24"/>
          <w:szCs w:val="24"/>
        </w:rPr>
        <w:fldChar w:fldCharType="begin"/>
      </w:r>
      <w:r w:rsidR="00AA65D3" w:rsidRPr="00904368">
        <w:rPr>
          <w:sz w:val="24"/>
          <w:szCs w:val="24"/>
        </w:rPr>
        <w:instrText xml:space="preserve"> REF _Ref115635626 \h  \* MERGEFORMAT </w:instrText>
      </w:r>
      <w:r w:rsidR="00AA65D3" w:rsidRPr="00904368">
        <w:rPr>
          <w:sz w:val="24"/>
          <w:szCs w:val="24"/>
        </w:rPr>
      </w:r>
      <w:r w:rsidR="00AA65D3" w:rsidRPr="00904368">
        <w:rPr>
          <w:sz w:val="24"/>
          <w:szCs w:val="24"/>
        </w:rPr>
        <w:fldChar w:fldCharType="separate"/>
      </w:r>
      <w:r w:rsidR="00785166" w:rsidRPr="00785166">
        <w:rPr>
          <w:sz w:val="24"/>
          <w:szCs w:val="24"/>
        </w:rPr>
        <w:t xml:space="preserve">Figure 4. </w:t>
      </w:r>
      <w:r w:rsidR="00785166" w:rsidRPr="00785166">
        <w:rPr>
          <w:noProof/>
          <w:sz w:val="24"/>
          <w:szCs w:val="24"/>
        </w:rPr>
        <w:t>2</w:t>
      </w:r>
      <w:r w:rsidR="00AA65D3" w:rsidRPr="00904368">
        <w:rPr>
          <w:sz w:val="24"/>
          <w:szCs w:val="24"/>
        </w:rPr>
        <w:fldChar w:fldCharType="end"/>
      </w:r>
      <w:r w:rsidR="004C7567" w:rsidRPr="00904368">
        <w:rPr>
          <w:sz w:val="24"/>
          <w:szCs w:val="24"/>
        </w:rPr>
        <w:t xml:space="preserve">A). </w:t>
      </w:r>
      <w:r w:rsidR="000B57F4">
        <w:rPr>
          <w:sz w:val="24"/>
          <w:szCs w:val="24"/>
        </w:rPr>
        <w:t>O</w:t>
      </w:r>
      <w:r w:rsidR="00C9540C" w:rsidRPr="00904368">
        <w:rPr>
          <w:sz w:val="24"/>
          <w:szCs w:val="24"/>
        </w:rPr>
        <w:t xml:space="preserve">rganized fibrillar structures </w:t>
      </w:r>
      <w:r w:rsidR="005B5FDF">
        <w:rPr>
          <w:sz w:val="24"/>
          <w:szCs w:val="24"/>
        </w:rPr>
        <w:t>induced</w:t>
      </w:r>
      <w:r w:rsidR="005B5FDF" w:rsidRPr="00904368">
        <w:rPr>
          <w:sz w:val="24"/>
          <w:szCs w:val="24"/>
        </w:rPr>
        <w:t xml:space="preserve"> </w:t>
      </w:r>
      <w:r w:rsidR="00C9540C" w:rsidRPr="00904368">
        <w:rPr>
          <w:sz w:val="24"/>
          <w:szCs w:val="24"/>
        </w:rPr>
        <w:t xml:space="preserve">lower to no membrane damage </w:t>
      </w:r>
      <w:r w:rsidR="00AA65D3" w:rsidRPr="00904368">
        <w:rPr>
          <w:sz w:val="24"/>
          <w:szCs w:val="24"/>
        </w:rPr>
        <w:t>(</w:t>
      </w:r>
      <w:r w:rsidR="00AA65D3" w:rsidRPr="00904368">
        <w:rPr>
          <w:sz w:val="24"/>
          <w:szCs w:val="24"/>
        </w:rPr>
        <w:fldChar w:fldCharType="begin"/>
      </w:r>
      <w:r w:rsidR="00AA65D3" w:rsidRPr="00904368">
        <w:rPr>
          <w:sz w:val="24"/>
          <w:szCs w:val="24"/>
        </w:rPr>
        <w:instrText xml:space="preserve"> REF _Ref115635626 \h  \* MERGEFORMAT </w:instrText>
      </w:r>
      <w:r w:rsidR="00AA65D3" w:rsidRPr="00904368">
        <w:rPr>
          <w:sz w:val="24"/>
          <w:szCs w:val="24"/>
        </w:rPr>
      </w:r>
      <w:r w:rsidR="00AA65D3" w:rsidRPr="00904368">
        <w:rPr>
          <w:sz w:val="24"/>
          <w:szCs w:val="24"/>
        </w:rPr>
        <w:fldChar w:fldCharType="separate"/>
      </w:r>
      <w:r w:rsidR="00785166" w:rsidRPr="00785166">
        <w:rPr>
          <w:sz w:val="24"/>
          <w:szCs w:val="24"/>
        </w:rPr>
        <w:t xml:space="preserve">Figure 4. </w:t>
      </w:r>
      <w:r w:rsidR="00785166" w:rsidRPr="00785166">
        <w:rPr>
          <w:noProof/>
          <w:sz w:val="24"/>
          <w:szCs w:val="24"/>
        </w:rPr>
        <w:t>2</w:t>
      </w:r>
      <w:r w:rsidR="00AA65D3" w:rsidRPr="00904368">
        <w:rPr>
          <w:sz w:val="24"/>
          <w:szCs w:val="24"/>
        </w:rPr>
        <w:fldChar w:fldCharType="end"/>
      </w:r>
      <w:r w:rsidR="004C7567" w:rsidRPr="00904368">
        <w:rPr>
          <w:sz w:val="24"/>
          <w:szCs w:val="24"/>
        </w:rPr>
        <w:t xml:space="preserve">B). </w:t>
      </w:r>
      <w:r w:rsidR="000B57F4">
        <w:rPr>
          <w:sz w:val="24"/>
          <w:szCs w:val="24"/>
        </w:rPr>
        <w:t xml:space="preserve">Increased </w:t>
      </w:r>
      <w:r w:rsidR="0000533B">
        <w:rPr>
          <w:sz w:val="24"/>
          <w:szCs w:val="24"/>
        </w:rPr>
        <w:t>globular</w:t>
      </w:r>
      <w:r w:rsidR="000B57F4">
        <w:rPr>
          <w:sz w:val="24"/>
          <w:szCs w:val="24"/>
        </w:rPr>
        <w:t xml:space="preserve"> structures resulted in higher </w:t>
      </w:r>
      <w:r w:rsidR="000B57F4" w:rsidRPr="00904368">
        <w:rPr>
          <w:sz w:val="24"/>
          <w:szCs w:val="24"/>
        </w:rPr>
        <w:t>membrane damag</w:t>
      </w:r>
      <w:r w:rsidR="000B57F4">
        <w:rPr>
          <w:sz w:val="24"/>
          <w:szCs w:val="24"/>
        </w:rPr>
        <w:t xml:space="preserve">e analyzed by </w:t>
      </w:r>
      <w:r w:rsidRPr="00904368">
        <w:rPr>
          <w:sz w:val="24"/>
          <w:szCs w:val="24"/>
        </w:rPr>
        <w:t xml:space="preserve">propidium iodide (PI) staining </w:t>
      </w:r>
      <w:r w:rsidR="000B57F4">
        <w:rPr>
          <w:sz w:val="24"/>
          <w:szCs w:val="24"/>
        </w:rPr>
        <w:t>(</w:t>
      </w:r>
      <w:r w:rsidR="00AA65D3" w:rsidRPr="00904368">
        <w:rPr>
          <w:sz w:val="24"/>
          <w:szCs w:val="24"/>
        </w:rPr>
        <w:fldChar w:fldCharType="begin"/>
      </w:r>
      <w:r w:rsidR="00AA65D3" w:rsidRPr="00904368">
        <w:rPr>
          <w:sz w:val="24"/>
          <w:szCs w:val="24"/>
        </w:rPr>
        <w:instrText xml:space="preserve"> REF _Ref115635626 \h  \* MERGEFORMAT </w:instrText>
      </w:r>
      <w:r w:rsidR="00AA65D3" w:rsidRPr="00904368">
        <w:rPr>
          <w:sz w:val="24"/>
          <w:szCs w:val="24"/>
        </w:rPr>
      </w:r>
      <w:r w:rsidR="00AA65D3" w:rsidRPr="00904368">
        <w:rPr>
          <w:sz w:val="24"/>
          <w:szCs w:val="24"/>
        </w:rPr>
        <w:fldChar w:fldCharType="separate"/>
      </w:r>
      <w:r w:rsidR="00785166" w:rsidRPr="00785166">
        <w:rPr>
          <w:sz w:val="24"/>
          <w:szCs w:val="24"/>
        </w:rPr>
        <w:t xml:space="preserve">Figure 4. </w:t>
      </w:r>
      <w:r w:rsidR="00785166" w:rsidRPr="00785166">
        <w:rPr>
          <w:noProof/>
          <w:sz w:val="24"/>
          <w:szCs w:val="24"/>
        </w:rPr>
        <w:t>2</w:t>
      </w:r>
      <w:r w:rsidR="00AA65D3" w:rsidRPr="00904368">
        <w:rPr>
          <w:sz w:val="24"/>
          <w:szCs w:val="24"/>
        </w:rPr>
        <w:fldChar w:fldCharType="end"/>
      </w:r>
      <w:r w:rsidR="004C7567" w:rsidRPr="00904368">
        <w:rPr>
          <w:sz w:val="24"/>
          <w:szCs w:val="24"/>
        </w:rPr>
        <w:t xml:space="preserve">C). </w:t>
      </w:r>
      <w:r>
        <w:rPr>
          <w:sz w:val="24"/>
          <w:szCs w:val="24"/>
        </w:rPr>
        <w:t xml:space="preserve">Treating the cells with fibrillar structures </w:t>
      </w:r>
      <w:r w:rsidR="005B5FDF">
        <w:rPr>
          <w:sz w:val="24"/>
          <w:szCs w:val="24"/>
        </w:rPr>
        <w:t xml:space="preserve">showed </w:t>
      </w:r>
      <w:r w:rsidR="000B57F4">
        <w:rPr>
          <w:sz w:val="24"/>
          <w:szCs w:val="24"/>
        </w:rPr>
        <w:t xml:space="preserve">no effect on cell </w:t>
      </w:r>
      <w:r>
        <w:rPr>
          <w:sz w:val="24"/>
          <w:szCs w:val="24"/>
        </w:rPr>
        <w:t>morpholog</w:t>
      </w:r>
      <w:r w:rsidR="000B57F4">
        <w:rPr>
          <w:sz w:val="24"/>
          <w:szCs w:val="24"/>
        </w:rPr>
        <w:t>y</w:t>
      </w:r>
      <w:r>
        <w:rPr>
          <w:sz w:val="24"/>
          <w:szCs w:val="24"/>
        </w:rPr>
        <w:t xml:space="preserve"> </w:t>
      </w:r>
      <w:r w:rsidR="00C9540C" w:rsidRPr="00904368">
        <w:rPr>
          <w:sz w:val="24"/>
          <w:szCs w:val="24"/>
        </w:rPr>
        <w:t>(</w:t>
      </w:r>
      <w:r w:rsidR="00C9540C" w:rsidRPr="00904368">
        <w:rPr>
          <w:sz w:val="24"/>
          <w:szCs w:val="24"/>
        </w:rPr>
        <w:fldChar w:fldCharType="begin"/>
      </w:r>
      <w:r w:rsidR="00C9540C" w:rsidRPr="00904368">
        <w:rPr>
          <w:sz w:val="24"/>
          <w:szCs w:val="24"/>
        </w:rPr>
        <w:instrText xml:space="preserve"> REF _Ref115635626 \h  \* MERGEFORMAT </w:instrText>
      </w:r>
      <w:r w:rsidR="00C9540C" w:rsidRPr="00904368">
        <w:rPr>
          <w:sz w:val="24"/>
          <w:szCs w:val="24"/>
        </w:rPr>
      </w:r>
      <w:r w:rsidR="00C9540C" w:rsidRPr="00904368">
        <w:rPr>
          <w:sz w:val="24"/>
          <w:szCs w:val="24"/>
        </w:rPr>
        <w:fldChar w:fldCharType="separate"/>
      </w:r>
      <w:r w:rsidR="00785166" w:rsidRPr="00785166">
        <w:rPr>
          <w:sz w:val="24"/>
          <w:szCs w:val="24"/>
        </w:rPr>
        <w:t xml:space="preserve">Figure 4. </w:t>
      </w:r>
      <w:r w:rsidR="00785166" w:rsidRPr="00785166">
        <w:rPr>
          <w:noProof/>
          <w:sz w:val="24"/>
          <w:szCs w:val="24"/>
        </w:rPr>
        <w:t>2</w:t>
      </w:r>
      <w:r w:rsidR="00C9540C" w:rsidRPr="00904368">
        <w:rPr>
          <w:sz w:val="24"/>
          <w:szCs w:val="24"/>
        </w:rPr>
        <w:fldChar w:fldCharType="end"/>
      </w:r>
      <w:r w:rsidR="00C9540C">
        <w:rPr>
          <w:sz w:val="24"/>
          <w:szCs w:val="24"/>
        </w:rPr>
        <w:t>D</w:t>
      </w:r>
      <w:r w:rsidR="00C9540C" w:rsidRPr="00904368">
        <w:rPr>
          <w:sz w:val="24"/>
          <w:szCs w:val="24"/>
        </w:rPr>
        <w:t xml:space="preserve">). </w:t>
      </w:r>
      <w:r w:rsidR="00C9540C">
        <w:rPr>
          <w:sz w:val="24"/>
          <w:szCs w:val="24"/>
        </w:rPr>
        <w:t>However, as</w:t>
      </w:r>
      <w:r w:rsidR="00C9540C" w:rsidRPr="00904368">
        <w:rPr>
          <w:sz w:val="24"/>
          <w:szCs w:val="24"/>
        </w:rPr>
        <w:t xml:space="preserve"> the </w:t>
      </w:r>
      <w:r w:rsidR="0000533B">
        <w:rPr>
          <w:sz w:val="24"/>
          <w:szCs w:val="24"/>
        </w:rPr>
        <w:t>globular</w:t>
      </w:r>
      <w:r w:rsidR="00C9540C" w:rsidRPr="00904368">
        <w:rPr>
          <w:sz w:val="24"/>
          <w:szCs w:val="24"/>
        </w:rPr>
        <w:t xml:space="preserve"> structures </w:t>
      </w:r>
      <w:r w:rsidR="00C9540C">
        <w:rPr>
          <w:sz w:val="24"/>
          <w:szCs w:val="24"/>
        </w:rPr>
        <w:t>increased</w:t>
      </w:r>
      <w:r w:rsidR="00C9540C" w:rsidRPr="00904368">
        <w:rPr>
          <w:sz w:val="24"/>
          <w:szCs w:val="24"/>
        </w:rPr>
        <w:t xml:space="preserve">, cells </w:t>
      </w:r>
      <w:r w:rsidR="00C9540C">
        <w:rPr>
          <w:sz w:val="24"/>
          <w:szCs w:val="24"/>
        </w:rPr>
        <w:t>rounded up</w:t>
      </w:r>
      <w:r w:rsidR="00C9540C" w:rsidRPr="00904368">
        <w:rPr>
          <w:sz w:val="24"/>
          <w:szCs w:val="24"/>
        </w:rPr>
        <w:t xml:space="preserve"> </w:t>
      </w:r>
      <w:r w:rsidR="00C9540C">
        <w:rPr>
          <w:sz w:val="24"/>
          <w:szCs w:val="24"/>
        </w:rPr>
        <w:t xml:space="preserve">and </w:t>
      </w:r>
      <w:r w:rsidR="00C9540C" w:rsidRPr="00904368">
        <w:rPr>
          <w:sz w:val="24"/>
          <w:szCs w:val="24"/>
        </w:rPr>
        <w:t>lost membrane integrity and protrusions, which are the morphological hallmarks for ICD</w:t>
      </w:r>
      <w:r w:rsidR="00C9540C" w:rsidRPr="00904368">
        <w:rPr>
          <w:sz w:val="24"/>
          <w:szCs w:val="24"/>
        </w:rPr>
        <w:fldChar w:fldCharType="begin"/>
      </w:r>
      <w:r w:rsidR="008F09C1">
        <w:rPr>
          <w:sz w:val="24"/>
          <w:szCs w:val="24"/>
        </w:rPr>
        <w:instrText xml:space="preserve"> ADDIN ZOTERO_ITEM CSL_CITATION {"citationID":"aljacgbl0v","properties":{"formattedCitation":"\\super 225\\nosupersub{}","plainCitation":"225","noteIndex":0},"citationItems":[{"id":10546,"uris":["http://zotero.org/groups/2667333/items/BYC7GXXY"],"itemData":{"id":10546,"type":"article-journal","container-title":"Cell Death &amp; Differentiation","DOI":"10.1038/cdd.2009.184","ISSN":"1350-9047, 1476-5403","issue":"6","journalAbbreviation":"Cell Death Differ","language":"en","page":"922-930","source":"DOI.org (Crossref)","title":"Necroptosis, necrosis and secondary necrosis converge on similar cellular disintegration features","URL":"http://www.nature.com/articles/cdd2009184","volume":"17","author":[{"family":"Berghe","given":"T Vanden"},{"family":"Vanlangenakker","given":"N"},{"family":"Parthoens","given":"E"},{"family":"Deckers","given":"W"},{"family":"Devos","given":"M"},{"family":"Festjens","given":"N"},{"family":"Guerin","given":"C J"},{"family":"Brunk","given":"U T"},{"family":"Declercq","given":"W"},{"family":"Vandenabeele","given":"P"}],"accessed":{"date-parts":[["2022",2,26]]},"issued":{"date-parts":[["2010",6]]},"citation-key":"bergheNecroptosisNecrosisSecondary2010"}}],"schema":"https://github.com/citation-style-language/schema/raw/master/csl-citation.json"} </w:instrText>
      </w:r>
      <w:r w:rsidR="00C9540C" w:rsidRPr="00904368">
        <w:rPr>
          <w:sz w:val="24"/>
          <w:szCs w:val="24"/>
        </w:rPr>
        <w:fldChar w:fldCharType="separate"/>
      </w:r>
      <w:r w:rsidR="008F09C1" w:rsidRPr="008F09C1">
        <w:rPr>
          <w:rFonts w:ascii="Arial" w:cs="Arial"/>
          <w:sz w:val="24"/>
          <w:vertAlign w:val="superscript"/>
        </w:rPr>
        <w:t>225</w:t>
      </w:r>
      <w:r w:rsidR="00C9540C" w:rsidRPr="00904368">
        <w:rPr>
          <w:sz w:val="24"/>
          <w:szCs w:val="24"/>
        </w:rPr>
        <w:fldChar w:fldCharType="end"/>
      </w:r>
      <w:r w:rsidR="00C9540C" w:rsidRPr="00904368">
        <w:rPr>
          <w:sz w:val="24"/>
          <w:szCs w:val="24"/>
        </w:rPr>
        <w:t xml:space="preserve"> as opposed to apoptosis (non-ICD). </w:t>
      </w:r>
      <w:r w:rsidR="005B2127" w:rsidRPr="00120D13">
        <w:rPr>
          <w:sz w:val="24"/>
          <w:szCs w:val="24"/>
        </w:rPr>
        <w:t>These results show</w:t>
      </w:r>
      <w:r w:rsidR="005B2127">
        <w:rPr>
          <w:sz w:val="24"/>
          <w:szCs w:val="24"/>
        </w:rPr>
        <w:t>ed</w:t>
      </w:r>
      <w:r w:rsidR="005B2127" w:rsidRPr="00120D13">
        <w:rPr>
          <w:sz w:val="24"/>
          <w:szCs w:val="24"/>
        </w:rPr>
        <w:t xml:space="preserve"> that the cytotoxicity is</w:t>
      </w:r>
      <w:r w:rsidR="005B5FDF">
        <w:rPr>
          <w:sz w:val="24"/>
          <w:szCs w:val="24"/>
        </w:rPr>
        <w:t xml:space="preserve"> dependent on</w:t>
      </w:r>
      <w:r w:rsidR="005B2127" w:rsidRPr="00120D13">
        <w:rPr>
          <w:sz w:val="24"/>
          <w:szCs w:val="24"/>
        </w:rPr>
        <w:t xml:space="preserve"> both aggregation</w:t>
      </w:r>
      <w:r w:rsidR="00BF0332">
        <w:rPr>
          <w:sz w:val="24"/>
          <w:szCs w:val="24"/>
        </w:rPr>
        <w:t xml:space="preserve"> kinetics</w:t>
      </w:r>
      <w:r w:rsidR="005B2127" w:rsidRPr="00120D13">
        <w:rPr>
          <w:sz w:val="24"/>
          <w:szCs w:val="24"/>
        </w:rPr>
        <w:t xml:space="preserve"> and </w:t>
      </w:r>
      <w:r w:rsidR="005B5FDF">
        <w:rPr>
          <w:sz w:val="24"/>
          <w:szCs w:val="24"/>
        </w:rPr>
        <w:t>time</w:t>
      </w:r>
      <w:r w:rsidR="005B2127" w:rsidRPr="00120D13">
        <w:rPr>
          <w:sz w:val="24"/>
          <w:szCs w:val="24"/>
        </w:rPr>
        <w:t>.</w:t>
      </w:r>
      <w:r w:rsidR="005B2127">
        <w:rPr>
          <w:sz w:val="24"/>
          <w:szCs w:val="24"/>
        </w:rPr>
        <w:t xml:space="preserve"> </w:t>
      </w:r>
    </w:p>
    <w:p w14:paraId="2F2DFA0D" w14:textId="5D1479A0" w:rsidR="004C7567" w:rsidRPr="00904368" w:rsidRDefault="004C7567" w:rsidP="004C7567">
      <w:pPr>
        <w:spacing w:line="480" w:lineRule="auto"/>
        <w:rPr>
          <w:sz w:val="24"/>
          <w:szCs w:val="24"/>
        </w:rPr>
      </w:pPr>
    </w:p>
    <w:p w14:paraId="5E68BB23" w14:textId="77777777" w:rsidR="004C7567" w:rsidRDefault="004C7567" w:rsidP="004C7567">
      <w:pPr>
        <w:keepNext/>
      </w:pPr>
      <w:r>
        <w:rPr>
          <w:noProof/>
        </w:rPr>
        <w:drawing>
          <wp:inline distT="0" distB="0" distL="0" distR="0" wp14:anchorId="52F82D0F" wp14:editId="59B5A003">
            <wp:extent cx="6654800" cy="6859563"/>
            <wp:effectExtent l="0" t="0" r="0" b="0"/>
            <wp:docPr id="34" name="Picture 3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calendar&#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67624" cy="6872782"/>
                    </a:xfrm>
                    <a:prstGeom prst="rect">
                      <a:avLst/>
                    </a:prstGeom>
                  </pic:spPr>
                </pic:pic>
              </a:graphicData>
            </a:graphic>
          </wp:inline>
        </w:drawing>
      </w:r>
    </w:p>
    <w:p w14:paraId="5776B726" w14:textId="10843404" w:rsidR="004C7567" w:rsidRPr="00BF0332" w:rsidRDefault="004C7567" w:rsidP="008A3EF7">
      <w:pPr>
        <w:pStyle w:val="Caption"/>
        <w:rPr>
          <w:b/>
        </w:rPr>
      </w:pPr>
      <w:bookmarkStart w:id="153" w:name="_Ref115635626"/>
      <w:bookmarkStart w:id="154" w:name="_Toc121134660"/>
      <w:r>
        <w:t xml:space="preserve">Figure 4. </w:t>
      </w:r>
      <w:fldSimple w:instr=" SEQ Figure_4. \* ARABIC ">
        <w:r w:rsidR="00785166">
          <w:rPr>
            <w:noProof/>
          </w:rPr>
          <w:t>2</w:t>
        </w:r>
      </w:fldSimple>
      <w:bookmarkEnd w:id="153"/>
      <w:r>
        <w:t xml:space="preserve"> </w:t>
      </w:r>
      <w:r w:rsidRPr="004C7567">
        <w:t>Cell membrane damage can be modulated through control of [II] peptide aggregation</w:t>
      </w:r>
      <w:r w:rsidR="0021285E">
        <w:t xml:space="preserve">. </w:t>
      </w:r>
      <w:r w:rsidRPr="00BF0332">
        <w:t>LDH release of cells treated with 0.5 mM [II] peptide prepared in indicated albumin %</w:t>
      </w:r>
      <w:r w:rsidR="0021285E" w:rsidRPr="00BF0332">
        <w:t>w/v</w:t>
      </w:r>
      <w:r w:rsidRPr="00BF0332">
        <w:t xml:space="preserve"> for 3, 6 and 24h (A). Schematic illustrating the effect of fibrillar networks and </w:t>
      </w:r>
      <w:r w:rsidR="0000533B">
        <w:t>globular</w:t>
      </w:r>
      <w:r w:rsidRPr="00BF0332">
        <w:t xml:space="preserve"> structures on the membrane damage (B). Propidium iodide staining of cells treated with 0.5 mM [II] peptide prepared in indicated albumin </w:t>
      </w:r>
      <w:r w:rsidR="0021285E" w:rsidRPr="00BF0332">
        <w:t>%w/v</w:t>
      </w:r>
      <w:r w:rsidRPr="00BF0332">
        <w:t xml:space="preserve"> for 3, 6 and 24h, the scale bar is 50 </w:t>
      </w:r>
      <w:r w:rsidR="003E5A49" w:rsidRPr="00BF0332">
        <w:rPr>
          <w:rFonts w:ascii="Symbol" w:hAnsi="Symbol"/>
        </w:rPr>
        <w:t>m</w:t>
      </w:r>
      <w:r w:rsidR="003E5A49" w:rsidRPr="00BF0332">
        <w:t>m</w:t>
      </w:r>
      <w:r w:rsidRPr="00BF0332">
        <w:t xml:space="preserve"> (C). SEM images of the cells (top row) and magnified images (bottom row) treated with 0.5mM peptide prepared in indicated albumin </w:t>
      </w:r>
      <w:r w:rsidR="0021285E" w:rsidRPr="00BF0332">
        <w:t>%w/v</w:t>
      </w:r>
      <w:r w:rsidRPr="00BF0332">
        <w:t xml:space="preserve"> for 6h (D). The scale bars are 20 </w:t>
      </w:r>
      <w:r w:rsidR="0021285E" w:rsidRPr="00BF0332">
        <w:sym w:font="Symbol" w:char="F06D"/>
      </w:r>
      <w:r w:rsidRPr="00BF0332">
        <w:t xml:space="preserve">m and 5 </w:t>
      </w:r>
      <w:r w:rsidR="0021285E" w:rsidRPr="00BF0332">
        <w:sym w:font="Symbol" w:char="F06D"/>
      </w:r>
      <w:r w:rsidR="0021285E" w:rsidRPr="00BF0332">
        <w:t>m.</w:t>
      </w:r>
      <w:r w:rsidR="003E5A49" w:rsidRPr="00BF0332">
        <w:t xml:space="preserve"> (%w/v indicates weight/volume)</w:t>
      </w:r>
      <w:bookmarkEnd w:id="154"/>
    </w:p>
    <w:p w14:paraId="7DF89CF6" w14:textId="5EA1B98F" w:rsidR="004C7567" w:rsidRDefault="004C7567">
      <w:pPr>
        <w:pStyle w:val="Heading3"/>
        <w:numPr>
          <w:ilvl w:val="2"/>
          <w:numId w:val="7"/>
        </w:numPr>
      </w:pPr>
      <w:bookmarkStart w:id="155" w:name="_Toc121134651"/>
      <w:r>
        <w:t xml:space="preserve">DAMP Release </w:t>
      </w:r>
      <w:r w:rsidR="002B20B7">
        <w:t>w</w:t>
      </w:r>
      <w:r>
        <w:t>ith Peptide Aggregation</w:t>
      </w:r>
      <w:bookmarkEnd w:id="155"/>
    </w:p>
    <w:p w14:paraId="0EF6B589" w14:textId="27C86EA7" w:rsidR="004C7567" w:rsidRDefault="004C7567" w:rsidP="004C7567"/>
    <w:p w14:paraId="70CCD748" w14:textId="794B85FC" w:rsidR="002C6C2D" w:rsidRPr="00904368" w:rsidRDefault="002C6C2D" w:rsidP="002C6C2D">
      <w:pPr>
        <w:spacing w:line="480" w:lineRule="auto"/>
        <w:rPr>
          <w:sz w:val="24"/>
          <w:szCs w:val="24"/>
        </w:rPr>
      </w:pPr>
      <w:r w:rsidRPr="00904368">
        <w:rPr>
          <w:sz w:val="24"/>
          <w:szCs w:val="24"/>
        </w:rPr>
        <w:t xml:space="preserve">The stage of cell death and the composition of DAMPs ultimately </w:t>
      </w:r>
      <w:r>
        <w:rPr>
          <w:sz w:val="24"/>
          <w:szCs w:val="24"/>
        </w:rPr>
        <w:t>alter</w:t>
      </w:r>
      <w:r w:rsidRPr="00904368">
        <w:rPr>
          <w:sz w:val="24"/>
          <w:szCs w:val="24"/>
        </w:rPr>
        <w:t xml:space="preserve"> the immunogenicity of dying cells.</w:t>
      </w:r>
      <w:r w:rsidRPr="00904368">
        <w:rPr>
          <w:sz w:val="24"/>
          <w:szCs w:val="24"/>
        </w:rPr>
        <w:fldChar w:fldCharType="begin"/>
      </w:r>
      <w:r w:rsidR="008F09C1">
        <w:rPr>
          <w:sz w:val="24"/>
          <w:szCs w:val="24"/>
        </w:rPr>
        <w:instrText xml:space="preserve"> ADDIN ZOTERO_ITEM CSL_CITATION {"citationID":"a18b6dk0bop","properties":{"formattedCitation":"\\super 226\\nosupersub{}","plainCitation":"226","noteIndex":0},"citationItems":[{"id":10363,"uris":["http://zotero.org/groups/2667333/items/AJSMBY7R"],"itemData":{"id":10363,"type":"article-journal","abstract":"Background\n              Immunotherapy represents the future of clinical cancer treatment. The type of cancer cell death determines the antitumor immune response and thereby contributes to the efficacy of anticancer therapy and long-term survival of patients. Induction of immunogenic apoptosis or necroptosis in cancer cells does activate antitumor immunity, but resistance to these cell death modalities is common. Therefore, it is of great importance to find other ways to kill tumor cells. Recently, ferroptosis has been identified as a novel, iron-dependent form of regulated cell death but whether ferroptotic cancer cells are immunogenic is unknown.\n            \n            \n              Methods\n              \n                Ferroptotic cell death in murine fibrosarcoma MCA205 or glioma GL261 cells was induced by RAS-selective lethal 3 and ferroptosis was analyzed by flow cytometry, atomic force and confocal microscopy. ATP and high-mobility group box 1 (HMGB1) release were detected by luminescence and ELISA assays, respectively. Immunogenicity in vitro was analyzed by coculturing of ferroptotic cancer cells with bone-marrow derived dendritic cells (BMDCs) and rate of phagocytosis and activation/maturation of BMDCs (CD11c\n                +\n                CD86\n                +\n                , CD11c\n                +\n                CD40\n                +\n                , CD11c\n                +\n                MHCII\n                +\n                , IL-6, RNAseq analysis). The tumor prophylactic vaccination model in immune-competent and immune compromised (Rag-2\n                −/−\n                ) mice was used to analyze ferroptosis immunogenicity.\n              \n            \n            \n              Results\n              \n                Ferroptosis can be induced in cancer cells by inhibition of glutathione peroxidase 4, as evidenced by confocal and atomic force microscopy and inhibitors’ analysis. We demonstrate for the first time that ferroptosis is immunogenic in vitro and in vivo. Early, but not late, ferroptotic cells promote the phenotypic maturation of BMDCs and elicit a vaccination-like effect in immune-competent mice but not in Rag-2\n                −/−\n                mice, suggesting that the mechanism of immunogenicity is very tightly regulated by the adaptive immune system and is time dependent. Also, ATP and HMGB1, the best-characterized damage-associated molecular patterns involved in immunogenic cell death, have proven to be passively released along the timeline of ferroptosis and act as immunogenic signal associated with the immunogenicity of early ferroptotic cancer cells.\n              \n            \n            \n              Conclusions\n              These results pave the way for the development of new therapeutic strategies for cancers based on induction of ferroptosis, and thus broadens the current concept of immunogenic cell death and opens the door for the development of new strategies in cancer immunotherapy.","container-title":"Journal for ImmunoTherapy of Cancer","DOI":"10.1136/jitc-2020-001369","ISSN":"2051-1426","issue":"2","journalAbbreviation":"J Immunother Cancer","language":"en","page":"e001369","source":"DOI.org (Crossref)","title":"Vaccination with early ferroptotic cancer cells induces efficient antitumor immunity","URL":"https://jitc.bmj.com/lookup/doi/10.1136/jitc-2020-001369","volume":"8","author":[{"family":"Efimova","given":"Iuliia"},{"family":"Catanzaro","given":"Elena"},{"family":"Van der Meeren","given":"Louis"},{"family":"Turubanova","given":"Victoria D"},{"family":"Hammad","given":"Hamida"},{"family":"Mishchenko","given":"Tatiana A"},{"family":"Vedunova","given":"Maria V"},{"family":"Fimognari","given":"Carmela"},{"family":"Bachert","given":"Claus"},{"family":"Coppieters","given":"Frauke"},{"family":"Lefever","given":"Steve"},{"family":"Skirtach","given":"Andre G"},{"family":"Krysko","given":"Olga"},{"family":"Krysko","given":"Dmitri V"}],"accessed":{"date-parts":[["2022",1,6]]},"issued":{"date-parts":[["2020",11]]},"citation-key":"efimovaVaccinationEarlyFerroptotic2020"}}],"schema":"https://github.com/citation-style-language/schema/raw/master/csl-citation.json"} </w:instrText>
      </w:r>
      <w:r w:rsidRPr="00904368">
        <w:rPr>
          <w:sz w:val="24"/>
          <w:szCs w:val="24"/>
        </w:rPr>
        <w:fldChar w:fldCharType="separate"/>
      </w:r>
      <w:r w:rsidR="008F09C1" w:rsidRPr="008F09C1">
        <w:rPr>
          <w:rFonts w:ascii="Arial" w:cs="Arial"/>
          <w:sz w:val="24"/>
          <w:vertAlign w:val="superscript"/>
        </w:rPr>
        <w:t>226</w:t>
      </w:r>
      <w:r w:rsidRPr="00904368">
        <w:rPr>
          <w:sz w:val="24"/>
          <w:szCs w:val="24"/>
        </w:rPr>
        <w:fldChar w:fldCharType="end"/>
      </w:r>
      <w:r w:rsidRPr="00904368">
        <w:rPr>
          <w:sz w:val="24"/>
          <w:szCs w:val="24"/>
        </w:rPr>
        <w:t xml:space="preserve"> Blocking or silencing of individual DAMPs partially reduce the immunogenic effects but not completely,</w:t>
      </w:r>
      <w:r w:rsidRPr="00904368">
        <w:rPr>
          <w:sz w:val="24"/>
          <w:szCs w:val="24"/>
        </w:rPr>
        <w:fldChar w:fldCharType="begin"/>
      </w:r>
      <w:r w:rsidR="008F09C1">
        <w:rPr>
          <w:sz w:val="24"/>
          <w:szCs w:val="24"/>
        </w:rPr>
        <w:instrText xml:space="preserve"> ADDIN ZOTERO_ITEM CSL_CITATION {"citationID":"a86285ot9g","properties":{"formattedCitation":"\\super 227\\nosupersub{}","plainCitation":"227","noteIndex":0},"citationItems":[{"id":10466,"uris":["http://zotero.org/groups/2667333/items/UZR9IXT3"],"itemData":{"id":10466,"type":"article-journal","container-title":"Oncogene","DOI":"10.1038/onc.2009.356","ISSN":"0950-9232, 1476-5594","issue":"4","journalAbbreviation":"Oncogene","language":"en","page":"482-491","source":"DOI.org (Crossref)","title":"Immunogenic death of colon cancer cells treated with oxaliplatin","URL":"http://www.nature.com/articles/onc2009356","volume":"29","author":[{"family":"Tesniere","given":"A"},{"family":"Schlemmer","given":"F"},{"family":"Boige","given":"V"},{"family":"Kepp","given":"O"},{"family":"Martins","given":"I"},{"family":"Ghiringhelli","given":"F"},{"family":"Aymeric","given":"L"},{"family":"Michaud","given":"M"},{"family":"Apetoh","given":"L"},{"family":"Barault","given":"L"},{"family":"Mendiboure","given":"J"},{"family":"Pignon","given":"J-P"},{"family":"Jooste","given":"V"},{"family":"Endert","given":"P","non-dropping-particle":"van"},{"family":"Ducreux","given":"M"},{"family":"Zitvogel","given":"L"},{"family":"Piard","given":"F"},{"family":"Kroemer","given":"G"}],"accessed":{"date-parts":[["2022",2,10]]},"issued":{"date-parts":[["2010",1]]},"citation-key":"tesniereImmunogenicDeathColon2010"}}],"schema":"https://github.com/citation-style-language/schema/raw/master/csl-citation.json"} </w:instrText>
      </w:r>
      <w:r w:rsidRPr="00904368">
        <w:rPr>
          <w:sz w:val="24"/>
          <w:szCs w:val="24"/>
        </w:rPr>
        <w:fldChar w:fldCharType="separate"/>
      </w:r>
      <w:r w:rsidR="008F09C1" w:rsidRPr="008F09C1">
        <w:rPr>
          <w:rFonts w:ascii="Arial" w:cs="Arial"/>
          <w:sz w:val="24"/>
          <w:vertAlign w:val="superscript"/>
        </w:rPr>
        <w:t>227</w:t>
      </w:r>
      <w:r w:rsidRPr="00904368">
        <w:rPr>
          <w:sz w:val="24"/>
          <w:szCs w:val="24"/>
        </w:rPr>
        <w:fldChar w:fldCharType="end"/>
      </w:r>
      <w:r w:rsidRPr="00904368">
        <w:rPr>
          <w:sz w:val="24"/>
          <w:szCs w:val="24"/>
        </w:rPr>
        <w:t xml:space="preserve"> suggesting synergistic effects of released DAMPs.</w:t>
      </w:r>
      <w:r w:rsidR="005B5FDF">
        <w:rPr>
          <w:sz w:val="24"/>
          <w:szCs w:val="24"/>
        </w:rPr>
        <w:t xml:space="preserve"> To understand if the controlled membrane damage is effecting the amplitude of ICD and DAMP release, we studied </w:t>
      </w:r>
      <w:r w:rsidRPr="00904368">
        <w:rPr>
          <w:sz w:val="24"/>
          <w:szCs w:val="24"/>
        </w:rPr>
        <w:t xml:space="preserve"> </w:t>
      </w:r>
      <w:r>
        <w:rPr>
          <w:sz w:val="24"/>
          <w:szCs w:val="24"/>
        </w:rPr>
        <w:t>four</w:t>
      </w:r>
      <w:r w:rsidRPr="00904368">
        <w:rPr>
          <w:sz w:val="24"/>
          <w:szCs w:val="24"/>
        </w:rPr>
        <w:t xml:space="preserve"> different conditions involving </w:t>
      </w:r>
      <w:r>
        <w:rPr>
          <w:sz w:val="24"/>
          <w:szCs w:val="24"/>
        </w:rPr>
        <w:t xml:space="preserve">the </w:t>
      </w:r>
      <w:r w:rsidRPr="00904368">
        <w:rPr>
          <w:sz w:val="24"/>
          <w:szCs w:val="24"/>
        </w:rPr>
        <w:t xml:space="preserve">highest </w:t>
      </w:r>
      <w:r w:rsidR="00E560ED">
        <w:rPr>
          <w:sz w:val="24"/>
          <w:szCs w:val="24"/>
        </w:rPr>
        <w:t>globular aggregates</w:t>
      </w:r>
      <w:r w:rsidRPr="00904368">
        <w:rPr>
          <w:sz w:val="24"/>
          <w:szCs w:val="24"/>
        </w:rPr>
        <w:t xml:space="preserve"> to </w:t>
      </w:r>
      <w:r>
        <w:rPr>
          <w:sz w:val="24"/>
          <w:szCs w:val="24"/>
        </w:rPr>
        <w:t xml:space="preserve">the </w:t>
      </w:r>
      <w:r w:rsidRPr="00904368">
        <w:rPr>
          <w:sz w:val="24"/>
          <w:szCs w:val="24"/>
        </w:rPr>
        <w:t xml:space="preserve">highest fibrillar network and prepared 0.5mM [II] peptide in 0.2 w/v% (highest </w:t>
      </w:r>
      <w:r w:rsidR="0000533B">
        <w:rPr>
          <w:sz w:val="24"/>
          <w:szCs w:val="24"/>
        </w:rPr>
        <w:t>globular</w:t>
      </w:r>
      <w:r w:rsidRPr="00904368">
        <w:rPr>
          <w:sz w:val="24"/>
          <w:szCs w:val="24"/>
        </w:rPr>
        <w:t xml:space="preserve"> structures), 0.1 w/v%, 0.05 w/v%</w:t>
      </w:r>
      <w:r>
        <w:rPr>
          <w:sz w:val="24"/>
          <w:szCs w:val="24"/>
        </w:rPr>
        <w:t>,</w:t>
      </w:r>
      <w:r w:rsidRPr="00904368">
        <w:rPr>
          <w:sz w:val="24"/>
          <w:szCs w:val="24"/>
        </w:rPr>
        <w:t xml:space="preserve"> and 0.02 w/v% (highest fibrillar structures) albumin and analyzed the release of HMGB-1, HSP90, extracellular ATP and dsDNA at different time points. Faster cell death</w:t>
      </w:r>
      <w:r w:rsidR="005B5FDF">
        <w:rPr>
          <w:sz w:val="24"/>
          <w:szCs w:val="24"/>
        </w:rPr>
        <w:t xml:space="preserve"> was induced by </w:t>
      </w:r>
      <w:r w:rsidRPr="00904368">
        <w:rPr>
          <w:sz w:val="24"/>
          <w:szCs w:val="24"/>
        </w:rPr>
        <w:t xml:space="preserve"> </w:t>
      </w:r>
      <w:r w:rsidR="005B5FDF" w:rsidRPr="00904368">
        <w:rPr>
          <w:sz w:val="24"/>
          <w:szCs w:val="24"/>
        </w:rPr>
        <w:t>0.5mM [II] peptide in 0.2 w/v%</w:t>
      </w:r>
      <w:r w:rsidR="005B5FDF">
        <w:rPr>
          <w:sz w:val="24"/>
          <w:szCs w:val="24"/>
        </w:rPr>
        <w:t xml:space="preserve">, which showed the highest </w:t>
      </w:r>
      <w:r w:rsidR="0000533B">
        <w:rPr>
          <w:sz w:val="24"/>
          <w:szCs w:val="24"/>
        </w:rPr>
        <w:t>globular</w:t>
      </w:r>
      <w:r w:rsidR="005B5FDF">
        <w:rPr>
          <w:sz w:val="24"/>
          <w:szCs w:val="24"/>
        </w:rPr>
        <w:t xml:space="preserve"> structures, induced </w:t>
      </w:r>
      <w:r>
        <w:rPr>
          <w:sz w:val="24"/>
          <w:szCs w:val="24"/>
        </w:rPr>
        <w:t xml:space="preserve">the </w:t>
      </w:r>
      <w:r w:rsidRPr="00904368">
        <w:rPr>
          <w:sz w:val="24"/>
          <w:szCs w:val="24"/>
        </w:rPr>
        <w:t xml:space="preserve">highest levels of HMGB-1, HSP90, and dsDNA release at 3 and 6h </w:t>
      </w:r>
      <w:r w:rsidR="0021285E" w:rsidRPr="00904368">
        <w:rPr>
          <w:sz w:val="24"/>
          <w:szCs w:val="24"/>
        </w:rPr>
        <w:t>(</w:t>
      </w:r>
      <w:r w:rsidR="0021285E" w:rsidRPr="00904368">
        <w:rPr>
          <w:sz w:val="24"/>
          <w:szCs w:val="24"/>
        </w:rPr>
        <w:fldChar w:fldCharType="begin"/>
      </w:r>
      <w:r w:rsidR="0021285E" w:rsidRPr="00904368">
        <w:rPr>
          <w:sz w:val="24"/>
          <w:szCs w:val="24"/>
        </w:rPr>
        <w:instrText xml:space="preserve"> REF _Ref115635899 \h  \* MERGEFORMAT </w:instrText>
      </w:r>
      <w:r w:rsidR="0021285E" w:rsidRPr="00904368">
        <w:rPr>
          <w:sz w:val="24"/>
          <w:szCs w:val="24"/>
        </w:rPr>
      </w:r>
      <w:r w:rsidR="0021285E" w:rsidRPr="00904368">
        <w:rPr>
          <w:sz w:val="24"/>
          <w:szCs w:val="24"/>
        </w:rPr>
        <w:fldChar w:fldCharType="separate"/>
      </w:r>
      <w:r w:rsidR="00785166" w:rsidRPr="00785166">
        <w:rPr>
          <w:sz w:val="24"/>
          <w:szCs w:val="24"/>
        </w:rPr>
        <w:t xml:space="preserve">Figure 4. </w:t>
      </w:r>
      <w:r w:rsidR="00785166" w:rsidRPr="00785166">
        <w:rPr>
          <w:noProof/>
          <w:sz w:val="24"/>
          <w:szCs w:val="24"/>
        </w:rPr>
        <w:t>3</w:t>
      </w:r>
      <w:r w:rsidR="0021285E" w:rsidRPr="00904368">
        <w:rPr>
          <w:sz w:val="24"/>
          <w:szCs w:val="24"/>
        </w:rPr>
        <w:fldChar w:fldCharType="end"/>
      </w:r>
      <w:r w:rsidR="0021285E" w:rsidRPr="00904368">
        <w:rPr>
          <w:sz w:val="24"/>
          <w:szCs w:val="24"/>
        </w:rPr>
        <w:t>).</w:t>
      </w:r>
      <w:r w:rsidRPr="00904368">
        <w:rPr>
          <w:sz w:val="24"/>
          <w:szCs w:val="24"/>
        </w:rPr>
        <w:t xml:space="preserve"> DAMPs could be detected </w:t>
      </w:r>
      <w:r>
        <w:rPr>
          <w:sz w:val="24"/>
          <w:szCs w:val="24"/>
        </w:rPr>
        <w:t>at</w:t>
      </w:r>
      <w:r w:rsidRPr="00904368">
        <w:rPr>
          <w:sz w:val="24"/>
          <w:szCs w:val="24"/>
        </w:rPr>
        <w:t xml:space="preserve"> later time points for cells treated with [II] peptide prepared in 0.1% and 0.05% albumin</w:t>
      </w:r>
      <w:r w:rsidR="005A7291">
        <w:rPr>
          <w:sz w:val="24"/>
          <w:szCs w:val="24"/>
        </w:rPr>
        <w:t xml:space="preserve"> due to slower cell death.</w:t>
      </w:r>
      <w:r w:rsidR="005B5FDF">
        <w:rPr>
          <w:sz w:val="24"/>
          <w:szCs w:val="24"/>
        </w:rPr>
        <w:t xml:space="preserve"> The DAMP release heat map for the conditions we studied showed the present of all DAMPs</w:t>
      </w:r>
      <w:r w:rsidRPr="00904368">
        <w:rPr>
          <w:sz w:val="24"/>
          <w:szCs w:val="24"/>
        </w:rPr>
        <w:t xml:space="preserve"> at 3h in the supernatant of the cells treated with [II] peptide in 0.2 w</w:t>
      </w:r>
      <w:r>
        <w:rPr>
          <w:sz w:val="24"/>
          <w:szCs w:val="24"/>
        </w:rPr>
        <w:t>/</w:t>
      </w:r>
      <w:r w:rsidRPr="00904368">
        <w:rPr>
          <w:sz w:val="24"/>
          <w:szCs w:val="24"/>
        </w:rPr>
        <w:t>v% albumin</w:t>
      </w:r>
      <w:r>
        <w:rPr>
          <w:sz w:val="24"/>
          <w:szCs w:val="24"/>
        </w:rPr>
        <w:t>,</w:t>
      </w:r>
      <w:r w:rsidRPr="00904368">
        <w:rPr>
          <w:sz w:val="24"/>
          <w:szCs w:val="24"/>
        </w:rPr>
        <w:t xml:space="preserve"> while other conditions had one or two DAMPs. </w:t>
      </w:r>
      <w:r w:rsidR="00E560ED">
        <w:rPr>
          <w:sz w:val="24"/>
          <w:szCs w:val="24"/>
        </w:rPr>
        <w:t>R</w:t>
      </w:r>
      <w:r w:rsidRPr="00904368">
        <w:rPr>
          <w:sz w:val="24"/>
          <w:szCs w:val="24"/>
        </w:rPr>
        <w:t>elease of HMGB-1, HSP90</w:t>
      </w:r>
      <w:r>
        <w:rPr>
          <w:sz w:val="24"/>
          <w:szCs w:val="24"/>
        </w:rPr>
        <w:t>,</w:t>
      </w:r>
      <w:r w:rsidRPr="00904368">
        <w:rPr>
          <w:sz w:val="24"/>
          <w:szCs w:val="24"/>
        </w:rPr>
        <w:t xml:space="preserve"> and dsDNA increased overtime</w:t>
      </w:r>
      <w:r w:rsidR="005A7291">
        <w:rPr>
          <w:sz w:val="24"/>
          <w:szCs w:val="24"/>
        </w:rPr>
        <w:t xml:space="preserve"> at</w:t>
      </w:r>
      <w:r w:rsidRPr="00904368">
        <w:rPr>
          <w:sz w:val="24"/>
          <w:szCs w:val="24"/>
        </w:rPr>
        <w:t xml:space="preserve"> 6h </w:t>
      </w:r>
      <w:r w:rsidR="0021285E" w:rsidRPr="00904368">
        <w:rPr>
          <w:sz w:val="24"/>
          <w:szCs w:val="24"/>
        </w:rPr>
        <w:t>(</w:t>
      </w:r>
      <w:r w:rsidR="0021285E" w:rsidRPr="00904368">
        <w:rPr>
          <w:sz w:val="24"/>
          <w:szCs w:val="24"/>
        </w:rPr>
        <w:fldChar w:fldCharType="begin"/>
      </w:r>
      <w:r w:rsidR="0021285E" w:rsidRPr="00904368">
        <w:rPr>
          <w:sz w:val="24"/>
          <w:szCs w:val="24"/>
        </w:rPr>
        <w:instrText xml:space="preserve"> REF _Ref115635899 \h  \* MERGEFORMAT </w:instrText>
      </w:r>
      <w:r w:rsidR="0021285E" w:rsidRPr="00904368">
        <w:rPr>
          <w:sz w:val="24"/>
          <w:szCs w:val="24"/>
        </w:rPr>
      </w:r>
      <w:r w:rsidR="0021285E" w:rsidRPr="00904368">
        <w:rPr>
          <w:sz w:val="24"/>
          <w:szCs w:val="24"/>
        </w:rPr>
        <w:fldChar w:fldCharType="separate"/>
      </w:r>
      <w:r w:rsidR="00785166" w:rsidRPr="00785166">
        <w:rPr>
          <w:sz w:val="24"/>
          <w:szCs w:val="24"/>
        </w:rPr>
        <w:t xml:space="preserve">Figure 4. </w:t>
      </w:r>
      <w:r w:rsidR="00785166" w:rsidRPr="00785166">
        <w:rPr>
          <w:noProof/>
          <w:sz w:val="24"/>
          <w:szCs w:val="24"/>
        </w:rPr>
        <w:t>3</w:t>
      </w:r>
      <w:r w:rsidR="0021285E" w:rsidRPr="00904368">
        <w:rPr>
          <w:sz w:val="24"/>
          <w:szCs w:val="24"/>
        </w:rPr>
        <w:fldChar w:fldCharType="end"/>
      </w:r>
      <w:r w:rsidR="004C7567" w:rsidRPr="00904368">
        <w:rPr>
          <w:sz w:val="24"/>
          <w:szCs w:val="24"/>
        </w:rPr>
        <w:t>A, B, D)</w:t>
      </w:r>
      <w:r w:rsidR="00E560ED">
        <w:rPr>
          <w:sz w:val="24"/>
          <w:szCs w:val="24"/>
        </w:rPr>
        <w:t>. However,</w:t>
      </w:r>
      <w:r w:rsidR="004C7567" w:rsidRPr="00904368">
        <w:rPr>
          <w:sz w:val="24"/>
          <w:szCs w:val="24"/>
        </w:rPr>
        <w:t xml:space="preserve"> ATP is rapidly degraded as the cell death continues</w:t>
      </w:r>
      <w:r w:rsidR="00E560ED">
        <w:rPr>
          <w:sz w:val="24"/>
          <w:szCs w:val="24"/>
        </w:rPr>
        <w:t xml:space="preserve"> </w:t>
      </w:r>
      <w:r w:rsidR="0021285E" w:rsidRPr="00904368">
        <w:rPr>
          <w:sz w:val="24"/>
          <w:szCs w:val="24"/>
        </w:rPr>
        <w:t>(</w:t>
      </w:r>
      <w:r w:rsidR="0021285E" w:rsidRPr="00904368">
        <w:rPr>
          <w:sz w:val="24"/>
          <w:szCs w:val="24"/>
        </w:rPr>
        <w:fldChar w:fldCharType="begin"/>
      </w:r>
      <w:r w:rsidR="0021285E" w:rsidRPr="00904368">
        <w:rPr>
          <w:sz w:val="24"/>
          <w:szCs w:val="24"/>
        </w:rPr>
        <w:instrText xml:space="preserve"> REF _Ref115635899 \h  \* MERGEFORMAT </w:instrText>
      </w:r>
      <w:r w:rsidR="0021285E" w:rsidRPr="00904368">
        <w:rPr>
          <w:sz w:val="24"/>
          <w:szCs w:val="24"/>
        </w:rPr>
      </w:r>
      <w:r w:rsidR="0021285E" w:rsidRPr="00904368">
        <w:rPr>
          <w:sz w:val="24"/>
          <w:szCs w:val="24"/>
        </w:rPr>
        <w:fldChar w:fldCharType="separate"/>
      </w:r>
      <w:r w:rsidR="00785166" w:rsidRPr="00785166">
        <w:rPr>
          <w:sz w:val="24"/>
          <w:szCs w:val="24"/>
        </w:rPr>
        <w:t xml:space="preserve">Figure 4. </w:t>
      </w:r>
      <w:r w:rsidR="00785166" w:rsidRPr="00785166">
        <w:rPr>
          <w:noProof/>
          <w:sz w:val="24"/>
          <w:szCs w:val="24"/>
        </w:rPr>
        <w:t>3</w:t>
      </w:r>
      <w:r w:rsidR="0021285E" w:rsidRPr="00904368">
        <w:rPr>
          <w:sz w:val="24"/>
          <w:szCs w:val="24"/>
        </w:rPr>
        <w:fldChar w:fldCharType="end"/>
      </w:r>
      <w:r w:rsidR="004C7567" w:rsidRPr="00904368">
        <w:rPr>
          <w:sz w:val="24"/>
          <w:szCs w:val="24"/>
        </w:rPr>
        <w:t>C).</w:t>
      </w:r>
      <w:r w:rsidR="005A7291">
        <w:rPr>
          <w:sz w:val="24"/>
          <w:szCs w:val="24"/>
        </w:rPr>
        <w:t xml:space="preserve"> Therefore, a</w:t>
      </w:r>
      <w:r w:rsidR="005A7291" w:rsidRPr="00904368">
        <w:rPr>
          <w:sz w:val="24"/>
          <w:szCs w:val="24"/>
        </w:rPr>
        <w:t xml:space="preserve">t 6h, the condition </w:t>
      </w:r>
      <w:r w:rsidR="00595145">
        <w:rPr>
          <w:sz w:val="24"/>
          <w:szCs w:val="24"/>
        </w:rPr>
        <w:t>which had all the</w:t>
      </w:r>
      <w:r w:rsidR="005A7291" w:rsidRPr="00904368">
        <w:rPr>
          <w:sz w:val="24"/>
          <w:szCs w:val="24"/>
        </w:rPr>
        <w:t xml:space="preserve"> DAMPs in the supernatant was [II] peptide in 0.05 w/v% albumin. </w:t>
      </w:r>
      <w:r w:rsidR="004C7567" w:rsidRPr="00904368">
        <w:rPr>
          <w:sz w:val="24"/>
          <w:szCs w:val="24"/>
        </w:rPr>
        <w:t xml:space="preserve"> </w:t>
      </w:r>
      <w:r w:rsidRPr="00904368">
        <w:rPr>
          <w:sz w:val="24"/>
          <w:szCs w:val="24"/>
        </w:rPr>
        <w:t>These data shows the importance of controlling aggregation for time-dependent modulation of DAMP release</w:t>
      </w:r>
      <w:r w:rsidR="00595145">
        <w:rPr>
          <w:sz w:val="24"/>
          <w:szCs w:val="24"/>
        </w:rPr>
        <w:t>.</w:t>
      </w:r>
    </w:p>
    <w:p w14:paraId="54AC0658" w14:textId="7D6BD7F1" w:rsidR="004C7567" w:rsidRDefault="004C7567" w:rsidP="002C6C2D">
      <w:pPr>
        <w:spacing w:line="480" w:lineRule="auto"/>
      </w:pPr>
      <w:r>
        <w:rPr>
          <w:noProof/>
        </w:rPr>
        <w:drawing>
          <wp:inline distT="0" distB="0" distL="0" distR="0" wp14:anchorId="1815AC31" wp14:editId="7862AD79">
            <wp:extent cx="5943600" cy="4241800"/>
            <wp:effectExtent l="0" t="0" r="0" b="0"/>
            <wp:docPr id="35" name="Picture 3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4241800"/>
                    </a:xfrm>
                    <a:prstGeom prst="rect">
                      <a:avLst/>
                    </a:prstGeom>
                  </pic:spPr>
                </pic:pic>
              </a:graphicData>
            </a:graphic>
          </wp:inline>
        </w:drawing>
      </w:r>
    </w:p>
    <w:p w14:paraId="5B96D59B" w14:textId="434E611A" w:rsidR="00661334" w:rsidRPr="00BF2D99" w:rsidRDefault="004C7567" w:rsidP="00BF2D99">
      <w:pPr>
        <w:pStyle w:val="Caption"/>
      </w:pPr>
      <w:bookmarkStart w:id="156" w:name="_Ref115635899"/>
      <w:bookmarkStart w:id="157" w:name="_Toc121134661"/>
      <w:r>
        <w:t xml:space="preserve">Figure 4. </w:t>
      </w:r>
      <w:fldSimple w:instr=" SEQ Figure_4. \* ARABIC ">
        <w:r w:rsidR="00785166">
          <w:rPr>
            <w:noProof/>
          </w:rPr>
          <w:t>3</w:t>
        </w:r>
      </w:fldSimple>
      <w:bookmarkEnd w:id="156"/>
      <w:r>
        <w:t xml:space="preserve"> </w:t>
      </w:r>
      <w:r w:rsidRPr="004C7567">
        <w:t xml:space="preserve">DAMP release can be modulated through control of [II] peptide aggregation. </w:t>
      </w:r>
      <w:r w:rsidRPr="00E82FD5">
        <w:t xml:space="preserve">Cells were treated with 0.5mM [II] peptide in indicated albumin </w:t>
      </w:r>
      <w:r w:rsidR="002C6C2D" w:rsidRPr="00E82FD5">
        <w:t>w/v</w:t>
      </w:r>
      <w:r w:rsidRPr="00E82FD5">
        <w:t>% for 1.5, 3 and 6h. Western blot images of HMGB-1 release (A) and HSP90 release (B) at 3 and 6h. Extracellular ATP (C) and dsDNA release (D) release at 1.5, 3 and 6h. Heat map of DAMP release at 3 and 6h (E).</w:t>
      </w:r>
      <w:bookmarkEnd w:id="157"/>
    </w:p>
    <w:p w14:paraId="038E73E2" w14:textId="6DD2C3C8" w:rsidR="00DF6FED" w:rsidRDefault="00661334">
      <w:pPr>
        <w:pStyle w:val="Heading3"/>
        <w:numPr>
          <w:ilvl w:val="2"/>
          <w:numId w:val="7"/>
        </w:numPr>
      </w:pPr>
      <w:bookmarkStart w:id="158" w:name="_Toc121134652"/>
      <w:r>
        <w:t xml:space="preserve">The Change of Peptide Aggregation Kinetics </w:t>
      </w:r>
      <w:r w:rsidR="0009526C">
        <w:t>A</w:t>
      </w:r>
      <w:r w:rsidR="00BB62AA">
        <w:t>ffect</w:t>
      </w:r>
      <w:r w:rsidR="0009526C">
        <w:t>s</w:t>
      </w:r>
      <w:r w:rsidR="00BB62AA">
        <w:t xml:space="preserve"> the Ant</w:t>
      </w:r>
      <w:r w:rsidR="007A3E29">
        <w:t>ib</w:t>
      </w:r>
      <w:r w:rsidR="00BB62AA">
        <w:t xml:space="preserve">ody </w:t>
      </w:r>
      <w:r w:rsidR="0009526C">
        <w:t>L</w:t>
      </w:r>
      <w:r w:rsidR="00BB62AA">
        <w:t xml:space="preserve">evels in </w:t>
      </w:r>
      <w:r w:rsidR="0009526C">
        <w:t>V</w:t>
      </w:r>
      <w:r w:rsidR="00BB62AA">
        <w:t>accine</w:t>
      </w:r>
      <w:r w:rsidR="0009526C">
        <w:t xml:space="preserve"> A</w:t>
      </w:r>
      <w:r w:rsidR="00BB62AA">
        <w:t>pplications</w:t>
      </w:r>
      <w:bookmarkEnd w:id="158"/>
    </w:p>
    <w:p w14:paraId="686AFC81" w14:textId="77777777" w:rsidR="00BB62AA" w:rsidRPr="00DF6FED" w:rsidRDefault="00BB62AA" w:rsidP="00DF6FED"/>
    <w:p w14:paraId="715CFD25" w14:textId="6CAE3802" w:rsidR="00BF6E39" w:rsidRPr="00904368" w:rsidRDefault="0026340E" w:rsidP="00661334">
      <w:pPr>
        <w:spacing w:line="480" w:lineRule="auto"/>
        <w:rPr>
          <w:sz w:val="24"/>
          <w:szCs w:val="24"/>
        </w:rPr>
      </w:pPr>
      <w:r w:rsidRPr="0026340E">
        <w:rPr>
          <w:sz w:val="24"/>
          <w:szCs w:val="24"/>
        </w:rPr>
        <w:t>To analyze whether control over aggregation would lead to modulation of adaptive immunity, we analyzed the level of antigen-specific antibody production against model antigen OVA by varying [II] peptide aggregation</w:t>
      </w:r>
      <w:r>
        <w:rPr>
          <w:sz w:val="24"/>
          <w:szCs w:val="24"/>
        </w:rPr>
        <w:t xml:space="preserve">. </w:t>
      </w:r>
      <w:r w:rsidR="00867166">
        <w:rPr>
          <w:sz w:val="24"/>
          <w:szCs w:val="24"/>
        </w:rPr>
        <w:t xml:space="preserve">Higher </w:t>
      </w:r>
      <w:r w:rsidR="0000533B">
        <w:rPr>
          <w:sz w:val="24"/>
          <w:szCs w:val="24"/>
        </w:rPr>
        <w:t>globular</w:t>
      </w:r>
      <w:r w:rsidR="00867166">
        <w:rPr>
          <w:sz w:val="24"/>
          <w:szCs w:val="24"/>
        </w:rPr>
        <w:t xml:space="preserve"> structures led to higher antibody production due to </w:t>
      </w:r>
      <w:r w:rsidR="00DF6FED" w:rsidRPr="00904368">
        <w:rPr>
          <w:sz w:val="24"/>
          <w:szCs w:val="24"/>
        </w:rPr>
        <w:t>inducing</w:t>
      </w:r>
      <w:r w:rsidR="00867166">
        <w:rPr>
          <w:sz w:val="24"/>
          <w:szCs w:val="24"/>
        </w:rPr>
        <w:t xml:space="preserve"> higher</w:t>
      </w:r>
      <w:r w:rsidR="00DF6FED" w:rsidRPr="00904368">
        <w:rPr>
          <w:sz w:val="24"/>
          <w:szCs w:val="24"/>
        </w:rPr>
        <w:t xml:space="preserve"> local DAMP release. We used [II] prepared in 0.2</w:t>
      </w:r>
      <w:r w:rsidR="00AB3C66" w:rsidRPr="00904368">
        <w:rPr>
          <w:sz w:val="24"/>
          <w:szCs w:val="24"/>
        </w:rPr>
        <w:t xml:space="preserve"> w/v</w:t>
      </w:r>
      <w:r w:rsidR="00DF6FED" w:rsidRPr="00904368">
        <w:rPr>
          <w:sz w:val="24"/>
          <w:szCs w:val="24"/>
        </w:rPr>
        <w:t>%, 0.02</w:t>
      </w:r>
      <w:r w:rsidR="00AB3C66" w:rsidRPr="00904368">
        <w:rPr>
          <w:sz w:val="24"/>
          <w:szCs w:val="24"/>
        </w:rPr>
        <w:t xml:space="preserve"> w/v</w:t>
      </w:r>
      <w:r w:rsidR="00DF6FED" w:rsidRPr="00904368">
        <w:rPr>
          <w:sz w:val="24"/>
          <w:szCs w:val="24"/>
        </w:rPr>
        <w:t>% and 0</w:t>
      </w:r>
      <w:r w:rsidR="00AB3C66" w:rsidRPr="00904368">
        <w:rPr>
          <w:sz w:val="24"/>
          <w:szCs w:val="24"/>
        </w:rPr>
        <w:t xml:space="preserve"> w/v</w:t>
      </w:r>
      <w:r w:rsidR="00DF6FED" w:rsidRPr="00904368">
        <w:rPr>
          <w:sz w:val="24"/>
          <w:szCs w:val="24"/>
        </w:rPr>
        <w:t>% mouse serum albumin (MSA). Given that the aggregation changes with the presence of albumin, we tested whether the addition of OVA into the peptide mixture alters the aggregation kinetics and viability of the cells. 10 ug of OVA (the amount used in vaccination) did not alter the fluorescent intensity of ThT measurement, indicating that OVA addition does not alter the aggregation process</w:t>
      </w:r>
      <w:r w:rsidR="00867166">
        <w:rPr>
          <w:sz w:val="24"/>
          <w:szCs w:val="24"/>
        </w:rPr>
        <w:t xml:space="preserve"> after reaching </w:t>
      </w:r>
      <w:r w:rsidR="00867166" w:rsidRPr="004D5C17">
        <w:rPr>
          <w:sz w:val="24"/>
          <w:szCs w:val="24"/>
        </w:rPr>
        <w:t>equilibrium</w:t>
      </w:r>
      <w:r w:rsidR="00AB3C66" w:rsidRPr="004D5C17">
        <w:rPr>
          <w:sz w:val="24"/>
          <w:szCs w:val="24"/>
        </w:rPr>
        <w:t xml:space="preserve"> </w:t>
      </w:r>
      <w:r w:rsidR="004D5C17" w:rsidRPr="004D5C17">
        <w:rPr>
          <w:sz w:val="24"/>
          <w:szCs w:val="24"/>
        </w:rPr>
        <w:t>(</w:t>
      </w:r>
      <w:r w:rsidR="004D5C17" w:rsidRPr="004D5C17">
        <w:rPr>
          <w:sz w:val="24"/>
          <w:szCs w:val="24"/>
        </w:rPr>
        <w:fldChar w:fldCharType="begin"/>
      </w:r>
      <w:r w:rsidR="004D5C17" w:rsidRPr="004D5C17">
        <w:rPr>
          <w:sz w:val="24"/>
          <w:szCs w:val="24"/>
        </w:rPr>
        <w:instrText xml:space="preserve"> REF _Ref115995852 \h </w:instrText>
      </w:r>
      <w:r w:rsidR="004D5C17">
        <w:rPr>
          <w:sz w:val="24"/>
          <w:szCs w:val="24"/>
        </w:rPr>
        <w:instrText xml:space="preserve"> \* MERGEFORMAT </w:instrText>
      </w:r>
      <w:r w:rsidR="004D5C17" w:rsidRPr="004D5C17">
        <w:rPr>
          <w:sz w:val="24"/>
          <w:szCs w:val="24"/>
        </w:rPr>
      </w:r>
      <w:r w:rsidR="004D5C17" w:rsidRPr="004D5C17">
        <w:rPr>
          <w:sz w:val="24"/>
          <w:szCs w:val="24"/>
        </w:rPr>
        <w:fldChar w:fldCharType="separate"/>
      </w:r>
      <w:r w:rsidR="00785166" w:rsidRPr="00785166">
        <w:rPr>
          <w:sz w:val="24"/>
          <w:szCs w:val="24"/>
        </w:rPr>
        <w:t xml:space="preserve">Figure 4. </w:t>
      </w:r>
      <w:r w:rsidR="00785166" w:rsidRPr="00785166">
        <w:rPr>
          <w:noProof/>
          <w:sz w:val="24"/>
          <w:szCs w:val="24"/>
        </w:rPr>
        <w:t>4</w:t>
      </w:r>
      <w:r w:rsidR="004D5C17" w:rsidRPr="004D5C17">
        <w:rPr>
          <w:sz w:val="24"/>
          <w:szCs w:val="24"/>
        </w:rPr>
        <w:fldChar w:fldCharType="end"/>
      </w:r>
      <w:r w:rsidR="00BF6E39" w:rsidRPr="004D5C17">
        <w:rPr>
          <w:sz w:val="24"/>
          <w:szCs w:val="24"/>
        </w:rPr>
        <w:t>A).</w:t>
      </w:r>
      <w:r w:rsidR="00BF6E39" w:rsidRPr="00904368">
        <w:rPr>
          <w:sz w:val="24"/>
          <w:szCs w:val="24"/>
        </w:rPr>
        <w:t xml:space="preserve"> </w:t>
      </w:r>
      <w:r w:rsidR="00DF6FED" w:rsidRPr="00904368">
        <w:rPr>
          <w:sz w:val="24"/>
          <w:szCs w:val="24"/>
        </w:rPr>
        <w:t xml:space="preserve">Moreover, </w:t>
      </w:r>
      <w:r w:rsidR="00867166">
        <w:rPr>
          <w:sz w:val="24"/>
          <w:szCs w:val="24"/>
        </w:rPr>
        <w:t>a</w:t>
      </w:r>
      <w:r w:rsidR="00DF6FED" w:rsidRPr="00904368">
        <w:rPr>
          <w:sz w:val="24"/>
          <w:szCs w:val="24"/>
        </w:rPr>
        <w:t>ddition of OVA did not alter the cytotoxicity</w:t>
      </w:r>
      <w:r w:rsidR="004D5C17" w:rsidRPr="004D5C17">
        <w:rPr>
          <w:sz w:val="24"/>
          <w:szCs w:val="24"/>
        </w:rPr>
        <w:t xml:space="preserve"> (</w:t>
      </w:r>
      <w:r w:rsidR="004D5C17" w:rsidRPr="004D5C17">
        <w:rPr>
          <w:sz w:val="24"/>
          <w:szCs w:val="24"/>
        </w:rPr>
        <w:fldChar w:fldCharType="begin"/>
      </w:r>
      <w:r w:rsidR="004D5C17" w:rsidRPr="004D5C17">
        <w:rPr>
          <w:sz w:val="24"/>
          <w:szCs w:val="24"/>
        </w:rPr>
        <w:instrText xml:space="preserve"> REF _Ref115995852 \h </w:instrText>
      </w:r>
      <w:r w:rsidR="004D5C17">
        <w:rPr>
          <w:sz w:val="24"/>
          <w:szCs w:val="24"/>
        </w:rPr>
        <w:instrText xml:space="preserve"> \* MERGEFORMAT </w:instrText>
      </w:r>
      <w:r w:rsidR="004D5C17" w:rsidRPr="004D5C17">
        <w:rPr>
          <w:sz w:val="24"/>
          <w:szCs w:val="24"/>
        </w:rPr>
      </w:r>
      <w:r w:rsidR="004D5C17" w:rsidRPr="004D5C17">
        <w:rPr>
          <w:sz w:val="24"/>
          <w:szCs w:val="24"/>
        </w:rPr>
        <w:fldChar w:fldCharType="separate"/>
      </w:r>
      <w:r w:rsidR="00785166" w:rsidRPr="00785166">
        <w:rPr>
          <w:sz w:val="24"/>
          <w:szCs w:val="24"/>
        </w:rPr>
        <w:t xml:space="preserve">Figure 4. </w:t>
      </w:r>
      <w:r w:rsidR="00785166" w:rsidRPr="00785166">
        <w:rPr>
          <w:noProof/>
          <w:sz w:val="24"/>
          <w:szCs w:val="24"/>
        </w:rPr>
        <w:t>4</w:t>
      </w:r>
      <w:r w:rsidR="004D5C17" w:rsidRPr="004D5C17">
        <w:rPr>
          <w:sz w:val="24"/>
          <w:szCs w:val="24"/>
        </w:rPr>
        <w:fldChar w:fldCharType="end"/>
      </w:r>
      <w:r w:rsidR="00BF6E39" w:rsidRPr="00904368">
        <w:rPr>
          <w:sz w:val="24"/>
          <w:szCs w:val="24"/>
        </w:rPr>
        <w:t>B)</w:t>
      </w:r>
      <w:r w:rsidR="00DF6FED" w:rsidRPr="00904368">
        <w:rPr>
          <w:sz w:val="24"/>
          <w:szCs w:val="24"/>
        </w:rPr>
        <w:t>. These results confirm</w:t>
      </w:r>
      <w:r w:rsidR="005A7291">
        <w:rPr>
          <w:sz w:val="24"/>
          <w:szCs w:val="24"/>
        </w:rPr>
        <w:t>ed</w:t>
      </w:r>
      <w:r w:rsidR="00DF6FED" w:rsidRPr="00904368">
        <w:rPr>
          <w:sz w:val="24"/>
          <w:szCs w:val="24"/>
        </w:rPr>
        <w:t xml:space="preserve"> that OVA addition d</w:t>
      </w:r>
      <w:r w:rsidR="005A7291">
        <w:rPr>
          <w:sz w:val="24"/>
          <w:szCs w:val="24"/>
        </w:rPr>
        <w:t>id</w:t>
      </w:r>
      <w:r w:rsidR="00DF6FED" w:rsidRPr="00904368">
        <w:rPr>
          <w:sz w:val="24"/>
          <w:szCs w:val="24"/>
        </w:rPr>
        <w:t xml:space="preserve"> not alter the kinetics of aggregation and </w:t>
      </w:r>
      <w:r w:rsidR="00867166">
        <w:rPr>
          <w:sz w:val="24"/>
          <w:szCs w:val="24"/>
        </w:rPr>
        <w:t>cytotoxicity</w:t>
      </w:r>
      <w:r w:rsidR="00DF6FED" w:rsidRPr="00904368">
        <w:rPr>
          <w:sz w:val="24"/>
          <w:szCs w:val="24"/>
        </w:rPr>
        <w:t>.</w:t>
      </w:r>
    </w:p>
    <w:p w14:paraId="271D7416" w14:textId="77777777" w:rsidR="003A2A85" w:rsidRDefault="00BF6E39" w:rsidP="003A2A85">
      <w:pPr>
        <w:keepNext/>
        <w:spacing w:line="480" w:lineRule="auto"/>
      </w:pPr>
      <w:r>
        <w:rPr>
          <w:noProof/>
          <w:sz w:val="22"/>
          <w:szCs w:val="22"/>
        </w:rPr>
        <w:drawing>
          <wp:inline distT="0" distB="0" distL="0" distR="0" wp14:anchorId="55E0FCA6" wp14:editId="02155C21">
            <wp:extent cx="5890437" cy="2449942"/>
            <wp:effectExtent l="0" t="0" r="2540" b="1270"/>
            <wp:docPr id="45" name="Picture 4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045833" cy="2514574"/>
                    </a:xfrm>
                    <a:prstGeom prst="rect">
                      <a:avLst/>
                    </a:prstGeom>
                  </pic:spPr>
                </pic:pic>
              </a:graphicData>
            </a:graphic>
          </wp:inline>
        </w:drawing>
      </w:r>
    </w:p>
    <w:p w14:paraId="3ACE28EF" w14:textId="5E8B079D" w:rsidR="00BF6E39" w:rsidRDefault="003A2A85" w:rsidP="008A3EF7">
      <w:pPr>
        <w:pStyle w:val="Caption"/>
      </w:pPr>
      <w:bookmarkStart w:id="159" w:name="_Ref115995852"/>
      <w:bookmarkStart w:id="160" w:name="_Toc121134662"/>
      <w:r>
        <w:t xml:space="preserve">Figure 4. </w:t>
      </w:r>
      <w:fldSimple w:instr=" SEQ Figure_4. \* ARABIC ">
        <w:r w:rsidR="00785166">
          <w:rPr>
            <w:noProof/>
          </w:rPr>
          <w:t>4</w:t>
        </w:r>
      </w:fldSimple>
      <w:bookmarkEnd w:id="159"/>
      <w:r w:rsidRPr="003A2A85">
        <w:t xml:space="preserve"> </w:t>
      </w:r>
      <w:r w:rsidRPr="00BF6E39">
        <w:t xml:space="preserve">OVA addition does not change aggregation and cell membrane damage. </w:t>
      </w:r>
      <w:r w:rsidRPr="0009526C">
        <w:t>10</w:t>
      </w:r>
      <w:r w:rsidRPr="0009526C">
        <w:sym w:font="Symbol" w:char="F06D"/>
      </w:r>
      <w:r w:rsidRPr="0009526C">
        <w:t xml:space="preserve">g of OVA was added into the [II] peptide mixture prepared in indicated albumin w/v% and ThT measurement was carried out (A). Viability measurement at 6h with 0.5mM [II] peptide prepared in indicated albumin w/v% with and without the addition of 10 </w:t>
      </w:r>
      <w:r w:rsidRPr="0009526C">
        <w:sym w:font="Symbol" w:char="F06D"/>
      </w:r>
      <w:r w:rsidRPr="0009526C">
        <w:t>g OVA. Statistical analysis was done by one-way analysis of variance (ANOVA) with Tukey’s multiple-comparison test, data are mean ± SD, ns, not significant.</w:t>
      </w:r>
      <w:bookmarkEnd w:id="160"/>
    </w:p>
    <w:p w14:paraId="6953740F" w14:textId="77777777" w:rsidR="003A2A85" w:rsidRDefault="00DF6FED" w:rsidP="003A2A85">
      <w:pPr>
        <w:keepNext/>
        <w:spacing w:line="480" w:lineRule="auto"/>
      </w:pPr>
      <w:r>
        <w:rPr>
          <w:noProof/>
          <w:sz w:val="22"/>
          <w:szCs w:val="22"/>
        </w:rPr>
        <w:drawing>
          <wp:inline distT="0" distB="0" distL="0" distR="0" wp14:anchorId="6CBB811A" wp14:editId="4D4AB0EE">
            <wp:extent cx="5943600" cy="3743960"/>
            <wp:effectExtent l="0" t="0" r="0" b="0"/>
            <wp:docPr id="43" name="Picture 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3743960"/>
                    </a:xfrm>
                    <a:prstGeom prst="rect">
                      <a:avLst/>
                    </a:prstGeom>
                  </pic:spPr>
                </pic:pic>
              </a:graphicData>
            </a:graphic>
          </wp:inline>
        </w:drawing>
      </w:r>
    </w:p>
    <w:p w14:paraId="76490DD4" w14:textId="10039EBC" w:rsidR="00DF6FED" w:rsidRPr="0009526C" w:rsidRDefault="003A2A85" w:rsidP="008A3EF7">
      <w:pPr>
        <w:pStyle w:val="Caption"/>
        <w:rPr>
          <w:b/>
        </w:rPr>
      </w:pPr>
      <w:bookmarkStart w:id="161" w:name="_Ref115995902"/>
      <w:bookmarkStart w:id="162" w:name="_Toc121134663"/>
      <w:r>
        <w:t xml:space="preserve">Figure 4. </w:t>
      </w:r>
      <w:fldSimple w:instr=" SEQ Figure_4. \* ARABIC ">
        <w:r w:rsidR="00785166">
          <w:rPr>
            <w:noProof/>
          </w:rPr>
          <w:t>5</w:t>
        </w:r>
      </w:fldSimple>
      <w:bookmarkEnd w:id="161"/>
      <w:r w:rsidRPr="003A2A85">
        <w:t xml:space="preserve"> </w:t>
      </w:r>
      <w:r w:rsidRPr="00BF6E39">
        <w:t xml:space="preserve">Experimental planning of vaccination and antibody responses. </w:t>
      </w:r>
      <w:r w:rsidRPr="0009526C">
        <w:t>Injection groups were control (only PBS), only OVA and 0.5mM [II] prepared in 0 w/v%, 0.02 w/v% and 0.2 w/v% MSA. Booster vaccinations were carried out at week 4 and 8, identical to first vaccination. Serum was collected to analyze antibody levels at week 3, 4, 6 and 10. Statistical analysis was done by one-way analysis of variance (ANOVA) with Tukey’s multiple-comparison test, data are mean ± SD, **** p&lt;0.0001, *** p&lt;0.001, ** p&lt;0.01.</w:t>
      </w:r>
      <w:bookmarkEnd w:id="162"/>
    </w:p>
    <w:p w14:paraId="2B19C72E" w14:textId="542AA210" w:rsidR="00DF6FED" w:rsidRPr="00904368" w:rsidRDefault="00DF6FED" w:rsidP="00661334">
      <w:pPr>
        <w:spacing w:line="480" w:lineRule="auto"/>
        <w:rPr>
          <w:sz w:val="24"/>
          <w:szCs w:val="24"/>
        </w:rPr>
      </w:pPr>
      <w:r w:rsidRPr="00904368">
        <w:rPr>
          <w:sz w:val="24"/>
          <w:szCs w:val="24"/>
        </w:rPr>
        <w:t xml:space="preserve">Then, we vaccinated mice (n=5) </w:t>
      </w:r>
      <w:r w:rsidR="00867166">
        <w:rPr>
          <w:sz w:val="24"/>
          <w:szCs w:val="24"/>
        </w:rPr>
        <w:t>and used</w:t>
      </w:r>
      <w:r w:rsidRPr="00904368">
        <w:rPr>
          <w:sz w:val="24"/>
          <w:szCs w:val="24"/>
        </w:rPr>
        <w:t xml:space="preserve"> only OVA and only PBS condition as vaccination controls. Vaccinations were identical and were carried out at t=0, week 4 and week 8. Serum was collected to analyze the OVA-specific antibody formation at week 3, 4, 6 and 10</w:t>
      </w:r>
      <w:r w:rsidR="00DE43C5">
        <w:rPr>
          <w:sz w:val="24"/>
          <w:szCs w:val="24"/>
        </w:rPr>
        <w:t xml:space="preserve"> </w:t>
      </w:r>
      <w:r w:rsidR="00DE43C5" w:rsidRPr="00DE43C5">
        <w:rPr>
          <w:sz w:val="24"/>
          <w:szCs w:val="24"/>
        </w:rPr>
        <w:t>(</w:t>
      </w:r>
      <w:r w:rsidR="00DE43C5" w:rsidRPr="00DE43C5">
        <w:rPr>
          <w:sz w:val="24"/>
          <w:szCs w:val="24"/>
        </w:rPr>
        <w:fldChar w:fldCharType="begin"/>
      </w:r>
      <w:r w:rsidR="00DE43C5" w:rsidRPr="00DE43C5">
        <w:rPr>
          <w:sz w:val="24"/>
          <w:szCs w:val="24"/>
        </w:rPr>
        <w:instrText xml:space="preserve"> REF _Ref115995902 \h </w:instrText>
      </w:r>
      <w:r w:rsidR="00DE43C5">
        <w:rPr>
          <w:sz w:val="24"/>
          <w:szCs w:val="24"/>
        </w:rPr>
        <w:instrText xml:space="preserve"> \* MERGEFORMAT </w:instrText>
      </w:r>
      <w:r w:rsidR="00DE43C5" w:rsidRPr="00DE43C5">
        <w:rPr>
          <w:sz w:val="24"/>
          <w:szCs w:val="24"/>
        </w:rPr>
      </w:r>
      <w:r w:rsidR="00DE43C5" w:rsidRPr="00DE43C5">
        <w:rPr>
          <w:sz w:val="24"/>
          <w:szCs w:val="24"/>
        </w:rPr>
        <w:fldChar w:fldCharType="separate"/>
      </w:r>
      <w:r w:rsidR="00785166" w:rsidRPr="00785166">
        <w:rPr>
          <w:sz w:val="24"/>
          <w:szCs w:val="24"/>
        </w:rPr>
        <w:t xml:space="preserve">Figure 4. </w:t>
      </w:r>
      <w:r w:rsidR="00785166" w:rsidRPr="00785166">
        <w:rPr>
          <w:noProof/>
          <w:sz w:val="24"/>
          <w:szCs w:val="24"/>
        </w:rPr>
        <w:t>5</w:t>
      </w:r>
      <w:r w:rsidR="00DE43C5" w:rsidRPr="00DE43C5">
        <w:rPr>
          <w:sz w:val="24"/>
          <w:szCs w:val="24"/>
        </w:rPr>
        <w:fldChar w:fldCharType="end"/>
      </w:r>
      <w:r w:rsidR="00BF6E39" w:rsidRPr="00DE43C5">
        <w:rPr>
          <w:sz w:val="24"/>
          <w:szCs w:val="24"/>
        </w:rPr>
        <w:t>A).</w:t>
      </w:r>
      <w:r w:rsidR="00BF6E39" w:rsidRPr="00904368">
        <w:rPr>
          <w:sz w:val="24"/>
          <w:szCs w:val="24"/>
        </w:rPr>
        <w:t xml:space="preserve"> </w:t>
      </w:r>
      <w:r w:rsidRPr="00904368">
        <w:rPr>
          <w:sz w:val="24"/>
          <w:szCs w:val="24"/>
        </w:rPr>
        <w:t>Weight</w:t>
      </w:r>
      <w:r w:rsidR="00BF6E39" w:rsidRPr="00904368">
        <w:rPr>
          <w:sz w:val="24"/>
          <w:szCs w:val="24"/>
        </w:rPr>
        <w:t xml:space="preserve"> </w:t>
      </w:r>
      <w:r w:rsidRPr="00904368">
        <w:rPr>
          <w:sz w:val="24"/>
          <w:szCs w:val="24"/>
        </w:rPr>
        <w:t xml:space="preserve">loss is an </w:t>
      </w:r>
      <w:r w:rsidR="00BF6E39" w:rsidRPr="00904368">
        <w:rPr>
          <w:sz w:val="24"/>
          <w:szCs w:val="24"/>
        </w:rPr>
        <w:t>important safety criterion</w:t>
      </w:r>
      <w:r w:rsidRPr="00904368">
        <w:rPr>
          <w:sz w:val="24"/>
          <w:szCs w:val="24"/>
        </w:rPr>
        <w:t xml:space="preserve"> for </w:t>
      </w:r>
      <w:r w:rsidR="00BF6E39" w:rsidRPr="00904368">
        <w:rPr>
          <w:sz w:val="24"/>
          <w:szCs w:val="24"/>
        </w:rPr>
        <w:t>vaccines</w:t>
      </w:r>
      <w:r w:rsidR="00867166">
        <w:rPr>
          <w:sz w:val="24"/>
          <w:szCs w:val="24"/>
        </w:rPr>
        <w:fldChar w:fldCharType="begin"/>
      </w:r>
      <w:r w:rsidR="008F09C1">
        <w:rPr>
          <w:sz w:val="24"/>
          <w:szCs w:val="24"/>
        </w:rPr>
        <w:instrText xml:space="preserve"> ADDIN ZOTERO_ITEM CSL_CITATION {"citationID":"a1u7qoetvg9","properties":{"formattedCitation":"\\super 228\\nosupersub{}","plainCitation":"228","noteIndex":0},"citationItems":[{"id":10523,"uris":["http://zotero.org/groups/2667333/items/KQRWLXC7"],"itemData":{"id":10523,"type":"article-journal","container-title":"Trials in Vaccinology","DOI":"10.1016/j.trivac.2015.10.001","ISSN":"18794378","journalAbbreviation":"Trials in Vaccinology","language":"en","page":"8-14","source":"DOI.org (Crossref)","title":"An assessment, in mice, of the safety of the childhood immunization vaccines sourced from three south-eastern states of Nigeria","URL":"https://linkinghub.elsevier.com/retrieve/pii/S1879437815000133","volume":"5","author":[{"family":"Oli","given":"Angus Nnamdi"},{"family":"Oli","given":"Ugochukwu Chinedum"},{"family":"Ejiofor","given":"Obiora Shedrack"},{"family":"Nwoye","given":"Charles Ugochukwu"},{"family":"Esimone","given":"Charles Okechukwu"}],"accessed":{"date-parts":[["2022",2,20]]},"issued":{"date-parts":[["2016"]]},"citation-key":"oliAssessmentMiceSafety2016"}}],"schema":"https://github.com/citation-style-language/schema/raw/master/csl-citation.json"} </w:instrText>
      </w:r>
      <w:r w:rsidR="00867166">
        <w:rPr>
          <w:sz w:val="24"/>
          <w:szCs w:val="24"/>
        </w:rPr>
        <w:fldChar w:fldCharType="separate"/>
      </w:r>
      <w:r w:rsidR="008F09C1" w:rsidRPr="008F09C1">
        <w:rPr>
          <w:rFonts w:ascii="Arial" w:cs="Arial"/>
          <w:sz w:val="24"/>
          <w:vertAlign w:val="superscript"/>
        </w:rPr>
        <w:t>228</w:t>
      </w:r>
      <w:r w:rsidR="00867166">
        <w:rPr>
          <w:sz w:val="24"/>
          <w:szCs w:val="24"/>
        </w:rPr>
        <w:fldChar w:fldCharType="end"/>
      </w:r>
      <w:r w:rsidR="00BF6E39" w:rsidRPr="00904368">
        <w:rPr>
          <w:sz w:val="24"/>
          <w:szCs w:val="24"/>
        </w:rPr>
        <w:t xml:space="preserve">; </w:t>
      </w:r>
      <w:r w:rsidRPr="00904368">
        <w:rPr>
          <w:sz w:val="24"/>
          <w:szCs w:val="24"/>
        </w:rPr>
        <w:t xml:space="preserve">therefore, we tracked the weight of the mice throughout the study and found no differences </w:t>
      </w:r>
      <w:r w:rsidR="00DE43C5" w:rsidRPr="00DE43C5">
        <w:rPr>
          <w:sz w:val="24"/>
          <w:szCs w:val="24"/>
        </w:rPr>
        <w:t>(</w:t>
      </w:r>
      <w:r w:rsidR="00DE43C5" w:rsidRPr="00DE43C5">
        <w:rPr>
          <w:sz w:val="24"/>
          <w:szCs w:val="24"/>
        </w:rPr>
        <w:fldChar w:fldCharType="begin"/>
      </w:r>
      <w:r w:rsidR="00DE43C5" w:rsidRPr="00DE43C5">
        <w:rPr>
          <w:sz w:val="24"/>
          <w:szCs w:val="24"/>
        </w:rPr>
        <w:instrText xml:space="preserve"> REF _Ref115995902 \h </w:instrText>
      </w:r>
      <w:r w:rsidR="00DE43C5">
        <w:rPr>
          <w:sz w:val="24"/>
          <w:szCs w:val="24"/>
        </w:rPr>
        <w:instrText xml:space="preserve"> \* MERGEFORMAT </w:instrText>
      </w:r>
      <w:r w:rsidR="00DE43C5" w:rsidRPr="00DE43C5">
        <w:rPr>
          <w:sz w:val="24"/>
          <w:szCs w:val="24"/>
        </w:rPr>
      </w:r>
      <w:r w:rsidR="00DE43C5" w:rsidRPr="00DE43C5">
        <w:rPr>
          <w:sz w:val="24"/>
          <w:szCs w:val="24"/>
        </w:rPr>
        <w:fldChar w:fldCharType="separate"/>
      </w:r>
      <w:r w:rsidR="00785166" w:rsidRPr="00785166">
        <w:rPr>
          <w:sz w:val="24"/>
          <w:szCs w:val="24"/>
        </w:rPr>
        <w:t xml:space="preserve">Figure 4. </w:t>
      </w:r>
      <w:r w:rsidR="00785166" w:rsidRPr="00785166">
        <w:rPr>
          <w:noProof/>
          <w:sz w:val="24"/>
          <w:szCs w:val="24"/>
        </w:rPr>
        <w:t>5</w:t>
      </w:r>
      <w:r w:rsidR="00DE43C5" w:rsidRPr="00DE43C5">
        <w:rPr>
          <w:sz w:val="24"/>
          <w:szCs w:val="24"/>
        </w:rPr>
        <w:fldChar w:fldCharType="end"/>
      </w:r>
      <w:r w:rsidR="00BF6E39" w:rsidRPr="00904368">
        <w:rPr>
          <w:sz w:val="24"/>
          <w:szCs w:val="24"/>
        </w:rPr>
        <w:t>B)</w:t>
      </w:r>
      <w:r w:rsidRPr="00904368">
        <w:rPr>
          <w:sz w:val="24"/>
          <w:szCs w:val="24"/>
        </w:rPr>
        <w:t xml:space="preserve">, indicating the safety of the vaccine. </w:t>
      </w:r>
      <w:r w:rsidR="00867166">
        <w:rPr>
          <w:sz w:val="24"/>
          <w:szCs w:val="24"/>
        </w:rPr>
        <w:t>We</w:t>
      </w:r>
      <w:r w:rsidRPr="00904368">
        <w:rPr>
          <w:sz w:val="24"/>
          <w:szCs w:val="24"/>
        </w:rPr>
        <w:t xml:space="preserve"> found significantly increased</w:t>
      </w:r>
      <w:r w:rsidR="00867166">
        <w:rPr>
          <w:sz w:val="24"/>
          <w:szCs w:val="24"/>
        </w:rPr>
        <w:t xml:space="preserve"> IgG and IgG1</w:t>
      </w:r>
      <w:r w:rsidRPr="00904368">
        <w:rPr>
          <w:sz w:val="24"/>
          <w:szCs w:val="24"/>
        </w:rPr>
        <w:t xml:space="preserve"> antibody levels when vaccination formulation had higher </w:t>
      </w:r>
      <w:r w:rsidR="0000533B">
        <w:rPr>
          <w:sz w:val="24"/>
          <w:szCs w:val="24"/>
        </w:rPr>
        <w:t>globular</w:t>
      </w:r>
      <w:r w:rsidRPr="00904368">
        <w:rPr>
          <w:sz w:val="24"/>
          <w:szCs w:val="24"/>
        </w:rPr>
        <w:t xml:space="preserve"> structures ([II] in 0.2</w:t>
      </w:r>
      <w:r w:rsidR="00BF6E39" w:rsidRPr="00904368">
        <w:rPr>
          <w:sz w:val="24"/>
          <w:szCs w:val="24"/>
        </w:rPr>
        <w:t xml:space="preserve"> w/v</w:t>
      </w:r>
      <w:r w:rsidRPr="00904368">
        <w:rPr>
          <w:sz w:val="24"/>
          <w:szCs w:val="24"/>
        </w:rPr>
        <w:t xml:space="preserve">% MSA) </w:t>
      </w:r>
      <w:r w:rsidR="00DE43C5" w:rsidRPr="00DE43C5">
        <w:rPr>
          <w:sz w:val="24"/>
          <w:szCs w:val="24"/>
        </w:rPr>
        <w:t>(</w:t>
      </w:r>
      <w:r w:rsidR="00DE43C5" w:rsidRPr="00DE43C5">
        <w:rPr>
          <w:sz w:val="24"/>
          <w:szCs w:val="24"/>
        </w:rPr>
        <w:fldChar w:fldCharType="begin"/>
      </w:r>
      <w:r w:rsidR="00DE43C5" w:rsidRPr="00DE43C5">
        <w:rPr>
          <w:sz w:val="24"/>
          <w:szCs w:val="24"/>
        </w:rPr>
        <w:instrText xml:space="preserve"> REF _Ref115995902 \h </w:instrText>
      </w:r>
      <w:r w:rsidR="00DE43C5">
        <w:rPr>
          <w:sz w:val="24"/>
          <w:szCs w:val="24"/>
        </w:rPr>
        <w:instrText xml:space="preserve"> \* MERGEFORMAT </w:instrText>
      </w:r>
      <w:r w:rsidR="00DE43C5" w:rsidRPr="00DE43C5">
        <w:rPr>
          <w:sz w:val="24"/>
          <w:szCs w:val="24"/>
        </w:rPr>
      </w:r>
      <w:r w:rsidR="00DE43C5" w:rsidRPr="00DE43C5">
        <w:rPr>
          <w:sz w:val="24"/>
          <w:szCs w:val="24"/>
        </w:rPr>
        <w:fldChar w:fldCharType="separate"/>
      </w:r>
      <w:r w:rsidR="00785166" w:rsidRPr="00785166">
        <w:rPr>
          <w:sz w:val="24"/>
          <w:szCs w:val="24"/>
        </w:rPr>
        <w:t xml:space="preserve">Figure 4. </w:t>
      </w:r>
      <w:r w:rsidR="00785166" w:rsidRPr="00785166">
        <w:rPr>
          <w:noProof/>
          <w:sz w:val="24"/>
          <w:szCs w:val="24"/>
        </w:rPr>
        <w:t>5</w:t>
      </w:r>
      <w:r w:rsidR="00DE43C5" w:rsidRPr="00DE43C5">
        <w:rPr>
          <w:sz w:val="24"/>
          <w:szCs w:val="24"/>
        </w:rPr>
        <w:fldChar w:fldCharType="end"/>
      </w:r>
      <w:r w:rsidR="00BF6E39" w:rsidRPr="00904368">
        <w:rPr>
          <w:sz w:val="24"/>
          <w:szCs w:val="24"/>
        </w:rPr>
        <w:t>C, D)</w:t>
      </w:r>
      <w:r w:rsidRPr="00904368">
        <w:rPr>
          <w:sz w:val="24"/>
          <w:szCs w:val="24"/>
        </w:rPr>
        <w:t>. [II] in 0</w:t>
      </w:r>
      <w:r w:rsidR="00BF6E39" w:rsidRPr="00904368">
        <w:rPr>
          <w:sz w:val="24"/>
          <w:szCs w:val="24"/>
        </w:rPr>
        <w:t xml:space="preserve"> w/v</w:t>
      </w:r>
      <w:r w:rsidRPr="00904368">
        <w:rPr>
          <w:sz w:val="24"/>
          <w:szCs w:val="24"/>
        </w:rPr>
        <w:t>% and 0.02</w:t>
      </w:r>
      <w:r w:rsidR="00BF6E39" w:rsidRPr="00904368">
        <w:rPr>
          <w:sz w:val="24"/>
          <w:szCs w:val="24"/>
        </w:rPr>
        <w:t xml:space="preserve"> w/v</w:t>
      </w:r>
      <w:r w:rsidRPr="00904368">
        <w:rPr>
          <w:sz w:val="24"/>
          <w:szCs w:val="24"/>
        </w:rPr>
        <w:t xml:space="preserve">% resulted in similar antibody levels as OVA control group, potentially due to very high fibrillar structures and not enough </w:t>
      </w:r>
      <w:r w:rsidR="0000533B">
        <w:rPr>
          <w:sz w:val="24"/>
          <w:szCs w:val="24"/>
        </w:rPr>
        <w:t>globular</w:t>
      </w:r>
      <w:r w:rsidRPr="00904368">
        <w:rPr>
          <w:sz w:val="24"/>
          <w:szCs w:val="24"/>
        </w:rPr>
        <w:t xml:space="preserve"> structures to induce local DAMP release. These results show that [II] is a safe vaccine</w:t>
      </w:r>
      <w:r w:rsidR="00867166">
        <w:rPr>
          <w:sz w:val="24"/>
          <w:szCs w:val="24"/>
        </w:rPr>
        <w:t xml:space="preserve"> adjuvant</w:t>
      </w:r>
      <w:r w:rsidRPr="00904368">
        <w:rPr>
          <w:sz w:val="24"/>
          <w:szCs w:val="24"/>
        </w:rPr>
        <w:t xml:space="preserve"> tool that can be modulated to increase antigen-specific antibody levels.</w:t>
      </w:r>
    </w:p>
    <w:p w14:paraId="3C703E93" w14:textId="3A51301E" w:rsidR="00BB62AA" w:rsidRDefault="00BB62AA" w:rsidP="00BB62AA">
      <w:pPr>
        <w:pStyle w:val="Heading3"/>
        <w:numPr>
          <w:ilvl w:val="2"/>
          <w:numId w:val="7"/>
        </w:numPr>
      </w:pPr>
      <w:bookmarkStart w:id="163" w:name="_Toc121134653"/>
      <w:r>
        <w:t xml:space="preserve">Controlled </w:t>
      </w:r>
      <w:r w:rsidR="0009526C">
        <w:t>P</w:t>
      </w:r>
      <w:r>
        <w:t xml:space="preserve">eptide </w:t>
      </w:r>
      <w:r w:rsidR="0009526C">
        <w:t>A</w:t>
      </w:r>
      <w:r>
        <w:t xml:space="preserve">ggregation for </w:t>
      </w:r>
      <w:r w:rsidR="0009526C">
        <w:t>C</w:t>
      </w:r>
      <w:r>
        <w:t xml:space="preserve">ontrolling the </w:t>
      </w:r>
      <w:r w:rsidR="0009526C">
        <w:t>C</w:t>
      </w:r>
      <w:r>
        <w:t xml:space="preserve">ellular </w:t>
      </w:r>
      <w:r w:rsidR="0009526C">
        <w:t>I</w:t>
      </w:r>
      <w:r>
        <w:t>mmunity</w:t>
      </w:r>
      <w:bookmarkEnd w:id="163"/>
    </w:p>
    <w:p w14:paraId="53C195FC" w14:textId="77777777" w:rsidR="00BB62AA" w:rsidRPr="00904368" w:rsidRDefault="00BB62AA" w:rsidP="0009526C"/>
    <w:p w14:paraId="07AB94BF" w14:textId="558B41F1" w:rsidR="007A0FE0" w:rsidRDefault="007A0FE0" w:rsidP="00661334">
      <w:pPr>
        <w:spacing w:line="480" w:lineRule="auto"/>
        <w:rPr>
          <w:sz w:val="24"/>
          <w:szCs w:val="24"/>
        </w:rPr>
      </w:pPr>
      <w:r>
        <w:rPr>
          <w:sz w:val="24"/>
          <w:szCs w:val="24"/>
        </w:rPr>
        <w:t>Inducing protective immunity using dying cells through ICD and DAMP release is vital for prophylactic vaccination strategies, However, i</w:t>
      </w:r>
      <w:r w:rsidR="00DF6FED" w:rsidRPr="00904368">
        <w:rPr>
          <w:sz w:val="24"/>
          <w:szCs w:val="24"/>
        </w:rPr>
        <w:t>mmunogenicity of dying cells change depending on the stage of cell death.</w:t>
      </w:r>
      <w:r w:rsidR="00BF6E39" w:rsidRPr="00904368">
        <w:rPr>
          <w:sz w:val="24"/>
          <w:szCs w:val="24"/>
        </w:rPr>
        <w:fldChar w:fldCharType="begin"/>
      </w:r>
      <w:r w:rsidR="008F09C1">
        <w:rPr>
          <w:sz w:val="24"/>
          <w:szCs w:val="24"/>
        </w:rPr>
        <w:instrText xml:space="preserve"> ADDIN ZOTERO_ITEM CSL_CITATION {"citationID":"aajnhj1fvm","properties":{"formattedCitation":"\\super 226\\nosupersub{}","plainCitation":"226","noteIndex":0},"citationItems":[{"id":10363,"uris":["http://zotero.org/groups/2667333/items/AJSMBY7R"],"itemData":{"id":10363,"type":"article-journal","abstract":"Background\n              Immunotherapy represents the future of clinical cancer treatment. The type of cancer cell death determines the antitumor immune response and thereby contributes to the efficacy of anticancer therapy and long-term survival of patients. Induction of immunogenic apoptosis or necroptosis in cancer cells does activate antitumor immunity, but resistance to these cell death modalities is common. Therefore, it is of great importance to find other ways to kill tumor cells. Recently, ferroptosis has been identified as a novel, iron-dependent form of regulated cell death but whether ferroptotic cancer cells are immunogenic is unknown.\n            \n            \n              Methods\n              \n                Ferroptotic cell death in murine fibrosarcoma MCA205 or glioma GL261 cells was induced by RAS-selective lethal 3 and ferroptosis was analyzed by flow cytometry, atomic force and confocal microscopy. ATP and high-mobility group box 1 (HMGB1) release were detected by luminescence and ELISA assays, respectively. Immunogenicity in vitro was analyzed by coculturing of ferroptotic cancer cells with bone-marrow derived dendritic cells (BMDCs) and rate of phagocytosis and activation/maturation of BMDCs (CD11c\n                +\n                CD86\n                +\n                , CD11c\n                +\n                CD40\n                +\n                , CD11c\n                +\n                MHCII\n                +\n                , IL-6, RNAseq analysis). The tumor prophylactic vaccination model in immune-competent and immune compromised (Rag-2\n                −/−\n                ) mice was used to analyze ferroptosis immunogenicity.\n              \n            \n            \n              Results\n              \n                Ferroptosis can be induced in cancer cells by inhibition of glutathione peroxidase 4, as evidenced by confocal and atomic force microscopy and inhibitors’ analysis. We demonstrate for the first time that ferroptosis is immunogenic in vitro and in vivo. Early, but not late, ferroptotic cells promote the phenotypic maturation of BMDCs and elicit a vaccination-like effect in immune-competent mice but not in Rag-2\n                −/−\n                mice, suggesting that the mechanism of immunogenicity is very tightly regulated by the adaptive immune system and is time dependent. Also, ATP and HMGB1, the best-characterized damage-associated molecular patterns involved in immunogenic cell death, have proven to be passively released along the timeline of ferroptosis and act as immunogenic signal associated with the immunogenicity of early ferroptotic cancer cells.\n              \n            \n            \n              Conclusions\n              These results pave the way for the development of new therapeutic strategies for cancers based on induction of ferroptosis, and thus broadens the current concept of immunogenic cell death and opens the door for the development of new strategies in cancer immunotherapy.","container-title":"Journal for ImmunoTherapy of Cancer","DOI":"10.1136/jitc-2020-001369","ISSN":"2051-1426","issue":"2","journalAbbreviation":"J Immunother Cancer","language":"en","page":"e001369","source":"DOI.org (Crossref)","title":"Vaccination with early ferroptotic cancer cells induces efficient antitumor immunity","URL":"https://jitc.bmj.com/lookup/doi/10.1136/jitc-2020-001369","volume":"8","author":[{"family":"Efimova","given":"Iuliia"},{"family":"Catanzaro","given":"Elena"},{"family":"Van der Meeren","given":"Louis"},{"family":"Turubanova","given":"Victoria D"},{"family":"Hammad","given":"Hamida"},{"family":"Mishchenko","given":"Tatiana A"},{"family":"Vedunova","given":"Maria V"},{"family":"Fimognari","given":"Carmela"},{"family":"Bachert","given":"Claus"},{"family":"Coppieters","given":"Frauke"},{"family":"Lefever","given":"Steve"},{"family":"Skirtach","given":"Andre G"},{"family":"Krysko","given":"Olga"},{"family":"Krysko","given":"Dmitri V"}],"accessed":{"date-parts":[["2022",1,6]]},"issued":{"date-parts":[["2020",11]]},"citation-key":"efimovaVaccinationEarlyFerroptotic2020"}}],"schema":"https://github.com/citation-style-language/schema/raw/master/csl-citation.json"} </w:instrText>
      </w:r>
      <w:r w:rsidR="00BF6E39" w:rsidRPr="00904368">
        <w:rPr>
          <w:sz w:val="24"/>
          <w:szCs w:val="24"/>
        </w:rPr>
        <w:fldChar w:fldCharType="separate"/>
      </w:r>
      <w:r w:rsidR="008F09C1" w:rsidRPr="008F09C1">
        <w:rPr>
          <w:rFonts w:ascii="Arial" w:cs="Arial"/>
          <w:sz w:val="24"/>
          <w:vertAlign w:val="superscript"/>
        </w:rPr>
        <w:t>226</w:t>
      </w:r>
      <w:r w:rsidR="00BF6E39" w:rsidRPr="00904368">
        <w:rPr>
          <w:sz w:val="24"/>
          <w:szCs w:val="24"/>
        </w:rPr>
        <w:fldChar w:fldCharType="end"/>
      </w:r>
      <w:r w:rsidR="00DF6FED" w:rsidRPr="00904368">
        <w:rPr>
          <w:sz w:val="24"/>
          <w:szCs w:val="24"/>
        </w:rPr>
        <w:t xml:space="preserve"> </w:t>
      </w:r>
      <w:r>
        <w:rPr>
          <w:sz w:val="24"/>
          <w:szCs w:val="24"/>
        </w:rPr>
        <w:t xml:space="preserve">We used different aggregation profiles to induce different cell death using EMT6 breast cancer cells and developed a prophylactic vaccine. ICD and DAMP release was induced with </w:t>
      </w:r>
      <w:r w:rsidR="00DF6FED" w:rsidRPr="00904368">
        <w:rPr>
          <w:sz w:val="24"/>
          <w:szCs w:val="24"/>
        </w:rPr>
        <w:t>0.5 mM [II] in either 0.2</w:t>
      </w:r>
      <w:r w:rsidR="00BF6E39" w:rsidRPr="00904368">
        <w:rPr>
          <w:sz w:val="24"/>
          <w:szCs w:val="24"/>
        </w:rPr>
        <w:t xml:space="preserve"> w/v</w:t>
      </w:r>
      <w:r w:rsidR="00DF6FED" w:rsidRPr="00904368">
        <w:rPr>
          <w:sz w:val="24"/>
          <w:szCs w:val="24"/>
        </w:rPr>
        <w:t>% or 2</w:t>
      </w:r>
      <w:r w:rsidR="00BF6E39" w:rsidRPr="00904368">
        <w:rPr>
          <w:sz w:val="24"/>
          <w:szCs w:val="24"/>
        </w:rPr>
        <w:t xml:space="preserve"> w/v</w:t>
      </w:r>
      <w:r w:rsidR="00DF6FED" w:rsidRPr="00904368">
        <w:rPr>
          <w:sz w:val="24"/>
          <w:szCs w:val="24"/>
        </w:rPr>
        <w:t>% albumin for 1.5 and 3h</w:t>
      </w:r>
      <w:r>
        <w:rPr>
          <w:sz w:val="24"/>
          <w:szCs w:val="24"/>
        </w:rPr>
        <w:t>, respectively</w:t>
      </w:r>
      <w:r w:rsidR="00DF6FED" w:rsidRPr="00904368">
        <w:rPr>
          <w:sz w:val="24"/>
          <w:szCs w:val="24"/>
        </w:rPr>
        <w:t>.</w:t>
      </w:r>
      <w:r>
        <w:rPr>
          <w:sz w:val="24"/>
          <w:szCs w:val="24"/>
        </w:rPr>
        <w:t xml:space="preserve"> Prior to vaccination cell death was confirmed with</w:t>
      </w:r>
      <w:r w:rsidR="00DF6FED" w:rsidRPr="00904368">
        <w:rPr>
          <w:sz w:val="24"/>
          <w:szCs w:val="24"/>
        </w:rPr>
        <w:t xml:space="preserve"> propidium </w:t>
      </w:r>
      <w:r w:rsidR="00DF6FED" w:rsidRPr="00EB28EC">
        <w:rPr>
          <w:sz w:val="24"/>
          <w:szCs w:val="24"/>
        </w:rPr>
        <w:t>iodide</w:t>
      </w:r>
      <w:r w:rsidR="00EB28EC" w:rsidRPr="00EB28EC">
        <w:rPr>
          <w:sz w:val="24"/>
          <w:szCs w:val="24"/>
        </w:rPr>
        <w:t xml:space="preserve"> (</w:t>
      </w:r>
      <w:r w:rsidR="00EB28EC" w:rsidRPr="00EB28EC">
        <w:rPr>
          <w:sz w:val="24"/>
          <w:szCs w:val="24"/>
        </w:rPr>
        <w:fldChar w:fldCharType="begin"/>
      </w:r>
      <w:r w:rsidR="00EB28EC" w:rsidRPr="00EB28EC">
        <w:rPr>
          <w:sz w:val="24"/>
          <w:szCs w:val="24"/>
        </w:rPr>
        <w:instrText xml:space="preserve"> REF _Ref115995967 \h </w:instrText>
      </w:r>
      <w:r w:rsidR="00EB28EC">
        <w:rPr>
          <w:sz w:val="24"/>
          <w:szCs w:val="24"/>
        </w:rPr>
        <w:instrText xml:space="preserve"> \* MERGEFORMAT </w:instrText>
      </w:r>
      <w:r w:rsidR="00EB28EC" w:rsidRPr="00EB28EC">
        <w:rPr>
          <w:sz w:val="24"/>
          <w:szCs w:val="24"/>
        </w:rPr>
      </w:r>
      <w:r w:rsidR="00EB28EC" w:rsidRPr="00EB28EC">
        <w:rPr>
          <w:sz w:val="24"/>
          <w:szCs w:val="24"/>
        </w:rPr>
        <w:fldChar w:fldCharType="separate"/>
      </w:r>
      <w:r w:rsidR="00785166" w:rsidRPr="00785166">
        <w:rPr>
          <w:sz w:val="24"/>
          <w:szCs w:val="24"/>
        </w:rPr>
        <w:t xml:space="preserve">Figure 4. </w:t>
      </w:r>
      <w:r w:rsidR="00785166" w:rsidRPr="00785166">
        <w:rPr>
          <w:noProof/>
          <w:sz w:val="24"/>
          <w:szCs w:val="24"/>
        </w:rPr>
        <w:t>6</w:t>
      </w:r>
      <w:r w:rsidR="00EB28EC" w:rsidRPr="00EB28EC">
        <w:rPr>
          <w:sz w:val="24"/>
          <w:szCs w:val="24"/>
        </w:rPr>
        <w:fldChar w:fldCharType="end"/>
      </w:r>
      <w:r w:rsidR="00EB28EC" w:rsidRPr="00EB28EC">
        <w:rPr>
          <w:sz w:val="24"/>
          <w:szCs w:val="24"/>
        </w:rPr>
        <w:t xml:space="preserve">A), </w:t>
      </w:r>
      <w:r w:rsidR="00DF6FED" w:rsidRPr="00EB28EC">
        <w:rPr>
          <w:sz w:val="24"/>
          <w:szCs w:val="24"/>
        </w:rPr>
        <w:t>and intracellular</w:t>
      </w:r>
      <w:r w:rsidR="00DF6FED" w:rsidRPr="00904368">
        <w:rPr>
          <w:sz w:val="24"/>
          <w:szCs w:val="24"/>
        </w:rPr>
        <w:t xml:space="preserve"> ATP measurement </w:t>
      </w:r>
      <w:r w:rsidR="00EB28EC" w:rsidRPr="00EB28EC">
        <w:rPr>
          <w:sz w:val="24"/>
          <w:szCs w:val="24"/>
        </w:rPr>
        <w:t>(</w:t>
      </w:r>
      <w:r w:rsidR="00EB28EC" w:rsidRPr="00EB28EC">
        <w:rPr>
          <w:sz w:val="24"/>
          <w:szCs w:val="24"/>
        </w:rPr>
        <w:fldChar w:fldCharType="begin"/>
      </w:r>
      <w:r w:rsidR="00EB28EC" w:rsidRPr="00EB28EC">
        <w:rPr>
          <w:sz w:val="24"/>
          <w:szCs w:val="24"/>
        </w:rPr>
        <w:instrText xml:space="preserve"> REF _Ref115995967 \h </w:instrText>
      </w:r>
      <w:r w:rsidR="00EB28EC">
        <w:rPr>
          <w:sz w:val="24"/>
          <w:szCs w:val="24"/>
        </w:rPr>
        <w:instrText xml:space="preserve"> \* MERGEFORMAT </w:instrText>
      </w:r>
      <w:r w:rsidR="00EB28EC" w:rsidRPr="00EB28EC">
        <w:rPr>
          <w:sz w:val="24"/>
          <w:szCs w:val="24"/>
        </w:rPr>
      </w:r>
      <w:r w:rsidR="00EB28EC" w:rsidRPr="00EB28EC">
        <w:rPr>
          <w:sz w:val="24"/>
          <w:szCs w:val="24"/>
        </w:rPr>
        <w:fldChar w:fldCharType="separate"/>
      </w:r>
      <w:r w:rsidR="00785166" w:rsidRPr="00785166">
        <w:rPr>
          <w:sz w:val="24"/>
          <w:szCs w:val="24"/>
        </w:rPr>
        <w:t xml:space="preserve">Figure 4. </w:t>
      </w:r>
      <w:r w:rsidR="00785166" w:rsidRPr="00785166">
        <w:rPr>
          <w:noProof/>
          <w:sz w:val="24"/>
          <w:szCs w:val="24"/>
        </w:rPr>
        <w:t>6</w:t>
      </w:r>
      <w:r w:rsidR="00EB28EC" w:rsidRPr="00EB28EC">
        <w:rPr>
          <w:sz w:val="24"/>
          <w:szCs w:val="24"/>
        </w:rPr>
        <w:fldChar w:fldCharType="end"/>
      </w:r>
      <w:r w:rsidR="00EB28EC">
        <w:rPr>
          <w:sz w:val="24"/>
          <w:szCs w:val="24"/>
        </w:rPr>
        <w:t>B</w:t>
      </w:r>
      <w:r w:rsidR="00EB28EC" w:rsidRPr="00EB28EC">
        <w:rPr>
          <w:sz w:val="24"/>
          <w:szCs w:val="24"/>
        </w:rPr>
        <w:t>)</w:t>
      </w:r>
      <w:r w:rsidR="00DF6FED" w:rsidRPr="00904368">
        <w:rPr>
          <w:sz w:val="24"/>
          <w:szCs w:val="24"/>
        </w:rPr>
        <w:t xml:space="preserve">. Dying cells </w:t>
      </w:r>
      <w:r>
        <w:rPr>
          <w:sz w:val="24"/>
          <w:szCs w:val="24"/>
        </w:rPr>
        <w:t xml:space="preserve">and released DAMPs </w:t>
      </w:r>
      <w:r w:rsidR="00DF6FED" w:rsidRPr="00904368">
        <w:rPr>
          <w:sz w:val="24"/>
          <w:szCs w:val="24"/>
        </w:rPr>
        <w:t xml:space="preserve">were injected subcutaneously and mice were challenged with live EMT6 cells 7 days later </w:t>
      </w:r>
      <w:r w:rsidR="00EB28EC" w:rsidRPr="00EB28EC">
        <w:rPr>
          <w:sz w:val="24"/>
          <w:szCs w:val="24"/>
        </w:rPr>
        <w:t>(</w:t>
      </w:r>
      <w:r w:rsidR="00EB28EC" w:rsidRPr="00EB28EC">
        <w:rPr>
          <w:sz w:val="24"/>
          <w:szCs w:val="24"/>
        </w:rPr>
        <w:fldChar w:fldCharType="begin"/>
      </w:r>
      <w:r w:rsidR="00EB28EC" w:rsidRPr="00EB28EC">
        <w:rPr>
          <w:sz w:val="24"/>
          <w:szCs w:val="24"/>
        </w:rPr>
        <w:instrText xml:space="preserve"> REF _Ref115995967 \h </w:instrText>
      </w:r>
      <w:r w:rsidR="00EB28EC">
        <w:rPr>
          <w:sz w:val="24"/>
          <w:szCs w:val="24"/>
        </w:rPr>
        <w:instrText xml:space="preserve"> \* MERGEFORMAT </w:instrText>
      </w:r>
      <w:r w:rsidR="00EB28EC" w:rsidRPr="00EB28EC">
        <w:rPr>
          <w:sz w:val="24"/>
          <w:szCs w:val="24"/>
        </w:rPr>
      </w:r>
      <w:r w:rsidR="00EB28EC" w:rsidRPr="00EB28EC">
        <w:rPr>
          <w:sz w:val="24"/>
          <w:szCs w:val="24"/>
        </w:rPr>
        <w:fldChar w:fldCharType="separate"/>
      </w:r>
      <w:r w:rsidR="00785166" w:rsidRPr="00785166">
        <w:rPr>
          <w:sz w:val="24"/>
          <w:szCs w:val="24"/>
        </w:rPr>
        <w:t xml:space="preserve">Figure 4. </w:t>
      </w:r>
      <w:r w:rsidR="00785166" w:rsidRPr="00785166">
        <w:rPr>
          <w:noProof/>
          <w:sz w:val="24"/>
          <w:szCs w:val="24"/>
        </w:rPr>
        <w:t>6</w:t>
      </w:r>
      <w:r w:rsidR="00EB28EC" w:rsidRPr="00EB28EC">
        <w:rPr>
          <w:sz w:val="24"/>
          <w:szCs w:val="24"/>
        </w:rPr>
        <w:fldChar w:fldCharType="end"/>
      </w:r>
      <w:r w:rsidR="00EB28EC">
        <w:rPr>
          <w:sz w:val="24"/>
          <w:szCs w:val="24"/>
        </w:rPr>
        <w:t>C</w:t>
      </w:r>
      <w:r w:rsidR="00EB28EC" w:rsidRPr="00EB28EC">
        <w:rPr>
          <w:sz w:val="24"/>
          <w:szCs w:val="24"/>
        </w:rPr>
        <w:t>)</w:t>
      </w:r>
      <w:r w:rsidR="00DF6FED" w:rsidRPr="00904368">
        <w:rPr>
          <w:sz w:val="24"/>
          <w:szCs w:val="24"/>
        </w:rPr>
        <w:t>. Tumor formation on both the vaccination and challenge site were monitored</w:t>
      </w:r>
      <w:r>
        <w:rPr>
          <w:sz w:val="24"/>
          <w:szCs w:val="24"/>
        </w:rPr>
        <w:t xml:space="preserve"> and</w:t>
      </w:r>
      <w:r w:rsidR="00DF6FED" w:rsidRPr="00904368">
        <w:rPr>
          <w:sz w:val="24"/>
          <w:szCs w:val="24"/>
        </w:rPr>
        <w:t xml:space="preserve"> </w:t>
      </w:r>
      <w:r>
        <w:rPr>
          <w:sz w:val="24"/>
          <w:szCs w:val="24"/>
        </w:rPr>
        <w:t>t</w:t>
      </w:r>
      <w:r w:rsidR="00DF6FED" w:rsidRPr="00904368">
        <w:rPr>
          <w:sz w:val="24"/>
          <w:szCs w:val="24"/>
        </w:rPr>
        <w:t>umor-free mice were plotted as a survival graph</w:t>
      </w:r>
      <w:r w:rsidR="00F33526" w:rsidRPr="00904368">
        <w:rPr>
          <w:sz w:val="24"/>
          <w:szCs w:val="24"/>
        </w:rPr>
        <w:t xml:space="preserve"> </w:t>
      </w:r>
      <w:r w:rsidR="00EB28EC" w:rsidRPr="00EB28EC">
        <w:rPr>
          <w:sz w:val="24"/>
          <w:szCs w:val="24"/>
        </w:rPr>
        <w:t>(</w:t>
      </w:r>
      <w:r w:rsidR="00EB28EC" w:rsidRPr="00EB28EC">
        <w:rPr>
          <w:sz w:val="24"/>
          <w:szCs w:val="24"/>
        </w:rPr>
        <w:fldChar w:fldCharType="begin"/>
      </w:r>
      <w:r w:rsidR="00EB28EC" w:rsidRPr="00EB28EC">
        <w:rPr>
          <w:sz w:val="24"/>
          <w:szCs w:val="24"/>
        </w:rPr>
        <w:instrText xml:space="preserve"> REF _Ref115995967 \h </w:instrText>
      </w:r>
      <w:r w:rsidR="00EB28EC">
        <w:rPr>
          <w:sz w:val="24"/>
          <w:szCs w:val="24"/>
        </w:rPr>
        <w:instrText xml:space="preserve"> \* MERGEFORMAT </w:instrText>
      </w:r>
      <w:r w:rsidR="00EB28EC" w:rsidRPr="00EB28EC">
        <w:rPr>
          <w:sz w:val="24"/>
          <w:szCs w:val="24"/>
        </w:rPr>
      </w:r>
      <w:r w:rsidR="00EB28EC" w:rsidRPr="00EB28EC">
        <w:rPr>
          <w:sz w:val="24"/>
          <w:szCs w:val="24"/>
        </w:rPr>
        <w:fldChar w:fldCharType="separate"/>
      </w:r>
      <w:r w:rsidR="00785166" w:rsidRPr="00785166">
        <w:rPr>
          <w:sz w:val="24"/>
          <w:szCs w:val="24"/>
        </w:rPr>
        <w:t xml:space="preserve">Figure 4. </w:t>
      </w:r>
      <w:r w:rsidR="00785166" w:rsidRPr="00785166">
        <w:rPr>
          <w:noProof/>
          <w:sz w:val="24"/>
          <w:szCs w:val="24"/>
        </w:rPr>
        <w:t>6</w:t>
      </w:r>
      <w:r w:rsidR="00EB28EC" w:rsidRPr="00EB28EC">
        <w:rPr>
          <w:sz w:val="24"/>
          <w:szCs w:val="24"/>
        </w:rPr>
        <w:fldChar w:fldCharType="end"/>
      </w:r>
      <w:r w:rsidR="00EB28EC">
        <w:rPr>
          <w:sz w:val="24"/>
          <w:szCs w:val="24"/>
        </w:rPr>
        <w:t>D</w:t>
      </w:r>
      <w:r w:rsidR="00EB28EC" w:rsidRPr="00EB28EC">
        <w:rPr>
          <w:sz w:val="24"/>
          <w:szCs w:val="24"/>
        </w:rPr>
        <w:t>)</w:t>
      </w:r>
      <w:r w:rsidR="00F33526" w:rsidRPr="00904368">
        <w:rPr>
          <w:sz w:val="24"/>
          <w:szCs w:val="24"/>
        </w:rPr>
        <w:t xml:space="preserve">. </w:t>
      </w:r>
      <w:r>
        <w:rPr>
          <w:sz w:val="24"/>
          <w:szCs w:val="24"/>
        </w:rPr>
        <w:t>Dying cells in both conditions prolonged the tumor formation time and resulted in 40% ([II] in 0.2% albumin) and 20% ([II] in 2% albumin) complete protection against challenge. At the time of vaccination cell death profiles were similar in both groups, however, differed in protection. These results showed that modulating aggregation to control cell death alters the immunogenicity cells.</w:t>
      </w:r>
    </w:p>
    <w:p w14:paraId="62B53C3D" w14:textId="77777777" w:rsidR="003A2A85" w:rsidRDefault="00F33526" w:rsidP="003A2A85">
      <w:pPr>
        <w:keepNext/>
        <w:spacing w:line="480" w:lineRule="auto"/>
      </w:pPr>
      <w:r>
        <w:rPr>
          <w:noProof/>
          <w:sz w:val="22"/>
          <w:szCs w:val="22"/>
        </w:rPr>
        <w:drawing>
          <wp:inline distT="0" distB="0" distL="0" distR="0" wp14:anchorId="6DE889D1" wp14:editId="58EDAB54">
            <wp:extent cx="6115100" cy="3700130"/>
            <wp:effectExtent l="0" t="0" r="0" b="0"/>
            <wp:docPr id="46" name="Picture 4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33843" cy="3711471"/>
                    </a:xfrm>
                    <a:prstGeom prst="rect">
                      <a:avLst/>
                    </a:prstGeom>
                  </pic:spPr>
                </pic:pic>
              </a:graphicData>
            </a:graphic>
          </wp:inline>
        </w:drawing>
      </w:r>
    </w:p>
    <w:p w14:paraId="37F237C2" w14:textId="1366E8DC" w:rsidR="003A2A85" w:rsidRDefault="003A2A85" w:rsidP="008A3EF7">
      <w:pPr>
        <w:pStyle w:val="Caption"/>
        <w:rPr>
          <w:b/>
        </w:rPr>
      </w:pPr>
      <w:bookmarkStart w:id="164" w:name="_Ref115995967"/>
      <w:bookmarkStart w:id="165" w:name="_Toc121134664"/>
      <w:r>
        <w:t xml:space="preserve">Figure 4. </w:t>
      </w:r>
      <w:fldSimple w:instr=" SEQ Figure_4. \* ARABIC ">
        <w:r w:rsidR="00785166">
          <w:rPr>
            <w:noProof/>
          </w:rPr>
          <w:t>6</w:t>
        </w:r>
      </w:fldSimple>
      <w:bookmarkEnd w:id="164"/>
      <w:r w:rsidRPr="003A2A85">
        <w:t xml:space="preserve"> </w:t>
      </w:r>
      <w:r w:rsidRPr="00DF6FED">
        <w:t xml:space="preserve">Peptide aggregation induced cell death stages effect immunogenicity. </w:t>
      </w:r>
      <w:r w:rsidRPr="0009526C">
        <w:t>Experimental design involving the treatment of EMT6 cells for 1.5 and 3h with 0.5 mM [II] peptide prepared in 0.02 w/v%, 0.2 w/v% and 2 w/v% albumin. Propidium iodide uptake (A) and ATP analysis (B) of dying cells prior to injection. Experimental design for prophylactic vaccination (C). Tumor-free mice survival graph (D). Statistical analysis was done by one-way analysis of variance (ANOVA) with Tukey’s multiple-comparison test, data are mean ± SD, **** p&lt;0.0001, ** p&lt;0.01, * p&lt;0.1.</w:t>
      </w:r>
      <w:bookmarkEnd w:id="165"/>
    </w:p>
    <w:p w14:paraId="68BFB5A5" w14:textId="77777777" w:rsidR="0009526C" w:rsidRPr="0009526C" w:rsidRDefault="0009526C" w:rsidP="0009526C"/>
    <w:p w14:paraId="08964918" w14:textId="0FDDF0FE" w:rsidR="00661334" w:rsidRDefault="00D2548C">
      <w:pPr>
        <w:pStyle w:val="Heading2"/>
        <w:numPr>
          <w:ilvl w:val="1"/>
          <w:numId w:val="7"/>
        </w:numPr>
      </w:pPr>
      <w:bookmarkStart w:id="166" w:name="_Toc121134654"/>
      <w:r>
        <w:t>CONCLUSION</w:t>
      </w:r>
      <w:r w:rsidR="00D1329F">
        <w:t>S</w:t>
      </w:r>
      <w:bookmarkEnd w:id="166"/>
    </w:p>
    <w:p w14:paraId="4068A07A" w14:textId="77777777" w:rsidR="009F2CA2" w:rsidRPr="009F2CA2" w:rsidRDefault="009F2CA2" w:rsidP="009F2CA2"/>
    <w:p w14:paraId="12F4A201" w14:textId="5FFEE8ED" w:rsidR="008B5FB4" w:rsidRDefault="008B5FB4" w:rsidP="00661334">
      <w:pPr>
        <w:spacing w:line="480" w:lineRule="auto"/>
        <w:rPr>
          <w:sz w:val="24"/>
          <w:szCs w:val="24"/>
        </w:rPr>
      </w:pPr>
      <w:r w:rsidRPr="009F2CA2">
        <w:rPr>
          <w:sz w:val="24"/>
          <w:szCs w:val="24"/>
        </w:rPr>
        <w:t>Interest in peptide-based materials has flourished in health, energy, materials science, and national security</w:t>
      </w:r>
      <w:r>
        <w:rPr>
          <w:sz w:val="24"/>
          <w:szCs w:val="24"/>
        </w:rPr>
        <w:t>.</w:t>
      </w:r>
      <w:r>
        <w:rPr>
          <w:sz w:val="24"/>
          <w:szCs w:val="24"/>
        </w:rPr>
        <w:fldChar w:fldCharType="begin"/>
      </w:r>
      <w:r w:rsidR="008F09C1">
        <w:rPr>
          <w:sz w:val="24"/>
          <w:szCs w:val="24"/>
        </w:rPr>
        <w:instrText xml:space="preserve"> ADDIN ZOTERO_ITEM CSL_CITATION {"citationID":"a29qftvl0v3","properties":{"formattedCitation":"\\super 116\\nosupersub{}","plainCitation":"116","noteIndex":0},"citationItems":[{"id":4666,"uris":["http://zotero.org/groups/2667333/items/AE4BFMA4"],"itemData":{"id":4666,"type":"chapter","abstract":"Peptides play an essential role in biotechnological applications as therapeutic and diagnostic agents due to their tunable activity for desired function. So far, a variety of peptide therapeutics and their peptide-based carriers have been engineered for drug delivery applications. However, in order to design and develop such systems for tissue-specific applications, the cellular microenvironment must be properly considered. Peptide-based materials have vast potential applications, particularly for cancer-related systems. Thus, in this chapter, we first focus on different design strategies and considerations for drug-release mechanisms in peptide-based materials. Then, we explain how tumor microenvironments may be distinguished from healthy tissue, including discussion of tumor-specific drug delivery strategies. Finally, the growing significance of peptide chemotherapeutics will be emphasized in terms of design concerns and current applications.","container-title":"Peptide-based Biomaterials","ISBN":"978-1-78801-729-9","note":"DOI: 10.1039/9781839161148-00291","page":"291-334","publisher":"The Royal Society of Chemistry","title":"CHAPTER 9 Drug Delivery Applications of Peptide Materials","URL":"https://doi.org/10.1039/9781839161148-00291","author":[{"family":"Hamsici","given":"Seren"},{"family":"Gunay","given":"Gokhan"},{"family":"Kirit","given":"Hande"},{"family":"Kamatar","given":"Advika"},{"family":"Loving","given":"Kendrick"},{"family":"Acar","given":"Handan"}],"issued":{"date-parts":[["2021"]]},"citation-key":"hamsici_chapter_2021"}}],"schema":"https://github.com/citation-style-language/schema/raw/master/csl-citation.json"} </w:instrText>
      </w:r>
      <w:r>
        <w:rPr>
          <w:sz w:val="24"/>
          <w:szCs w:val="24"/>
        </w:rPr>
        <w:fldChar w:fldCharType="separate"/>
      </w:r>
      <w:r w:rsidR="008F09C1" w:rsidRPr="008F09C1">
        <w:rPr>
          <w:rFonts w:ascii="Arial" w:cs="Arial"/>
          <w:sz w:val="24"/>
          <w:vertAlign w:val="superscript"/>
        </w:rPr>
        <w:t>116</w:t>
      </w:r>
      <w:r>
        <w:rPr>
          <w:sz w:val="24"/>
          <w:szCs w:val="24"/>
        </w:rPr>
        <w:fldChar w:fldCharType="end"/>
      </w:r>
      <w:r>
        <w:rPr>
          <w:sz w:val="24"/>
          <w:szCs w:val="24"/>
        </w:rPr>
        <w:t xml:space="preserve"> </w:t>
      </w:r>
      <w:r w:rsidRPr="009F2CA2">
        <w:rPr>
          <w:sz w:val="24"/>
          <w:szCs w:val="24"/>
        </w:rPr>
        <w:t xml:space="preserve">By advancing </w:t>
      </w:r>
      <w:r>
        <w:rPr>
          <w:sz w:val="24"/>
          <w:szCs w:val="24"/>
        </w:rPr>
        <w:t xml:space="preserve">the </w:t>
      </w:r>
      <w:r w:rsidRPr="009F2CA2">
        <w:rPr>
          <w:sz w:val="24"/>
          <w:szCs w:val="24"/>
        </w:rPr>
        <w:t xml:space="preserve">discovery of peptide domains with unique intermolecular interactions, </w:t>
      </w:r>
      <w:r>
        <w:rPr>
          <w:sz w:val="24"/>
          <w:szCs w:val="24"/>
        </w:rPr>
        <w:t xml:space="preserve">the </w:t>
      </w:r>
      <w:r w:rsidRPr="009F2CA2">
        <w:rPr>
          <w:sz w:val="24"/>
          <w:szCs w:val="24"/>
        </w:rPr>
        <w:t>design of peptides with desired properties in appropriate conditions can be achievable.</w:t>
      </w:r>
      <w:r>
        <w:rPr>
          <w:sz w:val="24"/>
          <w:szCs w:val="24"/>
        </w:rPr>
        <w:t xml:space="preserve"> </w:t>
      </w:r>
      <w:r w:rsidRPr="009F2CA2">
        <w:rPr>
          <w:sz w:val="24"/>
          <w:szCs w:val="24"/>
        </w:rPr>
        <w:t>Inspired by the mechanism of natural membrane rupturing proteins that aggregate and induce ICD and DAMP release, we showed the controllability of DAMP release through modulating [II] peptide aggregation.</w:t>
      </w:r>
      <w:r>
        <w:rPr>
          <w:sz w:val="24"/>
          <w:szCs w:val="24"/>
        </w:rPr>
        <w:t xml:space="preserve"> </w:t>
      </w:r>
      <w:r w:rsidRPr="006E0E2B">
        <w:rPr>
          <w:sz w:val="24"/>
          <w:szCs w:val="24"/>
        </w:rPr>
        <w:t>Using albumin</w:t>
      </w:r>
      <w:r>
        <w:rPr>
          <w:sz w:val="24"/>
          <w:szCs w:val="24"/>
        </w:rPr>
        <w:t>,</w:t>
      </w:r>
      <w:r w:rsidRPr="006E0E2B">
        <w:rPr>
          <w:sz w:val="24"/>
          <w:szCs w:val="24"/>
        </w:rPr>
        <w:t xml:space="preserve"> we showed different aggregation profiles of [II] </w:t>
      </w:r>
      <w:r>
        <w:rPr>
          <w:sz w:val="24"/>
          <w:szCs w:val="24"/>
        </w:rPr>
        <w:t>peptides</w:t>
      </w:r>
      <w:r w:rsidRPr="006E0E2B">
        <w:rPr>
          <w:sz w:val="24"/>
          <w:szCs w:val="24"/>
        </w:rPr>
        <w:t xml:space="preserve"> like fibrillar, </w:t>
      </w:r>
      <w:r w:rsidR="00A62A4E">
        <w:rPr>
          <w:sz w:val="24"/>
          <w:szCs w:val="24"/>
        </w:rPr>
        <w:t>globular aggregates</w:t>
      </w:r>
      <w:r>
        <w:rPr>
          <w:sz w:val="24"/>
          <w:szCs w:val="24"/>
        </w:rPr>
        <w:t>,</w:t>
      </w:r>
      <w:r w:rsidRPr="006E0E2B">
        <w:rPr>
          <w:sz w:val="24"/>
          <w:szCs w:val="24"/>
        </w:rPr>
        <w:t xml:space="preserve"> or </w:t>
      </w:r>
      <w:r>
        <w:rPr>
          <w:sz w:val="24"/>
          <w:szCs w:val="24"/>
        </w:rPr>
        <w:t xml:space="preserve">a </w:t>
      </w:r>
      <w:r w:rsidRPr="006E0E2B">
        <w:rPr>
          <w:sz w:val="24"/>
          <w:szCs w:val="24"/>
        </w:rPr>
        <w:t xml:space="preserve">mixture of fibrillar and </w:t>
      </w:r>
      <w:r w:rsidR="00A62A4E">
        <w:rPr>
          <w:sz w:val="24"/>
          <w:szCs w:val="24"/>
        </w:rPr>
        <w:t>globular aggregates</w:t>
      </w:r>
      <w:r w:rsidRPr="006E0E2B">
        <w:rPr>
          <w:sz w:val="24"/>
          <w:szCs w:val="24"/>
        </w:rPr>
        <w:t>.</w:t>
      </w:r>
      <w:r>
        <w:rPr>
          <w:sz w:val="24"/>
          <w:szCs w:val="24"/>
        </w:rPr>
        <w:t xml:space="preserve"> </w:t>
      </w:r>
      <w:r w:rsidRPr="006E0E2B">
        <w:rPr>
          <w:sz w:val="24"/>
          <w:szCs w:val="24"/>
        </w:rPr>
        <w:t xml:space="preserve">We found that fibrillar structures do not interact with </w:t>
      </w:r>
      <w:r>
        <w:rPr>
          <w:sz w:val="24"/>
          <w:szCs w:val="24"/>
        </w:rPr>
        <w:t xml:space="preserve">the </w:t>
      </w:r>
      <w:r w:rsidRPr="006E0E2B">
        <w:rPr>
          <w:sz w:val="24"/>
          <w:szCs w:val="24"/>
        </w:rPr>
        <w:t>cell membrane and therefore are not cytotoxic</w:t>
      </w:r>
      <w:r>
        <w:rPr>
          <w:sz w:val="24"/>
          <w:szCs w:val="24"/>
        </w:rPr>
        <w:t>; however</w:t>
      </w:r>
      <w:r w:rsidRPr="006E0E2B">
        <w:rPr>
          <w:sz w:val="24"/>
          <w:szCs w:val="24"/>
        </w:rPr>
        <w:t xml:space="preserve">, </w:t>
      </w:r>
      <w:r w:rsidR="0000533B">
        <w:rPr>
          <w:sz w:val="24"/>
          <w:szCs w:val="24"/>
        </w:rPr>
        <w:t>globular</w:t>
      </w:r>
      <w:r w:rsidRPr="006E0E2B">
        <w:rPr>
          <w:sz w:val="24"/>
          <w:szCs w:val="24"/>
        </w:rPr>
        <w:t xml:space="preserve"> structures localize on the cell membrane </w:t>
      </w:r>
      <w:r w:rsidR="00B81312" w:rsidRPr="006E0E2B">
        <w:rPr>
          <w:sz w:val="24"/>
          <w:szCs w:val="24"/>
        </w:rPr>
        <w:t>lead</w:t>
      </w:r>
      <w:r w:rsidR="00B81312">
        <w:rPr>
          <w:sz w:val="24"/>
          <w:szCs w:val="24"/>
        </w:rPr>
        <w:t>i</w:t>
      </w:r>
      <w:r w:rsidR="00B81312" w:rsidRPr="006E0E2B">
        <w:rPr>
          <w:sz w:val="24"/>
          <w:szCs w:val="24"/>
        </w:rPr>
        <w:t>ng</w:t>
      </w:r>
      <w:r w:rsidRPr="006E0E2B">
        <w:rPr>
          <w:sz w:val="24"/>
          <w:szCs w:val="24"/>
        </w:rPr>
        <w:t xml:space="preserve"> to ICD and DAMP release.</w:t>
      </w:r>
      <w:r>
        <w:rPr>
          <w:sz w:val="24"/>
          <w:szCs w:val="24"/>
        </w:rPr>
        <w:t xml:space="preserve"> T</w:t>
      </w:r>
      <w:r w:rsidRPr="009F2CA2">
        <w:rPr>
          <w:sz w:val="24"/>
          <w:szCs w:val="24"/>
        </w:rPr>
        <w:t xml:space="preserve">his platform </w:t>
      </w:r>
      <w:r>
        <w:rPr>
          <w:sz w:val="24"/>
          <w:szCs w:val="24"/>
        </w:rPr>
        <w:t xml:space="preserve">was utilized </w:t>
      </w:r>
      <w:r w:rsidRPr="009F2CA2">
        <w:rPr>
          <w:sz w:val="24"/>
          <w:szCs w:val="24"/>
        </w:rPr>
        <w:t>as a controllable adjuvant</w:t>
      </w:r>
      <w:r>
        <w:rPr>
          <w:sz w:val="24"/>
          <w:szCs w:val="24"/>
        </w:rPr>
        <w:t xml:space="preserve"> and </w:t>
      </w:r>
      <w:r w:rsidRPr="009F2CA2">
        <w:rPr>
          <w:sz w:val="24"/>
          <w:szCs w:val="24"/>
        </w:rPr>
        <w:t>showed differential production of antigen-specific antibodies</w:t>
      </w:r>
      <w:r>
        <w:rPr>
          <w:sz w:val="24"/>
          <w:szCs w:val="24"/>
        </w:rPr>
        <w:t xml:space="preserve"> also applied for prophylactic vaccination. </w:t>
      </w:r>
    </w:p>
    <w:p w14:paraId="4CDD8093" w14:textId="091A96F1" w:rsidR="00D1329F" w:rsidRDefault="00D1329F">
      <w:pPr>
        <w:pStyle w:val="Heading2"/>
        <w:numPr>
          <w:ilvl w:val="1"/>
          <w:numId w:val="7"/>
        </w:numPr>
      </w:pPr>
      <w:bookmarkStart w:id="167" w:name="_Toc121134655"/>
      <w:r>
        <w:t>MATERIALS AND METHODS</w:t>
      </w:r>
      <w:bookmarkEnd w:id="167"/>
    </w:p>
    <w:p w14:paraId="5C1D4941" w14:textId="6A903B2C" w:rsidR="00D1329F" w:rsidRDefault="00D1329F" w:rsidP="00D1329F"/>
    <w:p w14:paraId="1EC62C6C" w14:textId="66C5B60B" w:rsidR="00D1329F" w:rsidRDefault="00D1329F" w:rsidP="00D1329F">
      <w:pPr>
        <w:spacing w:line="480" w:lineRule="auto"/>
        <w:rPr>
          <w:rFonts w:asciiTheme="majorHAnsi" w:hAnsiTheme="majorHAnsi" w:cstheme="majorHAnsi"/>
          <w:sz w:val="24"/>
          <w:szCs w:val="24"/>
        </w:rPr>
      </w:pPr>
      <w:r w:rsidRPr="00D1329F">
        <w:rPr>
          <w:b/>
          <w:bCs/>
          <w:sz w:val="24"/>
          <w:szCs w:val="24"/>
        </w:rPr>
        <w:t>Assembly and Aggregation Kinetics</w:t>
      </w:r>
      <w:r>
        <w:rPr>
          <w:b/>
          <w:bCs/>
        </w:rPr>
        <w:t xml:space="preserve">. </w:t>
      </w:r>
      <w:r w:rsidRPr="00D1329F">
        <w:rPr>
          <w:rFonts w:asciiTheme="majorHAnsi" w:hAnsiTheme="majorHAnsi" w:cstheme="majorHAnsi"/>
          <w:sz w:val="24"/>
          <w:szCs w:val="24"/>
        </w:rPr>
        <w:t>Thioﬂavin T (ThT) was used to understand the fibrillization of [II] in the presence and absence of albumin (bovine serum albumin, Sigma-Aldrich). Different albumin concentration indicated based on weight/volume (%w/v) and without albumin (in 1x PBS) was indicated as %0. At first, fresh albumin (20 mg/mL, 2% w/v) was dissolved in 1x PBS and diluted into 1, 0.5, 0.2, 0.1, 0.05, 0.02, 0.002 w/v</w:t>
      </w:r>
      <w:r w:rsidR="001E56E8">
        <w:rPr>
          <w:rFonts w:asciiTheme="majorHAnsi" w:hAnsiTheme="majorHAnsi" w:cstheme="majorHAnsi"/>
          <w:sz w:val="24"/>
          <w:szCs w:val="24"/>
        </w:rPr>
        <w:t xml:space="preserve"> </w:t>
      </w:r>
      <w:r w:rsidRPr="00D1329F">
        <w:rPr>
          <w:rFonts w:asciiTheme="majorHAnsi" w:hAnsiTheme="majorHAnsi" w:cstheme="majorHAnsi"/>
          <w:sz w:val="24"/>
          <w:szCs w:val="24"/>
        </w:rPr>
        <w:t xml:space="preserve">% in 1x PBS. </w:t>
      </w:r>
      <w:r w:rsidR="001E56E8">
        <w:rPr>
          <w:rFonts w:asciiTheme="majorHAnsi" w:hAnsiTheme="majorHAnsi" w:cstheme="majorHAnsi"/>
          <w:sz w:val="24"/>
          <w:szCs w:val="24"/>
        </w:rPr>
        <w:t>For kinetic modeling analysis, 0.1 and 0.2</w:t>
      </w:r>
      <w:r w:rsidR="001E56E8" w:rsidRPr="001E56E8">
        <w:rPr>
          <w:rFonts w:asciiTheme="majorHAnsi" w:hAnsiTheme="majorHAnsi" w:cstheme="majorHAnsi"/>
          <w:sz w:val="24"/>
          <w:szCs w:val="24"/>
        </w:rPr>
        <w:t xml:space="preserve"> </w:t>
      </w:r>
      <w:r w:rsidR="001E56E8" w:rsidRPr="00D1329F">
        <w:rPr>
          <w:rFonts w:asciiTheme="majorHAnsi" w:hAnsiTheme="majorHAnsi" w:cstheme="majorHAnsi"/>
          <w:sz w:val="24"/>
          <w:szCs w:val="24"/>
        </w:rPr>
        <w:t>µ</w:t>
      </w:r>
      <w:r w:rsidR="001E56E8">
        <w:rPr>
          <w:rFonts w:asciiTheme="majorHAnsi" w:hAnsiTheme="majorHAnsi" w:cstheme="majorHAnsi"/>
          <w:sz w:val="24"/>
          <w:szCs w:val="24"/>
        </w:rPr>
        <w:t xml:space="preserve">M of albumin was used. </w:t>
      </w:r>
      <w:r w:rsidRPr="00D1329F">
        <w:rPr>
          <w:rFonts w:asciiTheme="majorHAnsi" w:hAnsiTheme="majorHAnsi" w:cstheme="majorHAnsi"/>
          <w:sz w:val="24"/>
          <w:szCs w:val="24"/>
        </w:rPr>
        <w:t>Both KFFIIK and EFFIIE peptides were purchased from Biomatik Corporation (Canada) with higher than 95% purity. Stock peptides (10 mM in water) were diluted (0.5 mM</w:t>
      </w:r>
      <w:r w:rsidR="001E56E8">
        <w:rPr>
          <w:rFonts w:asciiTheme="majorHAnsi" w:hAnsiTheme="majorHAnsi" w:cstheme="majorHAnsi"/>
          <w:sz w:val="24"/>
          <w:szCs w:val="24"/>
        </w:rPr>
        <w:t>, 0.35mM, 0.25 mM and 0.2 mM</w:t>
      </w:r>
      <w:r w:rsidRPr="00D1329F">
        <w:rPr>
          <w:rFonts w:asciiTheme="majorHAnsi" w:hAnsiTheme="majorHAnsi" w:cstheme="majorHAnsi"/>
          <w:sz w:val="24"/>
          <w:szCs w:val="24"/>
        </w:rPr>
        <w:t>) in di</w:t>
      </w:r>
      <w:r w:rsidRPr="00D1329F">
        <w:rPr>
          <w:rFonts w:ascii="Cambria Math" w:hAnsi="Cambria Math" w:cs="Cambria Math"/>
          <w:sz w:val="24"/>
          <w:szCs w:val="24"/>
        </w:rPr>
        <w:t>ﬀ</w:t>
      </w:r>
      <w:r w:rsidRPr="00D1329F">
        <w:rPr>
          <w:rFonts w:asciiTheme="majorHAnsi" w:hAnsiTheme="majorHAnsi" w:cstheme="majorHAnsi"/>
          <w:sz w:val="24"/>
          <w:szCs w:val="24"/>
        </w:rPr>
        <w:t>erent albumin concentrations, individually. Each peptide counterparts were dissolved in different albumin concentrations in separate tubes. ThT was prepared as 400 µM ThT in PBS, and 5 µL was added to 195 µL of 0.5 mM KFFIIK and EFFIIE (either in di</w:t>
      </w:r>
      <w:r w:rsidRPr="00D1329F">
        <w:rPr>
          <w:rFonts w:ascii="Cambria Math" w:hAnsi="Cambria Math" w:cs="Cambria Math"/>
          <w:sz w:val="24"/>
          <w:szCs w:val="24"/>
        </w:rPr>
        <w:t>ﬀ</w:t>
      </w:r>
      <w:r w:rsidRPr="00D1329F">
        <w:rPr>
          <w:rFonts w:asciiTheme="majorHAnsi" w:hAnsiTheme="majorHAnsi" w:cstheme="majorHAnsi"/>
          <w:sz w:val="24"/>
          <w:szCs w:val="24"/>
        </w:rPr>
        <w:t xml:space="preserve">erent albumin concentrations or in 1x PBS), individually. Each tube were sonicated at room temperature for 10 sec before mixing. Then, each peptide in the same albumin concentration was mixed and read with BioTek Neo2SM microplate reader for 2h with 5 min intervals (Ex: 440, Em:480 with gain:90). Results were plotted by using GraphPad Prism 9.0 and initial fluorescence measurements of each group were subtracted from the rest of intensity in the same group. </w:t>
      </w:r>
    </w:p>
    <w:p w14:paraId="33A2DE30" w14:textId="6A5C1B51" w:rsidR="00D1329F" w:rsidRPr="00D1329F" w:rsidRDefault="00D1329F" w:rsidP="00D1329F">
      <w:pPr>
        <w:spacing w:line="480" w:lineRule="auto"/>
        <w:rPr>
          <w:sz w:val="24"/>
          <w:szCs w:val="24"/>
        </w:rPr>
      </w:pPr>
      <w:r w:rsidRPr="00D1329F">
        <w:rPr>
          <w:b/>
          <w:bCs/>
          <w:sz w:val="24"/>
          <w:szCs w:val="24"/>
        </w:rPr>
        <w:t>Cell Culture.</w:t>
      </w:r>
      <w:r w:rsidRPr="00D1329F">
        <w:rPr>
          <w:sz w:val="24"/>
          <w:szCs w:val="24"/>
        </w:rPr>
        <w:t xml:space="preserve"> HEK293T and EMT-6 cells were cultured in Dulbecco's Modified Eagle Medium (DMEM) (Sigma, D6429), supplemented with 10\% FBS (Hyclone SH30910.03) and 1% antibiotics; penicillin (100 U/mL), and streptomycin (100 </w:t>
      </w:r>
      <w:r>
        <w:rPr>
          <w:sz w:val="24"/>
          <w:szCs w:val="24"/>
        </w:rPr>
        <w:sym w:font="Symbol" w:char="F020"/>
      </w:r>
      <w:r>
        <w:rPr>
          <w:sz w:val="24"/>
          <w:szCs w:val="24"/>
        </w:rPr>
        <w:sym w:font="Symbol" w:char="F06D"/>
      </w:r>
      <w:r w:rsidRPr="00D1329F">
        <w:rPr>
          <w:sz w:val="24"/>
          <w:szCs w:val="24"/>
        </w:rPr>
        <w:t>g/mL) (Thermo Fisher 15240062) according to the manufacturer’s instructions. Cells were cultured in humidified incubator at 37</w:t>
      </w:r>
      <w:r>
        <w:rPr>
          <w:rFonts w:ascii="Arial" w:hAnsi="Arial" w:cs="Arial"/>
          <w:sz w:val="24"/>
          <w:szCs w:val="24"/>
        </w:rPr>
        <w:t>º</w:t>
      </w:r>
      <w:r>
        <w:rPr>
          <w:sz w:val="24"/>
          <w:szCs w:val="24"/>
        </w:rPr>
        <w:t xml:space="preserve">C </w:t>
      </w:r>
      <w:r w:rsidRPr="00D1329F">
        <w:rPr>
          <w:sz w:val="24"/>
          <w:szCs w:val="24"/>
        </w:rPr>
        <w:t xml:space="preserve">supplied with 5% CO2. T75 flask (TPP 90076) were used for culturing and cells were passaged upon 85% confluency by using trypsin (Sigma 59418C). Media was changed every 2 days. </w:t>
      </w:r>
    </w:p>
    <w:p w14:paraId="174593BD" w14:textId="22387C7E" w:rsidR="00D1329F" w:rsidRPr="00D1329F" w:rsidRDefault="00D1329F" w:rsidP="00D1329F">
      <w:pPr>
        <w:spacing w:line="480" w:lineRule="auto"/>
        <w:rPr>
          <w:b/>
          <w:bCs/>
          <w:sz w:val="24"/>
          <w:szCs w:val="24"/>
        </w:rPr>
      </w:pPr>
      <w:r w:rsidRPr="00D1329F">
        <w:rPr>
          <w:b/>
          <w:bCs/>
          <w:sz w:val="24"/>
          <w:szCs w:val="24"/>
        </w:rPr>
        <w:t>Peptide preparation for in vitro and in vivo experiments</w:t>
      </w:r>
      <w:r>
        <w:rPr>
          <w:b/>
          <w:bCs/>
          <w:sz w:val="24"/>
          <w:szCs w:val="24"/>
        </w:rPr>
        <w:t xml:space="preserve">. </w:t>
      </w:r>
      <w:r w:rsidRPr="00D1329F">
        <w:rPr>
          <w:sz w:val="24"/>
          <w:szCs w:val="24"/>
        </w:rPr>
        <w:t>For in vitro analyses, individual counterparts of [II] peptide (EFFIIE and KFFIIK) were separately prepared in RPMI medium different albumin concentrations and mixed for 30 min prior to cell culture experiments. For in vivo analyses, individual counterparts of [II] peptide were separately prepared</w:t>
      </w:r>
      <w:r>
        <w:rPr>
          <w:sz w:val="24"/>
          <w:szCs w:val="24"/>
        </w:rPr>
        <w:t xml:space="preserve"> in </w:t>
      </w:r>
      <w:r w:rsidRPr="00D1329F">
        <w:rPr>
          <w:sz w:val="24"/>
          <w:szCs w:val="24"/>
        </w:rPr>
        <w:t>1X PBS containing either 0.2%, 0.02% or 0% mouse serum albumin (Innovative Research IMSALB100MG) and mixed for 30 min and OVA was introduced to the vaccine before injection.</w:t>
      </w:r>
      <w:r>
        <w:rPr>
          <w:sz w:val="24"/>
          <w:szCs w:val="24"/>
        </w:rPr>
        <w:t xml:space="preserve"> </w:t>
      </w:r>
    </w:p>
    <w:p w14:paraId="6AAB66EF" w14:textId="707B2924" w:rsidR="00D1329F" w:rsidRPr="00D1329F" w:rsidRDefault="00D1329F" w:rsidP="00D1329F">
      <w:pPr>
        <w:spacing w:line="480" w:lineRule="auto"/>
        <w:rPr>
          <w:sz w:val="24"/>
          <w:szCs w:val="24"/>
        </w:rPr>
      </w:pPr>
      <w:r w:rsidRPr="00D1329F">
        <w:rPr>
          <w:b/>
          <w:bCs/>
          <w:sz w:val="24"/>
          <w:szCs w:val="24"/>
        </w:rPr>
        <w:t>Cell Titer Glo2.0 Viability.</w:t>
      </w:r>
      <w:r w:rsidRPr="00D1329F">
        <w:rPr>
          <w:sz w:val="24"/>
          <w:szCs w:val="24"/>
        </w:rPr>
        <w:t xml:space="preserve"> Cells were seeded onto 96 well plates and left for O/N attachment. Next day, media was </w:t>
      </w:r>
      <w:r w:rsidR="00381B65" w:rsidRPr="00D1329F">
        <w:rPr>
          <w:sz w:val="24"/>
          <w:szCs w:val="24"/>
        </w:rPr>
        <w:t>removed,</w:t>
      </w:r>
      <w:r w:rsidRPr="00D1329F">
        <w:rPr>
          <w:sz w:val="24"/>
          <w:szCs w:val="24"/>
        </w:rPr>
        <w:t xml:space="preserve"> and treatments were carried out. Viability was measured with Cell Titer Glo 2.0 solution (Promega G9248). Luminescent signal was measured in accordance with the manufacturer’s instructions. Measurements were carried out with BioTek Neo2SM microplate reader and relative viability was calculated by using untreated control group. </w:t>
      </w:r>
    </w:p>
    <w:p w14:paraId="3E308C37" w14:textId="3BF76CAE" w:rsidR="00D1329F" w:rsidRPr="00D1329F" w:rsidRDefault="00D1329F" w:rsidP="00D1329F">
      <w:pPr>
        <w:spacing w:line="480" w:lineRule="auto"/>
        <w:rPr>
          <w:sz w:val="24"/>
          <w:szCs w:val="24"/>
        </w:rPr>
      </w:pPr>
      <w:r w:rsidRPr="00D1329F">
        <w:rPr>
          <w:b/>
          <w:bCs/>
          <w:sz w:val="24"/>
          <w:szCs w:val="24"/>
        </w:rPr>
        <w:t>LDH Release.</w:t>
      </w:r>
      <w:r w:rsidRPr="00D1329F">
        <w:rPr>
          <w:sz w:val="24"/>
          <w:szCs w:val="24"/>
        </w:rPr>
        <w:t xml:space="preserve"> LDH release was measured with Cytoscan-LDH Cytotoxicity Assay (Cat# 786-210). Briefly, collected supernatants were mixed with reaction mixture and incubated for 20 min at 37</w:t>
      </w:r>
      <w:r w:rsidRPr="00D1329F">
        <w:rPr>
          <w:rFonts w:ascii="Arial" w:hAnsi="Arial" w:cs="Arial"/>
          <w:sz w:val="24"/>
          <w:szCs w:val="24"/>
        </w:rPr>
        <w:t>º</w:t>
      </w:r>
      <w:r w:rsidRPr="00D1329F">
        <w:rPr>
          <w:sz w:val="24"/>
          <w:szCs w:val="24"/>
        </w:rPr>
        <w:t>C Reaction was stopped with stop solution and absorbance was measured at 490nm and 680nm. Triton-X treatment is used as a 100 % LDH release control. 680 nm absorbance is used as the background signal and values were subtracted from 490nm absorbance values. Relative LDH release was quantified based on the positive control for LDH release (maximum LDH release through Triton-X treatment).</w:t>
      </w:r>
    </w:p>
    <w:p w14:paraId="331E2C70" w14:textId="5454B305" w:rsidR="00D1329F" w:rsidRPr="0047062D" w:rsidRDefault="00D1329F" w:rsidP="0047062D">
      <w:pPr>
        <w:spacing w:line="480" w:lineRule="auto"/>
        <w:rPr>
          <w:sz w:val="24"/>
          <w:szCs w:val="24"/>
        </w:rPr>
      </w:pPr>
      <w:r w:rsidRPr="00381B65">
        <w:rPr>
          <w:b/>
          <w:bCs/>
          <w:sz w:val="24"/>
          <w:szCs w:val="24"/>
        </w:rPr>
        <w:t>SEM imaging.</w:t>
      </w:r>
      <w:r w:rsidRPr="00D1329F">
        <w:rPr>
          <w:sz w:val="24"/>
          <w:szCs w:val="24"/>
        </w:rPr>
        <w:t xml:space="preserve"> SEM imaging was conducted by Zeiss Neon 40EsB with 2 kV at Samuel Roberts Noble Microscopy Laboratory, University of Oklahoma. Briefly, specimens treated with 0.02, 0.2, 0.5, 1% albumin with [II] and only [II] were fixed with 2% gluteraldehyde in PBS (1x pH: 7.4) and left for </w:t>
      </w:r>
      <w:r w:rsidR="00AC0070">
        <w:rPr>
          <w:sz w:val="24"/>
          <w:szCs w:val="24"/>
        </w:rPr>
        <w:t>6h</w:t>
      </w:r>
      <w:r w:rsidRPr="00D1329F">
        <w:rPr>
          <w:sz w:val="24"/>
          <w:szCs w:val="24"/>
        </w:rPr>
        <w:t>. Then, specimens were washed with PBS for 10 minutes three times. Then, secondary fixation was performed with 1% osmium tetroxide in PBS and left at 4</w:t>
      </w:r>
      <w:r w:rsidRPr="00D1329F">
        <w:rPr>
          <w:rFonts w:ascii="Arial" w:hAnsi="Arial" w:cs="Arial"/>
          <w:sz w:val="24"/>
          <w:szCs w:val="24"/>
        </w:rPr>
        <w:t>º</w:t>
      </w:r>
      <w:r w:rsidRPr="00D1329F">
        <w:rPr>
          <w:sz w:val="24"/>
          <w:szCs w:val="24"/>
        </w:rPr>
        <w:t xml:space="preserve">C for 1 h. After fixation, specimens were immersed three times in MilliQ water to remove all fixative solutions and PBS buffer. Washing was followed by dehydration, which performed for 10 minutes each in 25, 50, 70, 85, 95 and 100% ethanol to remove water. After dehydration, specimens were exposed to critical point dry, mounted onto SEM stubs and coated with 5 nm of AuPd. </w:t>
      </w:r>
    </w:p>
    <w:p w14:paraId="13AE05CD" w14:textId="164DADCF" w:rsidR="00D1329F" w:rsidRPr="00381B65" w:rsidRDefault="00D1329F" w:rsidP="00381B65">
      <w:pPr>
        <w:spacing w:line="480" w:lineRule="auto"/>
        <w:rPr>
          <w:sz w:val="24"/>
          <w:szCs w:val="24"/>
        </w:rPr>
      </w:pPr>
      <w:r w:rsidRPr="00D1329F">
        <w:rPr>
          <w:b/>
          <w:bCs/>
          <w:sz w:val="24"/>
          <w:szCs w:val="24"/>
        </w:rPr>
        <w:t xml:space="preserve">PI Staining. </w:t>
      </w:r>
      <w:r w:rsidRPr="00D1329F">
        <w:rPr>
          <w:sz w:val="24"/>
          <w:szCs w:val="24"/>
        </w:rPr>
        <w:t>Propidium iodide (Thermo Fisher Scientific V13242) was used to stain the cells after treatment. Briefly, PI was added onto each well and images were captured with Keyence BZ-X710 microscope at indicated time points.</w:t>
      </w:r>
    </w:p>
    <w:p w14:paraId="16214D10" w14:textId="4775B287" w:rsidR="00D1329F" w:rsidRPr="00381B65" w:rsidRDefault="00D1329F" w:rsidP="00381B65">
      <w:pPr>
        <w:spacing w:line="480" w:lineRule="auto"/>
        <w:rPr>
          <w:sz w:val="24"/>
          <w:szCs w:val="24"/>
        </w:rPr>
      </w:pPr>
      <w:r w:rsidRPr="00381B65">
        <w:rPr>
          <w:b/>
          <w:bCs/>
          <w:sz w:val="24"/>
          <w:szCs w:val="24"/>
        </w:rPr>
        <w:t>Supernatant proteins.</w:t>
      </w:r>
      <w:r w:rsidR="00381B65" w:rsidRPr="00381B65">
        <w:rPr>
          <w:sz w:val="24"/>
          <w:szCs w:val="24"/>
        </w:rPr>
        <w:t xml:space="preserve"> </w:t>
      </w:r>
      <w:r w:rsidRPr="00381B65">
        <w:rPr>
          <w:sz w:val="24"/>
          <w:szCs w:val="24"/>
        </w:rPr>
        <w:t>Acetone precipitation was used to isolate supernatant proteins. Supernatants were added ice-cold acetone (4:1, v:v), incubated at -20</w:t>
      </w:r>
      <w:r w:rsidR="00381B65" w:rsidRPr="00D1329F">
        <w:rPr>
          <w:rFonts w:ascii="Arial" w:hAnsi="Arial" w:cs="Arial"/>
          <w:sz w:val="24"/>
          <w:szCs w:val="24"/>
        </w:rPr>
        <w:t>º</w:t>
      </w:r>
      <w:r w:rsidR="00381B65" w:rsidRPr="00D1329F">
        <w:rPr>
          <w:sz w:val="24"/>
          <w:szCs w:val="24"/>
        </w:rPr>
        <w:t>C</w:t>
      </w:r>
      <w:r w:rsidR="00381B65" w:rsidRPr="00381B65">
        <w:rPr>
          <w:sz w:val="24"/>
          <w:szCs w:val="24"/>
        </w:rPr>
        <w:t xml:space="preserve"> </w:t>
      </w:r>
      <w:r w:rsidRPr="00381B65">
        <w:rPr>
          <w:sz w:val="24"/>
          <w:szCs w:val="24"/>
        </w:rPr>
        <w:t xml:space="preserve">for 1h and centrifuged for 10 min at 10,000 g. RIPA buffer supplemented with protease and phosphatase inhibitor cocktail was used to resuspend the proteins. Protein concentrations were determined through BCA protein assay kit (Thermo Fisher Scientific 23225) by measuring the absorbance at 562 nm in accordance with the manufacturer’s instructions. </w:t>
      </w:r>
    </w:p>
    <w:p w14:paraId="155CBD2A" w14:textId="409AD6E6" w:rsidR="00D1329F" w:rsidRPr="00381B65" w:rsidRDefault="00D1329F" w:rsidP="00381B65">
      <w:pPr>
        <w:spacing w:line="480" w:lineRule="auto"/>
        <w:rPr>
          <w:sz w:val="24"/>
          <w:szCs w:val="24"/>
        </w:rPr>
      </w:pPr>
      <w:r w:rsidRPr="00381B65">
        <w:rPr>
          <w:b/>
          <w:bCs/>
          <w:sz w:val="24"/>
          <w:szCs w:val="24"/>
        </w:rPr>
        <w:t>Immunoblotting, Reagents.</w:t>
      </w:r>
      <w:r w:rsidR="00381B65">
        <w:rPr>
          <w:sz w:val="24"/>
          <w:szCs w:val="24"/>
        </w:rPr>
        <w:t xml:space="preserve"> </w:t>
      </w:r>
      <w:r w:rsidRPr="00381B65">
        <w:rPr>
          <w:sz w:val="24"/>
          <w:szCs w:val="24"/>
        </w:rPr>
        <w:t xml:space="preserve"> Acrylamide/Bis-acrylamide, 30% solution (Sigma A3699), 1.5 M Tris-HCl, pH 8.8 (Teknova T1588), Tris HCl Buffer 0.5 M solution, sterile pH 6.8 (Bio Basic SD8122), Ammonium persulfate (Sigma A3678), UltraPure 10% SDS (Invitrogen 15553-027), TEMED (Thermo Fisher Scientific 17919), Dithiothreitol (DTT) (BIO-RAD 1610610) Tris Base (Fisher Bioreagents BP152), Glycine (Fisher Bioreagents BP381), 4x Laemmli sample buffer (BIO-RAD 1610747), TWEEN 20 (Sigma P9416), Mini Trans-Blot filter paper (BIO-RAD 1703932), Nitrocellulose Membranes 0.45 </w:t>
      </w:r>
      <w:r w:rsidR="00381B65" w:rsidRPr="00D1329F">
        <w:rPr>
          <w:rFonts w:asciiTheme="majorHAnsi" w:hAnsiTheme="majorHAnsi" w:cstheme="majorHAnsi"/>
          <w:sz w:val="24"/>
          <w:szCs w:val="24"/>
        </w:rPr>
        <w:t>µ</w:t>
      </w:r>
      <w:r w:rsidRPr="00381B65">
        <w:rPr>
          <w:sz w:val="24"/>
          <w:szCs w:val="24"/>
        </w:rPr>
        <w:t>m (BIO-RAD 1620115), EveryBlot Blocking Buffer (BIO-RAD 12010020), Clarity Western ECL Substrate (BIO-RAD 170-5060</w:t>
      </w:r>
      <w:r w:rsidR="00381B65">
        <w:rPr>
          <w:sz w:val="24"/>
          <w:szCs w:val="24"/>
        </w:rPr>
        <w:t>).</w:t>
      </w:r>
    </w:p>
    <w:p w14:paraId="01F1B66C" w14:textId="5DEE2121" w:rsidR="00D1329F" w:rsidRPr="00381B65" w:rsidRDefault="00D1329F" w:rsidP="00381B65">
      <w:pPr>
        <w:spacing w:line="480" w:lineRule="auto"/>
        <w:rPr>
          <w:sz w:val="24"/>
          <w:szCs w:val="24"/>
        </w:rPr>
      </w:pPr>
      <w:r w:rsidRPr="00381B65">
        <w:rPr>
          <w:b/>
          <w:bCs/>
          <w:sz w:val="24"/>
          <w:szCs w:val="24"/>
        </w:rPr>
        <w:t>Procedure.</w:t>
      </w:r>
      <w:r w:rsidR="00381B65">
        <w:rPr>
          <w:sz w:val="24"/>
          <w:szCs w:val="24"/>
        </w:rPr>
        <w:t xml:space="preserve"> </w:t>
      </w:r>
      <w:r w:rsidRPr="00381B65">
        <w:rPr>
          <w:sz w:val="24"/>
          <w:szCs w:val="24"/>
        </w:rPr>
        <w:t>Samples were prepared in Laemmli buffer and boiled for 8 min at 96</w:t>
      </w:r>
      <w:r w:rsidR="00381B65" w:rsidRPr="00381B65">
        <w:rPr>
          <w:rFonts w:ascii="Arial" w:hAnsi="Arial" w:cs="Arial"/>
          <w:sz w:val="24"/>
          <w:szCs w:val="24"/>
        </w:rPr>
        <w:t xml:space="preserve"> </w:t>
      </w:r>
      <w:r w:rsidR="00381B65" w:rsidRPr="00D1329F">
        <w:rPr>
          <w:rFonts w:ascii="Arial" w:hAnsi="Arial" w:cs="Arial"/>
          <w:sz w:val="24"/>
          <w:szCs w:val="24"/>
        </w:rPr>
        <w:t>º</w:t>
      </w:r>
      <w:r w:rsidR="00381B65" w:rsidRPr="00D1329F">
        <w:rPr>
          <w:sz w:val="24"/>
          <w:szCs w:val="24"/>
        </w:rPr>
        <w:t>C</w:t>
      </w:r>
      <w:r w:rsidRPr="00381B65">
        <w:rPr>
          <w:sz w:val="24"/>
          <w:szCs w:val="24"/>
        </w:rPr>
        <w:t>. Then, proteins were separated with sodium dodecyl sulfate-polyacrylamide gel electrophoresis (SDS-PAGE) gels (8.5% and 15%) and transferred to nitrocellulose membranes</w:t>
      </w:r>
      <w:r w:rsidR="00381B65">
        <w:rPr>
          <w:sz w:val="24"/>
          <w:szCs w:val="24"/>
        </w:rPr>
        <w:t xml:space="preserve">. </w:t>
      </w:r>
      <w:r w:rsidRPr="00381B65">
        <w:rPr>
          <w:sz w:val="24"/>
          <w:szCs w:val="24"/>
        </w:rPr>
        <w:t>After transfer, the membranes were blocked EverBlot Blocking Buffer and washed with Tris Buffered Saline with 0.1% Tween 20 (TBST). Blots were incubated with Direct-Blot™ HRP anti-HMGB1 Antibody (Biolegend 651411) or HSP90 overnight.  Next day, the blots were washed with TBST and ECL substrate was added on top of the membranes to detect chemiluminescence signal by Azure c600 Imaging Biosystems. HRP conjugated secondary goat-mouse antibody was used for nob-HRP conjugated primary HSP90 antibody.</w:t>
      </w:r>
    </w:p>
    <w:p w14:paraId="5B237BCF" w14:textId="62B4605D" w:rsidR="00D1329F" w:rsidRPr="00381B65" w:rsidRDefault="00D1329F" w:rsidP="00381B65">
      <w:pPr>
        <w:spacing w:line="480" w:lineRule="auto"/>
        <w:rPr>
          <w:sz w:val="24"/>
          <w:szCs w:val="24"/>
        </w:rPr>
      </w:pPr>
      <w:r w:rsidRPr="00381B65">
        <w:rPr>
          <w:b/>
          <w:bCs/>
          <w:sz w:val="24"/>
          <w:szCs w:val="24"/>
        </w:rPr>
        <w:t>Extracellular ATP release.</w:t>
      </w:r>
      <w:r w:rsidR="00381B65">
        <w:rPr>
          <w:sz w:val="24"/>
          <w:szCs w:val="24"/>
        </w:rPr>
        <w:t xml:space="preserve"> </w:t>
      </w:r>
      <w:r w:rsidRPr="00381B65">
        <w:rPr>
          <w:sz w:val="24"/>
          <w:szCs w:val="24"/>
        </w:rPr>
        <w:t>Cell Titer Glo 2.0 solution (Promega G9248) was used to detect extracellular ATP levels. Briefly, supernatants were taken after each treatment and mixed with (1:1 v:v) with Cell Titer Glo 2.0 solution. Luminescent signal was measured in accordance with the manufacturer’s instructions. Measurements were carried out with BioTek Neo2SM microplate reader.</w:t>
      </w:r>
    </w:p>
    <w:p w14:paraId="56C9C8F4" w14:textId="77777777" w:rsidR="00381B65" w:rsidRDefault="00D1329F" w:rsidP="00381B65">
      <w:pPr>
        <w:spacing w:line="480" w:lineRule="auto"/>
        <w:rPr>
          <w:sz w:val="24"/>
          <w:szCs w:val="24"/>
        </w:rPr>
      </w:pPr>
      <w:r w:rsidRPr="00381B65">
        <w:rPr>
          <w:b/>
          <w:bCs/>
          <w:sz w:val="24"/>
          <w:szCs w:val="24"/>
        </w:rPr>
        <w:t>Extracellular dsDNA release.</w:t>
      </w:r>
      <w:r w:rsidR="00381B65">
        <w:rPr>
          <w:sz w:val="24"/>
          <w:szCs w:val="24"/>
        </w:rPr>
        <w:t xml:space="preserve"> </w:t>
      </w:r>
      <w:r w:rsidRPr="00381B65">
        <w:rPr>
          <w:sz w:val="24"/>
          <w:szCs w:val="24"/>
        </w:rPr>
        <w:t>AccuGreen™ High Sensitivity dsDNA Quantitation Kit (31066-T) was used to detect dsDNA from supernatants. Briefly, supernatants were taken after indicated treatment and time points and dsDNA release was measured in accordance with the manufacturer’s instructions. Standard curve was generated and used to quantify the released dsDNA amounts.</w:t>
      </w:r>
    </w:p>
    <w:p w14:paraId="03868F71" w14:textId="77D968A3" w:rsidR="00D1329F" w:rsidRPr="00381B65" w:rsidRDefault="00381B65" w:rsidP="00381B65">
      <w:pPr>
        <w:spacing w:line="480" w:lineRule="auto"/>
        <w:rPr>
          <w:b/>
          <w:bCs/>
          <w:sz w:val="24"/>
          <w:szCs w:val="24"/>
        </w:rPr>
      </w:pPr>
      <w:r>
        <w:rPr>
          <w:b/>
          <w:bCs/>
          <w:sz w:val="24"/>
          <w:szCs w:val="24"/>
        </w:rPr>
        <w:t>Ethics</w:t>
      </w:r>
      <w:r w:rsidR="00D1329F" w:rsidRPr="00381B65">
        <w:rPr>
          <w:b/>
          <w:bCs/>
          <w:sz w:val="24"/>
          <w:szCs w:val="24"/>
        </w:rPr>
        <w:t>.</w:t>
      </w:r>
      <w:r>
        <w:rPr>
          <w:b/>
          <w:bCs/>
          <w:sz w:val="24"/>
          <w:szCs w:val="24"/>
        </w:rPr>
        <w:t xml:space="preserve"> T</w:t>
      </w:r>
      <w:r w:rsidR="00D1329F" w:rsidRPr="00381B65">
        <w:rPr>
          <w:sz w:val="24"/>
          <w:szCs w:val="24"/>
        </w:rPr>
        <w:t>his study was carried out in accordance with the recommendations of Guide for the Care and Use of Laboratory Animals from National Institute of Health. Animal procedures were approved by the OU Health Sciences Center (OUHSC) Institutional Animal Care and Use Committee (protocol number R19-017A).</w:t>
      </w:r>
    </w:p>
    <w:p w14:paraId="7B59BF7C" w14:textId="7E831DAA" w:rsidR="00D1329F" w:rsidRDefault="00D1329F" w:rsidP="00381B65">
      <w:pPr>
        <w:spacing w:line="480" w:lineRule="auto"/>
        <w:rPr>
          <w:sz w:val="24"/>
          <w:szCs w:val="24"/>
        </w:rPr>
      </w:pPr>
      <w:r w:rsidRPr="00381B65">
        <w:rPr>
          <w:b/>
          <w:bCs/>
          <w:sz w:val="24"/>
          <w:szCs w:val="24"/>
        </w:rPr>
        <w:t>Immunization and Sera Collection</w:t>
      </w:r>
      <w:r w:rsidR="00381B65" w:rsidRPr="00381B65">
        <w:rPr>
          <w:b/>
          <w:bCs/>
          <w:sz w:val="24"/>
          <w:szCs w:val="24"/>
        </w:rPr>
        <w:t>.</w:t>
      </w:r>
      <w:r w:rsidR="00381B65">
        <w:rPr>
          <w:b/>
          <w:bCs/>
          <w:sz w:val="24"/>
          <w:szCs w:val="24"/>
        </w:rPr>
        <w:t xml:space="preserve"> </w:t>
      </w:r>
      <w:r w:rsidRPr="00381B65">
        <w:rPr>
          <w:sz w:val="24"/>
          <w:szCs w:val="24"/>
        </w:rPr>
        <w:t>Model antigen Ovalbumin (OVA) (InvivoGen vac-pova) was used for immunization studies. C57BL/6 mice (n=5) were immunized subcutaneously with PBS, only OVA, 0.5 mM [II] in 0% MSA, 0.5 mM [II] in 0.02% MSA and 0.5 mM [II] in 0.2% MSA. Total of three vaccinations were carried out on t=0, week 4 and week 8. Peptides are mixed for 30 min as explained in the manuscript and mixed with OVA at room temperature to formulate the vaccines before immunizations. Blood was collected on weeks; 3, 4, 6 and 10 through submandibular vein for antibody analyses.</w:t>
      </w:r>
    </w:p>
    <w:p w14:paraId="0715F028" w14:textId="3CBAD772" w:rsidR="00381B65" w:rsidRPr="00381B65" w:rsidRDefault="00381B65" w:rsidP="00381B65">
      <w:pPr>
        <w:spacing w:line="480" w:lineRule="auto"/>
        <w:rPr>
          <w:sz w:val="24"/>
          <w:szCs w:val="24"/>
        </w:rPr>
      </w:pPr>
      <w:r>
        <w:rPr>
          <w:b/>
          <w:bCs/>
          <w:sz w:val="24"/>
          <w:szCs w:val="24"/>
        </w:rPr>
        <w:t xml:space="preserve">Prophylactic Vaccination. </w:t>
      </w:r>
      <w:r w:rsidRPr="00381B65">
        <w:rPr>
          <w:sz w:val="24"/>
          <w:szCs w:val="24"/>
        </w:rPr>
        <w:t xml:space="preserve">BALB/c mice (n=5) were vaccinated subcutaneously with PBS, 100.000 EMT6 cells treated with 0.5 mM [II] peptide in 2% MSA for </w:t>
      </w:r>
      <w:r w:rsidR="00AC0070">
        <w:rPr>
          <w:sz w:val="24"/>
          <w:szCs w:val="24"/>
        </w:rPr>
        <w:t>1.5h</w:t>
      </w:r>
      <w:r w:rsidRPr="00381B65">
        <w:rPr>
          <w:sz w:val="24"/>
          <w:szCs w:val="24"/>
        </w:rPr>
        <w:t xml:space="preserve"> or 100.000 EMT6 cells treated with 0.5 mM [II] peptide in 0.2% MSA for 3h. 7 days later all mice were challenged with 50.000 EMT6 cells at the contralateral site subcutaneously. Formation of palpable tumor on both vaccination site and challenge site were recorded and presented as a survival graph indicating tumor-free mice.   </w:t>
      </w:r>
    </w:p>
    <w:p w14:paraId="6B012F9C" w14:textId="69831D20" w:rsidR="009E067C" w:rsidRDefault="00D1329F" w:rsidP="00661334">
      <w:pPr>
        <w:spacing w:line="480" w:lineRule="auto"/>
        <w:rPr>
          <w:sz w:val="24"/>
          <w:szCs w:val="24"/>
        </w:rPr>
      </w:pPr>
      <w:r w:rsidRPr="00381B65">
        <w:rPr>
          <w:b/>
          <w:bCs/>
          <w:sz w:val="24"/>
          <w:szCs w:val="24"/>
        </w:rPr>
        <w:t>Enzyme Linked Immunosorbent Assay</w:t>
      </w:r>
      <w:r w:rsidR="00381B65" w:rsidRPr="00381B65">
        <w:rPr>
          <w:b/>
          <w:bCs/>
          <w:sz w:val="24"/>
          <w:szCs w:val="24"/>
        </w:rPr>
        <w:t>.</w:t>
      </w:r>
      <w:r w:rsidR="00381B65">
        <w:rPr>
          <w:b/>
          <w:bCs/>
          <w:sz w:val="24"/>
          <w:szCs w:val="24"/>
        </w:rPr>
        <w:t xml:space="preserve"> </w:t>
      </w:r>
      <w:r w:rsidRPr="00381B65">
        <w:rPr>
          <w:sz w:val="24"/>
          <w:szCs w:val="24"/>
        </w:rPr>
        <w:t xml:space="preserve">Enzyme-linked immunosorbent assay (ELISA) Nunc MaxiSorp™ flat-bottom plates (Invitrogen 44-2404-21) were coated with 10 </w:t>
      </w:r>
      <w:r w:rsidR="00381B65" w:rsidRPr="00D1329F">
        <w:rPr>
          <w:rFonts w:asciiTheme="majorHAnsi" w:hAnsiTheme="majorHAnsi" w:cstheme="majorHAnsi"/>
          <w:sz w:val="24"/>
          <w:szCs w:val="24"/>
        </w:rPr>
        <w:t>µ</w:t>
      </w:r>
      <w:r w:rsidR="00381B65">
        <w:rPr>
          <w:rFonts w:asciiTheme="majorHAnsi" w:hAnsiTheme="majorHAnsi" w:cstheme="majorHAnsi"/>
          <w:sz w:val="24"/>
          <w:szCs w:val="24"/>
        </w:rPr>
        <w:t>g</w:t>
      </w:r>
      <w:r w:rsidRPr="00381B65">
        <w:rPr>
          <w:sz w:val="24"/>
          <w:szCs w:val="24"/>
        </w:rPr>
        <w:t>/mL with OVA phosphate coating buffer (0.1 M Na</w:t>
      </w:r>
      <w:r w:rsidRPr="00567350">
        <w:rPr>
          <w:sz w:val="24"/>
          <w:szCs w:val="24"/>
          <w:vertAlign w:val="subscript"/>
        </w:rPr>
        <w:t>2</w:t>
      </w:r>
      <w:r w:rsidRPr="00381B65">
        <w:rPr>
          <w:sz w:val="24"/>
          <w:szCs w:val="24"/>
        </w:rPr>
        <w:t>HPO</w:t>
      </w:r>
      <w:r w:rsidRPr="00567350">
        <w:rPr>
          <w:sz w:val="24"/>
          <w:szCs w:val="24"/>
          <w:vertAlign w:val="subscript"/>
        </w:rPr>
        <w:t>4</w:t>
      </w:r>
      <w:r w:rsidRPr="00381B65">
        <w:rPr>
          <w:sz w:val="24"/>
          <w:szCs w:val="24"/>
        </w:rPr>
        <w:t xml:space="preserve"> in deionized water, pH 9.0) overnight at 4</w:t>
      </w:r>
      <w:r w:rsidR="00381B65" w:rsidRPr="00D1329F">
        <w:rPr>
          <w:rFonts w:ascii="Arial" w:hAnsi="Arial" w:cs="Arial"/>
          <w:sz w:val="24"/>
          <w:szCs w:val="24"/>
        </w:rPr>
        <w:t>º</w:t>
      </w:r>
      <w:r w:rsidR="00381B65" w:rsidRPr="00D1329F">
        <w:rPr>
          <w:sz w:val="24"/>
          <w:szCs w:val="24"/>
        </w:rPr>
        <w:t>C</w:t>
      </w:r>
      <w:r w:rsidRPr="00381B65">
        <w:rPr>
          <w:sz w:val="24"/>
          <w:szCs w:val="24"/>
        </w:rPr>
        <w:t xml:space="preserve">. Next day, coated plates were blocked with 1% BSA in phosphate buffered saline-Tween (1X PBS, 0.05% Tween (PBS-T)) for 2h at room temperature. Then plates were washed 4x (200 </w:t>
      </w:r>
      <w:bookmarkStart w:id="168" w:name="OLE_LINK1"/>
      <w:r w:rsidR="00381B65" w:rsidRPr="00D1329F">
        <w:rPr>
          <w:rFonts w:asciiTheme="majorHAnsi" w:hAnsiTheme="majorHAnsi" w:cstheme="majorHAnsi"/>
          <w:sz w:val="24"/>
          <w:szCs w:val="24"/>
        </w:rPr>
        <w:t>µ</w:t>
      </w:r>
      <w:r w:rsidRPr="00381B65">
        <w:rPr>
          <w:sz w:val="24"/>
          <w:szCs w:val="24"/>
        </w:rPr>
        <w:t>L</w:t>
      </w:r>
      <w:bookmarkEnd w:id="168"/>
      <w:r w:rsidRPr="00381B65">
        <w:rPr>
          <w:sz w:val="24"/>
          <w:szCs w:val="24"/>
        </w:rPr>
        <w:t xml:space="preserve"> for each wash) with PBS-T and incubated overnight at 4</w:t>
      </w:r>
      <w:r w:rsidR="00381B65" w:rsidRPr="00D1329F">
        <w:rPr>
          <w:rFonts w:ascii="Arial" w:hAnsi="Arial" w:cs="Arial"/>
          <w:sz w:val="24"/>
          <w:szCs w:val="24"/>
        </w:rPr>
        <w:t>º</w:t>
      </w:r>
      <w:r w:rsidR="00381B65" w:rsidRPr="00D1329F">
        <w:rPr>
          <w:sz w:val="24"/>
          <w:szCs w:val="24"/>
        </w:rPr>
        <w:t>C</w:t>
      </w:r>
      <w:r w:rsidR="00381B65" w:rsidRPr="00381B65">
        <w:rPr>
          <w:sz w:val="24"/>
          <w:szCs w:val="24"/>
        </w:rPr>
        <w:t xml:space="preserve"> </w:t>
      </w:r>
      <w:r w:rsidRPr="00381B65">
        <w:rPr>
          <w:sz w:val="24"/>
          <w:szCs w:val="24"/>
        </w:rPr>
        <w:t xml:space="preserve">with serially diluted sera collected from mice in PBS-T. Next day, wells were washed 4x with PBS-T (200 </w:t>
      </w:r>
      <w:r w:rsidR="00381B65" w:rsidRPr="00D1329F">
        <w:rPr>
          <w:rFonts w:asciiTheme="majorHAnsi" w:hAnsiTheme="majorHAnsi" w:cstheme="majorHAnsi"/>
          <w:sz w:val="24"/>
          <w:szCs w:val="24"/>
        </w:rPr>
        <w:t>µ</w:t>
      </w:r>
      <w:r w:rsidR="00381B65" w:rsidRPr="00381B65">
        <w:rPr>
          <w:sz w:val="24"/>
          <w:szCs w:val="24"/>
        </w:rPr>
        <w:t xml:space="preserve">L </w:t>
      </w:r>
      <w:r w:rsidRPr="00381B65">
        <w:rPr>
          <w:sz w:val="24"/>
          <w:szCs w:val="24"/>
        </w:rPr>
        <w:t>for each wash) and incubated for 1h at room temperature either with HRP-IgG (SouthernBiotech 1030-05) (1:4000) or HRP-IgG1 (SouthernBiotech 1070-05) (1:4000). Then, wells were washed 4x with PBS-T and developed with Component Microwell Peroxidase Substrate Kit (SeraCare 5120-0043) substrate for 5 min at room temperature. Lastly, reaction was stopped with 10% SDS solution. Absorbance was measured at 405 nm to determine endpoint antibody titers.</w:t>
      </w:r>
    </w:p>
    <w:p w14:paraId="2938F607" w14:textId="77777777" w:rsidR="00EB0422" w:rsidRDefault="00EB0422" w:rsidP="00E52036">
      <w:pPr>
        <w:pStyle w:val="Heading1"/>
        <w:spacing w:line="480" w:lineRule="auto"/>
      </w:pPr>
    </w:p>
    <w:p w14:paraId="368A26B6" w14:textId="41104BCE" w:rsidR="00E52036" w:rsidRDefault="00E52036" w:rsidP="00E52036">
      <w:pPr>
        <w:pStyle w:val="Heading1"/>
        <w:spacing w:line="480" w:lineRule="auto"/>
      </w:pPr>
      <w:bookmarkStart w:id="169" w:name="_Toc121134656"/>
      <w:r>
        <w:t xml:space="preserve">CHAPTER 5. CONCLUSIONS </w:t>
      </w:r>
      <w:r w:rsidR="00A62A4E">
        <w:t>AND FUTURE PERSPECTIVES</w:t>
      </w:r>
      <w:bookmarkEnd w:id="169"/>
    </w:p>
    <w:p w14:paraId="09433C5E" w14:textId="77777777" w:rsidR="00EB0422" w:rsidRPr="00F7569E" w:rsidRDefault="00EB0422" w:rsidP="00EB0422">
      <w:pPr>
        <w:spacing w:line="480" w:lineRule="auto"/>
        <w:rPr>
          <w:rFonts w:ascii="Arial" w:hAnsi="Arial" w:cs="Arial"/>
          <w:sz w:val="24"/>
          <w:szCs w:val="24"/>
        </w:rPr>
      </w:pPr>
      <w:r w:rsidRPr="00F7569E">
        <w:rPr>
          <w:rFonts w:ascii="Arial" w:hAnsi="Arial" w:cs="Arial"/>
          <w:sz w:val="24"/>
          <w:szCs w:val="24"/>
        </w:rPr>
        <w:t>The structural organization and functional capabilities of natural materials have led to numerous technological and scientific developments. Creating materials that can address enduring problems in biomedical engineering involves adapting engineering concepts found in biological models, which is the focus of the field known as "biomaterials." Proteins are the basic building blocks of all living things. Combinational peptide intermolecular interactions direct protein structures, affecting proteins' functionality. The complexity of protein intermolecular interactions can be overcome using synthetic engineering techniques for peptides, which also offer scalable technological solutions.</w:t>
      </w:r>
    </w:p>
    <w:p w14:paraId="736FA31C" w14:textId="77777777" w:rsidR="00EB0422" w:rsidRPr="00F7569E" w:rsidRDefault="00EB0422" w:rsidP="00EB0422">
      <w:pPr>
        <w:spacing w:line="480" w:lineRule="auto"/>
        <w:rPr>
          <w:rFonts w:ascii="Arial" w:hAnsi="Arial" w:cs="Arial"/>
          <w:sz w:val="24"/>
          <w:szCs w:val="24"/>
        </w:rPr>
      </w:pPr>
      <w:r w:rsidRPr="00F7569E">
        <w:rPr>
          <w:rFonts w:ascii="Arial" w:hAnsi="Arial" w:cs="Arial"/>
          <w:sz w:val="24"/>
          <w:szCs w:val="24"/>
        </w:rPr>
        <w:t>Minimalistic supramolecular peptide co-assembly is paving the way to offer a convenient replacement for challenging, uncontrollable, and expensive synthesis. By taking inspiration from a natural protein, A</w:t>
      </w:r>
      <w:r w:rsidRPr="00F7569E">
        <w:rPr>
          <w:rFonts w:ascii="Symbol" w:hAnsi="Symbol" w:cs="Arial"/>
          <w:sz w:val="24"/>
          <w:szCs w:val="24"/>
        </w:rPr>
        <w:t>b</w:t>
      </w:r>
      <w:r w:rsidRPr="00F7569E">
        <w:rPr>
          <w:rFonts w:ascii="Arial" w:hAnsi="Arial" w:cs="Arial"/>
          <w:sz w:val="24"/>
          <w:szCs w:val="24"/>
        </w:rPr>
        <w:t>, we engineered peptide building blocks with multiple functions to enhance the chemical diversity and structural diversity. Co-assembly of oppositely charged peptide (CoOP) platform provides to study of intermolecular interactions in a simplistic way. CoOP consists of two oppositely charged hexapeptides, diphenylalanine (FF) at the core, and replacement units of amino acids (XX) that can be changed to understand the role of hydrophobic interactions. In the first part of this thesis, we explained the roles of electrostatic interactions between Lys (K) and Glu (E) in initiating the assembly of peptides, and a hydrophobic portion at the core contributed to the secondary structure organization. Among the CoOPs we studied, peptides consisting of diisoleucine (KFFIIK+EFFIIE, [II]) showed the highest level of organization. In the second part of the thesis, other aliphatic amino acids (V, L) were included to study hydrophobic interactions. It was found that peptide aggregation followed the trend of hydrophobicity, where [II] was the highest, [LL] and [VV] were the second and third, respectively. All CoOPs were tested in vitro and found that [II] resulted in membrane damage due to the highest hydrophobicity index and having structural and physical similarities with the core motif of A</w:t>
      </w:r>
      <w:r w:rsidRPr="00F7569E">
        <w:rPr>
          <w:rFonts w:ascii="Symbol" w:hAnsi="Symbol" w:cs="Arial"/>
          <w:sz w:val="24"/>
          <w:szCs w:val="24"/>
        </w:rPr>
        <w:t>b</w:t>
      </w:r>
      <w:r w:rsidRPr="00F7569E">
        <w:rPr>
          <w:rFonts w:ascii="Arial" w:hAnsi="Arial" w:cs="Arial"/>
          <w:sz w:val="24"/>
          <w:szCs w:val="24"/>
        </w:rPr>
        <w:t>16-22 (KLVFFAE). Membrane damage of [II] was tested by changing the aggregation of albumin. Membrane accumulation was enhanced when [II] showed globular aggregates, whereas fibrillar formation did not interact with the membrane. These findings were correlated with the oligomer toxicity hypothesis driven from A</w:t>
      </w:r>
      <w:r w:rsidRPr="0000533B">
        <w:rPr>
          <w:rFonts w:ascii="Symbol" w:hAnsi="Symbol" w:cs="Arial"/>
          <w:sz w:val="24"/>
          <w:szCs w:val="24"/>
        </w:rPr>
        <w:t>b</w:t>
      </w:r>
      <w:r w:rsidRPr="00F7569E">
        <w:rPr>
          <w:rFonts w:ascii="Arial" w:hAnsi="Arial" w:cs="Arial"/>
          <w:sz w:val="24"/>
          <w:szCs w:val="24"/>
        </w:rPr>
        <w:t>. Controllable membrane damage of [II] leads to DAMP release, which was further used with two different vaccination applications.</w:t>
      </w:r>
    </w:p>
    <w:p w14:paraId="25CA9BF8" w14:textId="77777777" w:rsidR="00EB0422" w:rsidRPr="00F7569E" w:rsidRDefault="00EB0422" w:rsidP="00EB0422">
      <w:pPr>
        <w:spacing w:line="480" w:lineRule="auto"/>
        <w:rPr>
          <w:rFonts w:ascii="Arial" w:hAnsi="Arial" w:cs="Arial"/>
          <w:sz w:val="24"/>
          <w:szCs w:val="24"/>
        </w:rPr>
      </w:pPr>
      <w:r w:rsidRPr="00F7569E">
        <w:rPr>
          <w:rFonts w:ascii="Arial" w:hAnsi="Arial" w:cs="Arial"/>
          <w:sz w:val="24"/>
          <w:szCs w:val="24"/>
        </w:rPr>
        <w:t xml:space="preserve">This thesis provides a detailed account of the ability of CoOPs to form tunable assemblies by self-organization. The formation of nanostructures with unique physical and biological properties demonstrates the utility of CoOPs in the design of peptide structures. In the future, this unique design can be further modulated for tissue engineering and therapeutic delivery applications by changing the intermolecular interactions, such as hydrophobicity. </w:t>
      </w:r>
    </w:p>
    <w:p w14:paraId="68CE4BF6" w14:textId="77777777" w:rsidR="00EB0422" w:rsidRPr="00F7569E" w:rsidRDefault="00EB0422" w:rsidP="00EB0422">
      <w:pPr>
        <w:spacing w:line="480" w:lineRule="auto"/>
        <w:rPr>
          <w:rFonts w:ascii="Arial" w:hAnsi="Arial" w:cs="Arial"/>
          <w:sz w:val="24"/>
          <w:szCs w:val="24"/>
        </w:rPr>
      </w:pPr>
      <w:r w:rsidRPr="00F7569E">
        <w:rPr>
          <w:rFonts w:ascii="Arial" w:hAnsi="Arial" w:cs="Arial"/>
          <w:sz w:val="24"/>
          <w:szCs w:val="24"/>
        </w:rPr>
        <w:t>In chapter 2, we showed the modulation of aggregation kinetics by using different hydrophobic amino acids. The next steps may involve integrating non-canonical (unnatural) amino acids and combine with a bioactive epitope for tissue engineering applications. With the CoOP strategy, tissue scaffolds can be formulated by integrating biologically active epitopes such as RGD, IKVAV, and YIGSR. Furthermore, the mechanical properties of the peptide hydrogel can be tuned by changing the hydrophobicity, which is useful in creating scaffolds for engineering different tissues such as bone, cartilage, cardiac, muscle, skin, and neural. A similar strategy could also be applied to therapeutic delivery applications. The release kinetics can be tuned by changing mesh size, affected by hydrogel assembly. Because of the variety of therapeutic windows of drugs, combining both mathematical and computational models to predict release from hydrogel networks would be significant in controlling the release of therapeutics and such technology would be an important contribution to clinical applications. Release kinetic models could also be applied to enhance the application area of the prophylactic vaccine development. We already showed aggregation-dependent immunological cell death by using albumin. Cells that are under stress because of the triggered immunogenic cell death and secreted DAMPs can be encapsulated in different peptide gels having different release kinetics. These engineered CoOP based peptide gels can facilitate the slow release of DAMPs in a localized area. Creating a local inflammatory niche coupled with the sustained DAMP release will enhance the magnitude and protective capacity of anticancer vaccines.</w:t>
      </w:r>
    </w:p>
    <w:p w14:paraId="4D451886" w14:textId="404EFB9B" w:rsidR="00EB0422" w:rsidRPr="00F7569E" w:rsidRDefault="00EB0422" w:rsidP="00EB0422">
      <w:pPr>
        <w:spacing w:line="480" w:lineRule="auto"/>
        <w:rPr>
          <w:rFonts w:ascii="Arial" w:hAnsi="Arial" w:cs="Arial"/>
          <w:bCs/>
          <w:noProof/>
          <w:sz w:val="22"/>
          <w:szCs w:val="22"/>
        </w:rPr>
      </w:pPr>
      <w:r w:rsidRPr="00F7569E">
        <w:rPr>
          <w:rFonts w:ascii="Arial" w:hAnsi="Arial" w:cs="Arial"/>
          <w:sz w:val="24"/>
          <w:szCs w:val="24"/>
        </w:rPr>
        <w:t xml:space="preserve">Furthermore, control over the CoOP strategy via enzymatic reaction is a promising approach. Using enzymes as an external stimulus for co-assembly, peptide units can be converted into cytotoxic assembly in/on the targeted cancer cells. For example, </w:t>
      </w:r>
      <w:r w:rsidRPr="00F7569E">
        <w:rPr>
          <w:rFonts w:ascii="Arial" w:eastAsia="Times New Roman" w:hAnsi="Arial" w:cs="Arial"/>
          <w:noProof/>
          <w:color w:val="000000"/>
          <w:sz w:val="24"/>
          <w:szCs w:val="24"/>
          <w:shd w:val="clear" w:color="auto" w:fill="FFFFFF"/>
        </w:rPr>
        <w:t>Matrix metalloproteinases (MMPs) degrade a range of extracellular matrix proteins allowing cancer cells to migrate and invade.</w:t>
      </w:r>
      <w:r w:rsidRPr="00F7569E">
        <w:rPr>
          <w:rFonts w:ascii="Arial" w:eastAsia="Times New Roman" w:hAnsi="Arial" w:cs="Arial"/>
          <w:noProof/>
          <w:color w:val="000000"/>
          <w:sz w:val="24"/>
          <w:szCs w:val="24"/>
          <w:shd w:val="clear" w:color="auto" w:fill="FFFFFF"/>
        </w:rPr>
        <w:fldChar w:fldCharType="begin"/>
      </w:r>
      <w:r w:rsidR="008F09C1">
        <w:rPr>
          <w:rFonts w:ascii="Arial" w:eastAsia="Times New Roman" w:hAnsi="Arial" w:cs="Arial"/>
          <w:noProof/>
          <w:color w:val="000000"/>
          <w:sz w:val="24"/>
          <w:szCs w:val="24"/>
          <w:shd w:val="clear" w:color="auto" w:fill="FFFFFF"/>
        </w:rPr>
        <w:instrText xml:space="preserve"> ADDIN ZOTERO_ITEM CSL_CITATION {"citationID":"VmjJUKWh","properties":{"formattedCitation":"\\super 229\\nosupersub{}","plainCitation":"229","noteIndex":0},"citationItems":[{"id":43,"uris":["http://zotero.org/users/5797676/items/43UXUL98"],"itemData":{"id":43,"type":"book","abstract":"Metastasis is the leading reason for the resultant mortality of patients with cancer. The past few decades have witnessed remarkable progress in understanding the molecular and cellular basis of this lethal process in cancer. The current article summarizes some of the key progress in this area and discusses the role of cell junctions, cell adhesions, epithelial-mesenchymal transition, angio and lymphangiogenesis and organ specific metastasis.","language":"en","note":"container-title: Madame Curie Bioscience Database [Internet]","publisher":"Landes Bioscience","source":"www.ncbi.nlm.nih.gov","title":"Cancer Invasion and Metastasis: Molecular and Cellular Perspective","title-short":"Cancer Invasion and Metastasis","URL":"https://www.ncbi.nlm.nih.gov/books/NBK164700/","author":[{"family":"Martin","given":"Tracey A."},{"family":"Ye","given":"Lin"},{"family":"Sanders","given":"Andrew J."},{"family":"Lane","given":"Jane"},{"family":"Jiang","given":"Wen G."}],"accessed":{"date-parts":[["2020",10,9]]},"issued":{"date-parts":[["2013"]]},"citation-key":"martinCancerInvasionMetastasis2013"}}],"schema":"https://github.com/citation-style-language/schema/raw/master/csl-citation.json"} </w:instrText>
      </w:r>
      <w:r w:rsidRPr="00F7569E">
        <w:rPr>
          <w:rFonts w:ascii="Arial" w:eastAsia="Times New Roman" w:hAnsi="Arial" w:cs="Arial"/>
          <w:noProof/>
          <w:color w:val="000000"/>
          <w:sz w:val="24"/>
          <w:szCs w:val="24"/>
          <w:shd w:val="clear" w:color="auto" w:fill="FFFFFF"/>
        </w:rPr>
        <w:fldChar w:fldCharType="separate"/>
      </w:r>
      <w:r w:rsidR="008F09C1" w:rsidRPr="008F09C1">
        <w:rPr>
          <w:rFonts w:ascii="Arial" w:hAnsi="Arial" w:cs="Arial"/>
          <w:color w:val="000000"/>
          <w:sz w:val="24"/>
          <w:vertAlign w:val="superscript"/>
        </w:rPr>
        <w:t>229</w:t>
      </w:r>
      <w:r w:rsidRPr="00F7569E">
        <w:rPr>
          <w:rFonts w:ascii="Arial" w:eastAsia="Times New Roman" w:hAnsi="Arial" w:cs="Arial"/>
          <w:noProof/>
          <w:color w:val="000000"/>
          <w:sz w:val="24"/>
          <w:szCs w:val="24"/>
          <w:shd w:val="clear" w:color="auto" w:fill="FFFFFF"/>
        </w:rPr>
        <w:fldChar w:fldCharType="end"/>
      </w:r>
      <w:r w:rsidRPr="00F7569E">
        <w:rPr>
          <w:rFonts w:ascii="Arial" w:eastAsia="Times New Roman" w:hAnsi="Arial" w:cs="Arial"/>
          <w:noProof/>
          <w:color w:val="000000"/>
          <w:sz w:val="24"/>
          <w:szCs w:val="24"/>
          <w:shd w:val="clear" w:color="auto" w:fill="FFFFFF"/>
        </w:rPr>
        <w:t xml:space="preserve"> Inserting MMP cleavable domain in [II] offers that the active form of peptide that will not be exposed to other parts of metabolically active tissues and avoid damage to healthy tissues. Indeed, enzyme-specific co-assembly allows the modification of peptides for different </w:t>
      </w:r>
      <w:r w:rsidRPr="00F7569E">
        <w:rPr>
          <w:rFonts w:ascii="Arial" w:hAnsi="Arial" w:cs="Arial"/>
          <w:bCs/>
          <w:noProof/>
          <w:sz w:val="24"/>
          <w:szCs w:val="24"/>
        </w:rPr>
        <w:t>cancer types by changing enzyme-specific domains.</w:t>
      </w:r>
      <w:r w:rsidRPr="00F7569E">
        <w:rPr>
          <w:rFonts w:ascii="Arial" w:hAnsi="Arial" w:cs="Arial"/>
          <w:bCs/>
          <w:noProof/>
          <w:sz w:val="22"/>
          <w:szCs w:val="22"/>
        </w:rPr>
        <w:t xml:space="preserve"> </w:t>
      </w:r>
    </w:p>
    <w:p w14:paraId="6ECAA5B1" w14:textId="77777777" w:rsidR="00EB0422" w:rsidRPr="00F7569E" w:rsidRDefault="00EB0422" w:rsidP="00EB0422">
      <w:pPr>
        <w:spacing w:line="480" w:lineRule="auto"/>
        <w:rPr>
          <w:rFonts w:ascii="Arial" w:hAnsi="Arial" w:cs="Arial"/>
          <w:sz w:val="24"/>
          <w:szCs w:val="24"/>
        </w:rPr>
      </w:pPr>
      <w:r>
        <w:rPr>
          <w:rFonts w:ascii="Arial" w:hAnsi="Arial" w:cs="Arial"/>
          <w:bCs/>
          <w:noProof/>
          <w:sz w:val="24"/>
          <w:szCs w:val="24"/>
        </w:rPr>
        <w:t>In summary, this thesis serves as the basis for a novel approach to developing peptide-based tools for a range of biomedical applications. The framework that is created and examined in this thesis is simple enough to combine computational and mathematical methods in the design, as well as being modular and adaptable. The method we presented in this thesis will be a significant step forward in the design and development of peptide-based materials, especially in light of recent developments in machine learning and artificial intelligence.</w:t>
      </w:r>
    </w:p>
    <w:p w14:paraId="100512F3" w14:textId="77777777" w:rsidR="006C44DD" w:rsidRDefault="006C44DD" w:rsidP="002A2132">
      <w:pPr>
        <w:spacing w:line="480" w:lineRule="auto"/>
      </w:pPr>
    </w:p>
    <w:p w14:paraId="08467543" w14:textId="77777777" w:rsidR="006C44DD" w:rsidRDefault="006C44DD" w:rsidP="002A2132">
      <w:pPr>
        <w:spacing w:line="480" w:lineRule="auto"/>
      </w:pPr>
    </w:p>
    <w:p w14:paraId="2D606C96" w14:textId="07DA669D" w:rsidR="003B7454" w:rsidRPr="00015832" w:rsidRDefault="003B7454" w:rsidP="002A2132">
      <w:pPr>
        <w:spacing w:line="480" w:lineRule="auto"/>
        <w:rPr>
          <w:rFonts w:ascii="Arial" w:hAnsi="Arial" w:cs="Arial"/>
          <w:sz w:val="24"/>
          <w:szCs w:val="24"/>
        </w:rPr>
      </w:pPr>
    </w:p>
    <w:p w14:paraId="3AD8854A" w14:textId="77777777" w:rsidR="00FB670A" w:rsidRDefault="00FB670A" w:rsidP="002A2132">
      <w:pPr>
        <w:spacing w:line="480" w:lineRule="auto"/>
        <w:rPr>
          <w:sz w:val="24"/>
          <w:szCs w:val="24"/>
        </w:rPr>
      </w:pPr>
    </w:p>
    <w:p w14:paraId="79FFCAA9" w14:textId="77777777" w:rsidR="00F34388" w:rsidRDefault="00F34388" w:rsidP="002A2132">
      <w:pPr>
        <w:spacing w:line="480" w:lineRule="auto"/>
        <w:rPr>
          <w:sz w:val="24"/>
          <w:szCs w:val="24"/>
        </w:rPr>
      </w:pPr>
    </w:p>
    <w:p w14:paraId="77E95F7A" w14:textId="77777777" w:rsidR="00A62A4E" w:rsidRDefault="00A62A4E" w:rsidP="002A2132">
      <w:pPr>
        <w:spacing w:line="480" w:lineRule="auto"/>
        <w:rPr>
          <w:sz w:val="24"/>
          <w:szCs w:val="24"/>
        </w:rPr>
      </w:pPr>
    </w:p>
    <w:p w14:paraId="7459A01D" w14:textId="467B1C5B" w:rsidR="00443785" w:rsidRDefault="00443785" w:rsidP="00661334">
      <w:pPr>
        <w:spacing w:line="480" w:lineRule="auto"/>
        <w:rPr>
          <w:b/>
          <w:bCs/>
          <w:sz w:val="24"/>
          <w:szCs w:val="24"/>
        </w:rPr>
      </w:pPr>
    </w:p>
    <w:p w14:paraId="7BFB987C" w14:textId="7E15CD8C" w:rsidR="00D13C65" w:rsidRDefault="00D13C65" w:rsidP="00661334">
      <w:pPr>
        <w:spacing w:line="480" w:lineRule="auto"/>
        <w:rPr>
          <w:b/>
          <w:bCs/>
          <w:sz w:val="24"/>
          <w:szCs w:val="24"/>
        </w:rPr>
      </w:pPr>
    </w:p>
    <w:p w14:paraId="257B617B" w14:textId="29CBB785" w:rsidR="00D13C65" w:rsidRDefault="00D13C65" w:rsidP="00661334">
      <w:pPr>
        <w:spacing w:line="480" w:lineRule="auto"/>
        <w:rPr>
          <w:b/>
          <w:bCs/>
          <w:sz w:val="24"/>
          <w:szCs w:val="24"/>
        </w:rPr>
      </w:pPr>
    </w:p>
    <w:p w14:paraId="074C2C88" w14:textId="65132E25" w:rsidR="00D13C65" w:rsidRDefault="00D13C65" w:rsidP="00661334">
      <w:pPr>
        <w:spacing w:line="480" w:lineRule="auto"/>
        <w:rPr>
          <w:b/>
          <w:bCs/>
          <w:sz w:val="24"/>
          <w:szCs w:val="24"/>
        </w:rPr>
      </w:pPr>
    </w:p>
    <w:p w14:paraId="2BDE28EB" w14:textId="6B6D08E8" w:rsidR="00D13C65" w:rsidRDefault="00D13C65" w:rsidP="00661334">
      <w:pPr>
        <w:spacing w:line="480" w:lineRule="auto"/>
        <w:rPr>
          <w:b/>
          <w:bCs/>
          <w:sz w:val="24"/>
          <w:szCs w:val="24"/>
        </w:rPr>
      </w:pPr>
    </w:p>
    <w:p w14:paraId="50FBA9A3" w14:textId="74FEFC34" w:rsidR="00D13C65" w:rsidRDefault="00D13C65" w:rsidP="00661334">
      <w:pPr>
        <w:spacing w:line="480" w:lineRule="auto"/>
        <w:rPr>
          <w:b/>
          <w:bCs/>
          <w:sz w:val="24"/>
          <w:szCs w:val="24"/>
        </w:rPr>
      </w:pPr>
    </w:p>
    <w:p w14:paraId="751E5C2F" w14:textId="77777777" w:rsidR="00D13C65" w:rsidRPr="004A0D6D" w:rsidRDefault="00D13C65" w:rsidP="00661334">
      <w:pPr>
        <w:spacing w:line="480" w:lineRule="auto"/>
        <w:rPr>
          <w:b/>
          <w:bCs/>
          <w:sz w:val="24"/>
          <w:szCs w:val="24"/>
        </w:rPr>
      </w:pPr>
    </w:p>
    <w:p w14:paraId="7530BDD9" w14:textId="77777777" w:rsidR="00B20456" w:rsidRPr="00785166" w:rsidRDefault="00B20456" w:rsidP="00785166">
      <w:pPr>
        <w:pStyle w:val="Heading1"/>
        <w:jc w:val="both"/>
        <w:rPr>
          <w:sz w:val="24"/>
          <w:szCs w:val="24"/>
        </w:rPr>
      </w:pPr>
      <w:bookmarkStart w:id="170" w:name="_Toc114946726"/>
      <w:bookmarkStart w:id="171" w:name="_Toc121134657"/>
      <w:r>
        <w:t>REFERENCES</w:t>
      </w:r>
      <w:bookmarkEnd w:id="170"/>
      <w:bookmarkEnd w:id="171"/>
    </w:p>
    <w:p w14:paraId="00C58BF6" w14:textId="77777777" w:rsidR="00B20456" w:rsidRPr="00785166" w:rsidRDefault="00B20456" w:rsidP="00785166">
      <w:pPr>
        <w:pStyle w:val="Bibliography"/>
        <w:ind w:left="0" w:firstLine="0"/>
        <w:rPr>
          <w:b/>
          <w:bCs/>
          <w:sz w:val="24"/>
          <w:szCs w:val="24"/>
        </w:rPr>
      </w:pPr>
    </w:p>
    <w:p w14:paraId="1E79969D" w14:textId="77777777" w:rsidR="008F09C1" w:rsidRPr="00785166" w:rsidRDefault="00B20456" w:rsidP="00785166">
      <w:pPr>
        <w:pStyle w:val="Bibliography"/>
        <w:rPr>
          <w:rFonts w:ascii="Arial" w:cs="Arial"/>
          <w:sz w:val="24"/>
          <w:szCs w:val="24"/>
        </w:rPr>
      </w:pPr>
      <w:r w:rsidRPr="00785166">
        <w:rPr>
          <w:b/>
          <w:bCs/>
          <w:sz w:val="24"/>
          <w:szCs w:val="24"/>
        </w:rPr>
        <w:fldChar w:fldCharType="begin"/>
      </w:r>
      <w:r w:rsidR="008F09C1" w:rsidRPr="00785166">
        <w:rPr>
          <w:b/>
          <w:bCs/>
          <w:sz w:val="24"/>
          <w:szCs w:val="24"/>
        </w:rPr>
        <w:instrText xml:space="preserve"> ADDIN ZOTERO_BIBL {"uncited":[],"omitted":[],"custom":[]} CSL_BIBLIOGRAPHY </w:instrText>
      </w:r>
      <w:r w:rsidRPr="00785166">
        <w:rPr>
          <w:b/>
          <w:bCs/>
          <w:sz w:val="24"/>
          <w:szCs w:val="24"/>
        </w:rPr>
        <w:fldChar w:fldCharType="separate"/>
      </w:r>
      <w:r w:rsidR="008F09C1" w:rsidRPr="00785166">
        <w:rPr>
          <w:rFonts w:ascii="Arial" w:cs="Arial"/>
          <w:sz w:val="24"/>
          <w:szCs w:val="24"/>
        </w:rPr>
        <w:t>1.</w:t>
      </w:r>
      <w:r w:rsidR="008F09C1" w:rsidRPr="00785166">
        <w:rPr>
          <w:rFonts w:ascii="Arial" w:cs="Arial"/>
          <w:sz w:val="24"/>
          <w:szCs w:val="24"/>
        </w:rPr>
        <w:tab/>
        <w:t xml:space="preserve">Langer R, Peppas NA. Advances in biomaterials, drug delivery, and bionanotechnology. </w:t>
      </w:r>
      <w:r w:rsidR="008F09C1" w:rsidRPr="00785166">
        <w:rPr>
          <w:rFonts w:ascii="Arial" w:cs="Arial"/>
          <w:i/>
          <w:iCs/>
          <w:sz w:val="24"/>
          <w:szCs w:val="24"/>
        </w:rPr>
        <w:t>AIChE Journal</w:t>
      </w:r>
      <w:r w:rsidR="008F09C1" w:rsidRPr="00785166">
        <w:rPr>
          <w:rFonts w:ascii="Arial" w:cs="Arial"/>
          <w:sz w:val="24"/>
          <w:szCs w:val="24"/>
        </w:rPr>
        <w:t>. 2003;49(12):2990-3006. doi:10.1002/aic.690491202</w:t>
      </w:r>
    </w:p>
    <w:p w14:paraId="3993D2E3" w14:textId="77777777" w:rsidR="008F09C1" w:rsidRPr="00785166" w:rsidRDefault="008F09C1" w:rsidP="00785166">
      <w:pPr>
        <w:pStyle w:val="Bibliography"/>
        <w:rPr>
          <w:rFonts w:ascii="Arial" w:cs="Arial"/>
          <w:sz w:val="24"/>
          <w:szCs w:val="24"/>
        </w:rPr>
      </w:pPr>
      <w:r w:rsidRPr="00785166">
        <w:rPr>
          <w:rFonts w:ascii="Arial" w:cs="Arial"/>
          <w:sz w:val="24"/>
          <w:szCs w:val="24"/>
        </w:rPr>
        <w:t>2.</w:t>
      </w:r>
      <w:r w:rsidRPr="00785166">
        <w:rPr>
          <w:rFonts w:ascii="Arial" w:cs="Arial"/>
          <w:sz w:val="24"/>
          <w:szCs w:val="24"/>
        </w:rPr>
        <w:tab/>
        <w:t xml:space="preserve">Sanchez C, Arribart H, Giraud Guille MM. Biomimetism and bioinspiration as tools for the design of innovative materials and systems. </w:t>
      </w:r>
      <w:r w:rsidRPr="00785166">
        <w:rPr>
          <w:rFonts w:ascii="Arial" w:cs="Arial"/>
          <w:i/>
          <w:iCs/>
          <w:sz w:val="24"/>
          <w:szCs w:val="24"/>
        </w:rPr>
        <w:t>Nature Materials</w:t>
      </w:r>
      <w:r w:rsidRPr="00785166">
        <w:rPr>
          <w:rFonts w:ascii="Arial" w:cs="Arial"/>
          <w:sz w:val="24"/>
          <w:szCs w:val="24"/>
        </w:rPr>
        <w:t>. 2005;4(4):277-288. doi:10.1038/nmat1339</w:t>
      </w:r>
    </w:p>
    <w:p w14:paraId="770E1DBC" w14:textId="77777777" w:rsidR="008F09C1" w:rsidRPr="00785166" w:rsidRDefault="008F09C1" w:rsidP="00785166">
      <w:pPr>
        <w:pStyle w:val="Bibliography"/>
        <w:rPr>
          <w:rFonts w:ascii="Arial" w:cs="Arial"/>
          <w:sz w:val="24"/>
          <w:szCs w:val="24"/>
        </w:rPr>
      </w:pPr>
      <w:r w:rsidRPr="00785166">
        <w:rPr>
          <w:rFonts w:ascii="Arial" w:cs="Arial"/>
          <w:sz w:val="24"/>
          <w:szCs w:val="24"/>
        </w:rPr>
        <w:t>3.</w:t>
      </w:r>
      <w:r w:rsidRPr="00785166">
        <w:rPr>
          <w:rFonts w:ascii="Arial" w:cs="Arial"/>
          <w:sz w:val="24"/>
          <w:szCs w:val="24"/>
        </w:rPr>
        <w:tab/>
        <w:t xml:space="preserve">Seroski DT, Dong X, Wong KM, et al. Charge guides pathway selection in β-sheet fibrillizing peptide co-assembly. </w:t>
      </w:r>
      <w:r w:rsidRPr="00785166">
        <w:rPr>
          <w:rFonts w:ascii="Arial" w:cs="Arial"/>
          <w:i/>
          <w:iCs/>
          <w:sz w:val="24"/>
          <w:szCs w:val="24"/>
        </w:rPr>
        <w:t>Communications Chemistry</w:t>
      </w:r>
      <w:r w:rsidRPr="00785166">
        <w:rPr>
          <w:rFonts w:ascii="Arial" w:cs="Arial"/>
          <w:sz w:val="24"/>
          <w:szCs w:val="24"/>
        </w:rPr>
        <w:t>. 2020;3(1):1-11. doi:10.1038/s42004-020-00414-w</w:t>
      </w:r>
    </w:p>
    <w:p w14:paraId="7397BC3D" w14:textId="77777777" w:rsidR="008F09C1" w:rsidRPr="00785166" w:rsidRDefault="008F09C1" w:rsidP="00785166">
      <w:pPr>
        <w:pStyle w:val="Bibliography"/>
        <w:rPr>
          <w:rFonts w:ascii="Arial" w:cs="Arial"/>
          <w:sz w:val="24"/>
          <w:szCs w:val="24"/>
        </w:rPr>
      </w:pPr>
      <w:r w:rsidRPr="00785166">
        <w:rPr>
          <w:rFonts w:ascii="Arial" w:cs="Arial"/>
          <w:sz w:val="24"/>
          <w:szCs w:val="24"/>
        </w:rPr>
        <w:t>4.</w:t>
      </w:r>
      <w:r w:rsidRPr="00785166">
        <w:rPr>
          <w:rFonts w:ascii="Arial" w:cs="Arial"/>
          <w:sz w:val="24"/>
          <w:szCs w:val="24"/>
        </w:rPr>
        <w:tab/>
        <w:t xml:space="preserve">Hudalla GA, Modica JA, Tian YF, et al. A self-adjuvanting supramolecular vaccine carrying a folded protein antigen. </w:t>
      </w:r>
      <w:r w:rsidRPr="00785166">
        <w:rPr>
          <w:rFonts w:ascii="Arial" w:cs="Arial"/>
          <w:i/>
          <w:iCs/>
          <w:sz w:val="24"/>
          <w:szCs w:val="24"/>
        </w:rPr>
        <w:t>Adv Healthc Mater</w:t>
      </w:r>
      <w:r w:rsidRPr="00785166">
        <w:rPr>
          <w:rFonts w:ascii="Arial" w:cs="Arial"/>
          <w:sz w:val="24"/>
          <w:szCs w:val="24"/>
        </w:rPr>
        <w:t>. 2013;2(8). doi:10.1002/adhm.201200435</w:t>
      </w:r>
    </w:p>
    <w:p w14:paraId="1F1D759C" w14:textId="77777777" w:rsidR="008F09C1" w:rsidRPr="00785166" w:rsidRDefault="008F09C1" w:rsidP="00785166">
      <w:pPr>
        <w:pStyle w:val="Bibliography"/>
        <w:rPr>
          <w:rFonts w:ascii="Arial" w:cs="Arial"/>
          <w:sz w:val="24"/>
          <w:szCs w:val="24"/>
        </w:rPr>
      </w:pPr>
      <w:r w:rsidRPr="00785166">
        <w:rPr>
          <w:rFonts w:ascii="Arial" w:cs="Arial"/>
          <w:sz w:val="24"/>
          <w:szCs w:val="24"/>
        </w:rPr>
        <w:t>5.</w:t>
      </w:r>
      <w:r w:rsidRPr="00785166">
        <w:rPr>
          <w:rFonts w:ascii="Arial" w:cs="Arial"/>
          <w:sz w:val="24"/>
          <w:szCs w:val="24"/>
        </w:rPr>
        <w:tab/>
        <w:t xml:space="preserve">Makam P, Gazit E. Minimalistic peptide supramolecular co-assembly: expanding the conformational space for nanotechnology. </w:t>
      </w:r>
      <w:r w:rsidRPr="00785166">
        <w:rPr>
          <w:rFonts w:ascii="Arial" w:cs="Arial"/>
          <w:i/>
          <w:iCs/>
          <w:sz w:val="24"/>
          <w:szCs w:val="24"/>
        </w:rPr>
        <w:t>Chem Soc Rev</w:t>
      </w:r>
      <w:r w:rsidRPr="00785166">
        <w:rPr>
          <w:rFonts w:ascii="Arial" w:cs="Arial"/>
          <w:sz w:val="24"/>
          <w:szCs w:val="24"/>
        </w:rPr>
        <w:t>. 2018;47(10):3406-3420. doi:10.1039/C7CS00827A</w:t>
      </w:r>
    </w:p>
    <w:p w14:paraId="4835A87B" w14:textId="77777777" w:rsidR="008F09C1" w:rsidRPr="00785166" w:rsidRDefault="008F09C1" w:rsidP="00785166">
      <w:pPr>
        <w:pStyle w:val="Bibliography"/>
        <w:rPr>
          <w:rFonts w:ascii="Arial" w:cs="Arial"/>
          <w:sz w:val="24"/>
          <w:szCs w:val="24"/>
        </w:rPr>
      </w:pPr>
      <w:r w:rsidRPr="00785166">
        <w:rPr>
          <w:rFonts w:ascii="Arial" w:cs="Arial"/>
          <w:sz w:val="24"/>
          <w:szCs w:val="24"/>
        </w:rPr>
        <w:t>6.</w:t>
      </w:r>
      <w:r w:rsidRPr="00785166">
        <w:rPr>
          <w:rFonts w:ascii="Arial" w:cs="Arial"/>
          <w:sz w:val="24"/>
          <w:szCs w:val="24"/>
        </w:rPr>
        <w:tab/>
        <w:t xml:space="preserve">Yadav N, K. Chauhan M, S. Chauhan V. Short to ultrashort peptide-based hydrogels as a platform for biomedical applications. </w:t>
      </w:r>
      <w:r w:rsidRPr="00785166">
        <w:rPr>
          <w:rFonts w:ascii="Arial" w:cs="Arial"/>
          <w:i/>
          <w:iCs/>
          <w:sz w:val="24"/>
          <w:szCs w:val="24"/>
        </w:rPr>
        <w:t>Biomaterials Science</w:t>
      </w:r>
      <w:r w:rsidRPr="00785166">
        <w:rPr>
          <w:rFonts w:ascii="Arial" w:cs="Arial"/>
          <w:sz w:val="24"/>
          <w:szCs w:val="24"/>
        </w:rPr>
        <w:t>. 2020;8(1):84-100. doi:10.1039/C9BM01304K</w:t>
      </w:r>
    </w:p>
    <w:p w14:paraId="4D8D431C" w14:textId="77777777" w:rsidR="008F09C1" w:rsidRPr="00785166" w:rsidRDefault="008F09C1" w:rsidP="00785166">
      <w:pPr>
        <w:pStyle w:val="Bibliography"/>
        <w:rPr>
          <w:rFonts w:ascii="Arial" w:cs="Arial"/>
          <w:sz w:val="24"/>
          <w:szCs w:val="24"/>
        </w:rPr>
      </w:pPr>
      <w:r w:rsidRPr="00785166">
        <w:rPr>
          <w:rFonts w:ascii="Arial" w:cs="Arial"/>
          <w:sz w:val="24"/>
          <w:szCs w:val="24"/>
        </w:rPr>
        <w:t>7.</w:t>
      </w:r>
      <w:r w:rsidRPr="00785166">
        <w:rPr>
          <w:rFonts w:ascii="Arial" w:cs="Arial"/>
          <w:sz w:val="24"/>
          <w:szCs w:val="24"/>
        </w:rPr>
        <w:tab/>
        <w:t xml:space="preserve">Fleming S, Ulijn RV. Design of nanostructures based on aromatic peptide amphiphiles. </w:t>
      </w:r>
      <w:r w:rsidRPr="00785166">
        <w:rPr>
          <w:rFonts w:ascii="Arial" w:cs="Arial"/>
          <w:i/>
          <w:iCs/>
          <w:sz w:val="24"/>
          <w:szCs w:val="24"/>
        </w:rPr>
        <w:t>Chem Soc Rev</w:t>
      </w:r>
      <w:r w:rsidRPr="00785166">
        <w:rPr>
          <w:rFonts w:ascii="Arial" w:cs="Arial"/>
          <w:sz w:val="24"/>
          <w:szCs w:val="24"/>
        </w:rPr>
        <w:t>. 2014;43(23):8150-8177. doi:10.1039/C4CS00247D</w:t>
      </w:r>
    </w:p>
    <w:p w14:paraId="3F546D80" w14:textId="77777777" w:rsidR="008F09C1" w:rsidRPr="00785166" w:rsidRDefault="008F09C1" w:rsidP="00785166">
      <w:pPr>
        <w:pStyle w:val="Bibliography"/>
        <w:rPr>
          <w:rFonts w:ascii="Arial" w:cs="Arial"/>
          <w:sz w:val="24"/>
          <w:szCs w:val="24"/>
        </w:rPr>
      </w:pPr>
      <w:r w:rsidRPr="00785166">
        <w:rPr>
          <w:rFonts w:ascii="Arial" w:cs="Arial"/>
          <w:sz w:val="24"/>
          <w:szCs w:val="24"/>
        </w:rPr>
        <w:t>8.</w:t>
      </w:r>
      <w:r w:rsidRPr="00785166">
        <w:rPr>
          <w:rFonts w:ascii="Arial" w:cs="Arial"/>
          <w:sz w:val="24"/>
          <w:szCs w:val="24"/>
        </w:rPr>
        <w:tab/>
        <w:t xml:space="preserve">Zhang S. Fabrication of novel biomaterials through molecular self-assembly. </w:t>
      </w:r>
      <w:r w:rsidRPr="00785166">
        <w:rPr>
          <w:rFonts w:ascii="Arial" w:cs="Arial"/>
          <w:i/>
          <w:iCs/>
          <w:sz w:val="24"/>
          <w:szCs w:val="24"/>
        </w:rPr>
        <w:t>Nature Biotechnology</w:t>
      </w:r>
      <w:r w:rsidRPr="00785166">
        <w:rPr>
          <w:rFonts w:ascii="Arial" w:cs="Arial"/>
          <w:sz w:val="24"/>
          <w:szCs w:val="24"/>
        </w:rPr>
        <w:t>. 2003;21(10):1171-1178. doi:10.1038/nbt874</w:t>
      </w:r>
    </w:p>
    <w:p w14:paraId="24F9A9A8" w14:textId="77777777" w:rsidR="008F09C1" w:rsidRPr="00785166" w:rsidRDefault="008F09C1" w:rsidP="00785166">
      <w:pPr>
        <w:pStyle w:val="Bibliography"/>
        <w:rPr>
          <w:rFonts w:ascii="Arial" w:cs="Arial"/>
          <w:sz w:val="24"/>
          <w:szCs w:val="24"/>
        </w:rPr>
      </w:pPr>
      <w:r w:rsidRPr="00785166">
        <w:rPr>
          <w:rFonts w:ascii="Arial" w:cs="Arial"/>
          <w:sz w:val="24"/>
          <w:szCs w:val="24"/>
        </w:rPr>
        <w:t>9.</w:t>
      </w:r>
      <w:r w:rsidRPr="00785166">
        <w:rPr>
          <w:rFonts w:ascii="Arial" w:cs="Arial"/>
          <w:sz w:val="24"/>
          <w:szCs w:val="24"/>
        </w:rPr>
        <w:tab/>
        <w:t xml:space="preserve">Abid N, Khan AM, Shujait S, et al. Synthesis of nanomaterials using various top-down and bottom-up approaches, influencing factors, advantages, and disadvantages: A review. </w:t>
      </w:r>
      <w:r w:rsidRPr="00785166">
        <w:rPr>
          <w:rFonts w:ascii="Arial" w:cs="Arial"/>
          <w:i/>
          <w:iCs/>
          <w:sz w:val="24"/>
          <w:szCs w:val="24"/>
        </w:rPr>
        <w:t>Advances in Colloid and Interface Science</w:t>
      </w:r>
      <w:r w:rsidRPr="00785166">
        <w:rPr>
          <w:rFonts w:ascii="Arial" w:cs="Arial"/>
          <w:sz w:val="24"/>
          <w:szCs w:val="24"/>
        </w:rPr>
        <w:t>. 2022;300:102597. doi:10.1016/j.cis.2021.102597</w:t>
      </w:r>
    </w:p>
    <w:p w14:paraId="18EE69ED" w14:textId="77777777" w:rsidR="008F09C1" w:rsidRPr="00785166" w:rsidRDefault="008F09C1" w:rsidP="00785166">
      <w:pPr>
        <w:pStyle w:val="Bibliography"/>
        <w:rPr>
          <w:rFonts w:ascii="Arial" w:cs="Arial"/>
          <w:sz w:val="24"/>
          <w:szCs w:val="24"/>
        </w:rPr>
      </w:pPr>
      <w:r w:rsidRPr="00785166">
        <w:rPr>
          <w:rFonts w:ascii="Arial" w:cs="Arial"/>
          <w:sz w:val="24"/>
          <w:szCs w:val="24"/>
        </w:rPr>
        <w:t>10.</w:t>
      </w:r>
      <w:r w:rsidRPr="00785166">
        <w:rPr>
          <w:rFonts w:ascii="Arial" w:cs="Arial"/>
          <w:sz w:val="24"/>
          <w:szCs w:val="24"/>
        </w:rPr>
        <w:tab/>
        <w:t xml:space="preserve">Smith KH, Tejeda-Montes E, Poch M, Mata A. Integrating top-down and self-assembly in the fabrication of peptide and protein-based biomedical materials. </w:t>
      </w:r>
      <w:r w:rsidRPr="00785166">
        <w:rPr>
          <w:rFonts w:ascii="Arial" w:cs="Arial"/>
          <w:i/>
          <w:iCs/>
          <w:sz w:val="24"/>
          <w:szCs w:val="24"/>
        </w:rPr>
        <w:t>Chem Soc Rev</w:t>
      </w:r>
      <w:r w:rsidRPr="00785166">
        <w:rPr>
          <w:rFonts w:ascii="Arial" w:cs="Arial"/>
          <w:sz w:val="24"/>
          <w:szCs w:val="24"/>
        </w:rPr>
        <w:t>. 2011;40(9):4563-4577. doi:10.1039/C1CS15064B</w:t>
      </w:r>
    </w:p>
    <w:p w14:paraId="0D625F0D" w14:textId="77777777" w:rsidR="008F09C1" w:rsidRPr="00785166" w:rsidRDefault="008F09C1" w:rsidP="00785166">
      <w:pPr>
        <w:pStyle w:val="Bibliography"/>
        <w:rPr>
          <w:rFonts w:ascii="Arial" w:cs="Arial"/>
          <w:sz w:val="24"/>
          <w:szCs w:val="24"/>
        </w:rPr>
      </w:pPr>
      <w:r w:rsidRPr="00785166">
        <w:rPr>
          <w:rFonts w:ascii="Arial" w:cs="Arial"/>
          <w:sz w:val="24"/>
          <w:szCs w:val="24"/>
        </w:rPr>
        <w:t>11.</w:t>
      </w:r>
      <w:r w:rsidRPr="00785166">
        <w:rPr>
          <w:rFonts w:ascii="Arial" w:cs="Arial"/>
          <w:sz w:val="24"/>
          <w:szCs w:val="24"/>
        </w:rPr>
        <w:tab/>
        <w:t xml:space="preserve">Cook AB, Clemons TD. Bottom-Up versus Top-Down Strategies for Morphology Control in Polymer-Based Biomedical Materials. </w:t>
      </w:r>
      <w:r w:rsidRPr="00785166">
        <w:rPr>
          <w:rFonts w:ascii="Arial" w:cs="Arial"/>
          <w:i/>
          <w:iCs/>
          <w:sz w:val="24"/>
          <w:szCs w:val="24"/>
        </w:rPr>
        <w:t>Advanced NanoBiomed Research</w:t>
      </w:r>
      <w:r w:rsidRPr="00785166">
        <w:rPr>
          <w:rFonts w:ascii="Arial" w:cs="Arial"/>
          <w:sz w:val="24"/>
          <w:szCs w:val="24"/>
        </w:rPr>
        <w:t>. 2022;2(1):2100087. doi:10.1002/anbr.202100087</w:t>
      </w:r>
    </w:p>
    <w:p w14:paraId="11E520CF" w14:textId="77777777" w:rsidR="008F09C1" w:rsidRPr="00785166" w:rsidRDefault="008F09C1" w:rsidP="00785166">
      <w:pPr>
        <w:pStyle w:val="Bibliography"/>
        <w:rPr>
          <w:rFonts w:ascii="Arial" w:cs="Arial"/>
          <w:sz w:val="24"/>
          <w:szCs w:val="24"/>
        </w:rPr>
      </w:pPr>
      <w:r w:rsidRPr="00785166">
        <w:rPr>
          <w:rFonts w:ascii="Arial" w:cs="Arial"/>
          <w:sz w:val="24"/>
          <w:szCs w:val="24"/>
        </w:rPr>
        <w:t>12.</w:t>
      </w:r>
      <w:r w:rsidRPr="00785166">
        <w:rPr>
          <w:rFonts w:ascii="Arial" w:cs="Arial"/>
          <w:sz w:val="24"/>
          <w:szCs w:val="24"/>
        </w:rPr>
        <w:tab/>
        <w:t xml:space="preserve">Groß A, Hashimoto C, Sticht H, Eichler J. Synthetic Peptides as Protein Mimics. </w:t>
      </w:r>
      <w:r w:rsidRPr="00785166">
        <w:rPr>
          <w:rFonts w:ascii="Arial" w:cs="Arial"/>
          <w:i/>
          <w:iCs/>
          <w:sz w:val="24"/>
          <w:szCs w:val="24"/>
        </w:rPr>
        <w:t>Front Bioeng Biotechnol</w:t>
      </w:r>
      <w:r w:rsidRPr="00785166">
        <w:rPr>
          <w:rFonts w:ascii="Arial" w:cs="Arial"/>
          <w:sz w:val="24"/>
          <w:szCs w:val="24"/>
        </w:rPr>
        <w:t>. 2016;3. doi:10.3389/fbioe.2015.00211</w:t>
      </w:r>
    </w:p>
    <w:p w14:paraId="1E2869B0" w14:textId="77777777" w:rsidR="008F09C1" w:rsidRPr="00785166" w:rsidRDefault="008F09C1" w:rsidP="00785166">
      <w:pPr>
        <w:pStyle w:val="Bibliography"/>
        <w:rPr>
          <w:rFonts w:ascii="Arial" w:cs="Arial"/>
          <w:sz w:val="24"/>
          <w:szCs w:val="24"/>
        </w:rPr>
      </w:pPr>
      <w:r w:rsidRPr="00785166">
        <w:rPr>
          <w:rFonts w:ascii="Arial" w:cs="Arial"/>
          <w:sz w:val="24"/>
          <w:szCs w:val="24"/>
        </w:rPr>
        <w:t>13.</w:t>
      </w:r>
      <w:r w:rsidRPr="00785166">
        <w:rPr>
          <w:rFonts w:ascii="Arial" w:cs="Arial"/>
          <w:sz w:val="24"/>
          <w:szCs w:val="24"/>
        </w:rPr>
        <w:tab/>
        <w:t xml:space="preserve">Frantz C, Stewart KM, Weaver VM. The extracellular matrix at a glance. </w:t>
      </w:r>
      <w:r w:rsidRPr="00785166">
        <w:rPr>
          <w:rFonts w:ascii="Arial" w:cs="Arial"/>
          <w:i/>
          <w:iCs/>
          <w:sz w:val="24"/>
          <w:szCs w:val="24"/>
        </w:rPr>
        <w:t>J Cell Sci</w:t>
      </w:r>
      <w:r w:rsidRPr="00785166">
        <w:rPr>
          <w:rFonts w:ascii="Arial" w:cs="Arial"/>
          <w:sz w:val="24"/>
          <w:szCs w:val="24"/>
        </w:rPr>
        <w:t>. 2010;123(24):4195-4200. doi:10.1242/jcs.023820</w:t>
      </w:r>
    </w:p>
    <w:p w14:paraId="0F6B392A" w14:textId="77777777" w:rsidR="008F09C1" w:rsidRPr="00785166" w:rsidRDefault="008F09C1" w:rsidP="00785166">
      <w:pPr>
        <w:pStyle w:val="Bibliography"/>
        <w:rPr>
          <w:rFonts w:ascii="Arial" w:cs="Arial"/>
          <w:sz w:val="24"/>
          <w:szCs w:val="24"/>
        </w:rPr>
      </w:pPr>
      <w:r w:rsidRPr="00785166">
        <w:rPr>
          <w:rFonts w:ascii="Arial" w:cs="Arial"/>
          <w:sz w:val="24"/>
          <w:szCs w:val="24"/>
        </w:rPr>
        <w:t>14.</w:t>
      </w:r>
      <w:r w:rsidRPr="00785166">
        <w:rPr>
          <w:rFonts w:ascii="Arial" w:cs="Arial"/>
          <w:sz w:val="24"/>
          <w:szCs w:val="24"/>
        </w:rPr>
        <w:tab/>
        <w:t xml:space="preserve">Gazit E. Reductionist Approach in Peptide-Based Nanotechnology. </w:t>
      </w:r>
      <w:r w:rsidRPr="00785166">
        <w:rPr>
          <w:rFonts w:ascii="Arial" w:cs="Arial"/>
          <w:i/>
          <w:iCs/>
          <w:sz w:val="24"/>
          <w:szCs w:val="24"/>
        </w:rPr>
        <w:t>Annu Rev Biochem</w:t>
      </w:r>
      <w:r w:rsidRPr="00785166">
        <w:rPr>
          <w:rFonts w:ascii="Arial" w:cs="Arial"/>
          <w:sz w:val="24"/>
          <w:szCs w:val="24"/>
        </w:rPr>
        <w:t>. 2018;87(1):533-553. doi:10.1146/annurev-biochem-062917-012541</w:t>
      </w:r>
    </w:p>
    <w:p w14:paraId="1F7CCAE4" w14:textId="77777777" w:rsidR="008F09C1" w:rsidRPr="00785166" w:rsidRDefault="008F09C1" w:rsidP="00785166">
      <w:pPr>
        <w:pStyle w:val="Bibliography"/>
        <w:rPr>
          <w:rFonts w:ascii="Arial" w:cs="Arial"/>
          <w:sz w:val="24"/>
          <w:szCs w:val="24"/>
        </w:rPr>
      </w:pPr>
      <w:r w:rsidRPr="00785166">
        <w:rPr>
          <w:rFonts w:ascii="Arial" w:cs="Arial"/>
          <w:sz w:val="24"/>
          <w:szCs w:val="24"/>
        </w:rPr>
        <w:t>15.</w:t>
      </w:r>
      <w:r w:rsidRPr="00785166">
        <w:rPr>
          <w:rFonts w:ascii="Arial" w:cs="Arial"/>
          <w:sz w:val="24"/>
          <w:szCs w:val="24"/>
        </w:rPr>
        <w:tab/>
        <w:t xml:space="preserve">Vijayakumar M, Qian H, Zhou HX. Hydrogen bonds between short polar side chains and peptide backbone: Prevalence in proteins and effects on helix-forming propensities. </w:t>
      </w:r>
      <w:r w:rsidRPr="00785166">
        <w:rPr>
          <w:rFonts w:ascii="Arial" w:cs="Arial"/>
          <w:i/>
          <w:iCs/>
          <w:sz w:val="24"/>
          <w:szCs w:val="24"/>
        </w:rPr>
        <w:t>Proteins: Structure, Function, and Bioinformatics</w:t>
      </w:r>
      <w:r w:rsidRPr="00785166">
        <w:rPr>
          <w:rFonts w:ascii="Arial" w:cs="Arial"/>
          <w:sz w:val="24"/>
          <w:szCs w:val="24"/>
        </w:rPr>
        <w:t>. 1999;34(4):497-507. doi:10.1002/(SICI)1097-0134(19990301)34:4&lt;497::AID-PROT9&gt;3.0.CO;2-G</w:t>
      </w:r>
    </w:p>
    <w:p w14:paraId="11803D03" w14:textId="77777777" w:rsidR="008F09C1" w:rsidRPr="00785166" w:rsidRDefault="008F09C1" w:rsidP="00785166">
      <w:pPr>
        <w:pStyle w:val="Bibliography"/>
        <w:rPr>
          <w:rFonts w:ascii="Arial" w:cs="Arial"/>
          <w:sz w:val="24"/>
          <w:szCs w:val="24"/>
        </w:rPr>
      </w:pPr>
      <w:r w:rsidRPr="00785166">
        <w:rPr>
          <w:rFonts w:ascii="Arial" w:cs="Arial"/>
          <w:sz w:val="24"/>
          <w:szCs w:val="24"/>
        </w:rPr>
        <w:t>16.</w:t>
      </w:r>
      <w:r w:rsidRPr="00785166">
        <w:rPr>
          <w:rFonts w:ascii="Arial" w:cs="Arial"/>
          <w:sz w:val="24"/>
          <w:szCs w:val="24"/>
        </w:rPr>
        <w:tab/>
        <w:t xml:space="preserve">Mu Y, Yu M. Effects of hydrophobic interaction strength on the self-assembled structures of model peptides. </w:t>
      </w:r>
      <w:r w:rsidRPr="00785166">
        <w:rPr>
          <w:rFonts w:ascii="Arial" w:cs="Arial"/>
          <w:i/>
          <w:iCs/>
          <w:sz w:val="24"/>
          <w:szCs w:val="24"/>
        </w:rPr>
        <w:t>Soft Matter</w:t>
      </w:r>
      <w:r w:rsidRPr="00785166">
        <w:rPr>
          <w:rFonts w:ascii="Arial" w:cs="Arial"/>
          <w:sz w:val="24"/>
          <w:szCs w:val="24"/>
        </w:rPr>
        <w:t>. 2014;10(27):4956-4965. doi:10.1039/C4SM00378K</w:t>
      </w:r>
    </w:p>
    <w:p w14:paraId="7FB147B2" w14:textId="77777777" w:rsidR="008F09C1" w:rsidRPr="00785166" w:rsidRDefault="008F09C1" w:rsidP="00785166">
      <w:pPr>
        <w:pStyle w:val="Bibliography"/>
        <w:rPr>
          <w:rFonts w:ascii="Arial" w:cs="Arial"/>
          <w:sz w:val="24"/>
          <w:szCs w:val="24"/>
        </w:rPr>
      </w:pPr>
      <w:r w:rsidRPr="00785166">
        <w:rPr>
          <w:rFonts w:ascii="Arial" w:cs="Arial"/>
          <w:sz w:val="24"/>
          <w:szCs w:val="24"/>
        </w:rPr>
        <w:t>17.</w:t>
      </w:r>
      <w:r w:rsidRPr="00785166">
        <w:rPr>
          <w:rFonts w:ascii="Arial" w:cs="Arial"/>
          <w:sz w:val="24"/>
          <w:szCs w:val="24"/>
        </w:rPr>
        <w:tab/>
        <w:t xml:space="preserve">Gazit E. A possible role for π-stacking in the self-assembly of amyloid fibrils. </w:t>
      </w:r>
      <w:r w:rsidRPr="00785166">
        <w:rPr>
          <w:rFonts w:ascii="Arial" w:cs="Arial"/>
          <w:i/>
          <w:iCs/>
          <w:sz w:val="24"/>
          <w:szCs w:val="24"/>
        </w:rPr>
        <w:t>The FASEB Journal</w:t>
      </w:r>
      <w:r w:rsidRPr="00785166">
        <w:rPr>
          <w:rFonts w:ascii="Arial" w:cs="Arial"/>
          <w:sz w:val="24"/>
          <w:szCs w:val="24"/>
        </w:rPr>
        <w:t>. 2002;16(1):77-83. doi:10.1096/fj.01-0442hyp</w:t>
      </w:r>
    </w:p>
    <w:p w14:paraId="4F186CED" w14:textId="77777777" w:rsidR="008F09C1" w:rsidRPr="00785166" w:rsidRDefault="008F09C1" w:rsidP="00785166">
      <w:pPr>
        <w:pStyle w:val="Bibliography"/>
        <w:rPr>
          <w:rFonts w:ascii="Arial" w:cs="Arial"/>
          <w:sz w:val="24"/>
          <w:szCs w:val="24"/>
        </w:rPr>
      </w:pPr>
      <w:r w:rsidRPr="00785166">
        <w:rPr>
          <w:rFonts w:ascii="Arial" w:cs="Arial"/>
          <w:sz w:val="24"/>
          <w:szCs w:val="24"/>
        </w:rPr>
        <w:t>18.</w:t>
      </w:r>
      <w:r w:rsidRPr="00785166">
        <w:rPr>
          <w:rFonts w:ascii="Arial" w:cs="Arial"/>
          <w:sz w:val="24"/>
          <w:szCs w:val="24"/>
        </w:rPr>
        <w:tab/>
        <w:t>Peptide self-assembly: thermodynamics and kinetics - Chemical Society Reviews (RSC Publishing). Accessed March 19, 2020. https://pubs.rsc.org/ko/content/articlelanding/2016/cs/c6cs00176a/unauth#!divAbstract</w:t>
      </w:r>
    </w:p>
    <w:p w14:paraId="7717A446" w14:textId="77777777" w:rsidR="008F09C1" w:rsidRPr="00785166" w:rsidRDefault="008F09C1" w:rsidP="00785166">
      <w:pPr>
        <w:pStyle w:val="Bibliography"/>
        <w:rPr>
          <w:rFonts w:ascii="Arial" w:cs="Arial"/>
          <w:sz w:val="24"/>
          <w:szCs w:val="24"/>
        </w:rPr>
      </w:pPr>
      <w:r w:rsidRPr="00785166">
        <w:rPr>
          <w:rFonts w:ascii="Arial" w:cs="Arial"/>
          <w:sz w:val="24"/>
          <w:szCs w:val="24"/>
        </w:rPr>
        <w:t>19.</w:t>
      </w:r>
      <w:r w:rsidRPr="00785166">
        <w:rPr>
          <w:rFonts w:ascii="Arial" w:cs="Arial"/>
          <w:sz w:val="24"/>
          <w:szCs w:val="24"/>
        </w:rPr>
        <w:tab/>
        <w:t xml:space="preserve">Fan T, Yu X, Shen B, Sun L. Peptide Self-Assembled Nanostructures for Drug Delivery Applications. </w:t>
      </w:r>
      <w:r w:rsidRPr="00785166">
        <w:rPr>
          <w:rFonts w:ascii="Arial" w:cs="Arial"/>
          <w:i/>
          <w:iCs/>
          <w:sz w:val="24"/>
          <w:szCs w:val="24"/>
        </w:rPr>
        <w:t>Journal of Nanomaterials</w:t>
      </w:r>
      <w:r w:rsidRPr="00785166">
        <w:rPr>
          <w:rFonts w:ascii="Arial" w:cs="Arial"/>
          <w:sz w:val="24"/>
          <w:szCs w:val="24"/>
        </w:rPr>
        <w:t>. 2017;2017:1-16. doi:10.1155/2017/4562474</w:t>
      </w:r>
    </w:p>
    <w:p w14:paraId="61060C03" w14:textId="77777777" w:rsidR="008F09C1" w:rsidRPr="00785166" w:rsidRDefault="008F09C1" w:rsidP="00785166">
      <w:pPr>
        <w:pStyle w:val="Bibliography"/>
        <w:rPr>
          <w:rFonts w:ascii="Arial" w:cs="Arial"/>
          <w:sz w:val="24"/>
          <w:szCs w:val="24"/>
        </w:rPr>
      </w:pPr>
      <w:r w:rsidRPr="00785166">
        <w:rPr>
          <w:rFonts w:ascii="Arial" w:cs="Arial"/>
          <w:sz w:val="24"/>
          <w:szCs w:val="24"/>
        </w:rPr>
        <w:t>20.</w:t>
      </w:r>
      <w:r w:rsidRPr="00785166">
        <w:rPr>
          <w:rFonts w:ascii="Arial" w:cs="Arial"/>
          <w:sz w:val="24"/>
          <w:szCs w:val="24"/>
        </w:rPr>
        <w:tab/>
        <w:t xml:space="preserve">Bera S, Gazit E. Self-assembly of Functional Nanostructures by Short Helical Peptide Building Blocks. </w:t>
      </w:r>
      <w:r w:rsidRPr="00785166">
        <w:rPr>
          <w:rFonts w:ascii="Arial" w:cs="Arial"/>
          <w:i/>
          <w:iCs/>
          <w:sz w:val="24"/>
          <w:szCs w:val="24"/>
        </w:rPr>
        <w:t>Protein &amp; Peptide Letters</w:t>
      </w:r>
      <w:r w:rsidRPr="00785166">
        <w:rPr>
          <w:rFonts w:ascii="Arial" w:cs="Arial"/>
          <w:sz w:val="24"/>
          <w:szCs w:val="24"/>
        </w:rPr>
        <w:t>. 2018;26(2):88-97. doi:10.2174/0929866525666180917163142</w:t>
      </w:r>
    </w:p>
    <w:p w14:paraId="4007AF39" w14:textId="77777777" w:rsidR="008F09C1" w:rsidRPr="00785166" w:rsidRDefault="008F09C1" w:rsidP="00785166">
      <w:pPr>
        <w:pStyle w:val="Bibliography"/>
        <w:rPr>
          <w:rFonts w:ascii="Arial" w:cs="Arial"/>
          <w:sz w:val="24"/>
          <w:szCs w:val="24"/>
        </w:rPr>
      </w:pPr>
      <w:r w:rsidRPr="00785166">
        <w:rPr>
          <w:rFonts w:ascii="Arial" w:cs="Arial"/>
          <w:sz w:val="24"/>
          <w:szCs w:val="24"/>
        </w:rPr>
        <w:t>21.</w:t>
      </w:r>
      <w:r w:rsidRPr="00785166">
        <w:rPr>
          <w:rFonts w:ascii="Arial" w:cs="Arial"/>
          <w:sz w:val="24"/>
          <w:szCs w:val="24"/>
        </w:rPr>
        <w:tab/>
        <w:t xml:space="preserve">Lupas BAN, Gruber M. The structure of alpha-helical coiled coils. </w:t>
      </w:r>
      <w:r w:rsidRPr="00785166">
        <w:rPr>
          <w:rFonts w:ascii="Arial" w:cs="Arial"/>
          <w:i/>
          <w:iCs/>
          <w:sz w:val="24"/>
          <w:szCs w:val="24"/>
        </w:rPr>
        <w:t>Advances in Protein Chemistry</w:t>
      </w:r>
      <w:r w:rsidRPr="00785166">
        <w:rPr>
          <w:rFonts w:ascii="Arial" w:cs="Arial"/>
          <w:sz w:val="24"/>
          <w:szCs w:val="24"/>
        </w:rPr>
        <w:t>. 2005;70(04):37-78. doi:10.1016/S0065-3233(04)70003-0</w:t>
      </w:r>
    </w:p>
    <w:p w14:paraId="01D9F946" w14:textId="77777777" w:rsidR="008F09C1" w:rsidRPr="00785166" w:rsidRDefault="008F09C1" w:rsidP="00785166">
      <w:pPr>
        <w:pStyle w:val="Bibliography"/>
        <w:rPr>
          <w:rFonts w:ascii="Arial" w:cs="Arial"/>
          <w:sz w:val="24"/>
          <w:szCs w:val="24"/>
        </w:rPr>
      </w:pPr>
      <w:r w:rsidRPr="00785166">
        <w:rPr>
          <w:rFonts w:ascii="Arial" w:cs="Arial"/>
          <w:sz w:val="24"/>
          <w:szCs w:val="24"/>
        </w:rPr>
        <w:t>22.</w:t>
      </w:r>
      <w:r w:rsidRPr="00785166">
        <w:rPr>
          <w:rFonts w:ascii="Arial" w:cs="Arial"/>
          <w:sz w:val="24"/>
          <w:szCs w:val="24"/>
        </w:rPr>
        <w:tab/>
        <w:t xml:space="preserve">Nowick JS. Exploring β-Sheet Structure and Interactions with Chemical Model Systems. </w:t>
      </w:r>
      <w:r w:rsidRPr="00785166">
        <w:rPr>
          <w:rFonts w:ascii="Arial" w:cs="Arial"/>
          <w:i/>
          <w:iCs/>
          <w:sz w:val="24"/>
          <w:szCs w:val="24"/>
        </w:rPr>
        <w:t>Accounts of Chemical Research</w:t>
      </w:r>
      <w:r w:rsidRPr="00785166">
        <w:rPr>
          <w:rFonts w:ascii="Arial" w:cs="Arial"/>
          <w:sz w:val="24"/>
          <w:szCs w:val="24"/>
        </w:rPr>
        <w:t>. 2008;41(10):1319-1330. doi:10.1016/j.cgh.2008.07.016.Cytokeratin</w:t>
      </w:r>
    </w:p>
    <w:p w14:paraId="223CA48F" w14:textId="77777777" w:rsidR="008F09C1" w:rsidRPr="00785166" w:rsidRDefault="008F09C1" w:rsidP="00785166">
      <w:pPr>
        <w:pStyle w:val="Bibliography"/>
        <w:rPr>
          <w:rFonts w:ascii="Arial" w:cs="Arial"/>
          <w:sz w:val="24"/>
          <w:szCs w:val="24"/>
        </w:rPr>
      </w:pPr>
      <w:r w:rsidRPr="00785166">
        <w:rPr>
          <w:rFonts w:ascii="Arial" w:cs="Arial"/>
          <w:sz w:val="24"/>
          <w:szCs w:val="24"/>
        </w:rPr>
        <w:t>23.</w:t>
      </w:r>
      <w:r w:rsidRPr="00785166">
        <w:rPr>
          <w:rFonts w:ascii="Arial" w:cs="Arial"/>
          <w:sz w:val="24"/>
          <w:szCs w:val="24"/>
        </w:rPr>
        <w:tab/>
        <w:t xml:space="preserve">Stephanopoulos N, Ortony JH, Stupp SI. Self-assembly for the synthesis of functional biomaterials. </w:t>
      </w:r>
      <w:r w:rsidRPr="00785166">
        <w:rPr>
          <w:rFonts w:ascii="Arial" w:cs="Arial"/>
          <w:i/>
          <w:iCs/>
          <w:sz w:val="24"/>
          <w:szCs w:val="24"/>
        </w:rPr>
        <w:t>Acta Materialia</w:t>
      </w:r>
      <w:r w:rsidRPr="00785166">
        <w:rPr>
          <w:rFonts w:ascii="Arial" w:cs="Arial"/>
          <w:sz w:val="24"/>
          <w:szCs w:val="24"/>
        </w:rPr>
        <w:t>. 2013;61(3):912-930. doi:10.1016/j.actamat.2012.10.046</w:t>
      </w:r>
    </w:p>
    <w:p w14:paraId="0B81C949" w14:textId="77777777" w:rsidR="008F09C1" w:rsidRPr="00785166" w:rsidRDefault="008F09C1" w:rsidP="00785166">
      <w:pPr>
        <w:pStyle w:val="Bibliography"/>
        <w:rPr>
          <w:rFonts w:ascii="Arial" w:cs="Arial"/>
          <w:sz w:val="24"/>
          <w:szCs w:val="24"/>
        </w:rPr>
      </w:pPr>
      <w:r w:rsidRPr="00785166">
        <w:rPr>
          <w:rFonts w:ascii="Arial" w:cs="Arial"/>
          <w:sz w:val="24"/>
          <w:szCs w:val="24"/>
        </w:rPr>
        <w:t>24.</w:t>
      </w:r>
      <w:r w:rsidRPr="00785166">
        <w:rPr>
          <w:rFonts w:ascii="Arial" w:cs="Arial"/>
          <w:sz w:val="24"/>
          <w:szCs w:val="24"/>
        </w:rPr>
        <w:tab/>
        <w:t xml:space="preserve">Dobson CM. Protein-misfolding diseases: Getting out of shape. </w:t>
      </w:r>
      <w:r w:rsidRPr="00785166">
        <w:rPr>
          <w:rFonts w:ascii="Arial" w:cs="Arial"/>
          <w:i/>
          <w:iCs/>
          <w:sz w:val="24"/>
          <w:szCs w:val="24"/>
        </w:rPr>
        <w:t>Nature</w:t>
      </w:r>
      <w:r w:rsidRPr="00785166">
        <w:rPr>
          <w:rFonts w:ascii="Arial" w:cs="Arial"/>
          <w:sz w:val="24"/>
          <w:szCs w:val="24"/>
        </w:rPr>
        <w:t>. 2002;418(6899):729-730. doi:10.1038/418729a</w:t>
      </w:r>
    </w:p>
    <w:p w14:paraId="0D13BD01" w14:textId="77777777" w:rsidR="008F09C1" w:rsidRPr="00785166" w:rsidRDefault="008F09C1" w:rsidP="00785166">
      <w:pPr>
        <w:pStyle w:val="Bibliography"/>
        <w:rPr>
          <w:rFonts w:ascii="Arial" w:cs="Arial"/>
          <w:sz w:val="24"/>
          <w:szCs w:val="24"/>
        </w:rPr>
      </w:pPr>
      <w:r w:rsidRPr="00785166">
        <w:rPr>
          <w:rFonts w:ascii="Arial" w:cs="Arial"/>
          <w:sz w:val="24"/>
          <w:szCs w:val="24"/>
        </w:rPr>
        <w:t>25.</w:t>
      </w:r>
      <w:r w:rsidRPr="00785166">
        <w:rPr>
          <w:rFonts w:ascii="Arial" w:cs="Arial"/>
          <w:sz w:val="24"/>
          <w:szCs w:val="24"/>
        </w:rPr>
        <w:tab/>
        <w:t xml:space="preserve">Das S, Jacob RS, Patel K, Singh N, Maji SK. Amyloid Fibrils: Versatile Biomaterials for Cell Adhesion and Tissue Engineering Applications. </w:t>
      </w:r>
      <w:r w:rsidRPr="00785166">
        <w:rPr>
          <w:rFonts w:ascii="Arial" w:cs="Arial"/>
          <w:i/>
          <w:iCs/>
          <w:sz w:val="24"/>
          <w:szCs w:val="24"/>
        </w:rPr>
        <w:t>Biomacromolecules</w:t>
      </w:r>
      <w:r w:rsidRPr="00785166">
        <w:rPr>
          <w:rFonts w:ascii="Arial" w:cs="Arial"/>
          <w:sz w:val="24"/>
          <w:szCs w:val="24"/>
        </w:rPr>
        <w:t>. 2018;19(6):1826-1839. doi:10.1021/acs.biomac.8b00279</w:t>
      </w:r>
    </w:p>
    <w:p w14:paraId="49468DC7" w14:textId="77777777" w:rsidR="008F09C1" w:rsidRPr="00785166" w:rsidRDefault="008F09C1" w:rsidP="00785166">
      <w:pPr>
        <w:pStyle w:val="Bibliography"/>
        <w:rPr>
          <w:rFonts w:ascii="Arial" w:cs="Arial"/>
          <w:sz w:val="24"/>
          <w:szCs w:val="24"/>
        </w:rPr>
      </w:pPr>
      <w:r w:rsidRPr="00785166">
        <w:rPr>
          <w:rFonts w:ascii="Arial" w:cs="Arial"/>
          <w:sz w:val="24"/>
          <w:szCs w:val="24"/>
        </w:rPr>
        <w:t>26.</w:t>
      </w:r>
      <w:r w:rsidRPr="00785166">
        <w:rPr>
          <w:rFonts w:ascii="Arial" w:cs="Arial"/>
          <w:sz w:val="24"/>
          <w:szCs w:val="24"/>
        </w:rPr>
        <w:tab/>
        <w:t xml:space="preserve">Murphy RM. Kinetics of amyloid formation and membrane interaction with amyloidogenic proteins. </w:t>
      </w:r>
      <w:r w:rsidRPr="00785166">
        <w:rPr>
          <w:rFonts w:ascii="Arial" w:cs="Arial"/>
          <w:i/>
          <w:iCs/>
          <w:sz w:val="24"/>
          <w:szCs w:val="24"/>
        </w:rPr>
        <w:t>Biochimica et Biophysica Acta (BBA) - Biomembranes</w:t>
      </w:r>
      <w:r w:rsidRPr="00785166">
        <w:rPr>
          <w:rFonts w:ascii="Arial" w:cs="Arial"/>
          <w:sz w:val="24"/>
          <w:szCs w:val="24"/>
        </w:rPr>
        <w:t>. 2007;1768(8):1923-1934. doi:10.1016/j.bbamem.2006.12.014</w:t>
      </w:r>
    </w:p>
    <w:p w14:paraId="32B9F0E6" w14:textId="77777777" w:rsidR="008F09C1" w:rsidRPr="00785166" w:rsidRDefault="008F09C1" w:rsidP="00785166">
      <w:pPr>
        <w:pStyle w:val="Bibliography"/>
        <w:rPr>
          <w:rFonts w:ascii="Arial" w:cs="Arial"/>
          <w:sz w:val="24"/>
          <w:szCs w:val="24"/>
        </w:rPr>
      </w:pPr>
      <w:r w:rsidRPr="00785166">
        <w:rPr>
          <w:rFonts w:ascii="Arial" w:cs="Arial"/>
          <w:sz w:val="24"/>
          <w:szCs w:val="24"/>
        </w:rPr>
        <w:t>27.</w:t>
      </w:r>
      <w:r w:rsidRPr="00785166">
        <w:rPr>
          <w:rFonts w:ascii="Arial" w:cs="Arial"/>
          <w:sz w:val="24"/>
          <w:szCs w:val="24"/>
        </w:rPr>
        <w:tab/>
        <w:t xml:space="preserve">Raskatov JA, Teplow DB. Using chirality to probe the conformational dynamics and assembly of intrinsically disordered amyloid proteins. </w:t>
      </w:r>
      <w:r w:rsidRPr="00785166">
        <w:rPr>
          <w:rFonts w:ascii="Arial" w:cs="Arial"/>
          <w:i/>
          <w:iCs/>
          <w:sz w:val="24"/>
          <w:szCs w:val="24"/>
        </w:rPr>
        <w:t>Sci Rep</w:t>
      </w:r>
      <w:r w:rsidRPr="00785166">
        <w:rPr>
          <w:rFonts w:ascii="Arial" w:cs="Arial"/>
          <w:sz w:val="24"/>
          <w:szCs w:val="24"/>
        </w:rPr>
        <w:t>. 2017;7(1):12433. doi:10.1038/s41598-017-10525-5</w:t>
      </w:r>
    </w:p>
    <w:p w14:paraId="225B66B9" w14:textId="77777777" w:rsidR="008F09C1" w:rsidRPr="00785166" w:rsidRDefault="008F09C1" w:rsidP="00785166">
      <w:pPr>
        <w:pStyle w:val="Bibliography"/>
        <w:rPr>
          <w:rFonts w:ascii="Arial" w:cs="Arial"/>
          <w:sz w:val="24"/>
          <w:szCs w:val="24"/>
        </w:rPr>
      </w:pPr>
      <w:r w:rsidRPr="00785166">
        <w:rPr>
          <w:rFonts w:ascii="Arial" w:cs="Arial"/>
          <w:sz w:val="24"/>
          <w:szCs w:val="24"/>
        </w:rPr>
        <w:t>28.</w:t>
      </w:r>
      <w:r w:rsidRPr="00785166">
        <w:rPr>
          <w:rFonts w:ascii="Arial" w:cs="Arial"/>
          <w:sz w:val="24"/>
          <w:szCs w:val="24"/>
        </w:rPr>
        <w:tab/>
        <w:t xml:space="preserve">Caballero AB, Gamez P. Nanochaperone-Based Strategies to Control Protein Aggregation Linked to Conformational Diseases. </w:t>
      </w:r>
      <w:r w:rsidRPr="00785166">
        <w:rPr>
          <w:rFonts w:ascii="Arial" w:cs="Arial"/>
          <w:i/>
          <w:iCs/>
          <w:sz w:val="24"/>
          <w:szCs w:val="24"/>
        </w:rPr>
        <w:t>Angewandte Chemie</w:t>
      </w:r>
      <w:r w:rsidRPr="00785166">
        <w:rPr>
          <w:rFonts w:ascii="Arial" w:cs="Arial"/>
          <w:sz w:val="24"/>
          <w:szCs w:val="24"/>
        </w:rPr>
        <w:t>. 2021;133(1):41-52. doi:10.1002/ange.202007924</w:t>
      </w:r>
    </w:p>
    <w:p w14:paraId="27807F68" w14:textId="77777777" w:rsidR="008F09C1" w:rsidRPr="00785166" w:rsidRDefault="008F09C1" w:rsidP="00785166">
      <w:pPr>
        <w:pStyle w:val="Bibliography"/>
        <w:rPr>
          <w:rFonts w:ascii="Arial" w:cs="Arial"/>
          <w:sz w:val="24"/>
          <w:szCs w:val="24"/>
        </w:rPr>
      </w:pPr>
      <w:r w:rsidRPr="00785166">
        <w:rPr>
          <w:rFonts w:ascii="Arial" w:cs="Arial"/>
          <w:sz w:val="24"/>
          <w:szCs w:val="24"/>
        </w:rPr>
        <w:t>29.</w:t>
      </w:r>
      <w:r w:rsidRPr="00785166">
        <w:rPr>
          <w:rFonts w:ascii="Arial" w:cs="Arial"/>
          <w:sz w:val="24"/>
          <w:szCs w:val="24"/>
        </w:rPr>
        <w:tab/>
        <w:t xml:space="preserve">Makin OS, Atkins E, Sikorski P, Johansson J, Serpell LC. Molecular basis for amyloid fibril formation and stability. </w:t>
      </w:r>
      <w:r w:rsidRPr="00785166">
        <w:rPr>
          <w:rFonts w:ascii="Arial" w:cs="Arial"/>
          <w:i/>
          <w:iCs/>
          <w:sz w:val="24"/>
          <w:szCs w:val="24"/>
        </w:rPr>
        <w:t>PNAS</w:t>
      </w:r>
      <w:r w:rsidRPr="00785166">
        <w:rPr>
          <w:rFonts w:ascii="Arial" w:cs="Arial"/>
          <w:sz w:val="24"/>
          <w:szCs w:val="24"/>
        </w:rPr>
        <w:t>. 2005;102(2):315-320. doi:10.1073/pnas.0406847102</w:t>
      </w:r>
    </w:p>
    <w:p w14:paraId="07A4751A" w14:textId="77777777" w:rsidR="008F09C1" w:rsidRPr="00785166" w:rsidRDefault="008F09C1" w:rsidP="00785166">
      <w:pPr>
        <w:pStyle w:val="Bibliography"/>
        <w:rPr>
          <w:rFonts w:ascii="Arial" w:cs="Arial"/>
          <w:sz w:val="24"/>
          <w:szCs w:val="24"/>
        </w:rPr>
      </w:pPr>
      <w:r w:rsidRPr="00785166">
        <w:rPr>
          <w:rFonts w:ascii="Arial" w:cs="Arial"/>
          <w:sz w:val="24"/>
          <w:szCs w:val="24"/>
        </w:rPr>
        <w:t>30.</w:t>
      </w:r>
      <w:r w:rsidRPr="00785166">
        <w:rPr>
          <w:rFonts w:ascii="Arial" w:cs="Arial"/>
          <w:sz w:val="24"/>
          <w:szCs w:val="24"/>
        </w:rPr>
        <w:tab/>
        <w:t xml:space="preserve">Yan X, Zhu P, Li J. Self-assembly and application of diphenylalanine-based nanostructures. </w:t>
      </w:r>
      <w:r w:rsidRPr="00785166">
        <w:rPr>
          <w:rFonts w:ascii="Arial" w:cs="Arial"/>
          <w:i/>
          <w:iCs/>
          <w:sz w:val="24"/>
          <w:szCs w:val="24"/>
        </w:rPr>
        <w:t>Chem Soc Rev</w:t>
      </w:r>
      <w:r w:rsidRPr="00785166">
        <w:rPr>
          <w:rFonts w:ascii="Arial" w:cs="Arial"/>
          <w:sz w:val="24"/>
          <w:szCs w:val="24"/>
        </w:rPr>
        <w:t>. 2010;39(6):1877-1890. doi:10.1039/b915765b</w:t>
      </w:r>
    </w:p>
    <w:p w14:paraId="4B2D2263" w14:textId="77777777" w:rsidR="008F09C1" w:rsidRPr="00785166" w:rsidRDefault="008F09C1" w:rsidP="00785166">
      <w:pPr>
        <w:pStyle w:val="Bibliography"/>
        <w:rPr>
          <w:rFonts w:ascii="Arial" w:cs="Arial"/>
          <w:sz w:val="24"/>
          <w:szCs w:val="24"/>
        </w:rPr>
      </w:pPr>
      <w:r w:rsidRPr="00785166">
        <w:rPr>
          <w:rFonts w:ascii="Arial" w:cs="Arial"/>
          <w:sz w:val="24"/>
          <w:szCs w:val="24"/>
        </w:rPr>
        <w:t>31.</w:t>
      </w:r>
      <w:r w:rsidRPr="00785166">
        <w:rPr>
          <w:rFonts w:ascii="Arial" w:cs="Arial"/>
          <w:sz w:val="24"/>
          <w:szCs w:val="24"/>
        </w:rPr>
        <w:tab/>
        <w:t xml:space="preserve">Tenidis K, Waldner M, Bernhagen J, et al. Identification of a penta- and hexapeptide of islet amyloid polypeptide (IAPP) with amyloidogenic and cytotoxic properties1 1Edited by R. Huber. </w:t>
      </w:r>
      <w:r w:rsidRPr="00785166">
        <w:rPr>
          <w:rFonts w:ascii="Arial" w:cs="Arial"/>
          <w:i/>
          <w:iCs/>
          <w:sz w:val="24"/>
          <w:szCs w:val="24"/>
        </w:rPr>
        <w:t>Journal of Molecular Biology</w:t>
      </w:r>
      <w:r w:rsidRPr="00785166">
        <w:rPr>
          <w:rFonts w:ascii="Arial" w:cs="Arial"/>
          <w:sz w:val="24"/>
          <w:szCs w:val="24"/>
        </w:rPr>
        <w:t>. 2000;295(4):1055-1071. doi:10.1006/jmbi.1999.3422</w:t>
      </w:r>
    </w:p>
    <w:p w14:paraId="1D8D15CB" w14:textId="77777777" w:rsidR="008F09C1" w:rsidRPr="00785166" w:rsidRDefault="008F09C1" w:rsidP="00785166">
      <w:pPr>
        <w:pStyle w:val="Bibliography"/>
        <w:rPr>
          <w:rFonts w:ascii="Arial" w:cs="Arial"/>
          <w:sz w:val="24"/>
          <w:szCs w:val="24"/>
        </w:rPr>
      </w:pPr>
      <w:r w:rsidRPr="00785166">
        <w:rPr>
          <w:rFonts w:ascii="Arial" w:cs="Arial"/>
          <w:sz w:val="24"/>
          <w:szCs w:val="24"/>
        </w:rPr>
        <w:t>32.</w:t>
      </w:r>
      <w:r w:rsidRPr="00785166">
        <w:rPr>
          <w:rFonts w:ascii="Arial" w:cs="Arial"/>
          <w:sz w:val="24"/>
          <w:szCs w:val="24"/>
        </w:rPr>
        <w:tab/>
        <w:t xml:space="preserve">Lan Y, Lv M, Guo S, et al. Molecular motifs encoding self-assembly of peptide fibers into molecular gels. </w:t>
      </w:r>
      <w:r w:rsidRPr="00785166">
        <w:rPr>
          <w:rFonts w:ascii="Arial" w:cs="Arial"/>
          <w:i/>
          <w:iCs/>
          <w:sz w:val="24"/>
          <w:szCs w:val="24"/>
        </w:rPr>
        <w:t>Soft Matter</w:t>
      </w:r>
      <w:r w:rsidRPr="00785166">
        <w:rPr>
          <w:rFonts w:ascii="Arial" w:cs="Arial"/>
          <w:sz w:val="24"/>
          <w:szCs w:val="24"/>
        </w:rPr>
        <w:t>. 2019;15(45):9205-9214. doi:10.1039/C9SM01793C</w:t>
      </w:r>
    </w:p>
    <w:p w14:paraId="4889E0D1" w14:textId="77777777" w:rsidR="008F09C1" w:rsidRPr="00785166" w:rsidRDefault="008F09C1" w:rsidP="00785166">
      <w:pPr>
        <w:pStyle w:val="Bibliography"/>
        <w:rPr>
          <w:rFonts w:ascii="Arial" w:cs="Arial"/>
          <w:sz w:val="24"/>
          <w:szCs w:val="24"/>
        </w:rPr>
      </w:pPr>
      <w:r w:rsidRPr="00785166">
        <w:rPr>
          <w:rFonts w:ascii="Arial" w:cs="Arial"/>
          <w:sz w:val="24"/>
          <w:szCs w:val="24"/>
        </w:rPr>
        <w:t>33.</w:t>
      </w:r>
      <w:r w:rsidRPr="00785166">
        <w:rPr>
          <w:rFonts w:ascii="Arial" w:cs="Arial"/>
          <w:sz w:val="24"/>
          <w:szCs w:val="24"/>
        </w:rPr>
        <w:tab/>
        <w:t xml:space="preserve">Chun Ke P, Zhou R, C. Serpell L, et al. Half a century of amyloids: past, present and future. </w:t>
      </w:r>
      <w:r w:rsidRPr="00785166">
        <w:rPr>
          <w:rFonts w:ascii="Arial" w:cs="Arial"/>
          <w:i/>
          <w:iCs/>
          <w:sz w:val="24"/>
          <w:szCs w:val="24"/>
        </w:rPr>
        <w:t>Chemical Society Reviews</w:t>
      </w:r>
      <w:r w:rsidRPr="00785166">
        <w:rPr>
          <w:rFonts w:ascii="Arial" w:cs="Arial"/>
          <w:sz w:val="24"/>
          <w:szCs w:val="24"/>
        </w:rPr>
        <w:t>. 2020;49(15):5473-5509. doi:10.1039/C9CS00199A</w:t>
      </w:r>
    </w:p>
    <w:p w14:paraId="6C82841F" w14:textId="77777777" w:rsidR="008F09C1" w:rsidRPr="00785166" w:rsidRDefault="008F09C1" w:rsidP="00785166">
      <w:pPr>
        <w:pStyle w:val="Bibliography"/>
        <w:rPr>
          <w:rFonts w:ascii="Arial" w:cs="Arial"/>
          <w:sz w:val="24"/>
          <w:szCs w:val="24"/>
        </w:rPr>
      </w:pPr>
      <w:r w:rsidRPr="00785166">
        <w:rPr>
          <w:rFonts w:ascii="Arial" w:cs="Arial"/>
          <w:sz w:val="24"/>
          <w:szCs w:val="24"/>
        </w:rPr>
        <w:t>34.</w:t>
      </w:r>
      <w:r w:rsidRPr="00785166">
        <w:rPr>
          <w:rFonts w:ascii="Arial" w:cs="Arial"/>
          <w:sz w:val="24"/>
          <w:szCs w:val="24"/>
        </w:rPr>
        <w:tab/>
        <w:t xml:space="preserve">Krone MG, Hua L, Soto P, Zhou R, Berne BJ, Shea JE. Role of Water in Mediating the Assembly of Alzheimer Amyloid-β Aβ16−22 Protofilaments. </w:t>
      </w:r>
      <w:r w:rsidRPr="00785166">
        <w:rPr>
          <w:rFonts w:ascii="Arial" w:cs="Arial"/>
          <w:i/>
          <w:iCs/>
          <w:sz w:val="24"/>
          <w:szCs w:val="24"/>
        </w:rPr>
        <w:t>J Am Chem Soc</w:t>
      </w:r>
      <w:r w:rsidRPr="00785166">
        <w:rPr>
          <w:rFonts w:ascii="Arial" w:cs="Arial"/>
          <w:sz w:val="24"/>
          <w:szCs w:val="24"/>
        </w:rPr>
        <w:t>. 2008;130(33):11066-11072. doi:10.1021/ja8017303</w:t>
      </w:r>
    </w:p>
    <w:p w14:paraId="66137D10" w14:textId="77777777" w:rsidR="008F09C1" w:rsidRPr="00785166" w:rsidRDefault="008F09C1" w:rsidP="00785166">
      <w:pPr>
        <w:pStyle w:val="Bibliography"/>
        <w:rPr>
          <w:rFonts w:ascii="Arial" w:cs="Arial"/>
          <w:sz w:val="24"/>
          <w:szCs w:val="24"/>
        </w:rPr>
      </w:pPr>
      <w:r w:rsidRPr="00785166">
        <w:rPr>
          <w:rFonts w:ascii="Arial" w:cs="Arial"/>
          <w:sz w:val="24"/>
          <w:szCs w:val="24"/>
        </w:rPr>
        <w:t>35.</w:t>
      </w:r>
      <w:r w:rsidRPr="00785166">
        <w:rPr>
          <w:rFonts w:ascii="Arial" w:cs="Arial"/>
          <w:sz w:val="24"/>
          <w:szCs w:val="24"/>
        </w:rPr>
        <w:tab/>
        <w:t xml:space="preserve">Frederix PWJM, Scott GG, Abul-Haija YM, et al. Exploring the sequence space for (tri-)peptide self-assembly to design and discover new hydrogels. </w:t>
      </w:r>
      <w:r w:rsidRPr="00785166">
        <w:rPr>
          <w:rFonts w:ascii="Arial" w:cs="Arial"/>
          <w:i/>
          <w:iCs/>
          <w:sz w:val="24"/>
          <w:szCs w:val="24"/>
        </w:rPr>
        <w:t>Nat Chem</w:t>
      </w:r>
      <w:r w:rsidRPr="00785166">
        <w:rPr>
          <w:rFonts w:ascii="Arial" w:cs="Arial"/>
          <w:sz w:val="24"/>
          <w:szCs w:val="24"/>
        </w:rPr>
        <w:t>. 2015;7(1):30-37. doi:10.1038/nchem.2122</w:t>
      </w:r>
    </w:p>
    <w:p w14:paraId="14B1CCEB" w14:textId="77777777" w:rsidR="008F09C1" w:rsidRPr="00785166" w:rsidRDefault="008F09C1" w:rsidP="00785166">
      <w:pPr>
        <w:pStyle w:val="Bibliography"/>
        <w:rPr>
          <w:rFonts w:ascii="Arial" w:cs="Arial"/>
          <w:sz w:val="24"/>
          <w:szCs w:val="24"/>
        </w:rPr>
      </w:pPr>
      <w:r w:rsidRPr="00785166">
        <w:rPr>
          <w:rFonts w:ascii="Arial" w:cs="Arial"/>
          <w:sz w:val="24"/>
          <w:szCs w:val="24"/>
        </w:rPr>
        <w:t>36.</w:t>
      </w:r>
      <w:r w:rsidRPr="00785166">
        <w:rPr>
          <w:rFonts w:ascii="Arial" w:cs="Arial"/>
          <w:sz w:val="24"/>
          <w:szCs w:val="24"/>
        </w:rPr>
        <w:tab/>
        <w:t xml:space="preserve">Martin AD, Wojciechowski JP, Robinson AB, et al. Controlling self-assembly of diphenylalanine peptides at high pH using heterocyclic capping groups. </w:t>
      </w:r>
      <w:r w:rsidRPr="00785166">
        <w:rPr>
          <w:rFonts w:ascii="Arial" w:cs="Arial"/>
          <w:i/>
          <w:iCs/>
          <w:sz w:val="24"/>
          <w:szCs w:val="24"/>
        </w:rPr>
        <w:t>Scientific Reports</w:t>
      </w:r>
      <w:r w:rsidRPr="00785166">
        <w:rPr>
          <w:rFonts w:ascii="Arial" w:cs="Arial"/>
          <w:sz w:val="24"/>
          <w:szCs w:val="24"/>
        </w:rPr>
        <w:t>. 2017;7(1):43947. doi:10.1038/srep43947</w:t>
      </w:r>
    </w:p>
    <w:p w14:paraId="040F21C0" w14:textId="77777777" w:rsidR="008F09C1" w:rsidRPr="00785166" w:rsidRDefault="008F09C1" w:rsidP="00785166">
      <w:pPr>
        <w:pStyle w:val="Bibliography"/>
        <w:rPr>
          <w:rFonts w:ascii="Arial" w:cs="Arial"/>
          <w:sz w:val="24"/>
          <w:szCs w:val="24"/>
        </w:rPr>
      </w:pPr>
      <w:r w:rsidRPr="00785166">
        <w:rPr>
          <w:rFonts w:ascii="Arial" w:cs="Arial"/>
          <w:sz w:val="24"/>
          <w:szCs w:val="24"/>
        </w:rPr>
        <w:t>37.</w:t>
      </w:r>
      <w:r w:rsidRPr="00785166">
        <w:rPr>
          <w:rFonts w:ascii="Arial" w:cs="Arial"/>
          <w:sz w:val="24"/>
          <w:szCs w:val="24"/>
        </w:rPr>
        <w:tab/>
        <w:t xml:space="preserve">Tang Y, Yao Y, Wei G. Expanding the structural diversity of peptide assemblies by coassembling dipeptides with diphenylalanine. </w:t>
      </w:r>
      <w:r w:rsidRPr="00785166">
        <w:rPr>
          <w:rFonts w:ascii="Arial" w:cs="Arial"/>
          <w:i/>
          <w:iCs/>
          <w:sz w:val="24"/>
          <w:szCs w:val="24"/>
        </w:rPr>
        <w:t>Nanoscale</w:t>
      </w:r>
      <w:r w:rsidRPr="00785166">
        <w:rPr>
          <w:rFonts w:ascii="Arial" w:cs="Arial"/>
          <w:sz w:val="24"/>
          <w:szCs w:val="24"/>
        </w:rPr>
        <w:t>. 2020;12(5):3038-3049. doi:10.1039/C9NR09317F</w:t>
      </w:r>
    </w:p>
    <w:p w14:paraId="538E7613" w14:textId="77777777" w:rsidR="008F09C1" w:rsidRPr="00785166" w:rsidRDefault="008F09C1" w:rsidP="00785166">
      <w:pPr>
        <w:pStyle w:val="Bibliography"/>
        <w:rPr>
          <w:rFonts w:ascii="Arial" w:cs="Arial"/>
          <w:sz w:val="24"/>
          <w:szCs w:val="24"/>
        </w:rPr>
      </w:pPr>
      <w:r w:rsidRPr="00785166">
        <w:rPr>
          <w:rFonts w:ascii="Arial" w:cs="Arial"/>
          <w:sz w:val="24"/>
          <w:szCs w:val="24"/>
        </w:rPr>
        <w:t>38.</w:t>
      </w:r>
      <w:r w:rsidRPr="00785166">
        <w:rPr>
          <w:rFonts w:ascii="Arial" w:cs="Arial"/>
          <w:sz w:val="24"/>
          <w:szCs w:val="24"/>
        </w:rPr>
        <w:tab/>
        <w:t xml:space="preserve">Smith AM, Williams RJ, Tang C, et al. Fmoc-Diphenylalanine Self Assembles to a Hydrogel via a Novel Architecture Based on π–π Interlocked β-Sheets. </w:t>
      </w:r>
      <w:r w:rsidRPr="00785166">
        <w:rPr>
          <w:rFonts w:ascii="Arial" w:cs="Arial"/>
          <w:i/>
          <w:iCs/>
          <w:sz w:val="24"/>
          <w:szCs w:val="24"/>
        </w:rPr>
        <w:t>Advanced Materials</w:t>
      </w:r>
      <w:r w:rsidRPr="00785166">
        <w:rPr>
          <w:rFonts w:ascii="Arial" w:cs="Arial"/>
          <w:sz w:val="24"/>
          <w:szCs w:val="24"/>
        </w:rPr>
        <w:t>. 2008;20(1):37-41. doi:10.1002/adma.200701221</w:t>
      </w:r>
    </w:p>
    <w:p w14:paraId="1B54A101" w14:textId="77777777" w:rsidR="008F09C1" w:rsidRPr="00785166" w:rsidRDefault="008F09C1" w:rsidP="00785166">
      <w:pPr>
        <w:pStyle w:val="Bibliography"/>
        <w:rPr>
          <w:rFonts w:ascii="Arial" w:cs="Arial"/>
          <w:sz w:val="24"/>
          <w:szCs w:val="24"/>
        </w:rPr>
      </w:pPr>
      <w:r w:rsidRPr="00785166">
        <w:rPr>
          <w:rFonts w:ascii="Arial" w:cs="Arial"/>
          <w:sz w:val="24"/>
          <w:szCs w:val="24"/>
        </w:rPr>
        <w:t>39.</w:t>
      </w:r>
      <w:r w:rsidRPr="00785166">
        <w:rPr>
          <w:rFonts w:ascii="Arial" w:cs="Arial"/>
          <w:sz w:val="24"/>
          <w:szCs w:val="24"/>
        </w:rPr>
        <w:tab/>
        <w:t xml:space="preserve">M. Abul-Haija Y, G. Scott G, Kishore Sahoo J, Tuttle T, V. Ulijn R. Cooperative, ion-sensitive co-assembly of tripeptide hydrogels. </w:t>
      </w:r>
      <w:r w:rsidRPr="00785166">
        <w:rPr>
          <w:rFonts w:ascii="Arial" w:cs="Arial"/>
          <w:i/>
          <w:iCs/>
          <w:sz w:val="24"/>
          <w:szCs w:val="24"/>
        </w:rPr>
        <w:t>Chemical Communications</w:t>
      </w:r>
      <w:r w:rsidRPr="00785166">
        <w:rPr>
          <w:rFonts w:ascii="Arial" w:cs="Arial"/>
          <w:sz w:val="24"/>
          <w:szCs w:val="24"/>
        </w:rPr>
        <w:t>. 2017;53(69):9562-9565. doi:10.1039/C7CC04796G</w:t>
      </w:r>
    </w:p>
    <w:p w14:paraId="18B15EA2" w14:textId="77777777" w:rsidR="008F09C1" w:rsidRPr="00785166" w:rsidRDefault="008F09C1" w:rsidP="00785166">
      <w:pPr>
        <w:pStyle w:val="Bibliography"/>
        <w:rPr>
          <w:rFonts w:ascii="Arial" w:cs="Arial"/>
          <w:sz w:val="24"/>
          <w:szCs w:val="24"/>
        </w:rPr>
      </w:pPr>
      <w:r w:rsidRPr="00785166">
        <w:rPr>
          <w:rFonts w:ascii="Arial" w:cs="Arial"/>
          <w:sz w:val="24"/>
          <w:szCs w:val="24"/>
        </w:rPr>
        <w:t>40.</w:t>
      </w:r>
      <w:r w:rsidRPr="00785166">
        <w:rPr>
          <w:rFonts w:ascii="Arial" w:cs="Arial"/>
          <w:sz w:val="24"/>
          <w:szCs w:val="24"/>
        </w:rPr>
        <w:tab/>
        <w:t xml:space="preserve">Huang R, Wang Y, Qi W, Su R, He Z. Temperature-induced reversible self-assembly of diphenylalanine peptide and the structural transition from organogel to crystalline nanowires. </w:t>
      </w:r>
      <w:r w:rsidRPr="00785166">
        <w:rPr>
          <w:rFonts w:ascii="Arial" w:cs="Arial"/>
          <w:i/>
          <w:iCs/>
          <w:sz w:val="24"/>
          <w:szCs w:val="24"/>
        </w:rPr>
        <w:t>Nanoscale Res Lett</w:t>
      </w:r>
      <w:r w:rsidRPr="00785166">
        <w:rPr>
          <w:rFonts w:ascii="Arial" w:cs="Arial"/>
          <w:sz w:val="24"/>
          <w:szCs w:val="24"/>
        </w:rPr>
        <w:t>. 2014;9(1):653. doi:10.1186/1556-276X-9-653</w:t>
      </w:r>
    </w:p>
    <w:p w14:paraId="67883A53" w14:textId="77777777" w:rsidR="008F09C1" w:rsidRPr="00785166" w:rsidRDefault="008F09C1" w:rsidP="00785166">
      <w:pPr>
        <w:pStyle w:val="Bibliography"/>
        <w:rPr>
          <w:rFonts w:ascii="Arial" w:cs="Arial"/>
          <w:sz w:val="24"/>
          <w:szCs w:val="24"/>
        </w:rPr>
      </w:pPr>
      <w:r w:rsidRPr="00785166">
        <w:rPr>
          <w:rFonts w:ascii="Arial" w:cs="Arial"/>
          <w:sz w:val="24"/>
          <w:szCs w:val="24"/>
        </w:rPr>
        <w:t>41.</w:t>
      </w:r>
      <w:r w:rsidRPr="00785166">
        <w:rPr>
          <w:rFonts w:ascii="Arial" w:cs="Arial"/>
          <w:sz w:val="24"/>
          <w:szCs w:val="24"/>
        </w:rPr>
        <w:tab/>
        <w:t xml:space="preserve">Chen L, Raeburn J, Sutton S, et al. Tuneable mechanical properties in low molecular weight gels. </w:t>
      </w:r>
      <w:r w:rsidRPr="00785166">
        <w:rPr>
          <w:rFonts w:ascii="Arial" w:cs="Arial"/>
          <w:i/>
          <w:iCs/>
          <w:sz w:val="24"/>
          <w:szCs w:val="24"/>
        </w:rPr>
        <w:t>Soft Matter</w:t>
      </w:r>
      <w:r w:rsidRPr="00785166">
        <w:rPr>
          <w:rFonts w:ascii="Arial" w:cs="Arial"/>
          <w:sz w:val="24"/>
          <w:szCs w:val="24"/>
        </w:rPr>
        <w:t>. 2011;7(20):9721-9727. doi:10.1039/C1SM05827D</w:t>
      </w:r>
    </w:p>
    <w:p w14:paraId="70327B4F" w14:textId="77777777" w:rsidR="008F09C1" w:rsidRPr="00785166" w:rsidRDefault="008F09C1" w:rsidP="00785166">
      <w:pPr>
        <w:pStyle w:val="Bibliography"/>
        <w:rPr>
          <w:rFonts w:ascii="Arial" w:cs="Arial"/>
          <w:sz w:val="24"/>
          <w:szCs w:val="24"/>
        </w:rPr>
      </w:pPr>
      <w:r w:rsidRPr="00785166">
        <w:rPr>
          <w:rFonts w:ascii="Arial" w:cs="Arial"/>
          <w:sz w:val="24"/>
          <w:szCs w:val="24"/>
        </w:rPr>
        <w:t>42.</w:t>
      </w:r>
      <w:r w:rsidRPr="00785166">
        <w:rPr>
          <w:rFonts w:ascii="Arial" w:cs="Arial"/>
          <w:sz w:val="24"/>
          <w:szCs w:val="24"/>
        </w:rPr>
        <w:tab/>
        <w:t xml:space="preserve">Xu XD, Chen CS, Lu B, Cheng SX, Zhang XZ, Zhuo RX. Coassembly of Oppositely Charged Short Peptides into Well-Defined Supramolecular Hydrogels. </w:t>
      </w:r>
      <w:r w:rsidRPr="00785166">
        <w:rPr>
          <w:rFonts w:ascii="Arial" w:cs="Arial"/>
          <w:i/>
          <w:iCs/>
          <w:sz w:val="24"/>
          <w:szCs w:val="24"/>
        </w:rPr>
        <w:t>J Phys Chem B</w:t>
      </w:r>
      <w:r w:rsidRPr="00785166">
        <w:rPr>
          <w:rFonts w:ascii="Arial" w:cs="Arial"/>
          <w:sz w:val="24"/>
          <w:szCs w:val="24"/>
        </w:rPr>
        <w:t>. 2010;114(7):2365-2372. doi:10.1021/jp9102417</w:t>
      </w:r>
    </w:p>
    <w:p w14:paraId="5BB17AE3" w14:textId="77777777" w:rsidR="008F09C1" w:rsidRPr="00785166" w:rsidRDefault="008F09C1" w:rsidP="00785166">
      <w:pPr>
        <w:pStyle w:val="Bibliography"/>
        <w:rPr>
          <w:rFonts w:ascii="Arial" w:cs="Arial"/>
          <w:sz w:val="24"/>
          <w:szCs w:val="24"/>
        </w:rPr>
      </w:pPr>
      <w:r w:rsidRPr="00785166">
        <w:rPr>
          <w:rFonts w:ascii="Arial" w:cs="Arial"/>
          <w:sz w:val="24"/>
          <w:szCs w:val="24"/>
        </w:rPr>
        <w:t>43.</w:t>
      </w:r>
      <w:r w:rsidRPr="00785166">
        <w:rPr>
          <w:rFonts w:ascii="Arial" w:cs="Arial"/>
          <w:sz w:val="24"/>
          <w:szCs w:val="24"/>
        </w:rPr>
        <w:tab/>
        <w:t xml:space="preserve">Fleming S, Debnath S, Frederix PWJM, Hunt NT, Ulijn RV. Insights into the Coassembly of Hydrogelators and Surfactants Based on Aromatic Peptide Amphiphiles. </w:t>
      </w:r>
      <w:r w:rsidRPr="00785166">
        <w:rPr>
          <w:rFonts w:ascii="Arial" w:cs="Arial"/>
          <w:i/>
          <w:iCs/>
          <w:sz w:val="24"/>
          <w:szCs w:val="24"/>
        </w:rPr>
        <w:t>Biomacromolecules</w:t>
      </w:r>
      <w:r w:rsidRPr="00785166">
        <w:rPr>
          <w:rFonts w:ascii="Arial" w:cs="Arial"/>
          <w:sz w:val="24"/>
          <w:szCs w:val="24"/>
        </w:rPr>
        <w:t>. 2014;15(4):1171-1184. doi:10.1021/bm401720z</w:t>
      </w:r>
    </w:p>
    <w:p w14:paraId="42C4339A" w14:textId="77777777" w:rsidR="008F09C1" w:rsidRPr="00785166" w:rsidRDefault="008F09C1" w:rsidP="00785166">
      <w:pPr>
        <w:pStyle w:val="Bibliography"/>
        <w:rPr>
          <w:rFonts w:ascii="Arial" w:cs="Arial"/>
          <w:sz w:val="24"/>
          <w:szCs w:val="24"/>
        </w:rPr>
      </w:pPr>
      <w:r w:rsidRPr="00785166">
        <w:rPr>
          <w:rFonts w:ascii="Arial" w:cs="Arial"/>
          <w:sz w:val="24"/>
          <w:szCs w:val="24"/>
        </w:rPr>
        <w:t>44.</w:t>
      </w:r>
      <w:r w:rsidRPr="00785166">
        <w:rPr>
          <w:rFonts w:ascii="Arial" w:cs="Arial"/>
          <w:sz w:val="24"/>
          <w:szCs w:val="24"/>
        </w:rPr>
        <w:tab/>
        <w:t xml:space="preserve">Raeburn J, J. Adams D. Multicomponent low molecular weight gelators. </w:t>
      </w:r>
      <w:r w:rsidRPr="00785166">
        <w:rPr>
          <w:rFonts w:ascii="Arial" w:cs="Arial"/>
          <w:i/>
          <w:iCs/>
          <w:sz w:val="24"/>
          <w:szCs w:val="24"/>
        </w:rPr>
        <w:t>Chemical Communications</w:t>
      </w:r>
      <w:r w:rsidRPr="00785166">
        <w:rPr>
          <w:rFonts w:ascii="Arial" w:cs="Arial"/>
          <w:sz w:val="24"/>
          <w:szCs w:val="24"/>
        </w:rPr>
        <w:t>. 2015;51(25):5170-5180. doi:10.1039/C4CC08626K</w:t>
      </w:r>
    </w:p>
    <w:p w14:paraId="7BFC6C50" w14:textId="77777777" w:rsidR="008F09C1" w:rsidRPr="00785166" w:rsidRDefault="008F09C1" w:rsidP="00785166">
      <w:pPr>
        <w:pStyle w:val="Bibliography"/>
        <w:rPr>
          <w:rFonts w:ascii="Arial" w:cs="Arial"/>
          <w:sz w:val="24"/>
          <w:szCs w:val="24"/>
        </w:rPr>
      </w:pPr>
      <w:r w:rsidRPr="00785166">
        <w:rPr>
          <w:rFonts w:ascii="Arial" w:cs="Arial"/>
          <w:sz w:val="24"/>
          <w:szCs w:val="24"/>
        </w:rPr>
        <w:t>45.</w:t>
      </w:r>
      <w:r w:rsidRPr="00785166">
        <w:rPr>
          <w:rFonts w:ascii="Arial" w:cs="Arial"/>
          <w:sz w:val="24"/>
          <w:szCs w:val="24"/>
        </w:rPr>
        <w:tab/>
        <w:t xml:space="preserve">Roy K, Chetia M, Kumar Sarkar A, Chatterjee S. Co-assembly of charge complementary peptides and their applications as organic dye/heavy metal ion (Pb 2+ , Hg 2+ ) absorbents and arsenic( iii / v ) detectors. </w:t>
      </w:r>
      <w:r w:rsidRPr="00785166">
        <w:rPr>
          <w:rFonts w:ascii="Arial" w:cs="Arial"/>
          <w:i/>
          <w:iCs/>
          <w:sz w:val="24"/>
          <w:szCs w:val="24"/>
        </w:rPr>
        <w:t>RSC Advances</w:t>
      </w:r>
      <w:r w:rsidRPr="00785166">
        <w:rPr>
          <w:rFonts w:ascii="Arial" w:cs="Arial"/>
          <w:sz w:val="24"/>
          <w:szCs w:val="24"/>
        </w:rPr>
        <w:t>. 2020;10(69):42062-42075. doi:10.1039/D0RA08407G</w:t>
      </w:r>
    </w:p>
    <w:p w14:paraId="1DD4434F" w14:textId="77777777" w:rsidR="008F09C1" w:rsidRPr="00785166" w:rsidRDefault="008F09C1" w:rsidP="00785166">
      <w:pPr>
        <w:pStyle w:val="Bibliography"/>
        <w:rPr>
          <w:rFonts w:ascii="Arial" w:cs="Arial"/>
          <w:sz w:val="24"/>
          <w:szCs w:val="24"/>
        </w:rPr>
      </w:pPr>
      <w:r w:rsidRPr="00785166">
        <w:rPr>
          <w:rFonts w:ascii="Arial" w:cs="Arial"/>
          <w:sz w:val="24"/>
          <w:szCs w:val="24"/>
        </w:rPr>
        <w:t>46.</w:t>
      </w:r>
      <w:r w:rsidRPr="00785166">
        <w:rPr>
          <w:rFonts w:ascii="Arial" w:cs="Arial"/>
          <w:sz w:val="24"/>
          <w:szCs w:val="24"/>
        </w:rPr>
        <w:tab/>
        <w:t xml:space="preserve">Adler-Abramovich L, Marco P, Arnon ZA, et al. Controlling the Physical Dimensions of Peptide Nanotubes by Supramolecular Polymer Coassembly. </w:t>
      </w:r>
      <w:r w:rsidRPr="00785166">
        <w:rPr>
          <w:rFonts w:ascii="Arial" w:cs="Arial"/>
          <w:i/>
          <w:iCs/>
          <w:sz w:val="24"/>
          <w:szCs w:val="24"/>
        </w:rPr>
        <w:t>ACS Nano</w:t>
      </w:r>
      <w:r w:rsidRPr="00785166">
        <w:rPr>
          <w:rFonts w:ascii="Arial" w:cs="Arial"/>
          <w:sz w:val="24"/>
          <w:szCs w:val="24"/>
        </w:rPr>
        <w:t>. 2016;10(8):7436-7442. doi:10.1021/acsnano.6b01587</w:t>
      </w:r>
    </w:p>
    <w:p w14:paraId="7326E61E" w14:textId="77777777" w:rsidR="008F09C1" w:rsidRPr="00785166" w:rsidRDefault="008F09C1" w:rsidP="00785166">
      <w:pPr>
        <w:pStyle w:val="Bibliography"/>
        <w:rPr>
          <w:rFonts w:ascii="Arial" w:cs="Arial"/>
          <w:sz w:val="24"/>
          <w:szCs w:val="24"/>
        </w:rPr>
      </w:pPr>
      <w:r w:rsidRPr="00785166">
        <w:rPr>
          <w:rFonts w:ascii="Arial" w:cs="Arial"/>
          <w:sz w:val="24"/>
          <w:szCs w:val="24"/>
        </w:rPr>
        <w:t>47.</w:t>
      </w:r>
      <w:r w:rsidRPr="00785166">
        <w:rPr>
          <w:rFonts w:ascii="Arial" w:cs="Arial"/>
          <w:sz w:val="24"/>
          <w:szCs w:val="24"/>
        </w:rPr>
        <w:tab/>
        <w:t xml:space="preserve">Webber MJ, Appel EA, Meijer EW, Langer R. Supramolecular biomaterials. </w:t>
      </w:r>
      <w:r w:rsidRPr="00785166">
        <w:rPr>
          <w:rFonts w:ascii="Arial" w:cs="Arial"/>
          <w:i/>
          <w:iCs/>
          <w:sz w:val="24"/>
          <w:szCs w:val="24"/>
        </w:rPr>
        <w:t>Nature Materials</w:t>
      </w:r>
      <w:r w:rsidRPr="00785166">
        <w:rPr>
          <w:rFonts w:ascii="Arial" w:cs="Arial"/>
          <w:sz w:val="24"/>
          <w:szCs w:val="24"/>
        </w:rPr>
        <w:t>. 2016;15(1):13-26. doi:10.1038/nmat4474</w:t>
      </w:r>
    </w:p>
    <w:p w14:paraId="3657047C" w14:textId="77777777" w:rsidR="008F09C1" w:rsidRPr="00785166" w:rsidRDefault="008F09C1" w:rsidP="00785166">
      <w:pPr>
        <w:pStyle w:val="Bibliography"/>
        <w:rPr>
          <w:rFonts w:ascii="Arial" w:cs="Arial"/>
          <w:sz w:val="24"/>
          <w:szCs w:val="24"/>
        </w:rPr>
      </w:pPr>
      <w:r w:rsidRPr="00785166">
        <w:rPr>
          <w:rFonts w:ascii="Arial" w:cs="Arial"/>
          <w:sz w:val="24"/>
          <w:szCs w:val="24"/>
        </w:rPr>
        <w:t>48.</w:t>
      </w:r>
      <w:r w:rsidRPr="00785166">
        <w:rPr>
          <w:rFonts w:ascii="Arial" w:cs="Arial"/>
          <w:sz w:val="24"/>
          <w:szCs w:val="24"/>
        </w:rPr>
        <w:tab/>
        <w:t xml:space="preserve">Furth ME, Atala A, Van Dyke ME. Smart biomaterials design for tissue engineering and regenerative medicine. </w:t>
      </w:r>
      <w:r w:rsidRPr="00785166">
        <w:rPr>
          <w:rFonts w:ascii="Arial" w:cs="Arial"/>
          <w:i/>
          <w:iCs/>
          <w:sz w:val="24"/>
          <w:szCs w:val="24"/>
        </w:rPr>
        <w:t>Biomaterials</w:t>
      </w:r>
      <w:r w:rsidRPr="00785166">
        <w:rPr>
          <w:rFonts w:ascii="Arial" w:cs="Arial"/>
          <w:sz w:val="24"/>
          <w:szCs w:val="24"/>
        </w:rPr>
        <w:t>. 2007;28(34):5068-5073. doi:10.1016/j.biomaterials.2007.07.042</w:t>
      </w:r>
    </w:p>
    <w:p w14:paraId="4353DEFD" w14:textId="77777777" w:rsidR="008F09C1" w:rsidRPr="00785166" w:rsidRDefault="008F09C1" w:rsidP="00785166">
      <w:pPr>
        <w:pStyle w:val="Bibliography"/>
        <w:rPr>
          <w:rFonts w:ascii="Arial" w:cs="Arial"/>
          <w:sz w:val="24"/>
          <w:szCs w:val="24"/>
        </w:rPr>
      </w:pPr>
      <w:r w:rsidRPr="00785166">
        <w:rPr>
          <w:rFonts w:ascii="Arial" w:cs="Arial"/>
          <w:sz w:val="24"/>
          <w:szCs w:val="24"/>
        </w:rPr>
        <w:t>49.</w:t>
      </w:r>
      <w:r w:rsidRPr="00785166">
        <w:rPr>
          <w:rFonts w:ascii="Arial" w:cs="Arial"/>
          <w:sz w:val="24"/>
          <w:szCs w:val="24"/>
        </w:rPr>
        <w:tab/>
        <w:t xml:space="preserve">Holmes TC. Novel peptide-based biomaterial scaffolds for tissue engineering. </w:t>
      </w:r>
      <w:r w:rsidRPr="00785166">
        <w:rPr>
          <w:rFonts w:ascii="Arial" w:cs="Arial"/>
          <w:i/>
          <w:iCs/>
          <w:sz w:val="24"/>
          <w:szCs w:val="24"/>
        </w:rPr>
        <w:t>Trends in Biotechnology</w:t>
      </w:r>
      <w:r w:rsidRPr="00785166">
        <w:rPr>
          <w:rFonts w:ascii="Arial" w:cs="Arial"/>
          <w:sz w:val="24"/>
          <w:szCs w:val="24"/>
        </w:rPr>
        <w:t>. 2002;20(1):16-21. doi:10.1016/S0167-7799(01)01840-6</w:t>
      </w:r>
    </w:p>
    <w:p w14:paraId="039E76DE" w14:textId="77777777" w:rsidR="008F09C1" w:rsidRPr="00785166" w:rsidRDefault="008F09C1" w:rsidP="00785166">
      <w:pPr>
        <w:pStyle w:val="Bibliography"/>
        <w:rPr>
          <w:rFonts w:ascii="Arial" w:cs="Arial"/>
          <w:sz w:val="24"/>
          <w:szCs w:val="24"/>
        </w:rPr>
      </w:pPr>
      <w:r w:rsidRPr="00785166">
        <w:rPr>
          <w:rFonts w:ascii="Arial" w:cs="Arial"/>
          <w:sz w:val="24"/>
          <w:szCs w:val="24"/>
        </w:rPr>
        <w:t>50.</w:t>
      </w:r>
      <w:r w:rsidRPr="00785166">
        <w:rPr>
          <w:rFonts w:ascii="Arial" w:cs="Arial"/>
          <w:sz w:val="24"/>
          <w:szCs w:val="24"/>
        </w:rPr>
        <w:tab/>
        <w:t xml:space="preserve">Stevens MM, George JH. Exploring and Engineering the Cell Surface Interface. </w:t>
      </w:r>
      <w:r w:rsidRPr="00785166">
        <w:rPr>
          <w:rFonts w:ascii="Arial" w:cs="Arial"/>
          <w:i/>
          <w:iCs/>
          <w:sz w:val="24"/>
          <w:szCs w:val="24"/>
        </w:rPr>
        <w:t>Science</w:t>
      </w:r>
      <w:r w:rsidRPr="00785166">
        <w:rPr>
          <w:rFonts w:ascii="Arial" w:cs="Arial"/>
          <w:sz w:val="24"/>
          <w:szCs w:val="24"/>
        </w:rPr>
        <w:t>. 2005;310(5751):1135-1138. doi:10.1126/science.1106587</w:t>
      </w:r>
    </w:p>
    <w:p w14:paraId="7142C5CA" w14:textId="77777777" w:rsidR="008F09C1" w:rsidRPr="00785166" w:rsidRDefault="008F09C1" w:rsidP="00785166">
      <w:pPr>
        <w:pStyle w:val="Bibliography"/>
        <w:rPr>
          <w:rFonts w:ascii="Arial" w:cs="Arial"/>
          <w:sz w:val="24"/>
          <w:szCs w:val="24"/>
        </w:rPr>
      </w:pPr>
      <w:r w:rsidRPr="00785166">
        <w:rPr>
          <w:rFonts w:ascii="Arial" w:cs="Arial"/>
          <w:sz w:val="24"/>
          <w:szCs w:val="24"/>
        </w:rPr>
        <w:t>51.</w:t>
      </w:r>
      <w:r w:rsidRPr="00785166">
        <w:rPr>
          <w:rFonts w:ascii="Arial" w:cs="Arial"/>
          <w:sz w:val="24"/>
          <w:szCs w:val="24"/>
        </w:rPr>
        <w:tab/>
        <w:t xml:space="preserve">Zhou M, Smith AM, Das AK, et al. Self-assembled peptide-based hydrogels as scaffolds for anchorage-dependent cells. </w:t>
      </w:r>
      <w:r w:rsidRPr="00785166">
        <w:rPr>
          <w:rFonts w:ascii="Arial" w:cs="Arial"/>
          <w:i/>
          <w:iCs/>
          <w:sz w:val="24"/>
          <w:szCs w:val="24"/>
        </w:rPr>
        <w:t>Biomaterials</w:t>
      </w:r>
      <w:r w:rsidRPr="00785166">
        <w:rPr>
          <w:rFonts w:ascii="Arial" w:cs="Arial"/>
          <w:sz w:val="24"/>
          <w:szCs w:val="24"/>
        </w:rPr>
        <w:t>. 2009;30(13):2523-2530. doi:10.1016/j.biomaterials.2009.01.010</w:t>
      </w:r>
    </w:p>
    <w:p w14:paraId="29AAB77E" w14:textId="77777777" w:rsidR="008F09C1" w:rsidRPr="00785166" w:rsidRDefault="008F09C1" w:rsidP="00785166">
      <w:pPr>
        <w:pStyle w:val="Bibliography"/>
        <w:rPr>
          <w:rFonts w:ascii="Arial" w:cs="Arial"/>
          <w:sz w:val="24"/>
          <w:szCs w:val="24"/>
        </w:rPr>
      </w:pPr>
      <w:r w:rsidRPr="00785166">
        <w:rPr>
          <w:rFonts w:ascii="Arial" w:cs="Arial"/>
          <w:sz w:val="24"/>
          <w:szCs w:val="24"/>
        </w:rPr>
        <w:t>52.</w:t>
      </w:r>
      <w:r w:rsidRPr="00785166">
        <w:rPr>
          <w:rFonts w:ascii="Arial" w:cs="Arial"/>
          <w:sz w:val="24"/>
          <w:szCs w:val="24"/>
        </w:rPr>
        <w:tab/>
        <w:t xml:space="preserve">Chakraborty P, Guterman T, Adadi N, et al. A Self-Healing, All-Organic, Conducting, Composite Peptide Hydrogel as Pressure Sensor and Electrogenic Cell Soft Substrate. </w:t>
      </w:r>
      <w:r w:rsidRPr="00785166">
        <w:rPr>
          <w:rFonts w:ascii="Arial" w:cs="Arial"/>
          <w:i/>
          <w:iCs/>
          <w:sz w:val="24"/>
          <w:szCs w:val="24"/>
        </w:rPr>
        <w:t>ACS Nano</w:t>
      </w:r>
      <w:r w:rsidRPr="00785166">
        <w:rPr>
          <w:rFonts w:ascii="Arial" w:cs="Arial"/>
          <w:sz w:val="24"/>
          <w:szCs w:val="24"/>
        </w:rPr>
        <w:t>. 2019;13(1):163-175. doi:10.1021/acsnano.8b05067</w:t>
      </w:r>
    </w:p>
    <w:p w14:paraId="154E1FD6" w14:textId="77777777" w:rsidR="008F09C1" w:rsidRPr="00785166" w:rsidRDefault="008F09C1" w:rsidP="00785166">
      <w:pPr>
        <w:pStyle w:val="Bibliography"/>
        <w:rPr>
          <w:rFonts w:ascii="Arial" w:cs="Arial"/>
          <w:sz w:val="24"/>
          <w:szCs w:val="24"/>
        </w:rPr>
      </w:pPr>
      <w:r w:rsidRPr="00785166">
        <w:rPr>
          <w:rFonts w:ascii="Arial" w:cs="Arial"/>
          <w:sz w:val="24"/>
          <w:szCs w:val="24"/>
        </w:rPr>
        <w:t>53.</w:t>
      </w:r>
      <w:r w:rsidRPr="00785166">
        <w:rPr>
          <w:rFonts w:ascii="Arial" w:cs="Arial"/>
          <w:sz w:val="24"/>
          <w:szCs w:val="24"/>
        </w:rPr>
        <w:tab/>
        <w:t xml:space="preserve">Chakraborty P, Oved H, Bychenko D, et al. Nanoengineered Peptide-Based Antimicrobial Conductive Supramolecular Biomaterial for Cardiac Tissue Engineering. </w:t>
      </w:r>
      <w:r w:rsidRPr="00785166">
        <w:rPr>
          <w:rFonts w:ascii="Arial" w:cs="Arial"/>
          <w:i/>
          <w:iCs/>
          <w:sz w:val="24"/>
          <w:szCs w:val="24"/>
        </w:rPr>
        <w:t>Advanced Materials</w:t>
      </w:r>
      <w:r w:rsidRPr="00785166">
        <w:rPr>
          <w:rFonts w:ascii="Arial" w:cs="Arial"/>
          <w:sz w:val="24"/>
          <w:szCs w:val="24"/>
        </w:rPr>
        <w:t>. 2021;33(26):2008715. doi:10.1002/adma.202008715</w:t>
      </w:r>
    </w:p>
    <w:p w14:paraId="71281E05" w14:textId="77777777" w:rsidR="008F09C1" w:rsidRPr="00785166" w:rsidRDefault="008F09C1" w:rsidP="00785166">
      <w:pPr>
        <w:pStyle w:val="Bibliography"/>
        <w:rPr>
          <w:rFonts w:ascii="Arial" w:cs="Arial"/>
          <w:sz w:val="24"/>
          <w:szCs w:val="24"/>
        </w:rPr>
      </w:pPr>
      <w:r w:rsidRPr="00785166">
        <w:rPr>
          <w:rFonts w:ascii="Arial" w:cs="Arial"/>
          <w:sz w:val="24"/>
          <w:szCs w:val="24"/>
        </w:rPr>
        <w:t>54.</w:t>
      </w:r>
      <w:r w:rsidRPr="00785166">
        <w:rPr>
          <w:rFonts w:ascii="Arial" w:cs="Arial"/>
          <w:sz w:val="24"/>
          <w:szCs w:val="24"/>
        </w:rPr>
        <w:tab/>
        <w:t xml:space="preserve">Schnaider L, Shimonov L, Kreiser T, et al. Ultrashort Cell-Penetrating Peptides for Enhanced Sonophoresis-Mediated Transdermal Transport. </w:t>
      </w:r>
      <w:r w:rsidRPr="00785166">
        <w:rPr>
          <w:rFonts w:ascii="Arial" w:cs="Arial"/>
          <w:i/>
          <w:iCs/>
          <w:sz w:val="24"/>
          <w:szCs w:val="24"/>
        </w:rPr>
        <w:t>ACS Appl Bio Mater</w:t>
      </w:r>
      <w:r w:rsidRPr="00785166">
        <w:rPr>
          <w:rFonts w:ascii="Arial" w:cs="Arial"/>
          <w:sz w:val="24"/>
          <w:szCs w:val="24"/>
        </w:rPr>
        <w:t>. 2020;3(12):8395-8401. doi:10.1021/acsabm.0c00682</w:t>
      </w:r>
    </w:p>
    <w:p w14:paraId="2B149862" w14:textId="77777777" w:rsidR="008F09C1" w:rsidRPr="00785166" w:rsidRDefault="008F09C1" w:rsidP="00785166">
      <w:pPr>
        <w:pStyle w:val="Bibliography"/>
        <w:rPr>
          <w:rFonts w:ascii="Arial" w:cs="Arial"/>
          <w:sz w:val="24"/>
          <w:szCs w:val="24"/>
        </w:rPr>
      </w:pPr>
      <w:r w:rsidRPr="00785166">
        <w:rPr>
          <w:rFonts w:ascii="Arial" w:cs="Arial"/>
          <w:sz w:val="24"/>
          <w:szCs w:val="24"/>
        </w:rPr>
        <w:t>55.</w:t>
      </w:r>
      <w:r w:rsidRPr="00785166">
        <w:rPr>
          <w:rFonts w:ascii="Arial" w:cs="Arial"/>
          <w:sz w:val="24"/>
          <w:szCs w:val="24"/>
        </w:rPr>
        <w:tab/>
        <w:t xml:space="preserve">Sinnige T. Molecular mechanisms of amyloid formation in living systems. </w:t>
      </w:r>
      <w:r w:rsidRPr="00785166">
        <w:rPr>
          <w:rFonts w:ascii="Arial" w:cs="Arial"/>
          <w:i/>
          <w:iCs/>
          <w:sz w:val="24"/>
          <w:szCs w:val="24"/>
        </w:rPr>
        <w:t>Chem Sci</w:t>
      </w:r>
      <w:r w:rsidRPr="00785166">
        <w:rPr>
          <w:rFonts w:ascii="Arial" w:cs="Arial"/>
          <w:sz w:val="24"/>
          <w:szCs w:val="24"/>
        </w:rPr>
        <w:t>. 2022;13(24):7080-7097. doi:10.1039/D2SC01278B</w:t>
      </w:r>
    </w:p>
    <w:p w14:paraId="5026B71A" w14:textId="77777777" w:rsidR="008F09C1" w:rsidRPr="00785166" w:rsidRDefault="008F09C1" w:rsidP="00785166">
      <w:pPr>
        <w:pStyle w:val="Bibliography"/>
        <w:rPr>
          <w:rFonts w:ascii="Arial" w:cs="Arial"/>
          <w:sz w:val="24"/>
          <w:szCs w:val="24"/>
        </w:rPr>
      </w:pPr>
      <w:r w:rsidRPr="00785166">
        <w:rPr>
          <w:rFonts w:ascii="Arial" w:cs="Arial"/>
          <w:sz w:val="24"/>
          <w:szCs w:val="24"/>
        </w:rPr>
        <w:t>56.</w:t>
      </w:r>
      <w:r w:rsidRPr="00785166">
        <w:rPr>
          <w:rFonts w:ascii="Arial" w:cs="Arial"/>
          <w:sz w:val="24"/>
          <w:szCs w:val="24"/>
        </w:rPr>
        <w:tab/>
        <w:t xml:space="preserve">Giorgetti S, Greco C, Tortora P, Aprile FA. Targeting Amyloid Aggregation: An Overview of Strategies and Mechanisms. </w:t>
      </w:r>
      <w:r w:rsidRPr="00785166">
        <w:rPr>
          <w:rFonts w:ascii="Arial" w:cs="Arial"/>
          <w:i/>
          <w:iCs/>
          <w:sz w:val="24"/>
          <w:szCs w:val="24"/>
        </w:rPr>
        <w:t>Int J Mol Sci</w:t>
      </w:r>
      <w:r w:rsidRPr="00785166">
        <w:rPr>
          <w:rFonts w:ascii="Arial" w:cs="Arial"/>
          <w:sz w:val="24"/>
          <w:szCs w:val="24"/>
        </w:rPr>
        <w:t>. 2018;19(9):2677. doi:10.3390/ijms19092677</w:t>
      </w:r>
    </w:p>
    <w:p w14:paraId="784B2F91" w14:textId="77777777" w:rsidR="008F09C1" w:rsidRPr="00785166" w:rsidRDefault="008F09C1" w:rsidP="00785166">
      <w:pPr>
        <w:pStyle w:val="Bibliography"/>
        <w:rPr>
          <w:rFonts w:ascii="Arial" w:cs="Arial"/>
          <w:sz w:val="24"/>
          <w:szCs w:val="24"/>
        </w:rPr>
      </w:pPr>
      <w:r w:rsidRPr="00785166">
        <w:rPr>
          <w:rFonts w:ascii="Arial" w:cs="Arial"/>
          <w:sz w:val="24"/>
          <w:szCs w:val="24"/>
        </w:rPr>
        <w:t>57.</w:t>
      </w:r>
      <w:r w:rsidRPr="00785166">
        <w:rPr>
          <w:rFonts w:ascii="Arial" w:cs="Arial"/>
          <w:sz w:val="24"/>
          <w:szCs w:val="24"/>
        </w:rPr>
        <w:tab/>
        <w:t xml:space="preserve">Campioni S, Mannini B, Zampagni M, et al. A causative link between the structure of aberrant protein oligomers and their toxicity. </w:t>
      </w:r>
      <w:r w:rsidRPr="00785166">
        <w:rPr>
          <w:rFonts w:ascii="Arial" w:cs="Arial"/>
          <w:i/>
          <w:iCs/>
          <w:sz w:val="24"/>
          <w:szCs w:val="24"/>
        </w:rPr>
        <w:t>Nat Chem Biol</w:t>
      </w:r>
      <w:r w:rsidRPr="00785166">
        <w:rPr>
          <w:rFonts w:ascii="Arial" w:cs="Arial"/>
          <w:sz w:val="24"/>
          <w:szCs w:val="24"/>
        </w:rPr>
        <w:t>. 2010;6(2):140-147. doi:10.1038/nchembio.283</w:t>
      </w:r>
    </w:p>
    <w:p w14:paraId="776CC6AF" w14:textId="77777777" w:rsidR="008F09C1" w:rsidRPr="00785166" w:rsidRDefault="008F09C1" w:rsidP="00785166">
      <w:pPr>
        <w:pStyle w:val="Bibliography"/>
        <w:rPr>
          <w:rFonts w:ascii="Arial" w:cs="Arial"/>
          <w:sz w:val="24"/>
          <w:szCs w:val="24"/>
        </w:rPr>
      </w:pPr>
      <w:r w:rsidRPr="00785166">
        <w:rPr>
          <w:rFonts w:ascii="Arial" w:cs="Arial"/>
          <w:sz w:val="24"/>
          <w:szCs w:val="24"/>
        </w:rPr>
        <w:t>58.</w:t>
      </w:r>
      <w:r w:rsidRPr="00785166">
        <w:rPr>
          <w:rFonts w:ascii="Arial" w:cs="Arial"/>
          <w:sz w:val="24"/>
          <w:szCs w:val="24"/>
        </w:rPr>
        <w:tab/>
        <w:t xml:space="preserve">Das AK, Rawat A, Bhowmik D, Pandit R, Huster D, Maiti S. An Early Folding Contact between Phe19 and Leu34 is Critical for Amyloid-β Oligomer Toxicity. </w:t>
      </w:r>
      <w:r w:rsidRPr="00785166">
        <w:rPr>
          <w:rFonts w:ascii="Arial" w:cs="Arial"/>
          <w:i/>
          <w:iCs/>
          <w:sz w:val="24"/>
          <w:szCs w:val="24"/>
        </w:rPr>
        <w:t>ACS Chem Neurosci</w:t>
      </w:r>
      <w:r w:rsidRPr="00785166">
        <w:rPr>
          <w:rFonts w:ascii="Arial" w:cs="Arial"/>
          <w:sz w:val="24"/>
          <w:szCs w:val="24"/>
        </w:rPr>
        <w:t>. 2015;6(8):1290-1295. doi:10.1021/acschemneuro.5b00074</w:t>
      </w:r>
    </w:p>
    <w:p w14:paraId="230F0EE7" w14:textId="77777777" w:rsidR="008F09C1" w:rsidRPr="00785166" w:rsidRDefault="008F09C1" w:rsidP="00785166">
      <w:pPr>
        <w:pStyle w:val="Bibliography"/>
        <w:rPr>
          <w:rFonts w:ascii="Arial" w:cs="Arial"/>
          <w:sz w:val="24"/>
          <w:szCs w:val="24"/>
        </w:rPr>
      </w:pPr>
      <w:r w:rsidRPr="00785166">
        <w:rPr>
          <w:rFonts w:ascii="Arial" w:cs="Arial"/>
          <w:sz w:val="24"/>
          <w:szCs w:val="24"/>
        </w:rPr>
        <w:t>59.</w:t>
      </w:r>
      <w:r w:rsidRPr="00785166">
        <w:rPr>
          <w:rFonts w:ascii="Arial" w:cs="Arial"/>
          <w:sz w:val="24"/>
          <w:szCs w:val="24"/>
        </w:rPr>
        <w:tab/>
        <w:t xml:space="preserve">Cao P, Abedini A, Wang H, et al. Islet amyloid polypeptide toxicity and membrane interactions. </w:t>
      </w:r>
      <w:r w:rsidRPr="00785166">
        <w:rPr>
          <w:rFonts w:ascii="Arial" w:cs="Arial"/>
          <w:i/>
          <w:iCs/>
          <w:sz w:val="24"/>
          <w:szCs w:val="24"/>
        </w:rPr>
        <w:t>Proceedings of the National Academy of Sciences</w:t>
      </w:r>
      <w:r w:rsidRPr="00785166">
        <w:rPr>
          <w:rFonts w:ascii="Arial" w:cs="Arial"/>
          <w:sz w:val="24"/>
          <w:szCs w:val="24"/>
        </w:rPr>
        <w:t>. 2013;110(48):19279-19284. doi:10.1073/pnas.1305517110</w:t>
      </w:r>
    </w:p>
    <w:p w14:paraId="13BB79FB" w14:textId="77777777" w:rsidR="008F09C1" w:rsidRPr="00785166" w:rsidRDefault="008F09C1" w:rsidP="00785166">
      <w:pPr>
        <w:pStyle w:val="Bibliography"/>
        <w:rPr>
          <w:rFonts w:ascii="Arial" w:cs="Arial"/>
          <w:sz w:val="24"/>
          <w:szCs w:val="24"/>
        </w:rPr>
      </w:pPr>
      <w:r w:rsidRPr="00785166">
        <w:rPr>
          <w:rFonts w:ascii="Arial" w:cs="Arial"/>
          <w:sz w:val="24"/>
          <w:szCs w:val="24"/>
        </w:rPr>
        <w:t>60.</w:t>
      </w:r>
      <w:r w:rsidRPr="00785166">
        <w:rPr>
          <w:rFonts w:ascii="Arial" w:cs="Arial"/>
          <w:sz w:val="24"/>
          <w:szCs w:val="24"/>
        </w:rPr>
        <w:tab/>
        <w:t xml:space="preserve">Engel MFM, Khemtémourian L, Kleijer CC, et al. Membrane damage by human islet amyloid polypeptide through fibril growth at the membrane. </w:t>
      </w:r>
      <w:r w:rsidRPr="00785166">
        <w:rPr>
          <w:rFonts w:ascii="Arial" w:cs="Arial"/>
          <w:i/>
          <w:iCs/>
          <w:sz w:val="24"/>
          <w:szCs w:val="24"/>
        </w:rPr>
        <w:t>Proceedings of the National Academy of Sciences</w:t>
      </w:r>
      <w:r w:rsidRPr="00785166">
        <w:rPr>
          <w:rFonts w:ascii="Arial" w:cs="Arial"/>
          <w:sz w:val="24"/>
          <w:szCs w:val="24"/>
        </w:rPr>
        <w:t>. 2008;105(16):6033-6038. doi:10.1073/pnas.0708354105</w:t>
      </w:r>
    </w:p>
    <w:p w14:paraId="1A433F4B" w14:textId="77777777" w:rsidR="008F09C1" w:rsidRPr="00785166" w:rsidRDefault="008F09C1" w:rsidP="00785166">
      <w:pPr>
        <w:pStyle w:val="Bibliography"/>
        <w:rPr>
          <w:rFonts w:ascii="Arial" w:cs="Arial"/>
          <w:sz w:val="24"/>
          <w:szCs w:val="24"/>
        </w:rPr>
      </w:pPr>
      <w:r w:rsidRPr="00785166">
        <w:rPr>
          <w:rFonts w:ascii="Arial" w:cs="Arial"/>
          <w:sz w:val="24"/>
          <w:szCs w:val="24"/>
        </w:rPr>
        <w:t>61.</w:t>
      </w:r>
      <w:r w:rsidRPr="00785166">
        <w:rPr>
          <w:rFonts w:ascii="Arial" w:cs="Arial"/>
          <w:sz w:val="24"/>
          <w:szCs w:val="24"/>
        </w:rPr>
        <w:tab/>
        <w:t xml:space="preserve">Bieschke J, Herbst M, Wiglenda T, et al. Small-molecule conversion of toxic oligomers to nontoxic β-sheet–rich amyloid fibrils. </w:t>
      </w:r>
      <w:r w:rsidRPr="00785166">
        <w:rPr>
          <w:rFonts w:ascii="Arial" w:cs="Arial"/>
          <w:i/>
          <w:iCs/>
          <w:sz w:val="24"/>
          <w:szCs w:val="24"/>
        </w:rPr>
        <w:t>Nat Chem Biol</w:t>
      </w:r>
      <w:r w:rsidRPr="00785166">
        <w:rPr>
          <w:rFonts w:ascii="Arial" w:cs="Arial"/>
          <w:sz w:val="24"/>
          <w:szCs w:val="24"/>
        </w:rPr>
        <w:t>. 2012;8(1):93-101. doi:10.1038/nchembio.719</w:t>
      </w:r>
    </w:p>
    <w:p w14:paraId="20DFE110" w14:textId="77777777" w:rsidR="008F09C1" w:rsidRPr="00785166" w:rsidRDefault="008F09C1" w:rsidP="00785166">
      <w:pPr>
        <w:pStyle w:val="Bibliography"/>
        <w:rPr>
          <w:rFonts w:ascii="Arial" w:cs="Arial"/>
          <w:sz w:val="24"/>
          <w:szCs w:val="24"/>
        </w:rPr>
      </w:pPr>
      <w:r w:rsidRPr="00785166">
        <w:rPr>
          <w:rFonts w:ascii="Arial" w:cs="Arial"/>
          <w:sz w:val="24"/>
          <w:szCs w:val="24"/>
        </w:rPr>
        <w:t>62.</w:t>
      </w:r>
      <w:r w:rsidRPr="00785166">
        <w:rPr>
          <w:rFonts w:ascii="Arial" w:cs="Arial"/>
          <w:sz w:val="24"/>
          <w:szCs w:val="24"/>
        </w:rPr>
        <w:tab/>
        <w:t xml:space="preserve">Yasumoto T, Takamura Y, Tsuji M, et al. High molecular weight amyloid β1-42 oligomers induce neurotoxicity via plasma membrane damage. </w:t>
      </w:r>
      <w:r w:rsidRPr="00785166">
        <w:rPr>
          <w:rFonts w:ascii="Arial" w:cs="Arial"/>
          <w:i/>
          <w:iCs/>
          <w:sz w:val="24"/>
          <w:szCs w:val="24"/>
        </w:rPr>
        <w:t>Alzheimer’s &amp; Dementia</w:t>
      </w:r>
      <w:r w:rsidRPr="00785166">
        <w:rPr>
          <w:rFonts w:ascii="Arial" w:cs="Arial"/>
          <w:sz w:val="24"/>
          <w:szCs w:val="24"/>
        </w:rPr>
        <w:t>. 2020;16(S2):e037546. doi:https://doi.org/10.1002/alz.037546</w:t>
      </w:r>
    </w:p>
    <w:p w14:paraId="47C9DADC" w14:textId="77777777" w:rsidR="008F09C1" w:rsidRPr="00785166" w:rsidRDefault="008F09C1" w:rsidP="00785166">
      <w:pPr>
        <w:pStyle w:val="Bibliography"/>
        <w:rPr>
          <w:rFonts w:ascii="Arial" w:cs="Arial"/>
          <w:sz w:val="24"/>
          <w:szCs w:val="24"/>
        </w:rPr>
      </w:pPr>
      <w:r w:rsidRPr="00785166">
        <w:rPr>
          <w:rFonts w:ascii="Arial" w:cs="Arial"/>
          <w:sz w:val="24"/>
          <w:szCs w:val="24"/>
        </w:rPr>
        <w:t>63.</w:t>
      </w:r>
      <w:r w:rsidRPr="00785166">
        <w:rPr>
          <w:rFonts w:ascii="Arial" w:cs="Arial"/>
          <w:sz w:val="24"/>
          <w:szCs w:val="24"/>
        </w:rPr>
        <w:tab/>
        <w:t xml:space="preserve">Mannini B, Mulvihill E, Sgromo C, et al. Toxicity of Protein Oligomers Is Rationalized by a Function Combining Size and Surface Hydrophobicity. </w:t>
      </w:r>
      <w:r w:rsidRPr="00785166">
        <w:rPr>
          <w:rFonts w:ascii="Arial" w:cs="Arial"/>
          <w:i/>
          <w:iCs/>
          <w:sz w:val="24"/>
          <w:szCs w:val="24"/>
        </w:rPr>
        <w:t>ACS Chem Biol</w:t>
      </w:r>
      <w:r w:rsidRPr="00785166">
        <w:rPr>
          <w:rFonts w:ascii="Arial" w:cs="Arial"/>
          <w:sz w:val="24"/>
          <w:szCs w:val="24"/>
        </w:rPr>
        <w:t>. 2014;9(10):2309-2317. doi:10.1021/cb500505m</w:t>
      </w:r>
    </w:p>
    <w:p w14:paraId="25DDFEAB" w14:textId="77777777" w:rsidR="008F09C1" w:rsidRPr="00785166" w:rsidRDefault="008F09C1" w:rsidP="00785166">
      <w:pPr>
        <w:pStyle w:val="Bibliography"/>
        <w:rPr>
          <w:rFonts w:ascii="Arial" w:cs="Arial"/>
          <w:sz w:val="24"/>
          <w:szCs w:val="24"/>
        </w:rPr>
      </w:pPr>
      <w:r w:rsidRPr="00785166">
        <w:rPr>
          <w:rFonts w:ascii="Arial" w:cs="Arial"/>
          <w:sz w:val="24"/>
          <w:szCs w:val="24"/>
        </w:rPr>
        <w:t>64.</w:t>
      </w:r>
      <w:r w:rsidRPr="00785166">
        <w:rPr>
          <w:rFonts w:ascii="Arial" w:cs="Arial"/>
          <w:sz w:val="24"/>
          <w:szCs w:val="24"/>
        </w:rPr>
        <w:tab/>
        <w:t xml:space="preserve">Im D, Heo CE, Son MK, Park CR, Kim HI, Choi JM. Kinetic Modulation of Amyloid-β (1–42) Aggregation and Toxicity by Structure-Based Rational Design. </w:t>
      </w:r>
      <w:r w:rsidRPr="00785166">
        <w:rPr>
          <w:rFonts w:ascii="Arial" w:cs="Arial"/>
          <w:i/>
          <w:iCs/>
          <w:sz w:val="24"/>
          <w:szCs w:val="24"/>
        </w:rPr>
        <w:t>J Am Chem Soc</w:t>
      </w:r>
      <w:r w:rsidRPr="00785166">
        <w:rPr>
          <w:rFonts w:ascii="Arial" w:cs="Arial"/>
          <w:sz w:val="24"/>
          <w:szCs w:val="24"/>
        </w:rPr>
        <w:t>. 2022;144(4):1603-1611. doi:10.1021/jacs.1c10173</w:t>
      </w:r>
    </w:p>
    <w:p w14:paraId="507FAA4E" w14:textId="77777777" w:rsidR="008F09C1" w:rsidRPr="00785166" w:rsidRDefault="008F09C1" w:rsidP="00785166">
      <w:pPr>
        <w:pStyle w:val="Bibliography"/>
        <w:rPr>
          <w:rFonts w:ascii="Arial" w:cs="Arial"/>
          <w:sz w:val="24"/>
          <w:szCs w:val="24"/>
        </w:rPr>
      </w:pPr>
      <w:r w:rsidRPr="00785166">
        <w:rPr>
          <w:rFonts w:ascii="Arial" w:cs="Arial"/>
          <w:sz w:val="24"/>
          <w:szCs w:val="24"/>
        </w:rPr>
        <w:t>65.</w:t>
      </w:r>
      <w:r w:rsidRPr="00785166">
        <w:rPr>
          <w:rFonts w:ascii="Arial" w:cs="Arial"/>
          <w:sz w:val="24"/>
          <w:szCs w:val="24"/>
        </w:rPr>
        <w:tab/>
        <w:t xml:space="preserve">Eisele YS, Monteiro C, Fearns C, et al. Targeting protein aggregation for the treatment of degenerative diseases. </w:t>
      </w:r>
      <w:r w:rsidRPr="00785166">
        <w:rPr>
          <w:rFonts w:ascii="Arial" w:cs="Arial"/>
          <w:i/>
          <w:iCs/>
          <w:sz w:val="24"/>
          <w:szCs w:val="24"/>
        </w:rPr>
        <w:t>Nat Rev Drug Discov</w:t>
      </w:r>
      <w:r w:rsidRPr="00785166">
        <w:rPr>
          <w:rFonts w:ascii="Arial" w:cs="Arial"/>
          <w:sz w:val="24"/>
          <w:szCs w:val="24"/>
        </w:rPr>
        <w:t>. 2015;14(11):759-780. doi:10.1038/nrd4593</w:t>
      </w:r>
    </w:p>
    <w:p w14:paraId="4CB5576A" w14:textId="77777777" w:rsidR="008F09C1" w:rsidRPr="00785166" w:rsidRDefault="008F09C1" w:rsidP="00785166">
      <w:pPr>
        <w:pStyle w:val="Bibliography"/>
        <w:rPr>
          <w:rFonts w:ascii="Arial" w:cs="Arial"/>
          <w:sz w:val="24"/>
          <w:szCs w:val="24"/>
        </w:rPr>
      </w:pPr>
      <w:r w:rsidRPr="00785166">
        <w:rPr>
          <w:rFonts w:ascii="Arial" w:cs="Arial"/>
          <w:sz w:val="24"/>
          <w:szCs w:val="24"/>
        </w:rPr>
        <w:t>66.</w:t>
      </w:r>
      <w:r w:rsidRPr="00785166">
        <w:rPr>
          <w:rFonts w:ascii="Arial" w:cs="Arial"/>
          <w:sz w:val="24"/>
          <w:szCs w:val="24"/>
        </w:rPr>
        <w:tab/>
        <w:t xml:space="preserve">Young LM, Ashcroft AE, Radford SE. Small molecule probes of protein aggregation. </w:t>
      </w:r>
      <w:r w:rsidRPr="00785166">
        <w:rPr>
          <w:rFonts w:ascii="Arial" w:cs="Arial"/>
          <w:i/>
          <w:iCs/>
          <w:sz w:val="24"/>
          <w:szCs w:val="24"/>
        </w:rPr>
        <w:t>Curr Opin Chem Biol</w:t>
      </w:r>
      <w:r w:rsidRPr="00785166">
        <w:rPr>
          <w:rFonts w:ascii="Arial" w:cs="Arial"/>
          <w:sz w:val="24"/>
          <w:szCs w:val="24"/>
        </w:rPr>
        <w:t>. 2017;39:90-99. doi:10.1016/j.cbpa.2017.06.008</w:t>
      </w:r>
    </w:p>
    <w:p w14:paraId="63E7589E" w14:textId="77777777" w:rsidR="008F09C1" w:rsidRPr="00785166" w:rsidRDefault="008F09C1" w:rsidP="00785166">
      <w:pPr>
        <w:pStyle w:val="Bibliography"/>
        <w:rPr>
          <w:rFonts w:ascii="Arial" w:cs="Arial"/>
          <w:sz w:val="24"/>
          <w:szCs w:val="24"/>
        </w:rPr>
      </w:pPr>
      <w:r w:rsidRPr="00785166">
        <w:rPr>
          <w:rFonts w:ascii="Arial" w:cs="Arial"/>
          <w:sz w:val="24"/>
          <w:szCs w:val="24"/>
        </w:rPr>
        <w:t>67.</w:t>
      </w:r>
      <w:r w:rsidRPr="00785166">
        <w:rPr>
          <w:rFonts w:ascii="Arial" w:cs="Arial"/>
          <w:sz w:val="24"/>
          <w:szCs w:val="24"/>
        </w:rPr>
        <w:tab/>
        <w:t xml:space="preserve">Willbold D, Strodel B, Schröder GF, Hoyer W, Heise H. Amyloid-type Protein Aggregation and Prion-like Properties of Amyloids. </w:t>
      </w:r>
      <w:r w:rsidRPr="00785166">
        <w:rPr>
          <w:rFonts w:ascii="Arial" w:cs="Arial"/>
          <w:i/>
          <w:iCs/>
          <w:sz w:val="24"/>
          <w:szCs w:val="24"/>
        </w:rPr>
        <w:t>Chem Rev</w:t>
      </w:r>
      <w:r w:rsidRPr="00785166">
        <w:rPr>
          <w:rFonts w:ascii="Arial" w:cs="Arial"/>
          <w:sz w:val="24"/>
          <w:szCs w:val="24"/>
        </w:rPr>
        <w:t>. 2021;121(13):8285-8307. doi:10.1021/acs.chemrev.1c00196</w:t>
      </w:r>
    </w:p>
    <w:p w14:paraId="3D3FA0CE" w14:textId="77777777" w:rsidR="008F09C1" w:rsidRPr="00785166" w:rsidRDefault="008F09C1" w:rsidP="00785166">
      <w:pPr>
        <w:pStyle w:val="Bibliography"/>
        <w:rPr>
          <w:rFonts w:ascii="Arial" w:cs="Arial"/>
          <w:sz w:val="24"/>
          <w:szCs w:val="24"/>
        </w:rPr>
      </w:pPr>
      <w:r w:rsidRPr="00785166">
        <w:rPr>
          <w:rFonts w:ascii="Arial" w:cs="Arial"/>
          <w:sz w:val="24"/>
          <w:szCs w:val="24"/>
        </w:rPr>
        <w:t>68.</w:t>
      </w:r>
      <w:r w:rsidRPr="00785166">
        <w:rPr>
          <w:rFonts w:ascii="Arial" w:cs="Arial"/>
          <w:sz w:val="24"/>
          <w:szCs w:val="24"/>
        </w:rPr>
        <w:tab/>
        <w:t xml:space="preserve">Zhao X, Pan F, Xu H, et al. Molecular self-assembly and applications of designer peptide amphiphiles. </w:t>
      </w:r>
      <w:r w:rsidRPr="00785166">
        <w:rPr>
          <w:rFonts w:ascii="Arial" w:cs="Arial"/>
          <w:i/>
          <w:iCs/>
          <w:sz w:val="24"/>
          <w:szCs w:val="24"/>
        </w:rPr>
        <w:t>Chem Soc Rev</w:t>
      </w:r>
      <w:r w:rsidRPr="00785166">
        <w:rPr>
          <w:rFonts w:ascii="Arial" w:cs="Arial"/>
          <w:sz w:val="24"/>
          <w:szCs w:val="24"/>
        </w:rPr>
        <w:t>. 2010;39(9):3480-3498. doi:10.1039/B915923C</w:t>
      </w:r>
    </w:p>
    <w:p w14:paraId="4D08DEE5" w14:textId="77777777" w:rsidR="008F09C1" w:rsidRPr="00785166" w:rsidRDefault="008F09C1" w:rsidP="00785166">
      <w:pPr>
        <w:pStyle w:val="Bibliography"/>
        <w:rPr>
          <w:rFonts w:ascii="Arial" w:cs="Arial"/>
          <w:sz w:val="24"/>
          <w:szCs w:val="24"/>
        </w:rPr>
      </w:pPr>
      <w:r w:rsidRPr="00785166">
        <w:rPr>
          <w:rFonts w:ascii="Arial" w:cs="Arial"/>
          <w:sz w:val="24"/>
          <w:szCs w:val="24"/>
        </w:rPr>
        <w:t>69.</w:t>
      </w:r>
      <w:r w:rsidRPr="00785166">
        <w:rPr>
          <w:rFonts w:ascii="Arial" w:cs="Arial"/>
          <w:sz w:val="24"/>
          <w:szCs w:val="24"/>
        </w:rPr>
        <w:tab/>
        <w:t xml:space="preserve">Hu X, Liao M, Gong H, et al. Recent advances in short peptide self-assembly: from rational design to novel applications. </w:t>
      </w:r>
      <w:r w:rsidRPr="00785166">
        <w:rPr>
          <w:rFonts w:ascii="Arial" w:cs="Arial"/>
          <w:i/>
          <w:iCs/>
          <w:sz w:val="24"/>
          <w:szCs w:val="24"/>
        </w:rPr>
        <w:t>Current Opinion in Colloid &amp; Interface Science</w:t>
      </w:r>
      <w:r w:rsidRPr="00785166">
        <w:rPr>
          <w:rFonts w:ascii="Arial" w:cs="Arial"/>
          <w:sz w:val="24"/>
          <w:szCs w:val="24"/>
        </w:rPr>
        <w:t>. 2020;45:1-13. doi:10.1016/j.cocis.2019.08.003</w:t>
      </w:r>
    </w:p>
    <w:p w14:paraId="685BCBC9" w14:textId="77777777" w:rsidR="008F09C1" w:rsidRPr="00785166" w:rsidRDefault="008F09C1" w:rsidP="00785166">
      <w:pPr>
        <w:pStyle w:val="Bibliography"/>
        <w:rPr>
          <w:rFonts w:ascii="Arial" w:cs="Arial"/>
          <w:sz w:val="24"/>
          <w:szCs w:val="24"/>
        </w:rPr>
      </w:pPr>
      <w:r w:rsidRPr="00785166">
        <w:rPr>
          <w:rFonts w:ascii="Arial" w:cs="Arial"/>
          <w:sz w:val="24"/>
          <w:szCs w:val="24"/>
        </w:rPr>
        <w:t>70.</w:t>
      </w:r>
      <w:r w:rsidRPr="00785166">
        <w:rPr>
          <w:rFonts w:ascii="Arial" w:cs="Arial"/>
          <w:sz w:val="24"/>
          <w:szCs w:val="24"/>
        </w:rPr>
        <w:tab/>
        <w:t xml:space="preserve">Sardan Ekiz M, Cinar G, Khalily MA, Guler MO. Self-assembled peptide nanostructures for functional materials. </w:t>
      </w:r>
      <w:r w:rsidRPr="00785166">
        <w:rPr>
          <w:rFonts w:ascii="Arial" w:cs="Arial"/>
          <w:i/>
          <w:iCs/>
          <w:sz w:val="24"/>
          <w:szCs w:val="24"/>
        </w:rPr>
        <w:t>Nanotechnology</w:t>
      </w:r>
      <w:r w:rsidRPr="00785166">
        <w:rPr>
          <w:rFonts w:ascii="Arial" w:cs="Arial"/>
          <w:sz w:val="24"/>
          <w:szCs w:val="24"/>
        </w:rPr>
        <w:t>. 2016;27:1-37. doi:10.1088/0957-4484/27/40/402002</w:t>
      </w:r>
    </w:p>
    <w:p w14:paraId="24A5BAA2" w14:textId="77777777" w:rsidR="008F09C1" w:rsidRPr="00785166" w:rsidRDefault="008F09C1" w:rsidP="00785166">
      <w:pPr>
        <w:pStyle w:val="Bibliography"/>
        <w:rPr>
          <w:rFonts w:ascii="Arial" w:cs="Arial"/>
          <w:sz w:val="24"/>
          <w:szCs w:val="24"/>
        </w:rPr>
      </w:pPr>
      <w:r w:rsidRPr="00785166">
        <w:rPr>
          <w:rFonts w:ascii="Arial" w:cs="Arial"/>
          <w:sz w:val="24"/>
          <w:szCs w:val="24"/>
        </w:rPr>
        <w:t>71.</w:t>
      </w:r>
      <w:r w:rsidRPr="00785166">
        <w:rPr>
          <w:rFonts w:ascii="Arial" w:cs="Arial"/>
          <w:sz w:val="24"/>
          <w:szCs w:val="24"/>
        </w:rPr>
        <w:tab/>
        <w:t xml:space="preserve">Griffiths PR, Haseth JAD. </w:t>
      </w:r>
      <w:r w:rsidRPr="00785166">
        <w:rPr>
          <w:rFonts w:ascii="Arial" w:cs="Arial"/>
          <w:i/>
          <w:iCs/>
          <w:sz w:val="24"/>
          <w:szCs w:val="24"/>
        </w:rPr>
        <w:t>Fourier Transform Infrared Spectrometry,</w:t>
      </w:r>
      <w:r w:rsidRPr="00785166">
        <w:rPr>
          <w:rFonts w:ascii="Arial" w:cs="Arial"/>
          <w:sz w:val="24"/>
          <w:szCs w:val="24"/>
        </w:rPr>
        <w:t>. 2nd Edition. John Wiley &amp; Sons; 2007. Accessed August 9, 2020. https://www.wiley.com/en-us/Fourier+Transform+Infrared+Spectrometry%2C+2nd+Edition-p-9780471194040</w:t>
      </w:r>
    </w:p>
    <w:p w14:paraId="04F59FD0" w14:textId="77777777" w:rsidR="008F09C1" w:rsidRPr="00785166" w:rsidRDefault="008F09C1" w:rsidP="00785166">
      <w:pPr>
        <w:pStyle w:val="Bibliography"/>
        <w:rPr>
          <w:rFonts w:ascii="Arial" w:cs="Arial"/>
          <w:sz w:val="24"/>
          <w:szCs w:val="24"/>
        </w:rPr>
      </w:pPr>
      <w:r w:rsidRPr="00785166">
        <w:rPr>
          <w:rFonts w:ascii="Arial" w:cs="Arial"/>
          <w:sz w:val="24"/>
          <w:szCs w:val="24"/>
        </w:rPr>
        <w:t>72.</w:t>
      </w:r>
      <w:r w:rsidRPr="00785166">
        <w:rPr>
          <w:rFonts w:ascii="Arial" w:cs="Arial"/>
          <w:sz w:val="24"/>
          <w:szCs w:val="24"/>
        </w:rPr>
        <w:tab/>
        <w:t xml:space="preserve">Yang H, Yang S, Kong J, Dong A, Yu S. Obtaining information about protein secondary structures in aqueous solution using Fourier transform IR spectroscopy. </w:t>
      </w:r>
      <w:r w:rsidRPr="00785166">
        <w:rPr>
          <w:rFonts w:ascii="Arial" w:cs="Arial"/>
          <w:i/>
          <w:iCs/>
          <w:sz w:val="24"/>
          <w:szCs w:val="24"/>
        </w:rPr>
        <w:t>Nature Protocols</w:t>
      </w:r>
      <w:r w:rsidRPr="00785166">
        <w:rPr>
          <w:rFonts w:ascii="Arial" w:cs="Arial"/>
          <w:sz w:val="24"/>
          <w:szCs w:val="24"/>
        </w:rPr>
        <w:t>. 2015;10(3):382-396. doi:10.1038/nprot.2015.024</w:t>
      </w:r>
    </w:p>
    <w:p w14:paraId="5E00A290" w14:textId="77777777" w:rsidR="008F09C1" w:rsidRPr="00785166" w:rsidRDefault="008F09C1" w:rsidP="00785166">
      <w:pPr>
        <w:pStyle w:val="Bibliography"/>
        <w:rPr>
          <w:rFonts w:ascii="Arial" w:cs="Arial"/>
          <w:sz w:val="24"/>
          <w:szCs w:val="24"/>
        </w:rPr>
      </w:pPr>
      <w:r w:rsidRPr="00785166">
        <w:rPr>
          <w:rFonts w:ascii="Arial" w:cs="Arial"/>
          <w:sz w:val="24"/>
          <w:szCs w:val="24"/>
        </w:rPr>
        <w:t>73.</w:t>
      </w:r>
      <w:r w:rsidRPr="00785166">
        <w:rPr>
          <w:rFonts w:ascii="Arial" w:cs="Arial"/>
          <w:sz w:val="24"/>
          <w:szCs w:val="24"/>
        </w:rPr>
        <w:tab/>
        <w:t xml:space="preserve">Krimm S, Bandekar J. Vibrational Spectroscopy and Conformation of Peptides, Polypeptides, and Proteins. </w:t>
      </w:r>
      <w:r w:rsidRPr="00785166">
        <w:rPr>
          <w:rFonts w:ascii="Arial" w:cs="Arial"/>
          <w:i/>
          <w:iCs/>
          <w:sz w:val="24"/>
          <w:szCs w:val="24"/>
        </w:rPr>
        <w:t>Advances in Protein Chemistry</w:t>
      </w:r>
      <w:r w:rsidRPr="00785166">
        <w:rPr>
          <w:rFonts w:ascii="Arial" w:cs="Arial"/>
          <w:sz w:val="24"/>
          <w:szCs w:val="24"/>
        </w:rPr>
        <w:t>. 1986;38:181-364. doi:10.1016/S0065-3233(08)60528-8</w:t>
      </w:r>
    </w:p>
    <w:p w14:paraId="59694A66" w14:textId="77777777" w:rsidR="008F09C1" w:rsidRPr="00785166" w:rsidRDefault="008F09C1" w:rsidP="00785166">
      <w:pPr>
        <w:pStyle w:val="Bibliography"/>
        <w:rPr>
          <w:rFonts w:ascii="Arial" w:cs="Arial"/>
          <w:sz w:val="24"/>
          <w:szCs w:val="24"/>
        </w:rPr>
      </w:pPr>
      <w:r w:rsidRPr="00785166">
        <w:rPr>
          <w:rFonts w:ascii="Arial" w:cs="Arial"/>
          <w:sz w:val="24"/>
          <w:szCs w:val="24"/>
        </w:rPr>
        <w:t>74.</w:t>
      </w:r>
      <w:r w:rsidRPr="00785166">
        <w:rPr>
          <w:rFonts w:ascii="Arial" w:cs="Arial"/>
          <w:sz w:val="24"/>
          <w:szCs w:val="24"/>
        </w:rPr>
        <w:tab/>
        <w:t xml:space="preserve">Pelton JT, McLean LR. Spectroscopic Methods for Analysis of Protein Secondary Structure. </w:t>
      </w:r>
      <w:r w:rsidRPr="00785166">
        <w:rPr>
          <w:rFonts w:ascii="Arial" w:cs="Arial"/>
          <w:i/>
          <w:iCs/>
          <w:sz w:val="24"/>
          <w:szCs w:val="24"/>
        </w:rPr>
        <w:t>Analytical Biochemistry</w:t>
      </w:r>
      <w:r w:rsidRPr="00785166">
        <w:rPr>
          <w:rFonts w:ascii="Arial" w:cs="Arial"/>
          <w:sz w:val="24"/>
          <w:szCs w:val="24"/>
        </w:rPr>
        <w:t>. 2000;277(2):167-176. doi:10.1006/abio.1999.4320</w:t>
      </w:r>
    </w:p>
    <w:p w14:paraId="37580DF6" w14:textId="77777777" w:rsidR="008F09C1" w:rsidRPr="00785166" w:rsidRDefault="008F09C1" w:rsidP="00785166">
      <w:pPr>
        <w:pStyle w:val="Bibliography"/>
        <w:rPr>
          <w:rFonts w:ascii="Arial" w:cs="Arial"/>
          <w:sz w:val="24"/>
          <w:szCs w:val="24"/>
        </w:rPr>
      </w:pPr>
      <w:r w:rsidRPr="00785166">
        <w:rPr>
          <w:rFonts w:ascii="Arial" w:cs="Arial"/>
          <w:sz w:val="24"/>
          <w:szCs w:val="24"/>
        </w:rPr>
        <w:t>75.</w:t>
      </w:r>
      <w:r w:rsidRPr="00785166">
        <w:rPr>
          <w:rFonts w:ascii="Arial" w:cs="Arial"/>
          <w:sz w:val="24"/>
          <w:szCs w:val="24"/>
        </w:rPr>
        <w:tab/>
        <w:t xml:space="preserve">Tang JD, Mura C, Lampe KJ. Stimuli-Responsive, Pentapeptide, Nanofiber Hydrogel for Tissue Engineering. </w:t>
      </w:r>
      <w:r w:rsidRPr="00785166">
        <w:rPr>
          <w:rFonts w:ascii="Arial" w:cs="Arial"/>
          <w:i/>
          <w:iCs/>
          <w:sz w:val="24"/>
          <w:szCs w:val="24"/>
        </w:rPr>
        <w:t>J Am Chem Soc</w:t>
      </w:r>
      <w:r w:rsidRPr="00785166">
        <w:rPr>
          <w:rFonts w:ascii="Arial" w:cs="Arial"/>
          <w:sz w:val="24"/>
          <w:szCs w:val="24"/>
        </w:rPr>
        <w:t>. 2019;141(12):4886-4899. doi:10.1021/jacs.8b13363</w:t>
      </w:r>
    </w:p>
    <w:p w14:paraId="481C6737" w14:textId="77777777" w:rsidR="008F09C1" w:rsidRPr="00785166" w:rsidRDefault="008F09C1" w:rsidP="00785166">
      <w:pPr>
        <w:pStyle w:val="Bibliography"/>
        <w:rPr>
          <w:rFonts w:ascii="Arial" w:cs="Arial"/>
          <w:sz w:val="24"/>
          <w:szCs w:val="24"/>
        </w:rPr>
      </w:pPr>
      <w:r w:rsidRPr="00785166">
        <w:rPr>
          <w:rFonts w:ascii="Arial" w:cs="Arial"/>
          <w:sz w:val="24"/>
          <w:szCs w:val="24"/>
        </w:rPr>
        <w:t>76.</w:t>
      </w:r>
      <w:r w:rsidRPr="00785166">
        <w:rPr>
          <w:rFonts w:ascii="Arial" w:cs="Arial"/>
          <w:sz w:val="24"/>
          <w:szCs w:val="24"/>
        </w:rPr>
        <w:tab/>
        <w:t xml:space="preserve">Beck JG, Frank AO, Kessler H. NMR of Peptides. In: </w:t>
      </w:r>
      <w:r w:rsidRPr="00785166">
        <w:rPr>
          <w:rFonts w:ascii="Arial" w:cs="Arial"/>
          <w:i/>
          <w:iCs/>
          <w:sz w:val="24"/>
          <w:szCs w:val="24"/>
        </w:rPr>
        <w:t>NMR of Biomolecules</w:t>
      </w:r>
      <w:r w:rsidRPr="00785166">
        <w:rPr>
          <w:rFonts w:ascii="Arial" w:cs="Arial"/>
          <w:sz w:val="24"/>
          <w:szCs w:val="24"/>
        </w:rPr>
        <w:t>. John Wiley &amp; Sons, Ltd; 2012:328-344. doi:10.1002/9783527644506.ch19</w:t>
      </w:r>
    </w:p>
    <w:p w14:paraId="04B08273" w14:textId="77777777" w:rsidR="008F09C1" w:rsidRPr="00785166" w:rsidRDefault="008F09C1" w:rsidP="00785166">
      <w:pPr>
        <w:pStyle w:val="Bibliography"/>
        <w:rPr>
          <w:rFonts w:ascii="Arial" w:cs="Arial"/>
          <w:sz w:val="24"/>
          <w:szCs w:val="24"/>
        </w:rPr>
      </w:pPr>
      <w:r w:rsidRPr="00785166">
        <w:rPr>
          <w:rFonts w:ascii="Arial" w:cs="Arial"/>
          <w:sz w:val="24"/>
          <w:szCs w:val="24"/>
        </w:rPr>
        <w:t>77.</w:t>
      </w:r>
      <w:r w:rsidRPr="00785166">
        <w:rPr>
          <w:rFonts w:ascii="Arial" w:cs="Arial"/>
          <w:sz w:val="24"/>
          <w:szCs w:val="24"/>
        </w:rPr>
        <w:tab/>
        <w:t xml:space="preserve">Mendes AC, Baran ET, Reis RL, Azevedo HS. Self-assembly in nature: using the principles of nature to create complex nanobiomaterials. </w:t>
      </w:r>
      <w:r w:rsidRPr="00785166">
        <w:rPr>
          <w:rFonts w:ascii="Arial" w:cs="Arial"/>
          <w:i/>
          <w:iCs/>
          <w:sz w:val="24"/>
          <w:szCs w:val="24"/>
        </w:rPr>
        <w:t>Wiley Interdisciplinary Reviews: Nanomedicine and Nanobiotechnology</w:t>
      </w:r>
      <w:r w:rsidRPr="00785166">
        <w:rPr>
          <w:rFonts w:ascii="Arial" w:cs="Arial"/>
          <w:sz w:val="24"/>
          <w:szCs w:val="24"/>
        </w:rPr>
        <w:t>. 2013;5(6):582-612. doi:10.1002/wnan.1238</w:t>
      </w:r>
    </w:p>
    <w:p w14:paraId="0289249D" w14:textId="77777777" w:rsidR="008F09C1" w:rsidRPr="00785166" w:rsidRDefault="008F09C1" w:rsidP="00785166">
      <w:pPr>
        <w:pStyle w:val="Bibliography"/>
        <w:rPr>
          <w:rFonts w:ascii="Arial" w:cs="Arial"/>
          <w:sz w:val="24"/>
          <w:szCs w:val="24"/>
        </w:rPr>
      </w:pPr>
      <w:r w:rsidRPr="00785166">
        <w:rPr>
          <w:rFonts w:ascii="Arial" w:cs="Arial"/>
          <w:sz w:val="24"/>
          <w:szCs w:val="24"/>
        </w:rPr>
        <w:t>78.</w:t>
      </w:r>
      <w:r w:rsidRPr="00785166">
        <w:rPr>
          <w:rFonts w:ascii="Arial" w:cs="Arial"/>
          <w:sz w:val="24"/>
          <w:szCs w:val="24"/>
        </w:rPr>
        <w:tab/>
        <w:t xml:space="preserve">Rajbhandary A, Nilsson BL. Investigating the effects of peptoid substitutions in self-assembly of Fmoc-diphenylalanine derivatives. </w:t>
      </w:r>
      <w:r w:rsidRPr="00785166">
        <w:rPr>
          <w:rFonts w:ascii="Arial" w:cs="Arial"/>
          <w:i/>
          <w:iCs/>
          <w:sz w:val="24"/>
          <w:szCs w:val="24"/>
        </w:rPr>
        <w:t>Peptide Science</w:t>
      </w:r>
      <w:r w:rsidRPr="00785166">
        <w:rPr>
          <w:rFonts w:ascii="Arial" w:cs="Arial"/>
          <w:sz w:val="24"/>
          <w:szCs w:val="24"/>
        </w:rPr>
        <w:t>. 2017;108(2):e22994. doi:10.1002/bip.22994</w:t>
      </w:r>
    </w:p>
    <w:p w14:paraId="624E3C4D" w14:textId="77777777" w:rsidR="008F09C1" w:rsidRPr="00785166" w:rsidRDefault="008F09C1" w:rsidP="00785166">
      <w:pPr>
        <w:pStyle w:val="Bibliography"/>
        <w:rPr>
          <w:rFonts w:ascii="Arial" w:cs="Arial"/>
          <w:sz w:val="24"/>
          <w:szCs w:val="24"/>
        </w:rPr>
      </w:pPr>
      <w:r w:rsidRPr="00785166">
        <w:rPr>
          <w:rFonts w:ascii="Arial" w:cs="Arial"/>
          <w:sz w:val="24"/>
          <w:szCs w:val="24"/>
        </w:rPr>
        <w:t>79.</w:t>
      </w:r>
      <w:r w:rsidRPr="00785166">
        <w:rPr>
          <w:rFonts w:ascii="Arial" w:cs="Arial"/>
          <w:sz w:val="24"/>
          <w:szCs w:val="24"/>
        </w:rPr>
        <w:tab/>
        <w:t xml:space="preserve">de Groot NS, Parella T, Aviles FX, Vendrell J, Ventura S. Ile-Phe Dipeptide Self-Assembly: Clues to Amyloid Formation. </w:t>
      </w:r>
      <w:r w:rsidRPr="00785166">
        <w:rPr>
          <w:rFonts w:ascii="Arial" w:cs="Arial"/>
          <w:i/>
          <w:iCs/>
          <w:sz w:val="24"/>
          <w:szCs w:val="24"/>
        </w:rPr>
        <w:t>Biophys J</w:t>
      </w:r>
      <w:r w:rsidRPr="00785166">
        <w:rPr>
          <w:rFonts w:ascii="Arial" w:cs="Arial"/>
          <w:sz w:val="24"/>
          <w:szCs w:val="24"/>
        </w:rPr>
        <w:t>. 2007;92(5):1732-1741. doi:10.1529/biophysj.106.096677</w:t>
      </w:r>
    </w:p>
    <w:p w14:paraId="6E6C48B0" w14:textId="77777777" w:rsidR="008F09C1" w:rsidRPr="00785166" w:rsidRDefault="008F09C1" w:rsidP="00785166">
      <w:pPr>
        <w:pStyle w:val="Bibliography"/>
        <w:rPr>
          <w:rFonts w:ascii="Arial" w:cs="Arial"/>
          <w:sz w:val="24"/>
          <w:szCs w:val="24"/>
        </w:rPr>
      </w:pPr>
      <w:r w:rsidRPr="00785166">
        <w:rPr>
          <w:rFonts w:ascii="Arial" w:cs="Arial"/>
          <w:sz w:val="24"/>
          <w:szCs w:val="24"/>
        </w:rPr>
        <w:t>80.</w:t>
      </w:r>
      <w:r w:rsidRPr="00785166">
        <w:rPr>
          <w:rFonts w:ascii="Arial" w:cs="Arial"/>
          <w:sz w:val="24"/>
          <w:szCs w:val="24"/>
        </w:rPr>
        <w:tab/>
        <w:t xml:space="preserve">Jekhmane S, Prachar M, Pugliese R, et al. Design Parameters of Tissue-Engineering Scaffolds at the Atomic Scale. </w:t>
      </w:r>
      <w:r w:rsidRPr="00785166">
        <w:rPr>
          <w:rFonts w:ascii="Arial" w:cs="Arial"/>
          <w:i/>
          <w:iCs/>
          <w:sz w:val="24"/>
          <w:szCs w:val="24"/>
        </w:rPr>
        <w:t>Angewandte Chemie International Edition</w:t>
      </w:r>
      <w:r w:rsidRPr="00785166">
        <w:rPr>
          <w:rFonts w:ascii="Arial" w:cs="Arial"/>
          <w:sz w:val="24"/>
          <w:szCs w:val="24"/>
        </w:rPr>
        <w:t>. 2019;58(47):16943-16951. doi:10.1002/anie.201907880</w:t>
      </w:r>
    </w:p>
    <w:p w14:paraId="4B2D7C4D" w14:textId="77777777" w:rsidR="008F09C1" w:rsidRPr="00785166" w:rsidRDefault="008F09C1" w:rsidP="00785166">
      <w:pPr>
        <w:pStyle w:val="Bibliography"/>
        <w:rPr>
          <w:rFonts w:ascii="Arial" w:cs="Arial"/>
          <w:sz w:val="24"/>
          <w:szCs w:val="24"/>
        </w:rPr>
      </w:pPr>
      <w:r w:rsidRPr="00785166">
        <w:rPr>
          <w:rFonts w:ascii="Arial" w:cs="Arial"/>
          <w:sz w:val="24"/>
          <w:szCs w:val="24"/>
        </w:rPr>
        <w:t>81.</w:t>
      </w:r>
      <w:r w:rsidRPr="00785166">
        <w:rPr>
          <w:rFonts w:ascii="Arial" w:cs="Arial"/>
          <w:sz w:val="24"/>
          <w:szCs w:val="24"/>
        </w:rPr>
        <w:tab/>
        <w:t xml:space="preserve">Shao Q, Wong KM, Seroski DT, et al. Anatomy of a selectively coassembled β-sheet peptide nanofiber. </w:t>
      </w:r>
      <w:r w:rsidRPr="00785166">
        <w:rPr>
          <w:rFonts w:ascii="Arial" w:cs="Arial"/>
          <w:i/>
          <w:iCs/>
          <w:sz w:val="24"/>
          <w:szCs w:val="24"/>
        </w:rPr>
        <w:t>PNAS</w:t>
      </w:r>
      <w:r w:rsidRPr="00785166">
        <w:rPr>
          <w:rFonts w:ascii="Arial" w:cs="Arial"/>
          <w:sz w:val="24"/>
          <w:szCs w:val="24"/>
        </w:rPr>
        <w:t>. 2020;117(9):4710-4717. doi:10.1073/pnas.1912810117</w:t>
      </w:r>
    </w:p>
    <w:p w14:paraId="2B067343" w14:textId="77777777" w:rsidR="008F09C1" w:rsidRPr="00785166" w:rsidRDefault="008F09C1" w:rsidP="00785166">
      <w:pPr>
        <w:pStyle w:val="Bibliography"/>
        <w:rPr>
          <w:rFonts w:ascii="Arial" w:cs="Arial"/>
          <w:sz w:val="24"/>
          <w:szCs w:val="24"/>
        </w:rPr>
      </w:pPr>
      <w:r w:rsidRPr="00785166">
        <w:rPr>
          <w:rFonts w:ascii="Arial" w:cs="Arial"/>
          <w:sz w:val="24"/>
          <w:szCs w:val="24"/>
        </w:rPr>
        <w:t>82.</w:t>
      </w:r>
      <w:r w:rsidRPr="00785166">
        <w:rPr>
          <w:rFonts w:ascii="Arial" w:cs="Arial"/>
          <w:sz w:val="24"/>
          <w:szCs w:val="24"/>
        </w:rPr>
        <w:tab/>
        <w:t xml:space="preserve">Micsonai A, Wien F, Kernya L, et al. Accurate secondary structure prediction and fold recognition for circular dichroism spectroscopy. </w:t>
      </w:r>
      <w:r w:rsidRPr="00785166">
        <w:rPr>
          <w:rFonts w:ascii="Arial" w:cs="Arial"/>
          <w:i/>
          <w:iCs/>
          <w:sz w:val="24"/>
          <w:szCs w:val="24"/>
        </w:rPr>
        <w:t>PNAS</w:t>
      </w:r>
      <w:r w:rsidRPr="00785166">
        <w:rPr>
          <w:rFonts w:ascii="Arial" w:cs="Arial"/>
          <w:sz w:val="24"/>
          <w:szCs w:val="24"/>
        </w:rPr>
        <w:t>. 2015;112(24):E3095-E3103. doi:10.1073/pnas.1500851112</w:t>
      </w:r>
    </w:p>
    <w:p w14:paraId="31808A49" w14:textId="77777777" w:rsidR="008F09C1" w:rsidRPr="00785166" w:rsidRDefault="008F09C1" w:rsidP="00785166">
      <w:pPr>
        <w:pStyle w:val="Bibliography"/>
        <w:rPr>
          <w:rFonts w:ascii="Arial" w:cs="Arial"/>
          <w:sz w:val="24"/>
          <w:szCs w:val="24"/>
        </w:rPr>
      </w:pPr>
      <w:r w:rsidRPr="00785166">
        <w:rPr>
          <w:rFonts w:ascii="Arial" w:cs="Arial"/>
          <w:sz w:val="24"/>
          <w:szCs w:val="24"/>
        </w:rPr>
        <w:t>83.</w:t>
      </w:r>
      <w:r w:rsidRPr="00785166">
        <w:rPr>
          <w:rFonts w:ascii="Arial" w:cs="Arial"/>
          <w:sz w:val="24"/>
          <w:szCs w:val="24"/>
        </w:rPr>
        <w:tab/>
        <w:t xml:space="preserve">Bakshi K, Liyanage MR, Volkin DB, Middaugh CR. Circular Dichroism of Peptides. In: Nixon AE, ed. </w:t>
      </w:r>
      <w:r w:rsidRPr="00785166">
        <w:rPr>
          <w:rFonts w:ascii="Arial" w:cs="Arial"/>
          <w:i/>
          <w:iCs/>
          <w:sz w:val="24"/>
          <w:szCs w:val="24"/>
        </w:rPr>
        <w:t>Therapeutic Peptides: Methods and Protocols</w:t>
      </w:r>
      <w:r w:rsidRPr="00785166">
        <w:rPr>
          <w:rFonts w:ascii="Arial" w:cs="Arial"/>
          <w:sz w:val="24"/>
          <w:szCs w:val="24"/>
        </w:rPr>
        <w:t>. Methods in Molecular Biology. Humana Press; 2014:247-253. doi:10.1007/978-1-62703-673-3_17</w:t>
      </w:r>
    </w:p>
    <w:p w14:paraId="2B45EE29" w14:textId="77777777" w:rsidR="008F09C1" w:rsidRPr="00785166" w:rsidRDefault="008F09C1" w:rsidP="00785166">
      <w:pPr>
        <w:pStyle w:val="Bibliography"/>
        <w:rPr>
          <w:rFonts w:ascii="Arial" w:cs="Arial"/>
          <w:sz w:val="24"/>
          <w:szCs w:val="24"/>
        </w:rPr>
      </w:pPr>
      <w:r w:rsidRPr="00785166">
        <w:rPr>
          <w:rFonts w:ascii="Arial" w:cs="Arial"/>
          <w:sz w:val="24"/>
          <w:szCs w:val="24"/>
        </w:rPr>
        <w:t>84.</w:t>
      </w:r>
      <w:r w:rsidRPr="00785166">
        <w:rPr>
          <w:rFonts w:ascii="Arial" w:cs="Arial"/>
          <w:sz w:val="24"/>
          <w:szCs w:val="24"/>
        </w:rPr>
        <w:tab/>
        <w:t xml:space="preserve">J. Miles A, A. Wallace B. Circular dichroism spectroscopy of membrane proteins. </w:t>
      </w:r>
      <w:r w:rsidRPr="00785166">
        <w:rPr>
          <w:rFonts w:ascii="Arial" w:cs="Arial"/>
          <w:i/>
          <w:iCs/>
          <w:sz w:val="24"/>
          <w:szCs w:val="24"/>
        </w:rPr>
        <w:t>Chemical Society Reviews</w:t>
      </w:r>
      <w:r w:rsidRPr="00785166">
        <w:rPr>
          <w:rFonts w:ascii="Arial" w:cs="Arial"/>
          <w:sz w:val="24"/>
          <w:szCs w:val="24"/>
        </w:rPr>
        <w:t>. 2016;45(18):4859-4872. doi:10.1039/C5CS00084J</w:t>
      </w:r>
    </w:p>
    <w:p w14:paraId="34CE53FE" w14:textId="77777777" w:rsidR="008F09C1" w:rsidRPr="00785166" w:rsidRDefault="008F09C1" w:rsidP="00785166">
      <w:pPr>
        <w:pStyle w:val="Bibliography"/>
        <w:rPr>
          <w:rFonts w:ascii="Arial" w:cs="Arial"/>
          <w:sz w:val="24"/>
          <w:szCs w:val="24"/>
        </w:rPr>
      </w:pPr>
      <w:r w:rsidRPr="00785166">
        <w:rPr>
          <w:rFonts w:ascii="Arial" w:cs="Arial"/>
          <w:sz w:val="24"/>
          <w:szCs w:val="24"/>
        </w:rPr>
        <w:t>85.</w:t>
      </w:r>
      <w:r w:rsidRPr="00785166">
        <w:rPr>
          <w:rFonts w:ascii="Arial" w:cs="Arial"/>
          <w:sz w:val="24"/>
          <w:szCs w:val="24"/>
        </w:rPr>
        <w:tab/>
        <w:t xml:space="preserve">Li J, Du X, Hashim S, Shy A, Xu B. Aromatic–Aromatic Interactions Enable α-Helix to β-Sheet Transition of Peptides to Form Supramolecular Hydrogels. </w:t>
      </w:r>
      <w:r w:rsidRPr="00785166">
        <w:rPr>
          <w:rFonts w:ascii="Arial" w:cs="Arial"/>
          <w:i/>
          <w:iCs/>
          <w:sz w:val="24"/>
          <w:szCs w:val="24"/>
        </w:rPr>
        <w:t>J Am Chem Soc</w:t>
      </w:r>
      <w:r w:rsidRPr="00785166">
        <w:rPr>
          <w:rFonts w:ascii="Arial" w:cs="Arial"/>
          <w:sz w:val="24"/>
          <w:szCs w:val="24"/>
        </w:rPr>
        <w:t>. 2017;139(1):71-74. doi:10.1021/jacs.6b11512</w:t>
      </w:r>
    </w:p>
    <w:p w14:paraId="6A78FA7B" w14:textId="77777777" w:rsidR="008F09C1" w:rsidRPr="00785166" w:rsidRDefault="008F09C1" w:rsidP="00785166">
      <w:pPr>
        <w:pStyle w:val="Bibliography"/>
        <w:rPr>
          <w:rFonts w:ascii="Arial" w:cs="Arial"/>
          <w:sz w:val="24"/>
          <w:szCs w:val="24"/>
        </w:rPr>
      </w:pPr>
      <w:r w:rsidRPr="00785166">
        <w:rPr>
          <w:rFonts w:ascii="Arial" w:cs="Arial"/>
          <w:sz w:val="24"/>
          <w:szCs w:val="24"/>
        </w:rPr>
        <w:t>86.</w:t>
      </w:r>
      <w:r w:rsidRPr="00785166">
        <w:rPr>
          <w:rFonts w:ascii="Arial" w:cs="Arial"/>
          <w:sz w:val="24"/>
          <w:szCs w:val="24"/>
        </w:rPr>
        <w:tab/>
        <w:t xml:space="preserve">Ji W, Yuan C, Chakraborty P, Gilead S, Yan X, Gazit E. Stoichiometry-controlled secondary structure transition of amyloid-derived supramolecular dipeptide co-assemblies. </w:t>
      </w:r>
      <w:r w:rsidRPr="00785166">
        <w:rPr>
          <w:rFonts w:ascii="Arial" w:cs="Arial"/>
          <w:i/>
          <w:iCs/>
          <w:sz w:val="24"/>
          <w:szCs w:val="24"/>
        </w:rPr>
        <w:t>Communications Chemistry</w:t>
      </w:r>
      <w:r w:rsidRPr="00785166">
        <w:rPr>
          <w:rFonts w:ascii="Arial" w:cs="Arial"/>
          <w:sz w:val="24"/>
          <w:szCs w:val="24"/>
        </w:rPr>
        <w:t>. 2019;2(1):1-11. doi:10.1038/s42004-019-0170-z</w:t>
      </w:r>
    </w:p>
    <w:p w14:paraId="3E2E3E44" w14:textId="77777777" w:rsidR="008F09C1" w:rsidRPr="00785166" w:rsidRDefault="008F09C1" w:rsidP="00785166">
      <w:pPr>
        <w:pStyle w:val="Bibliography"/>
        <w:rPr>
          <w:rFonts w:ascii="Arial" w:cs="Arial"/>
          <w:sz w:val="24"/>
          <w:szCs w:val="24"/>
        </w:rPr>
      </w:pPr>
      <w:r w:rsidRPr="00785166">
        <w:rPr>
          <w:rFonts w:ascii="Arial" w:cs="Arial"/>
          <w:sz w:val="24"/>
          <w:szCs w:val="24"/>
        </w:rPr>
        <w:t>87.</w:t>
      </w:r>
      <w:r w:rsidRPr="00785166">
        <w:rPr>
          <w:rFonts w:ascii="Arial" w:cs="Arial"/>
          <w:sz w:val="24"/>
          <w:szCs w:val="24"/>
        </w:rPr>
        <w:tab/>
        <w:t xml:space="preserve">Hawe A, Sutter M, Jiskoot W. Extrinsic Fluorescent Dyes as Tools for Protein Characterization. </w:t>
      </w:r>
      <w:r w:rsidRPr="00785166">
        <w:rPr>
          <w:rFonts w:ascii="Arial" w:cs="Arial"/>
          <w:i/>
          <w:iCs/>
          <w:sz w:val="24"/>
          <w:szCs w:val="24"/>
        </w:rPr>
        <w:t>Pharm Res</w:t>
      </w:r>
      <w:r w:rsidRPr="00785166">
        <w:rPr>
          <w:rFonts w:ascii="Arial" w:cs="Arial"/>
          <w:sz w:val="24"/>
          <w:szCs w:val="24"/>
        </w:rPr>
        <w:t>. 2008;25(7):1487-1499. doi:10.1007/s11095-007-9516-9</w:t>
      </w:r>
    </w:p>
    <w:p w14:paraId="0F177AAB" w14:textId="77777777" w:rsidR="008F09C1" w:rsidRPr="00785166" w:rsidRDefault="008F09C1" w:rsidP="00785166">
      <w:pPr>
        <w:pStyle w:val="Bibliography"/>
        <w:rPr>
          <w:rFonts w:ascii="Arial" w:cs="Arial"/>
          <w:sz w:val="24"/>
          <w:szCs w:val="24"/>
        </w:rPr>
      </w:pPr>
      <w:r w:rsidRPr="00785166">
        <w:rPr>
          <w:rFonts w:ascii="Arial" w:cs="Arial"/>
          <w:sz w:val="24"/>
          <w:szCs w:val="24"/>
        </w:rPr>
        <w:t>88.</w:t>
      </w:r>
      <w:r w:rsidRPr="00785166">
        <w:rPr>
          <w:rFonts w:ascii="Arial" w:cs="Arial"/>
          <w:sz w:val="24"/>
          <w:szCs w:val="24"/>
        </w:rPr>
        <w:tab/>
        <w:t xml:space="preserve">Wei G, Su Z, Reynolds NP, et al. Self-assembling peptide and protein amyloids: From structure to tailored function in nanotechnology. </w:t>
      </w:r>
      <w:r w:rsidRPr="00785166">
        <w:rPr>
          <w:rFonts w:ascii="Arial" w:cs="Arial"/>
          <w:i/>
          <w:iCs/>
          <w:sz w:val="24"/>
          <w:szCs w:val="24"/>
        </w:rPr>
        <w:t>Chemical Society Reviews</w:t>
      </w:r>
      <w:r w:rsidRPr="00785166">
        <w:rPr>
          <w:rFonts w:ascii="Arial" w:cs="Arial"/>
          <w:sz w:val="24"/>
          <w:szCs w:val="24"/>
        </w:rPr>
        <w:t>. 2017;46(15):4661-4708. doi:10.1039/c6cs00542j</w:t>
      </w:r>
    </w:p>
    <w:p w14:paraId="12C99BEF" w14:textId="77777777" w:rsidR="008F09C1" w:rsidRPr="00785166" w:rsidRDefault="008F09C1" w:rsidP="00785166">
      <w:pPr>
        <w:pStyle w:val="Bibliography"/>
        <w:rPr>
          <w:rFonts w:ascii="Arial" w:cs="Arial"/>
          <w:sz w:val="24"/>
          <w:szCs w:val="24"/>
        </w:rPr>
      </w:pPr>
      <w:r w:rsidRPr="00785166">
        <w:rPr>
          <w:rFonts w:ascii="Arial" w:cs="Arial"/>
          <w:sz w:val="24"/>
          <w:szCs w:val="24"/>
        </w:rPr>
        <w:t>89.</w:t>
      </w:r>
      <w:r w:rsidRPr="00785166">
        <w:rPr>
          <w:rFonts w:ascii="Arial" w:cs="Arial"/>
          <w:sz w:val="24"/>
          <w:szCs w:val="24"/>
        </w:rPr>
        <w:tab/>
        <w:t xml:space="preserve">Aliyan A, Cook NP, Martí AA. Interrogating Amyloid Aggregates using Fluorescent Probes. </w:t>
      </w:r>
      <w:r w:rsidRPr="00785166">
        <w:rPr>
          <w:rFonts w:ascii="Arial" w:cs="Arial"/>
          <w:i/>
          <w:iCs/>
          <w:sz w:val="24"/>
          <w:szCs w:val="24"/>
        </w:rPr>
        <w:t>Chem Rev</w:t>
      </w:r>
      <w:r w:rsidRPr="00785166">
        <w:rPr>
          <w:rFonts w:ascii="Arial" w:cs="Arial"/>
          <w:sz w:val="24"/>
          <w:szCs w:val="24"/>
        </w:rPr>
        <w:t>. 2019;119(23):11819-11856. doi:10.1021/acs.chemrev.9b00404</w:t>
      </w:r>
    </w:p>
    <w:p w14:paraId="5B6FE0F0" w14:textId="77777777" w:rsidR="008F09C1" w:rsidRPr="00785166" w:rsidRDefault="008F09C1" w:rsidP="00785166">
      <w:pPr>
        <w:pStyle w:val="Bibliography"/>
        <w:rPr>
          <w:rFonts w:ascii="Arial" w:cs="Arial"/>
          <w:sz w:val="24"/>
          <w:szCs w:val="24"/>
        </w:rPr>
      </w:pPr>
      <w:r w:rsidRPr="00785166">
        <w:rPr>
          <w:rFonts w:ascii="Arial" w:cs="Arial"/>
          <w:sz w:val="24"/>
          <w:szCs w:val="24"/>
        </w:rPr>
        <w:t>90.</w:t>
      </w:r>
      <w:r w:rsidRPr="00785166">
        <w:rPr>
          <w:rFonts w:ascii="Arial" w:cs="Arial"/>
          <w:sz w:val="24"/>
          <w:szCs w:val="24"/>
        </w:rPr>
        <w:tab/>
        <w:t xml:space="preserve">Malmos KG, Blancas-Mejia LM, Weber B, et al. ThT 101: a primer on the use of thioflavin T to investigate amyloid formation. </w:t>
      </w:r>
      <w:r w:rsidRPr="00785166">
        <w:rPr>
          <w:rFonts w:ascii="Arial" w:cs="Arial"/>
          <w:i/>
          <w:iCs/>
          <w:sz w:val="24"/>
          <w:szCs w:val="24"/>
        </w:rPr>
        <w:t>Amyloid</w:t>
      </w:r>
      <w:r w:rsidRPr="00785166">
        <w:rPr>
          <w:rFonts w:ascii="Arial" w:cs="Arial"/>
          <w:sz w:val="24"/>
          <w:szCs w:val="24"/>
        </w:rPr>
        <w:t>. 2017;24(1):1-16. doi:10.1080/13506129.2017.1304905</w:t>
      </w:r>
    </w:p>
    <w:p w14:paraId="6E152B1B" w14:textId="77777777" w:rsidR="008F09C1" w:rsidRPr="00785166" w:rsidRDefault="008F09C1" w:rsidP="00785166">
      <w:pPr>
        <w:pStyle w:val="Bibliography"/>
        <w:rPr>
          <w:rFonts w:ascii="Arial" w:cs="Arial"/>
          <w:sz w:val="24"/>
          <w:szCs w:val="24"/>
        </w:rPr>
      </w:pPr>
      <w:r w:rsidRPr="00785166">
        <w:rPr>
          <w:rFonts w:ascii="Arial" w:cs="Arial"/>
          <w:sz w:val="24"/>
          <w:szCs w:val="24"/>
        </w:rPr>
        <w:t>91.</w:t>
      </w:r>
      <w:r w:rsidRPr="00785166">
        <w:rPr>
          <w:rFonts w:ascii="Arial" w:cs="Arial"/>
          <w:sz w:val="24"/>
          <w:szCs w:val="24"/>
        </w:rPr>
        <w:tab/>
        <w:t xml:space="preserve">Hellstrand E, Boland B, Walsh DM, Linse S. Amyloid β-Protein Aggregation Produces Highly Reproducible Kinetic Data and Occurs by a Two-Phase Process. </w:t>
      </w:r>
      <w:r w:rsidRPr="00785166">
        <w:rPr>
          <w:rFonts w:ascii="Arial" w:cs="Arial"/>
          <w:i/>
          <w:iCs/>
          <w:sz w:val="24"/>
          <w:szCs w:val="24"/>
        </w:rPr>
        <w:t>ACS Chem Neurosci</w:t>
      </w:r>
      <w:r w:rsidRPr="00785166">
        <w:rPr>
          <w:rFonts w:ascii="Arial" w:cs="Arial"/>
          <w:sz w:val="24"/>
          <w:szCs w:val="24"/>
        </w:rPr>
        <w:t>. 2009;1(1):13-18. doi:10.1021/cn900015v</w:t>
      </w:r>
    </w:p>
    <w:p w14:paraId="3D23956F" w14:textId="77777777" w:rsidR="008F09C1" w:rsidRPr="00785166" w:rsidRDefault="008F09C1" w:rsidP="00785166">
      <w:pPr>
        <w:pStyle w:val="Bibliography"/>
        <w:rPr>
          <w:rFonts w:ascii="Arial" w:cs="Arial"/>
          <w:sz w:val="24"/>
          <w:szCs w:val="24"/>
        </w:rPr>
      </w:pPr>
      <w:r w:rsidRPr="00785166">
        <w:rPr>
          <w:rFonts w:ascii="Arial" w:cs="Arial"/>
          <w:sz w:val="24"/>
          <w:szCs w:val="24"/>
        </w:rPr>
        <w:t>92.</w:t>
      </w:r>
      <w:r w:rsidRPr="00785166">
        <w:rPr>
          <w:rFonts w:ascii="Arial" w:cs="Arial"/>
          <w:sz w:val="24"/>
          <w:szCs w:val="24"/>
        </w:rPr>
        <w:tab/>
        <w:t xml:space="preserve">Cinar G, Orujalipoor I, Su CJ, Jeng US, Ide S, Guler MO. Supramolecular Nanostructure Formation of Coassembled Amyloid Inspired Peptides. </w:t>
      </w:r>
      <w:r w:rsidRPr="00785166">
        <w:rPr>
          <w:rFonts w:ascii="Arial" w:cs="Arial"/>
          <w:i/>
          <w:iCs/>
          <w:sz w:val="24"/>
          <w:szCs w:val="24"/>
        </w:rPr>
        <w:t>Langmuir</w:t>
      </w:r>
      <w:r w:rsidRPr="00785166">
        <w:rPr>
          <w:rFonts w:ascii="Arial" w:cs="Arial"/>
          <w:sz w:val="24"/>
          <w:szCs w:val="24"/>
        </w:rPr>
        <w:t>. 2016;32(25):6506-6514. doi:10.1021/acs.langmuir.6b00704</w:t>
      </w:r>
    </w:p>
    <w:p w14:paraId="19288916" w14:textId="77777777" w:rsidR="008F09C1" w:rsidRPr="00785166" w:rsidRDefault="008F09C1" w:rsidP="00785166">
      <w:pPr>
        <w:pStyle w:val="Bibliography"/>
        <w:rPr>
          <w:rFonts w:ascii="Arial" w:cs="Arial"/>
          <w:sz w:val="24"/>
          <w:szCs w:val="24"/>
        </w:rPr>
      </w:pPr>
      <w:r w:rsidRPr="00785166">
        <w:rPr>
          <w:rFonts w:ascii="Arial" w:cs="Arial"/>
          <w:sz w:val="24"/>
          <w:szCs w:val="24"/>
        </w:rPr>
        <w:t>93.</w:t>
      </w:r>
      <w:r w:rsidRPr="00785166">
        <w:rPr>
          <w:rFonts w:ascii="Arial" w:cs="Arial"/>
          <w:sz w:val="24"/>
          <w:szCs w:val="24"/>
        </w:rPr>
        <w:tab/>
        <w:t xml:space="preserve">Losev Y, Paul A, Frenkel-Pinter M, et al. Novel model of secreted human tau protein reveals the impact of the abnormal N-glycosylation of tau on its aggregation propensity. </w:t>
      </w:r>
      <w:r w:rsidRPr="00785166">
        <w:rPr>
          <w:rFonts w:ascii="Arial" w:cs="Arial"/>
          <w:i/>
          <w:iCs/>
          <w:sz w:val="24"/>
          <w:szCs w:val="24"/>
        </w:rPr>
        <w:t>Scientific Reports</w:t>
      </w:r>
      <w:r w:rsidRPr="00785166">
        <w:rPr>
          <w:rFonts w:ascii="Arial" w:cs="Arial"/>
          <w:sz w:val="24"/>
          <w:szCs w:val="24"/>
        </w:rPr>
        <w:t>. 2019;9(1):2254. doi:10.1038/s41598-019-39218-x</w:t>
      </w:r>
    </w:p>
    <w:p w14:paraId="431FC897" w14:textId="77777777" w:rsidR="008F09C1" w:rsidRPr="00785166" w:rsidRDefault="008F09C1" w:rsidP="00785166">
      <w:pPr>
        <w:pStyle w:val="Bibliography"/>
        <w:rPr>
          <w:rFonts w:ascii="Arial" w:cs="Arial"/>
          <w:sz w:val="24"/>
          <w:szCs w:val="24"/>
        </w:rPr>
      </w:pPr>
      <w:r w:rsidRPr="00785166">
        <w:rPr>
          <w:rFonts w:ascii="Arial" w:cs="Arial"/>
          <w:sz w:val="24"/>
          <w:szCs w:val="24"/>
        </w:rPr>
        <w:t>94.</w:t>
      </w:r>
      <w:r w:rsidRPr="00785166">
        <w:rPr>
          <w:rFonts w:ascii="Arial" w:cs="Arial"/>
          <w:sz w:val="24"/>
          <w:szCs w:val="24"/>
        </w:rPr>
        <w:tab/>
        <w:t xml:space="preserve">Wu C, Scott J, Shea JE. Binding of Congo Red to Amyloid Protofibrils of the Alzheimer Aβ9–40 Peptide Probed by Molecular Dynamics Simulations. </w:t>
      </w:r>
      <w:r w:rsidRPr="00785166">
        <w:rPr>
          <w:rFonts w:ascii="Arial" w:cs="Arial"/>
          <w:i/>
          <w:iCs/>
          <w:sz w:val="24"/>
          <w:szCs w:val="24"/>
        </w:rPr>
        <w:t>Biophysical Journal</w:t>
      </w:r>
      <w:r w:rsidRPr="00785166">
        <w:rPr>
          <w:rFonts w:ascii="Arial" w:cs="Arial"/>
          <w:sz w:val="24"/>
          <w:szCs w:val="24"/>
        </w:rPr>
        <w:t>. 2012;103(3):550-557. doi:10.1016/j.bpj.2012.07.008</w:t>
      </w:r>
    </w:p>
    <w:p w14:paraId="355F1A27" w14:textId="77777777" w:rsidR="008F09C1" w:rsidRPr="00785166" w:rsidRDefault="008F09C1" w:rsidP="00785166">
      <w:pPr>
        <w:pStyle w:val="Bibliography"/>
        <w:rPr>
          <w:rFonts w:ascii="Arial" w:cs="Arial"/>
          <w:sz w:val="24"/>
          <w:szCs w:val="24"/>
        </w:rPr>
      </w:pPr>
      <w:r w:rsidRPr="00785166">
        <w:rPr>
          <w:rFonts w:ascii="Arial" w:cs="Arial"/>
          <w:sz w:val="24"/>
          <w:szCs w:val="24"/>
        </w:rPr>
        <w:t>95.</w:t>
      </w:r>
      <w:r w:rsidRPr="00785166">
        <w:rPr>
          <w:rFonts w:ascii="Arial" w:cs="Arial"/>
          <w:sz w:val="24"/>
          <w:szCs w:val="24"/>
        </w:rPr>
        <w:tab/>
        <w:t xml:space="preserve">Zhan FK, Liu JC, Cheng B, et al. Tumor targeting with DGEA peptide ligands: a new aromatic peptide amphiphile for imaging cancers. </w:t>
      </w:r>
      <w:r w:rsidRPr="00785166">
        <w:rPr>
          <w:rFonts w:ascii="Arial" w:cs="Arial"/>
          <w:i/>
          <w:iCs/>
          <w:sz w:val="24"/>
          <w:szCs w:val="24"/>
        </w:rPr>
        <w:t>Chemical Communications</w:t>
      </w:r>
      <w:r w:rsidRPr="00785166">
        <w:rPr>
          <w:rFonts w:ascii="Arial" w:cs="Arial"/>
          <w:sz w:val="24"/>
          <w:szCs w:val="24"/>
        </w:rPr>
        <w:t>. 2019;55(8):1060-1063. doi:10.1039/C8CC08679F</w:t>
      </w:r>
    </w:p>
    <w:p w14:paraId="1C7B2715" w14:textId="77777777" w:rsidR="008F09C1" w:rsidRPr="00785166" w:rsidRDefault="008F09C1" w:rsidP="00785166">
      <w:pPr>
        <w:pStyle w:val="Bibliography"/>
        <w:rPr>
          <w:rFonts w:ascii="Arial" w:cs="Arial"/>
          <w:sz w:val="24"/>
          <w:szCs w:val="24"/>
        </w:rPr>
      </w:pPr>
      <w:r w:rsidRPr="00785166">
        <w:rPr>
          <w:rFonts w:ascii="Arial" w:cs="Arial"/>
          <w:sz w:val="24"/>
          <w:szCs w:val="24"/>
        </w:rPr>
        <w:t>96.</w:t>
      </w:r>
      <w:r w:rsidRPr="00785166">
        <w:rPr>
          <w:rFonts w:ascii="Arial" w:cs="Arial"/>
          <w:sz w:val="24"/>
          <w:szCs w:val="24"/>
        </w:rPr>
        <w:tab/>
        <w:t xml:space="preserve">Peterson AM, Tan Z, Kimbrough EM, Heemstra JM. 3,3′-Dioctadecyloxacarbocyanine perchlorate (DiO) as a fluorogenic probe for measurement of critical micelle concentration. </w:t>
      </w:r>
      <w:r w:rsidRPr="00785166">
        <w:rPr>
          <w:rFonts w:ascii="Arial" w:cs="Arial"/>
          <w:i/>
          <w:iCs/>
          <w:sz w:val="24"/>
          <w:szCs w:val="24"/>
        </w:rPr>
        <w:t>Anal Methods</w:t>
      </w:r>
      <w:r w:rsidRPr="00785166">
        <w:rPr>
          <w:rFonts w:ascii="Arial" w:cs="Arial"/>
          <w:sz w:val="24"/>
          <w:szCs w:val="24"/>
        </w:rPr>
        <w:t>. 2015;7(16):6877-6882. doi:10.1039/C5AY01444A</w:t>
      </w:r>
    </w:p>
    <w:p w14:paraId="3B970D19" w14:textId="77777777" w:rsidR="008F09C1" w:rsidRPr="00785166" w:rsidRDefault="008F09C1" w:rsidP="00785166">
      <w:pPr>
        <w:pStyle w:val="Bibliography"/>
        <w:rPr>
          <w:rFonts w:ascii="Arial" w:cs="Arial"/>
          <w:sz w:val="24"/>
          <w:szCs w:val="24"/>
        </w:rPr>
      </w:pPr>
      <w:r w:rsidRPr="00785166">
        <w:rPr>
          <w:rFonts w:ascii="Arial" w:cs="Arial"/>
          <w:sz w:val="24"/>
          <w:szCs w:val="24"/>
        </w:rPr>
        <w:t>97.</w:t>
      </w:r>
      <w:r w:rsidRPr="00785166">
        <w:rPr>
          <w:rFonts w:ascii="Arial" w:cs="Arial"/>
          <w:sz w:val="24"/>
          <w:szCs w:val="24"/>
        </w:rPr>
        <w:tab/>
        <w:t xml:space="preserve">Kalyanasundaram K, Thomas JK. Environmental effects on vibronic band intensities in pyrene monomer fluorescence and their application in studies of micellar systems. </w:t>
      </w:r>
      <w:r w:rsidRPr="00785166">
        <w:rPr>
          <w:rFonts w:ascii="Arial" w:cs="Arial"/>
          <w:i/>
          <w:iCs/>
          <w:sz w:val="24"/>
          <w:szCs w:val="24"/>
        </w:rPr>
        <w:t>J Am Chem Soc</w:t>
      </w:r>
      <w:r w:rsidRPr="00785166">
        <w:rPr>
          <w:rFonts w:ascii="Arial" w:cs="Arial"/>
          <w:sz w:val="24"/>
          <w:szCs w:val="24"/>
        </w:rPr>
        <w:t>. 1977;99(7):2039-2044.</w:t>
      </w:r>
    </w:p>
    <w:p w14:paraId="2CDE41F6" w14:textId="77777777" w:rsidR="008F09C1" w:rsidRPr="00785166" w:rsidRDefault="008F09C1" w:rsidP="00785166">
      <w:pPr>
        <w:pStyle w:val="Bibliography"/>
        <w:rPr>
          <w:rFonts w:ascii="Arial" w:cs="Arial"/>
          <w:sz w:val="24"/>
          <w:szCs w:val="24"/>
        </w:rPr>
      </w:pPr>
      <w:r w:rsidRPr="00785166">
        <w:rPr>
          <w:rFonts w:ascii="Arial" w:cs="Arial"/>
          <w:sz w:val="24"/>
          <w:szCs w:val="24"/>
        </w:rPr>
        <w:t>98.</w:t>
      </w:r>
      <w:r w:rsidRPr="00785166">
        <w:rPr>
          <w:rFonts w:ascii="Arial" w:cs="Arial"/>
          <w:sz w:val="24"/>
          <w:szCs w:val="24"/>
        </w:rPr>
        <w:tab/>
        <w:t xml:space="preserve">Bains GK, Kim SH, Sorin EJ, Narayanaswami V. Extent of Pyrene Excimer Fluorescence Emission is a Reflector of Distance and Flexibility: Analysis of the Segment Linking the LDL Receptor-binding and Tetramerization Domains of Apolipoprotein E3. </w:t>
      </w:r>
      <w:r w:rsidRPr="00785166">
        <w:rPr>
          <w:rFonts w:ascii="Arial" w:cs="Arial"/>
          <w:i/>
          <w:iCs/>
          <w:sz w:val="24"/>
          <w:szCs w:val="24"/>
        </w:rPr>
        <w:t>Biochemistry</w:t>
      </w:r>
      <w:r w:rsidRPr="00785166">
        <w:rPr>
          <w:rFonts w:ascii="Arial" w:cs="Arial"/>
          <w:sz w:val="24"/>
          <w:szCs w:val="24"/>
        </w:rPr>
        <w:t>. 2012;51(31):6207-6219. doi:10.1021/bi3005285</w:t>
      </w:r>
    </w:p>
    <w:p w14:paraId="659557F3" w14:textId="77777777" w:rsidR="008F09C1" w:rsidRPr="00785166" w:rsidRDefault="008F09C1" w:rsidP="00785166">
      <w:pPr>
        <w:pStyle w:val="Bibliography"/>
        <w:rPr>
          <w:rFonts w:ascii="Arial" w:cs="Arial"/>
          <w:sz w:val="24"/>
          <w:szCs w:val="24"/>
        </w:rPr>
      </w:pPr>
      <w:r w:rsidRPr="00785166">
        <w:rPr>
          <w:rFonts w:ascii="Arial" w:cs="Arial"/>
          <w:sz w:val="24"/>
          <w:szCs w:val="24"/>
        </w:rPr>
        <w:t>99.</w:t>
      </w:r>
      <w:r w:rsidRPr="00785166">
        <w:rPr>
          <w:rFonts w:ascii="Arial" w:cs="Arial"/>
          <w:sz w:val="24"/>
          <w:szCs w:val="24"/>
        </w:rPr>
        <w:tab/>
        <w:t xml:space="preserve">Morel B, Carrasco MP, Jurado S, Marco C, Conejero-Lara F. Dynamic micellar oligomers of amyloid beta peptides play a crucial role in their aggregation mechanisms. </w:t>
      </w:r>
      <w:r w:rsidRPr="00785166">
        <w:rPr>
          <w:rFonts w:ascii="Arial" w:cs="Arial"/>
          <w:i/>
          <w:iCs/>
          <w:sz w:val="24"/>
          <w:szCs w:val="24"/>
        </w:rPr>
        <w:t>Phys Chem Chem Phys</w:t>
      </w:r>
      <w:r w:rsidRPr="00785166">
        <w:rPr>
          <w:rFonts w:ascii="Arial" w:cs="Arial"/>
          <w:sz w:val="24"/>
          <w:szCs w:val="24"/>
        </w:rPr>
        <w:t>. 2018;20(31):20597-20614. doi:10.1039/C8CP02685H</w:t>
      </w:r>
    </w:p>
    <w:p w14:paraId="2D5C0076" w14:textId="77777777" w:rsidR="008F09C1" w:rsidRPr="00785166" w:rsidRDefault="008F09C1" w:rsidP="00785166">
      <w:pPr>
        <w:pStyle w:val="Bibliography"/>
        <w:rPr>
          <w:rFonts w:ascii="Arial" w:cs="Arial"/>
          <w:sz w:val="24"/>
          <w:szCs w:val="24"/>
        </w:rPr>
      </w:pPr>
      <w:r w:rsidRPr="00785166">
        <w:rPr>
          <w:rFonts w:ascii="Arial" w:cs="Arial"/>
          <w:sz w:val="24"/>
          <w:szCs w:val="24"/>
        </w:rPr>
        <w:t>100.</w:t>
      </w:r>
      <w:r w:rsidRPr="00785166">
        <w:rPr>
          <w:rFonts w:ascii="Arial" w:cs="Arial"/>
          <w:sz w:val="24"/>
          <w:szCs w:val="24"/>
        </w:rPr>
        <w:tab/>
        <w:t xml:space="preserve">Aguiar J, Carpena P, Molina-Bolı́var JA, Carnero Ruiz C. On the determination of the critical micelle concentration by the pyrene 1:3 ratio method. </w:t>
      </w:r>
      <w:r w:rsidRPr="00785166">
        <w:rPr>
          <w:rFonts w:ascii="Arial" w:cs="Arial"/>
          <w:i/>
          <w:iCs/>
          <w:sz w:val="24"/>
          <w:szCs w:val="24"/>
        </w:rPr>
        <w:t>Journal of Colloid and Interface Science</w:t>
      </w:r>
      <w:r w:rsidRPr="00785166">
        <w:rPr>
          <w:rFonts w:ascii="Arial" w:cs="Arial"/>
          <w:sz w:val="24"/>
          <w:szCs w:val="24"/>
        </w:rPr>
        <w:t>. 2003;258(1):116-122. doi:10.1016/S0021-9797(02)00082-6</w:t>
      </w:r>
    </w:p>
    <w:p w14:paraId="3D8A7A05" w14:textId="77777777" w:rsidR="008F09C1" w:rsidRPr="00785166" w:rsidRDefault="008F09C1" w:rsidP="00785166">
      <w:pPr>
        <w:pStyle w:val="Bibliography"/>
        <w:rPr>
          <w:rFonts w:ascii="Arial" w:cs="Arial"/>
          <w:sz w:val="24"/>
          <w:szCs w:val="24"/>
        </w:rPr>
      </w:pPr>
      <w:r w:rsidRPr="00785166">
        <w:rPr>
          <w:rFonts w:ascii="Arial" w:cs="Arial"/>
          <w:sz w:val="24"/>
          <w:szCs w:val="24"/>
        </w:rPr>
        <w:t>101.</w:t>
      </w:r>
      <w:r w:rsidRPr="00785166">
        <w:rPr>
          <w:rFonts w:ascii="Arial" w:cs="Arial"/>
          <w:sz w:val="24"/>
          <w:szCs w:val="24"/>
        </w:rPr>
        <w:tab/>
        <w:t xml:space="preserve">Hutchinson JA, Hamley IW, Torras J, Alemán C, Seitsonen J, Ruokolainen J. Self-Assembly of Lipopeptides Containing Short Peptide Fragments Derived from the Gastrointestinal Hormone PYY3–36: From Micelles to Amyloid Fibrils. </w:t>
      </w:r>
      <w:r w:rsidRPr="00785166">
        <w:rPr>
          <w:rFonts w:ascii="Arial" w:cs="Arial"/>
          <w:i/>
          <w:iCs/>
          <w:sz w:val="24"/>
          <w:szCs w:val="24"/>
        </w:rPr>
        <w:t>J Phys Chem B</w:t>
      </w:r>
      <w:r w:rsidRPr="00785166">
        <w:rPr>
          <w:rFonts w:ascii="Arial" w:cs="Arial"/>
          <w:sz w:val="24"/>
          <w:szCs w:val="24"/>
        </w:rPr>
        <w:t>. 2019;123(3):614-621. doi:10.1021/acs.jpcb.8b11097</w:t>
      </w:r>
    </w:p>
    <w:p w14:paraId="0477F2C7" w14:textId="77777777" w:rsidR="008F09C1" w:rsidRPr="00785166" w:rsidRDefault="008F09C1" w:rsidP="00785166">
      <w:pPr>
        <w:pStyle w:val="Bibliography"/>
        <w:rPr>
          <w:rFonts w:ascii="Arial" w:cs="Arial"/>
          <w:sz w:val="24"/>
          <w:szCs w:val="24"/>
        </w:rPr>
      </w:pPr>
      <w:r w:rsidRPr="00785166">
        <w:rPr>
          <w:rFonts w:ascii="Arial" w:cs="Arial"/>
          <w:sz w:val="24"/>
          <w:szCs w:val="24"/>
        </w:rPr>
        <w:t>102.</w:t>
      </w:r>
      <w:r w:rsidRPr="00785166">
        <w:rPr>
          <w:rFonts w:ascii="Arial" w:cs="Arial"/>
          <w:sz w:val="24"/>
          <w:szCs w:val="24"/>
        </w:rPr>
        <w:tab/>
        <w:t xml:space="preserve">Stuart MCA, Pas JC van de, Engberts JBFN. The use of Nile Red to monitor the aggregation behavior in ternary surfactant–water–organic solvent systems. </w:t>
      </w:r>
      <w:r w:rsidRPr="00785166">
        <w:rPr>
          <w:rFonts w:ascii="Arial" w:cs="Arial"/>
          <w:i/>
          <w:iCs/>
          <w:sz w:val="24"/>
          <w:szCs w:val="24"/>
        </w:rPr>
        <w:t>Journal of Physical Organic Chemistry</w:t>
      </w:r>
      <w:r w:rsidRPr="00785166">
        <w:rPr>
          <w:rFonts w:ascii="Arial" w:cs="Arial"/>
          <w:sz w:val="24"/>
          <w:szCs w:val="24"/>
        </w:rPr>
        <w:t>. 2005;18(9):929-934. doi:10.1002/poc.919</w:t>
      </w:r>
    </w:p>
    <w:p w14:paraId="08A9716C" w14:textId="77777777" w:rsidR="008F09C1" w:rsidRPr="00785166" w:rsidRDefault="008F09C1" w:rsidP="00785166">
      <w:pPr>
        <w:pStyle w:val="Bibliography"/>
        <w:rPr>
          <w:rFonts w:ascii="Arial" w:cs="Arial"/>
          <w:sz w:val="24"/>
          <w:szCs w:val="24"/>
        </w:rPr>
      </w:pPr>
      <w:r w:rsidRPr="00785166">
        <w:rPr>
          <w:rFonts w:ascii="Arial" w:cs="Arial"/>
          <w:sz w:val="24"/>
          <w:szCs w:val="24"/>
        </w:rPr>
        <w:t>103.</w:t>
      </w:r>
      <w:r w:rsidRPr="00785166">
        <w:rPr>
          <w:rFonts w:ascii="Arial" w:cs="Arial"/>
          <w:sz w:val="24"/>
          <w:szCs w:val="24"/>
        </w:rPr>
        <w:tab/>
        <w:t xml:space="preserve">Torres-Martínez A, A. Angulo-Pachón C, Galindo F, F. Miravet J. In between molecules and self-assembled fibrillar networks: highly stable nanogel particles from a low molecular weight hydrogelator. </w:t>
      </w:r>
      <w:r w:rsidRPr="00785166">
        <w:rPr>
          <w:rFonts w:ascii="Arial" w:cs="Arial"/>
          <w:i/>
          <w:iCs/>
          <w:sz w:val="24"/>
          <w:szCs w:val="24"/>
        </w:rPr>
        <w:t>Soft Matter</w:t>
      </w:r>
      <w:r w:rsidRPr="00785166">
        <w:rPr>
          <w:rFonts w:ascii="Arial" w:cs="Arial"/>
          <w:sz w:val="24"/>
          <w:szCs w:val="24"/>
        </w:rPr>
        <w:t>. 2019;15(17):3565-3572. doi:10.1039/C9SM00252A</w:t>
      </w:r>
    </w:p>
    <w:p w14:paraId="6770E764" w14:textId="77777777" w:rsidR="008F09C1" w:rsidRPr="00785166" w:rsidRDefault="008F09C1" w:rsidP="00785166">
      <w:pPr>
        <w:pStyle w:val="Bibliography"/>
        <w:rPr>
          <w:rFonts w:ascii="Arial" w:cs="Arial"/>
          <w:sz w:val="24"/>
          <w:szCs w:val="24"/>
        </w:rPr>
      </w:pPr>
      <w:r w:rsidRPr="00785166">
        <w:rPr>
          <w:rFonts w:ascii="Arial" w:cs="Arial"/>
          <w:sz w:val="24"/>
          <w:szCs w:val="24"/>
        </w:rPr>
        <w:t>104.</w:t>
      </w:r>
      <w:r w:rsidRPr="00785166">
        <w:rPr>
          <w:rFonts w:ascii="Arial" w:cs="Arial"/>
          <w:sz w:val="24"/>
          <w:szCs w:val="24"/>
        </w:rPr>
        <w:tab/>
        <w:t xml:space="preserve">Hamsici S, Sardan Ekiz M, Cinar Ciftci G, Tekinay AB, Guler MO. Gemcitabine Integrated Nano-Prodrug Carrier System. </w:t>
      </w:r>
      <w:r w:rsidRPr="00785166">
        <w:rPr>
          <w:rFonts w:ascii="Arial" w:cs="Arial"/>
          <w:i/>
          <w:iCs/>
          <w:sz w:val="24"/>
          <w:szCs w:val="24"/>
        </w:rPr>
        <w:t>Bioconjugate Chem</w:t>
      </w:r>
      <w:r w:rsidRPr="00785166">
        <w:rPr>
          <w:rFonts w:ascii="Arial" w:cs="Arial"/>
          <w:sz w:val="24"/>
          <w:szCs w:val="24"/>
        </w:rPr>
        <w:t>. 2017;28(5):1491-1498. doi:10.1021/acs.bioconjchem.7b00155</w:t>
      </w:r>
    </w:p>
    <w:p w14:paraId="7169D924" w14:textId="77777777" w:rsidR="008F09C1" w:rsidRPr="00785166" w:rsidRDefault="008F09C1" w:rsidP="00785166">
      <w:pPr>
        <w:pStyle w:val="Bibliography"/>
        <w:rPr>
          <w:rFonts w:ascii="Arial" w:cs="Arial"/>
          <w:sz w:val="24"/>
          <w:szCs w:val="24"/>
        </w:rPr>
      </w:pPr>
      <w:r w:rsidRPr="00785166">
        <w:rPr>
          <w:rFonts w:ascii="Arial" w:cs="Arial"/>
          <w:sz w:val="24"/>
          <w:szCs w:val="24"/>
        </w:rPr>
        <w:t>105.</w:t>
      </w:r>
      <w:r w:rsidRPr="00785166">
        <w:rPr>
          <w:rFonts w:ascii="Arial" w:cs="Arial"/>
          <w:sz w:val="24"/>
          <w:szCs w:val="24"/>
        </w:rPr>
        <w:tab/>
        <w:t xml:space="preserve">Ji W, Yuan C, Chakraborty P, et al. Coassembly-Induced Transformation of Dipeptide Amyloid-Like Structures into Stimuli-Responsive Supramolecular Materials. </w:t>
      </w:r>
      <w:r w:rsidRPr="00785166">
        <w:rPr>
          <w:rFonts w:ascii="Arial" w:cs="Arial"/>
          <w:i/>
          <w:iCs/>
          <w:sz w:val="24"/>
          <w:szCs w:val="24"/>
        </w:rPr>
        <w:t>ACS Nano</w:t>
      </w:r>
      <w:r w:rsidRPr="00785166">
        <w:rPr>
          <w:rFonts w:ascii="Arial" w:cs="Arial"/>
          <w:sz w:val="24"/>
          <w:szCs w:val="24"/>
        </w:rPr>
        <w:t>. 2020;14(6):7181-7190. doi:10.1021/acsnano.0c02138</w:t>
      </w:r>
    </w:p>
    <w:p w14:paraId="04BC36EA" w14:textId="77777777" w:rsidR="008F09C1" w:rsidRPr="00785166" w:rsidRDefault="008F09C1" w:rsidP="00785166">
      <w:pPr>
        <w:pStyle w:val="Bibliography"/>
        <w:rPr>
          <w:rFonts w:ascii="Arial" w:cs="Arial"/>
          <w:sz w:val="24"/>
          <w:szCs w:val="24"/>
        </w:rPr>
      </w:pPr>
      <w:r w:rsidRPr="00785166">
        <w:rPr>
          <w:rFonts w:ascii="Arial" w:cs="Arial"/>
          <w:sz w:val="24"/>
          <w:szCs w:val="24"/>
        </w:rPr>
        <w:t>106.</w:t>
      </w:r>
      <w:r w:rsidRPr="00785166">
        <w:rPr>
          <w:rFonts w:ascii="Arial" w:cs="Arial"/>
          <w:sz w:val="24"/>
          <w:szCs w:val="24"/>
        </w:rPr>
        <w:tab/>
        <w:t xml:space="preserve">Acar H, Srivastava S, Chung EJ, et al. Self-assembling peptide-based building blocks in medical applications. </w:t>
      </w:r>
      <w:r w:rsidRPr="00785166">
        <w:rPr>
          <w:rFonts w:ascii="Arial" w:cs="Arial"/>
          <w:i/>
          <w:iCs/>
          <w:sz w:val="24"/>
          <w:szCs w:val="24"/>
        </w:rPr>
        <w:t>Adv Drug Deliv Rev</w:t>
      </w:r>
      <w:r w:rsidRPr="00785166">
        <w:rPr>
          <w:rFonts w:ascii="Arial" w:cs="Arial"/>
          <w:sz w:val="24"/>
          <w:szCs w:val="24"/>
        </w:rPr>
        <w:t>. 2017;110-111:65-79. doi:10.1016/j.addr.2016.08.006</w:t>
      </w:r>
    </w:p>
    <w:p w14:paraId="439353CC" w14:textId="77777777" w:rsidR="008F09C1" w:rsidRPr="00785166" w:rsidRDefault="008F09C1" w:rsidP="00785166">
      <w:pPr>
        <w:pStyle w:val="Bibliography"/>
        <w:rPr>
          <w:rFonts w:ascii="Arial" w:cs="Arial"/>
          <w:sz w:val="24"/>
          <w:szCs w:val="24"/>
        </w:rPr>
      </w:pPr>
      <w:r w:rsidRPr="00785166">
        <w:rPr>
          <w:rFonts w:ascii="Arial" w:cs="Arial"/>
          <w:sz w:val="24"/>
          <w:szCs w:val="24"/>
        </w:rPr>
        <w:t>107.</w:t>
      </w:r>
      <w:r w:rsidRPr="00785166">
        <w:rPr>
          <w:rFonts w:ascii="Arial" w:cs="Arial"/>
          <w:sz w:val="24"/>
          <w:szCs w:val="24"/>
        </w:rPr>
        <w:tab/>
        <w:t xml:space="preserve">Nagy KJ, Giano MC, Jin A, Pochan DJ, Schneider JP. Enhanced Mechanical Rigidity of Hydrogels Formed From Enantiomeric Peptide Assemblies. </w:t>
      </w:r>
      <w:r w:rsidRPr="00785166">
        <w:rPr>
          <w:rFonts w:ascii="Arial" w:cs="Arial"/>
          <w:i/>
          <w:iCs/>
          <w:sz w:val="24"/>
          <w:szCs w:val="24"/>
        </w:rPr>
        <w:t>J Am Chem Soc</w:t>
      </w:r>
      <w:r w:rsidRPr="00785166">
        <w:rPr>
          <w:rFonts w:ascii="Arial" w:cs="Arial"/>
          <w:sz w:val="24"/>
          <w:szCs w:val="24"/>
        </w:rPr>
        <w:t>. 2011;133(38):14975-14977. doi:10.1021/ja206742m</w:t>
      </w:r>
    </w:p>
    <w:p w14:paraId="06029A12" w14:textId="77777777" w:rsidR="008F09C1" w:rsidRPr="00785166" w:rsidRDefault="008F09C1" w:rsidP="00785166">
      <w:pPr>
        <w:pStyle w:val="Bibliography"/>
        <w:rPr>
          <w:rFonts w:ascii="Arial" w:cs="Arial"/>
          <w:sz w:val="24"/>
          <w:szCs w:val="24"/>
        </w:rPr>
      </w:pPr>
      <w:r w:rsidRPr="00785166">
        <w:rPr>
          <w:rFonts w:ascii="Arial" w:cs="Arial"/>
          <w:sz w:val="24"/>
          <w:szCs w:val="24"/>
        </w:rPr>
        <w:t>108.</w:t>
      </w:r>
      <w:r w:rsidRPr="00785166">
        <w:rPr>
          <w:rFonts w:ascii="Arial" w:cs="Arial"/>
          <w:sz w:val="24"/>
          <w:szCs w:val="24"/>
        </w:rPr>
        <w:tab/>
        <w:t xml:space="preserve">Wu D, Sinha N, Lee J, et al. Polymers with controlled assembly and rigidity made with click-functional peptide bundles. </w:t>
      </w:r>
      <w:r w:rsidRPr="00785166">
        <w:rPr>
          <w:rFonts w:ascii="Arial" w:cs="Arial"/>
          <w:i/>
          <w:iCs/>
          <w:sz w:val="24"/>
          <w:szCs w:val="24"/>
        </w:rPr>
        <w:t>Nature</w:t>
      </w:r>
      <w:r w:rsidRPr="00785166">
        <w:rPr>
          <w:rFonts w:ascii="Arial" w:cs="Arial"/>
          <w:sz w:val="24"/>
          <w:szCs w:val="24"/>
        </w:rPr>
        <w:t>. 2019;574(7780):658-662. doi:10.1038/s41586-019-1683-4</w:t>
      </w:r>
    </w:p>
    <w:p w14:paraId="2CDD59AA" w14:textId="77777777" w:rsidR="008F09C1" w:rsidRPr="00785166" w:rsidRDefault="008F09C1" w:rsidP="00785166">
      <w:pPr>
        <w:pStyle w:val="Bibliography"/>
        <w:rPr>
          <w:rFonts w:ascii="Arial" w:cs="Arial"/>
          <w:sz w:val="24"/>
          <w:szCs w:val="24"/>
        </w:rPr>
      </w:pPr>
      <w:r w:rsidRPr="00785166">
        <w:rPr>
          <w:rFonts w:ascii="Arial" w:cs="Arial"/>
          <w:sz w:val="24"/>
          <w:szCs w:val="24"/>
        </w:rPr>
        <w:t>109.</w:t>
      </w:r>
      <w:r w:rsidRPr="00785166">
        <w:rPr>
          <w:rFonts w:ascii="Arial" w:cs="Arial"/>
          <w:sz w:val="24"/>
          <w:szCs w:val="24"/>
        </w:rPr>
        <w:tab/>
        <w:t xml:space="preserve">Hamsici S, Sardan Ekiz M, Cinar Ciftci G, Tekinay AB, Guler MO. Gemcitabine Integrated Nano-Prodrug Carrier System. </w:t>
      </w:r>
      <w:r w:rsidRPr="00785166">
        <w:rPr>
          <w:rFonts w:ascii="Arial" w:cs="Arial"/>
          <w:i/>
          <w:iCs/>
          <w:sz w:val="24"/>
          <w:szCs w:val="24"/>
        </w:rPr>
        <w:t>Bioconjugate Chem</w:t>
      </w:r>
      <w:r w:rsidRPr="00785166">
        <w:rPr>
          <w:rFonts w:ascii="Arial" w:cs="Arial"/>
          <w:sz w:val="24"/>
          <w:szCs w:val="24"/>
        </w:rPr>
        <w:t>. 2017;28(5):1491-1498. doi:10.1021/acs.bioconjchem.7b00155</w:t>
      </w:r>
    </w:p>
    <w:p w14:paraId="42C5A048" w14:textId="77777777" w:rsidR="008F09C1" w:rsidRPr="00785166" w:rsidRDefault="008F09C1" w:rsidP="00785166">
      <w:pPr>
        <w:pStyle w:val="Bibliography"/>
        <w:rPr>
          <w:rFonts w:ascii="Arial" w:cs="Arial"/>
          <w:sz w:val="24"/>
          <w:szCs w:val="24"/>
        </w:rPr>
      </w:pPr>
      <w:r w:rsidRPr="00785166">
        <w:rPr>
          <w:rFonts w:ascii="Arial" w:cs="Arial"/>
          <w:sz w:val="24"/>
          <w:szCs w:val="24"/>
        </w:rPr>
        <w:t>110.</w:t>
      </w:r>
      <w:r w:rsidRPr="00785166">
        <w:rPr>
          <w:rFonts w:ascii="Arial" w:cs="Arial"/>
          <w:sz w:val="24"/>
          <w:szCs w:val="24"/>
        </w:rPr>
        <w:tab/>
        <w:t xml:space="preserve">Cinar G, Ozdemir A, Hamsici S, et al. Local delivery of doxorubicin through supramolecular peptide amphiphile nanofiber gels. </w:t>
      </w:r>
      <w:r w:rsidRPr="00785166">
        <w:rPr>
          <w:rFonts w:ascii="Arial" w:cs="Arial"/>
          <w:i/>
          <w:iCs/>
          <w:sz w:val="24"/>
          <w:szCs w:val="24"/>
        </w:rPr>
        <w:t>Biomater Sci</w:t>
      </w:r>
      <w:r w:rsidRPr="00785166">
        <w:rPr>
          <w:rFonts w:ascii="Arial" w:cs="Arial"/>
          <w:sz w:val="24"/>
          <w:szCs w:val="24"/>
        </w:rPr>
        <w:t>. 2017;5(1):67-76. doi:10.1039/C6BM00656F</w:t>
      </w:r>
    </w:p>
    <w:p w14:paraId="32A2B59C" w14:textId="77777777" w:rsidR="008F09C1" w:rsidRPr="00785166" w:rsidRDefault="008F09C1" w:rsidP="00785166">
      <w:pPr>
        <w:pStyle w:val="Bibliography"/>
        <w:rPr>
          <w:rFonts w:ascii="Arial" w:cs="Arial"/>
          <w:sz w:val="24"/>
          <w:szCs w:val="24"/>
        </w:rPr>
      </w:pPr>
      <w:r w:rsidRPr="00785166">
        <w:rPr>
          <w:rFonts w:ascii="Arial" w:cs="Arial"/>
          <w:sz w:val="24"/>
          <w:szCs w:val="24"/>
        </w:rPr>
        <w:t>111.</w:t>
      </w:r>
      <w:r w:rsidRPr="00785166">
        <w:rPr>
          <w:rFonts w:ascii="Arial" w:cs="Arial"/>
          <w:sz w:val="24"/>
          <w:szCs w:val="24"/>
        </w:rPr>
        <w:tab/>
        <w:t xml:space="preserve">Gunay G, Sardan Ekiz M, Ferhati X, et al. Antigenic GM3 Lactone Mimetic Molecule Integrated Mannosylated Glycopeptide Nanofibers for the Activation and Maturation of Dendritic Cells. </w:t>
      </w:r>
      <w:r w:rsidRPr="00785166">
        <w:rPr>
          <w:rFonts w:ascii="Arial" w:cs="Arial"/>
          <w:i/>
          <w:iCs/>
          <w:sz w:val="24"/>
          <w:szCs w:val="24"/>
        </w:rPr>
        <w:t>ACS Appl Mater Interfaces</w:t>
      </w:r>
      <w:r w:rsidRPr="00785166">
        <w:rPr>
          <w:rFonts w:ascii="Arial" w:cs="Arial"/>
          <w:sz w:val="24"/>
          <w:szCs w:val="24"/>
        </w:rPr>
        <w:t>. 2017;9(19):16035-16042. doi:10.1021/acsami.7b04094</w:t>
      </w:r>
    </w:p>
    <w:p w14:paraId="271DF824" w14:textId="77777777" w:rsidR="008F09C1" w:rsidRPr="00785166" w:rsidRDefault="008F09C1" w:rsidP="00785166">
      <w:pPr>
        <w:pStyle w:val="Bibliography"/>
        <w:rPr>
          <w:rFonts w:ascii="Arial" w:cs="Arial"/>
          <w:sz w:val="24"/>
          <w:szCs w:val="24"/>
        </w:rPr>
      </w:pPr>
      <w:r w:rsidRPr="00785166">
        <w:rPr>
          <w:rFonts w:ascii="Arial" w:cs="Arial"/>
          <w:sz w:val="24"/>
          <w:szCs w:val="24"/>
        </w:rPr>
        <w:t>112.</w:t>
      </w:r>
      <w:r w:rsidRPr="00785166">
        <w:rPr>
          <w:rFonts w:ascii="Arial" w:cs="Arial"/>
          <w:sz w:val="24"/>
          <w:szCs w:val="24"/>
        </w:rPr>
        <w:tab/>
        <w:t xml:space="preserve">Gunay G, Sever M, Tekinay AB, Guler MO. Three-Dimensional Laminin Mimetic Peptide Nanofiber Gels for In Vitro Neural Differentiation. </w:t>
      </w:r>
      <w:r w:rsidRPr="00785166">
        <w:rPr>
          <w:rFonts w:ascii="Arial" w:cs="Arial"/>
          <w:i/>
          <w:iCs/>
          <w:sz w:val="24"/>
          <w:szCs w:val="24"/>
        </w:rPr>
        <w:t>Biotechnol J</w:t>
      </w:r>
      <w:r w:rsidRPr="00785166">
        <w:rPr>
          <w:rFonts w:ascii="Arial" w:cs="Arial"/>
          <w:sz w:val="24"/>
          <w:szCs w:val="24"/>
        </w:rPr>
        <w:t>. 2017;12(12):1-9. doi:https://doi.org/10.1002/biot.201700080</w:t>
      </w:r>
    </w:p>
    <w:p w14:paraId="43C54815" w14:textId="77777777" w:rsidR="008F09C1" w:rsidRPr="00785166" w:rsidRDefault="008F09C1" w:rsidP="00785166">
      <w:pPr>
        <w:pStyle w:val="Bibliography"/>
        <w:rPr>
          <w:rFonts w:ascii="Arial" w:cs="Arial"/>
          <w:sz w:val="24"/>
          <w:szCs w:val="24"/>
        </w:rPr>
      </w:pPr>
      <w:r w:rsidRPr="00785166">
        <w:rPr>
          <w:rFonts w:ascii="Arial" w:cs="Arial"/>
          <w:sz w:val="24"/>
          <w:szCs w:val="24"/>
        </w:rPr>
        <w:t>113.</w:t>
      </w:r>
      <w:r w:rsidRPr="00785166">
        <w:rPr>
          <w:rFonts w:ascii="Arial" w:cs="Arial"/>
          <w:sz w:val="24"/>
          <w:szCs w:val="24"/>
        </w:rPr>
        <w:tab/>
        <w:t xml:space="preserve">Hamsici S, Cinar G, Celebioglu A, Uyar T, B. Tekinay A, O. Guler M. Bioactive peptide functionalized aligned cyclodextrin nanofibers for neurite outgrowth. </w:t>
      </w:r>
      <w:r w:rsidRPr="00785166">
        <w:rPr>
          <w:rFonts w:ascii="Arial" w:cs="Arial"/>
          <w:i/>
          <w:iCs/>
          <w:sz w:val="24"/>
          <w:szCs w:val="24"/>
        </w:rPr>
        <w:t>J Mater Chem B</w:t>
      </w:r>
      <w:r w:rsidRPr="00785166">
        <w:rPr>
          <w:rFonts w:ascii="Arial" w:cs="Arial"/>
          <w:sz w:val="24"/>
          <w:szCs w:val="24"/>
        </w:rPr>
        <w:t>. 2017;5(3):517-524. doi:10.1039/C6TB02441F</w:t>
      </w:r>
    </w:p>
    <w:p w14:paraId="026B20A7" w14:textId="77777777" w:rsidR="008F09C1" w:rsidRPr="00785166" w:rsidRDefault="008F09C1" w:rsidP="00785166">
      <w:pPr>
        <w:pStyle w:val="Bibliography"/>
        <w:rPr>
          <w:rFonts w:ascii="Arial" w:cs="Arial"/>
          <w:sz w:val="24"/>
          <w:szCs w:val="24"/>
        </w:rPr>
      </w:pPr>
      <w:r w:rsidRPr="00785166">
        <w:rPr>
          <w:rFonts w:ascii="Arial" w:cs="Arial"/>
          <w:sz w:val="24"/>
          <w:szCs w:val="24"/>
        </w:rPr>
        <w:t>114.</w:t>
      </w:r>
      <w:r w:rsidRPr="00785166">
        <w:rPr>
          <w:rFonts w:ascii="Arial" w:cs="Arial"/>
          <w:sz w:val="24"/>
          <w:szCs w:val="24"/>
        </w:rPr>
        <w:tab/>
        <w:t xml:space="preserve">Acar H, Garifullin R, Aygun LE, Okyay AK, Guler MO. Amyloid-like peptide nanofiber templated titania nanostructures as dye sensitized solar cell anodic materials. </w:t>
      </w:r>
      <w:r w:rsidRPr="00785166">
        <w:rPr>
          <w:rFonts w:ascii="Arial" w:cs="Arial"/>
          <w:i/>
          <w:iCs/>
          <w:sz w:val="24"/>
          <w:szCs w:val="24"/>
        </w:rPr>
        <w:t>J Mater Chem A</w:t>
      </w:r>
      <w:r w:rsidRPr="00785166">
        <w:rPr>
          <w:rFonts w:ascii="Arial" w:cs="Arial"/>
          <w:sz w:val="24"/>
          <w:szCs w:val="24"/>
        </w:rPr>
        <w:t>. 2013;1(36):10979-10984. doi:10.1039/C3TA11542A</w:t>
      </w:r>
    </w:p>
    <w:p w14:paraId="62D06408" w14:textId="77777777" w:rsidR="008F09C1" w:rsidRPr="00785166" w:rsidRDefault="008F09C1" w:rsidP="00785166">
      <w:pPr>
        <w:pStyle w:val="Bibliography"/>
        <w:rPr>
          <w:rFonts w:ascii="Arial" w:cs="Arial"/>
          <w:sz w:val="24"/>
          <w:szCs w:val="24"/>
        </w:rPr>
      </w:pPr>
      <w:r w:rsidRPr="00785166">
        <w:rPr>
          <w:rFonts w:ascii="Arial" w:cs="Arial"/>
          <w:sz w:val="24"/>
          <w:szCs w:val="24"/>
        </w:rPr>
        <w:t>115.</w:t>
      </w:r>
      <w:r w:rsidRPr="00785166">
        <w:rPr>
          <w:rFonts w:ascii="Arial" w:cs="Arial"/>
          <w:sz w:val="24"/>
          <w:szCs w:val="24"/>
        </w:rPr>
        <w:tab/>
        <w:t xml:space="preserve">Acar H. </w:t>
      </w:r>
      <w:r w:rsidRPr="00785166">
        <w:rPr>
          <w:rFonts w:ascii="Arial" w:cs="Arial"/>
          <w:i/>
          <w:iCs/>
          <w:sz w:val="24"/>
          <w:szCs w:val="24"/>
        </w:rPr>
        <w:t>Self-Assembled Peptide Template Directed Synthesis of One-Dimensional Inorganic Nanostructures and Their Applications</w:t>
      </w:r>
      <w:r w:rsidRPr="00785166">
        <w:rPr>
          <w:rFonts w:ascii="Arial" w:cs="Arial"/>
          <w:sz w:val="24"/>
          <w:szCs w:val="24"/>
        </w:rPr>
        <w:t>. Thesis. Bilkent University; 2012. Accessed February 8, 2020. http://repository.bilkent.edu.tr/handle/11693/16921</w:t>
      </w:r>
    </w:p>
    <w:p w14:paraId="6F9A7E0B" w14:textId="77777777" w:rsidR="008F09C1" w:rsidRPr="00785166" w:rsidRDefault="008F09C1" w:rsidP="00785166">
      <w:pPr>
        <w:pStyle w:val="Bibliography"/>
        <w:rPr>
          <w:rFonts w:ascii="Arial" w:cs="Arial"/>
          <w:sz w:val="24"/>
          <w:szCs w:val="24"/>
        </w:rPr>
      </w:pPr>
      <w:r w:rsidRPr="00785166">
        <w:rPr>
          <w:rFonts w:ascii="Arial" w:cs="Arial"/>
          <w:sz w:val="24"/>
          <w:szCs w:val="24"/>
        </w:rPr>
        <w:t>116.</w:t>
      </w:r>
      <w:r w:rsidRPr="00785166">
        <w:rPr>
          <w:rFonts w:ascii="Arial" w:cs="Arial"/>
          <w:sz w:val="24"/>
          <w:szCs w:val="24"/>
        </w:rPr>
        <w:tab/>
        <w:t xml:space="preserve">Hamsici S, Gunay G, Kirit H, Kamatar A, Loving K, Acar H. CHAPTER 9 Drug Delivery Applications of Peptide Materials. In: </w:t>
      </w:r>
      <w:r w:rsidRPr="00785166">
        <w:rPr>
          <w:rFonts w:ascii="Arial" w:cs="Arial"/>
          <w:i/>
          <w:iCs/>
          <w:sz w:val="24"/>
          <w:szCs w:val="24"/>
        </w:rPr>
        <w:t>Peptide-Based Biomaterials</w:t>
      </w:r>
      <w:r w:rsidRPr="00785166">
        <w:rPr>
          <w:rFonts w:ascii="Arial" w:cs="Arial"/>
          <w:sz w:val="24"/>
          <w:szCs w:val="24"/>
        </w:rPr>
        <w:t>. The Royal Society of Chemistry; 2021:291-334. doi:10.1039/9781839161148-00291</w:t>
      </w:r>
    </w:p>
    <w:p w14:paraId="14E25580" w14:textId="77777777" w:rsidR="008F09C1" w:rsidRPr="00785166" w:rsidRDefault="008F09C1" w:rsidP="00785166">
      <w:pPr>
        <w:pStyle w:val="Bibliography"/>
        <w:rPr>
          <w:rFonts w:ascii="Arial" w:cs="Arial"/>
          <w:sz w:val="24"/>
          <w:szCs w:val="24"/>
        </w:rPr>
      </w:pPr>
      <w:r w:rsidRPr="00785166">
        <w:rPr>
          <w:rFonts w:ascii="Arial" w:cs="Arial"/>
          <w:sz w:val="24"/>
          <w:szCs w:val="24"/>
        </w:rPr>
        <w:t>117.</w:t>
      </w:r>
      <w:r w:rsidRPr="00785166">
        <w:rPr>
          <w:rFonts w:ascii="Arial" w:cs="Arial"/>
          <w:sz w:val="24"/>
          <w:szCs w:val="24"/>
        </w:rPr>
        <w:tab/>
        <w:t xml:space="preserve">Webber MJ, Pashuck ET. (Macro)molecular self-assembly for hydrogel drug delivery. </w:t>
      </w:r>
      <w:r w:rsidRPr="00785166">
        <w:rPr>
          <w:rFonts w:ascii="Arial" w:cs="Arial"/>
          <w:i/>
          <w:iCs/>
          <w:sz w:val="24"/>
          <w:szCs w:val="24"/>
        </w:rPr>
        <w:t>Adv Drug Deliv Rev</w:t>
      </w:r>
      <w:r w:rsidRPr="00785166">
        <w:rPr>
          <w:rFonts w:ascii="Arial" w:cs="Arial"/>
          <w:sz w:val="24"/>
          <w:szCs w:val="24"/>
        </w:rPr>
        <w:t>. 2021;172:275-295. doi:10.1016/j.addr.2021.01.006</w:t>
      </w:r>
    </w:p>
    <w:p w14:paraId="49F6B962" w14:textId="77777777" w:rsidR="008F09C1" w:rsidRPr="00785166" w:rsidRDefault="008F09C1" w:rsidP="00785166">
      <w:pPr>
        <w:pStyle w:val="Bibliography"/>
        <w:rPr>
          <w:rFonts w:ascii="Arial" w:cs="Arial"/>
          <w:sz w:val="24"/>
          <w:szCs w:val="24"/>
        </w:rPr>
      </w:pPr>
      <w:r w:rsidRPr="00785166">
        <w:rPr>
          <w:rFonts w:ascii="Arial" w:cs="Arial"/>
          <w:sz w:val="24"/>
          <w:szCs w:val="24"/>
        </w:rPr>
        <w:t>118.</w:t>
      </w:r>
      <w:r w:rsidRPr="00785166">
        <w:rPr>
          <w:rFonts w:ascii="Arial" w:cs="Arial"/>
          <w:sz w:val="24"/>
          <w:szCs w:val="24"/>
        </w:rPr>
        <w:tab/>
        <w:t xml:space="preserve">Wei G, Su Z, P. Reynolds N, et al. Self-assembling peptide and protein amyloids: from structure to tailored function in nanotechnology. </w:t>
      </w:r>
      <w:r w:rsidRPr="00785166">
        <w:rPr>
          <w:rFonts w:ascii="Arial" w:cs="Arial"/>
          <w:i/>
          <w:iCs/>
          <w:sz w:val="24"/>
          <w:szCs w:val="24"/>
        </w:rPr>
        <w:t>Chem Soc Rev</w:t>
      </w:r>
      <w:r w:rsidRPr="00785166">
        <w:rPr>
          <w:rFonts w:ascii="Arial" w:cs="Arial"/>
          <w:sz w:val="24"/>
          <w:szCs w:val="24"/>
        </w:rPr>
        <w:t>. 2017;46(15):4661-4708. doi:10.1039/C6CS00542J</w:t>
      </w:r>
    </w:p>
    <w:p w14:paraId="1932D30C" w14:textId="77777777" w:rsidR="008F09C1" w:rsidRPr="00785166" w:rsidRDefault="008F09C1" w:rsidP="00785166">
      <w:pPr>
        <w:pStyle w:val="Bibliography"/>
        <w:rPr>
          <w:rFonts w:ascii="Arial" w:cs="Arial"/>
          <w:sz w:val="24"/>
          <w:szCs w:val="24"/>
        </w:rPr>
      </w:pPr>
      <w:r w:rsidRPr="00785166">
        <w:rPr>
          <w:rFonts w:ascii="Arial" w:cs="Arial"/>
          <w:sz w:val="24"/>
          <w:szCs w:val="24"/>
        </w:rPr>
        <w:t>119.</w:t>
      </w:r>
      <w:r w:rsidRPr="00785166">
        <w:rPr>
          <w:rFonts w:ascii="Arial" w:cs="Arial"/>
          <w:sz w:val="24"/>
          <w:szCs w:val="24"/>
        </w:rPr>
        <w:tab/>
        <w:t xml:space="preserve">Aliyan A, Cook NP, Martí AA. Interrogating Amyloid Aggregates using Fluorescent Probes. </w:t>
      </w:r>
      <w:r w:rsidRPr="00785166">
        <w:rPr>
          <w:rFonts w:ascii="Arial" w:cs="Arial"/>
          <w:i/>
          <w:iCs/>
          <w:sz w:val="24"/>
          <w:szCs w:val="24"/>
        </w:rPr>
        <w:t>Chem Rev</w:t>
      </w:r>
      <w:r w:rsidRPr="00785166">
        <w:rPr>
          <w:rFonts w:ascii="Arial" w:cs="Arial"/>
          <w:sz w:val="24"/>
          <w:szCs w:val="24"/>
        </w:rPr>
        <w:t>. 2019;119(23):11819-11856. doi:10.1021/acs.chemrev.9b00404</w:t>
      </w:r>
    </w:p>
    <w:p w14:paraId="4DD74328" w14:textId="77777777" w:rsidR="008F09C1" w:rsidRPr="00785166" w:rsidRDefault="008F09C1" w:rsidP="00785166">
      <w:pPr>
        <w:pStyle w:val="Bibliography"/>
        <w:rPr>
          <w:rFonts w:ascii="Arial" w:cs="Arial"/>
          <w:sz w:val="24"/>
          <w:szCs w:val="24"/>
        </w:rPr>
      </w:pPr>
      <w:r w:rsidRPr="00785166">
        <w:rPr>
          <w:rFonts w:ascii="Arial" w:cs="Arial"/>
          <w:sz w:val="24"/>
          <w:szCs w:val="24"/>
        </w:rPr>
        <w:t>120.</w:t>
      </w:r>
      <w:r w:rsidRPr="00785166">
        <w:rPr>
          <w:rFonts w:ascii="Arial" w:cs="Arial"/>
          <w:sz w:val="24"/>
          <w:szCs w:val="24"/>
        </w:rPr>
        <w:tab/>
        <w:t xml:space="preserve">Lodish H, Berk A, Zipursky SL, Matsudaira P, Baltimore D, Darnell J. Noncovalent Bonds. In: </w:t>
      </w:r>
      <w:r w:rsidRPr="00785166">
        <w:rPr>
          <w:rFonts w:ascii="Arial" w:cs="Arial"/>
          <w:i/>
          <w:iCs/>
          <w:sz w:val="24"/>
          <w:szCs w:val="24"/>
        </w:rPr>
        <w:t>Molecular Cell Biology. 4th Edition</w:t>
      </w:r>
      <w:r w:rsidRPr="00785166">
        <w:rPr>
          <w:rFonts w:ascii="Arial" w:cs="Arial"/>
          <w:sz w:val="24"/>
          <w:szCs w:val="24"/>
        </w:rPr>
        <w:t>. 4th ed. WH Freeman; 2000. Accessed September 1, 2021. https://www.ncbi.nlm.nih.gov/books/NBK21726/</w:t>
      </w:r>
    </w:p>
    <w:p w14:paraId="56384087" w14:textId="77777777" w:rsidR="008F09C1" w:rsidRPr="00785166" w:rsidRDefault="008F09C1" w:rsidP="00785166">
      <w:pPr>
        <w:pStyle w:val="Bibliography"/>
        <w:rPr>
          <w:rFonts w:ascii="Arial" w:cs="Arial"/>
          <w:sz w:val="24"/>
          <w:szCs w:val="24"/>
        </w:rPr>
      </w:pPr>
      <w:r w:rsidRPr="00785166">
        <w:rPr>
          <w:rFonts w:ascii="Arial" w:cs="Arial"/>
          <w:sz w:val="24"/>
          <w:szCs w:val="24"/>
        </w:rPr>
        <w:t>121.</w:t>
      </w:r>
      <w:r w:rsidRPr="00785166">
        <w:rPr>
          <w:rFonts w:ascii="Arial" w:cs="Arial"/>
          <w:sz w:val="24"/>
          <w:szCs w:val="24"/>
        </w:rPr>
        <w:tab/>
        <w:t xml:space="preserve">Zeravcic Z, Manoharan VN, Brenner MP. Size limits of self-assembled colloidal structures made using specific interactions. </w:t>
      </w:r>
      <w:r w:rsidRPr="00785166">
        <w:rPr>
          <w:rFonts w:ascii="Arial" w:cs="Arial"/>
          <w:i/>
          <w:iCs/>
          <w:sz w:val="24"/>
          <w:szCs w:val="24"/>
        </w:rPr>
        <w:t>PNAS</w:t>
      </w:r>
      <w:r w:rsidRPr="00785166">
        <w:rPr>
          <w:rFonts w:ascii="Arial" w:cs="Arial"/>
          <w:sz w:val="24"/>
          <w:szCs w:val="24"/>
        </w:rPr>
        <w:t>. 2014;111(45):15918-15923. doi:10.1073/pnas.1411765111</w:t>
      </w:r>
    </w:p>
    <w:p w14:paraId="47106391" w14:textId="77777777" w:rsidR="008F09C1" w:rsidRPr="00785166" w:rsidRDefault="008F09C1" w:rsidP="00785166">
      <w:pPr>
        <w:pStyle w:val="Bibliography"/>
        <w:rPr>
          <w:rFonts w:ascii="Arial" w:cs="Arial"/>
          <w:sz w:val="24"/>
          <w:szCs w:val="24"/>
        </w:rPr>
      </w:pPr>
      <w:r w:rsidRPr="00785166">
        <w:rPr>
          <w:rFonts w:ascii="Arial" w:cs="Arial"/>
          <w:sz w:val="24"/>
          <w:szCs w:val="24"/>
        </w:rPr>
        <w:t>122.</w:t>
      </w:r>
      <w:r w:rsidRPr="00785166">
        <w:rPr>
          <w:rFonts w:ascii="Arial" w:cs="Arial"/>
          <w:sz w:val="24"/>
          <w:szCs w:val="24"/>
        </w:rPr>
        <w:tab/>
        <w:t xml:space="preserve">Klimov DK, Thirumalai D. Dissecting the Assembly of Aβ16–22 Amyloid Peptides into Antipar-allel β Sheets. </w:t>
      </w:r>
      <w:r w:rsidRPr="00785166">
        <w:rPr>
          <w:rFonts w:ascii="Arial" w:cs="Arial"/>
          <w:i/>
          <w:iCs/>
          <w:sz w:val="24"/>
          <w:szCs w:val="24"/>
        </w:rPr>
        <w:t>Structure</w:t>
      </w:r>
      <w:r w:rsidRPr="00785166">
        <w:rPr>
          <w:rFonts w:ascii="Arial" w:cs="Arial"/>
          <w:sz w:val="24"/>
          <w:szCs w:val="24"/>
        </w:rPr>
        <w:t>. 2003;11(3):295-307. doi:10.1016/S0969-2126(03)00031-5.</w:t>
      </w:r>
    </w:p>
    <w:p w14:paraId="5AC89A6D" w14:textId="77777777" w:rsidR="008F09C1" w:rsidRPr="00785166" w:rsidRDefault="008F09C1" w:rsidP="00785166">
      <w:pPr>
        <w:pStyle w:val="Bibliography"/>
        <w:rPr>
          <w:rFonts w:ascii="Arial" w:cs="Arial"/>
          <w:sz w:val="24"/>
          <w:szCs w:val="24"/>
        </w:rPr>
      </w:pPr>
      <w:r w:rsidRPr="00785166">
        <w:rPr>
          <w:rFonts w:ascii="Arial" w:cs="Arial"/>
          <w:sz w:val="24"/>
          <w:szCs w:val="24"/>
        </w:rPr>
        <w:t>123.</w:t>
      </w:r>
      <w:r w:rsidRPr="00785166">
        <w:rPr>
          <w:rFonts w:ascii="Arial" w:cs="Arial"/>
          <w:sz w:val="24"/>
          <w:szCs w:val="24"/>
        </w:rPr>
        <w:tab/>
        <w:t xml:space="preserve">White AD, Keefe AJ, Ella-Menye JR, et al. Free Energy of Solvated Salt Bridges: A Simulation and Experimental Study. </w:t>
      </w:r>
      <w:r w:rsidRPr="00785166">
        <w:rPr>
          <w:rFonts w:ascii="Arial" w:cs="Arial"/>
          <w:i/>
          <w:iCs/>
          <w:sz w:val="24"/>
          <w:szCs w:val="24"/>
        </w:rPr>
        <w:t>J Phys Chem B</w:t>
      </w:r>
      <w:r w:rsidRPr="00785166">
        <w:rPr>
          <w:rFonts w:ascii="Arial" w:cs="Arial"/>
          <w:sz w:val="24"/>
          <w:szCs w:val="24"/>
        </w:rPr>
        <w:t>. 2013;117(24):7254-7259. doi:10.1021/jp4024469</w:t>
      </w:r>
    </w:p>
    <w:p w14:paraId="5CD91EE3" w14:textId="77777777" w:rsidR="008F09C1" w:rsidRPr="00785166" w:rsidRDefault="008F09C1" w:rsidP="00785166">
      <w:pPr>
        <w:pStyle w:val="Bibliography"/>
        <w:rPr>
          <w:rFonts w:ascii="Arial" w:cs="Arial"/>
          <w:sz w:val="24"/>
          <w:szCs w:val="24"/>
        </w:rPr>
      </w:pPr>
      <w:r w:rsidRPr="00785166">
        <w:rPr>
          <w:rFonts w:ascii="Arial" w:cs="Arial"/>
          <w:sz w:val="24"/>
          <w:szCs w:val="24"/>
        </w:rPr>
        <w:t>124.</w:t>
      </w:r>
      <w:r w:rsidRPr="00785166">
        <w:rPr>
          <w:rFonts w:ascii="Arial" w:cs="Arial"/>
          <w:sz w:val="24"/>
          <w:szCs w:val="24"/>
        </w:rPr>
        <w:tab/>
        <w:t xml:space="preserve">Jalan AA, Hartgerink JD. Pairwise Interactions in Collagen and the Design of Heterotrimeric Helices. </w:t>
      </w:r>
      <w:r w:rsidRPr="00785166">
        <w:rPr>
          <w:rFonts w:ascii="Arial" w:cs="Arial"/>
          <w:i/>
          <w:iCs/>
          <w:sz w:val="24"/>
          <w:szCs w:val="24"/>
        </w:rPr>
        <w:t>Curr Opin Chem Biol</w:t>
      </w:r>
      <w:r w:rsidRPr="00785166">
        <w:rPr>
          <w:rFonts w:ascii="Arial" w:cs="Arial"/>
          <w:sz w:val="24"/>
          <w:szCs w:val="24"/>
        </w:rPr>
        <w:t>. 2013;17(6):960-967. doi:10.1016/j.cbpa.2013.10.019.</w:t>
      </w:r>
    </w:p>
    <w:p w14:paraId="1082DBC2" w14:textId="77777777" w:rsidR="008F09C1" w:rsidRPr="00785166" w:rsidRDefault="008F09C1" w:rsidP="00785166">
      <w:pPr>
        <w:pStyle w:val="Bibliography"/>
        <w:rPr>
          <w:rFonts w:ascii="Arial" w:cs="Arial"/>
          <w:sz w:val="24"/>
          <w:szCs w:val="24"/>
        </w:rPr>
      </w:pPr>
      <w:r w:rsidRPr="00785166">
        <w:rPr>
          <w:rFonts w:ascii="Arial" w:cs="Arial"/>
          <w:sz w:val="24"/>
          <w:szCs w:val="24"/>
        </w:rPr>
        <w:t>125.</w:t>
      </w:r>
      <w:r w:rsidRPr="00785166">
        <w:rPr>
          <w:rFonts w:ascii="Arial" w:cs="Arial"/>
          <w:sz w:val="24"/>
          <w:szCs w:val="24"/>
        </w:rPr>
        <w:tab/>
        <w:t xml:space="preserve">Banerjee J, Azevedo HS. Crafting of Functional Biomaterials by Directed Molecular Self-Assembly of Triple Helical Peptide Building Blocks. </w:t>
      </w:r>
      <w:r w:rsidRPr="00785166">
        <w:rPr>
          <w:rFonts w:ascii="Arial" w:cs="Arial"/>
          <w:i/>
          <w:iCs/>
          <w:sz w:val="24"/>
          <w:szCs w:val="24"/>
        </w:rPr>
        <w:t>Interface Focus</w:t>
      </w:r>
      <w:r w:rsidRPr="00785166">
        <w:rPr>
          <w:rFonts w:ascii="Arial" w:cs="Arial"/>
          <w:sz w:val="24"/>
          <w:szCs w:val="24"/>
        </w:rPr>
        <w:t>. 2017;7(6):20160138. doi:10.1098/rsfs.2016.0138.</w:t>
      </w:r>
    </w:p>
    <w:p w14:paraId="07356D88" w14:textId="77777777" w:rsidR="008F09C1" w:rsidRPr="00785166" w:rsidRDefault="008F09C1" w:rsidP="00785166">
      <w:pPr>
        <w:pStyle w:val="Bibliography"/>
        <w:rPr>
          <w:rFonts w:ascii="Arial" w:cs="Arial"/>
          <w:sz w:val="24"/>
          <w:szCs w:val="24"/>
        </w:rPr>
      </w:pPr>
      <w:r w:rsidRPr="00785166">
        <w:rPr>
          <w:rFonts w:ascii="Arial" w:cs="Arial"/>
          <w:sz w:val="24"/>
          <w:szCs w:val="24"/>
        </w:rPr>
        <w:t>126.</w:t>
      </w:r>
      <w:r w:rsidRPr="00785166">
        <w:rPr>
          <w:rFonts w:ascii="Arial" w:cs="Arial"/>
          <w:sz w:val="24"/>
          <w:szCs w:val="24"/>
        </w:rPr>
        <w:tab/>
        <w:t xml:space="preserve">Monera OD, Sereda TJ, Zhou NE, Kay CM, Hodges RS. Relationship of sidechain hydrophobicity and α-helical propensity on the stability of the single-stranded amphipathic α-helix. </w:t>
      </w:r>
      <w:r w:rsidRPr="00785166">
        <w:rPr>
          <w:rFonts w:ascii="Arial" w:cs="Arial"/>
          <w:i/>
          <w:iCs/>
          <w:sz w:val="24"/>
          <w:szCs w:val="24"/>
        </w:rPr>
        <w:t>J Pept Sci</w:t>
      </w:r>
      <w:r w:rsidRPr="00785166">
        <w:rPr>
          <w:rFonts w:ascii="Arial" w:cs="Arial"/>
          <w:sz w:val="24"/>
          <w:szCs w:val="24"/>
        </w:rPr>
        <w:t>. 1995;1(5):319-329. doi:https://doi.org/10.1002/psc.310010507</w:t>
      </w:r>
    </w:p>
    <w:p w14:paraId="27B7BBE5" w14:textId="77777777" w:rsidR="008F09C1" w:rsidRPr="00785166" w:rsidRDefault="008F09C1" w:rsidP="00785166">
      <w:pPr>
        <w:pStyle w:val="Bibliography"/>
        <w:rPr>
          <w:rFonts w:ascii="Arial" w:cs="Arial"/>
          <w:sz w:val="24"/>
          <w:szCs w:val="24"/>
        </w:rPr>
      </w:pPr>
      <w:r w:rsidRPr="00785166">
        <w:rPr>
          <w:rFonts w:ascii="Arial" w:cs="Arial"/>
          <w:sz w:val="24"/>
          <w:szCs w:val="24"/>
        </w:rPr>
        <w:t>127.</w:t>
      </w:r>
      <w:r w:rsidRPr="00785166">
        <w:rPr>
          <w:rFonts w:ascii="Arial" w:cs="Arial"/>
          <w:sz w:val="24"/>
          <w:szCs w:val="24"/>
        </w:rPr>
        <w:tab/>
        <w:t xml:space="preserve">Mu Y, Yu M. Effects of Hydrophobic Interaction Strength on the Self-Assembled Structures of Model Peptides. </w:t>
      </w:r>
      <w:r w:rsidRPr="00785166">
        <w:rPr>
          <w:rFonts w:ascii="Arial" w:cs="Arial"/>
          <w:i/>
          <w:iCs/>
          <w:sz w:val="24"/>
          <w:szCs w:val="24"/>
        </w:rPr>
        <w:t>Soft Matter</w:t>
      </w:r>
      <w:r w:rsidRPr="00785166">
        <w:rPr>
          <w:rFonts w:ascii="Arial" w:cs="Arial"/>
          <w:sz w:val="24"/>
          <w:szCs w:val="24"/>
        </w:rPr>
        <w:t>. 2014;10(27):4956-4965. doi:10.1039/C4SM00378K.</w:t>
      </w:r>
    </w:p>
    <w:p w14:paraId="4EB01097" w14:textId="77777777" w:rsidR="008F09C1" w:rsidRPr="00785166" w:rsidRDefault="008F09C1" w:rsidP="00785166">
      <w:pPr>
        <w:pStyle w:val="Bibliography"/>
        <w:rPr>
          <w:rFonts w:ascii="Arial" w:cs="Arial"/>
          <w:sz w:val="24"/>
          <w:szCs w:val="24"/>
        </w:rPr>
      </w:pPr>
      <w:r w:rsidRPr="00785166">
        <w:rPr>
          <w:rFonts w:ascii="Arial" w:cs="Arial"/>
          <w:sz w:val="24"/>
          <w:szCs w:val="24"/>
        </w:rPr>
        <w:t>128.</w:t>
      </w:r>
      <w:r w:rsidRPr="00785166">
        <w:rPr>
          <w:rFonts w:ascii="Arial" w:cs="Arial"/>
          <w:sz w:val="24"/>
          <w:szCs w:val="24"/>
        </w:rPr>
        <w:tab/>
        <w:t xml:space="preserve">Heffernan R, Paliwal K, Lyons J, et al. Improving prediction of secondary structure, local backbone angles and solvent accessible surface area of proteins by iterative deep learning. </w:t>
      </w:r>
      <w:r w:rsidRPr="00785166">
        <w:rPr>
          <w:rFonts w:ascii="Arial" w:cs="Arial"/>
          <w:i/>
          <w:iCs/>
          <w:sz w:val="24"/>
          <w:szCs w:val="24"/>
        </w:rPr>
        <w:t>Sci Rep</w:t>
      </w:r>
      <w:r w:rsidRPr="00785166">
        <w:rPr>
          <w:rFonts w:ascii="Arial" w:cs="Arial"/>
          <w:sz w:val="24"/>
          <w:szCs w:val="24"/>
        </w:rPr>
        <w:t>. 2015;5(1):11476. doi:10.1038/srep11476</w:t>
      </w:r>
    </w:p>
    <w:p w14:paraId="537946DF" w14:textId="77777777" w:rsidR="008F09C1" w:rsidRPr="00785166" w:rsidRDefault="008F09C1" w:rsidP="00785166">
      <w:pPr>
        <w:pStyle w:val="Bibliography"/>
        <w:rPr>
          <w:rFonts w:ascii="Arial" w:cs="Arial"/>
          <w:sz w:val="24"/>
          <w:szCs w:val="24"/>
        </w:rPr>
      </w:pPr>
      <w:r w:rsidRPr="00785166">
        <w:rPr>
          <w:rFonts w:ascii="Arial" w:cs="Arial"/>
          <w:sz w:val="24"/>
          <w:szCs w:val="24"/>
        </w:rPr>
        <w:t>129.</w:t>
      </w:r>
      <w:r w:rsidRPr="00785166">
        <w:rPr>
          <w:rFonts w:ascii="Arial" w:cs="Arial"/>
          <w:sz w:val="24"/>
          <w:szCs w:val="24"/>
        </w:rPr>
        <w:tab/>
        <w:t xml:space="preserve">Lins L, Thomas A, Brasseur R. Analysis of accessible surface of residues in proteins. </w:t>
      </w:r>
      <w:r w:rsidRPr="00785166">
        <w:rPr>
          <w:rFonts w:ascii="Arial" w:cs="Arial"/>
          <w:i/>
          <w:iCs/>
          <w:sz w:val="24"/>
          <w:szCs w:val="24"/>
        </w:rPr>
        <w:t>Protein Science</w:t>
      </w:r>
      <w:r w:rsidRPr="00785166">
        <w:rPr>
          <w:rFonts w:ascii="Arial" w:cs="Arial"/>
          <w:sz w:val="24"/>
          <w:szCs w:val="24"/>
        </w:rPr>
        <w:t>. 2003;12(7):1406-1417. doi:10.1110/ps.0304803</w:t>
      </w:r>
    </w:p>
    <w:p w14:paraId="6EA0C6EE" w14:textId="77777777" w:rsidR="008F09C1" w:rsidRPr="00785166" w:rsidRDefault="008F09C1" w:rsidP="00785166">
      <w:pPr>
        <w:pStyle w:val="Bibliography"/>
        <w:rPr>
          <w:rFonts w:ascii="Arial" w:cs="Arial"/>
          <w:sz w:val="24"/>
          <w:szCs w:val="24"/>
        </w:rPr>
      </w:pPr>
      <w:r w:rsidRPr="00785166">
        <w:rPr>
          <w:rFonts w:ascii="Arial" w:cs="Arial"/>
          <w:sz w:val="24"/>
          <w:szCs w:val="24"/>
        </w:rPr>
        <w:t>130.</w:t>
      </w:r>
      <w:r w:rsidRPr="00785166">
        <w:rPr>
          <w:rFonts w:ascii="Arial" w:cs="Arial"/>
          <w:sz w:val="24"/>
          <w:szCs w:val="24"/>
        </w:rPr>
        <w:tab/>
        <w:t xml:space="preserve">Chou PY, Fasman GD. Conformational parameters for amino acids in helical, β-sheet, and random coil regions calculated from proteins. </w:t>
      </w:r>
      <w:r w:rsidRPr="00785166">
        <w:rPr>
          <w:rFonts w:ascii="Arial" w:cs="Arial"/>
          <w:i/>
          <w:iCs/>
          <w:sz w:val="24"/>
          <w:szCs w:val="24"/>
        </w:rPr>
        <w:t>Biochemistry</w:t>
      </w:r>
      <w:r w:rsidRPr="00785166">
        <w:rPr>
          <w:rFonts w:ascii="Arial" w:cs="Arial"/>
          <w:sz w:val="24"/>
          <w:szCs w:val="24"/>
        </w:rPr>
        <w:t>. 1974;13(2):211-222. doi:10.1021/bi00699a001</w:t>
      </w:r>
    </w:p>
    <w:p w14:paraId="28FC8436" w14:textId="77777777" w:rsidR="008F09C1" w:rsidRPr="00785166" w:rsidRDefault="008F09C1" w:rsidP="00785166">
      <w:pPr>
        <w:pStyle w:val="Bibliography"/>
        <w:rPr>
          <w:rFonts w:ascii="Arial" w:cs="Arial"/>
          <w:sz w:val="24"/>
          <w:szCs w:val="24"/>
        </w:rPr>
      </w:pPr>
      <w:r w:rsidRPr="00785166">
        <w:rPr>
          <w:rFonts w:ascii="Arial" w:cs="Arial"/>
          <w:sz w:val="24"/>
          <w:szCs w:val="24"/>
        </w:rPr>
        <w:t>131.</w:t>
      </w:r>
      <w:r w:rsidRPr="00785166">
        <w:rPr>
          <w:rFonts w:ascii="Arial" w:cs="Arial"/>
          <w:sz w:val="24"/>
          <w:szCs w:val="24"/>
        </w:rPr>
        <w:tab/>
        <w:t xml:space="preserve">Amirkulova DB, Chakraborty M, White AD. Experimentally Consistent Simulation of Aβ21–30 Peptides with a Minimal NMR Bias. </w:t>
      </w:r>
      <w:r w:rsidRPr="00785166">
        <w:rPr>
          <w:rFonts w:ascii="Arial" w:cs="Arial"/>
          <w:i/>
          <w:iCs/>
          <w:sz w:val="24"/>
          <w:szCs w:val="24"/>
        </w:rPr>
        <w:t>J Phys Chem B</w:t>
      </w:r>
      <w:r w:rsidRPr="00785166">
        <w:rPr>
          <w:rFonts w:ascii="Arial" w:cs="Arial"/>
          <w:sz w:val="24"/>
          <w:szCs w:val="24"/>
        </w:rPr>
        <w:t>. 2020;124(38):8266-8277. doi:10.1021/acs.jpcb.0c07129</w:t>
      </w:r>
    </w:p>
    <w:p w14:paraId="7A68C6E2" w14:textId="77777777" w:rsidR="008F09C1" w:rsidRPr="00785166" w:rsidRDefault="008F09C1" w:rsidP="00785166">
      <w:pPr>
        <w:pStyle w:val="Bibliography"/>
        <w:rPr>
          <w:rFonts w:ascii="Arial" w:cs="Arial"/>
          <w:sz w:val="24"/>
          <w:szCs w:val="24"/>
        </w:rPr>
      </w:pPr>
      <w:r w:rsidRPr="00785166">
        <w:rPr>
          <w:rFonts w:ascii="Arial" w:cs="Arial"/>
          <w:sz w:val="24"/>
          <w:szCs w:val="24"/>
        </w:rPr>
        <w:t>132.</w:t>
      </w:r>
      <w:r w:rsidRPr="00785166">
        <w:rPr>
          <w:rFonts w:ascii="Arial" w:cs="Arial"/>
          <w:sz w:val="24"/>
          <w:szCs w:val="24"/>
        </w:rPr>
        <w:tab/>
        <w:t xml:space="preserve">Thurston BA, Tovar JD, Ferguson AL. Thermodynamics, morphology, and kinetics of early-stage self-assembly of π-conjugated oligopeptides. </w:t>
      </w:r>
      <w:r w:rsidRPr="00785166">
        <w:rPr>
          <w:rFonts w:ascii="Arial" w:cs="Arial"/>
          <w:i/>
          <w:iCs/>
          <w:sz w:val="24"/>
          <w:szCs w:val="24"/>
        </w:rPr>
        <w:t>Molecular Simulation</w:t>
      </w:r>
      <w:r w:rsidRPr="00785166">
        <w:rPr>
          <w:rFonts w:ascii="Arial" w:cs="Arial"/>
          <w:sz w:val="24"/>
          <w:szCs w:val="24"/>
        </w:rPr>
        <w:t>. 2016;42(12):955-975. doi:10.1080/08927022.2015.1125997</w:t>
      </w:r>
    </w:p>
    <w:p w14:paraId="20A2BFF1" w14:textId="77777777" w:rsidR="008F09C1" w:rsidRPr="00785166" w:rsidRDefault="008F09C1" w:rsidP="00785166">
      <w:pPr>
        <w:pStyle w:val="Bibliography"/>
        <w:rPr>
          <w:rFonts w:ascii="Arial" w:cs="Arial"/>
          <w:sz w:val="24"/>
          <w:szCs w:val="24"/>
        </w:rPr>
      </w:pPr>
      <w:r w:rsidRPr="00785166">
        <w:rPr>
          <w:rFonts w:ascii="Arial" w:cs="Arial"/>
          <w:sz w:val="24"/>
          <w:szCs w:val="24"/>
        </w:rPr>
        <w:t>133.</w:t>
      </w:r>
      <w:r w:rsidRPr="00785166">
        <w:rPr>
          <w:rFonts w:ascii="Arial" w:cs="Arial"/>
          <w:sz w:val="24"/>
          <w:szCs w:val="24"/>
        </w:rPr>
        <w:tab/>
        <w:t xml:space="preserve">Guo AZ, Fluitt AM, de Pablo JJ. Early-stage human islet amyloid polypeptide aggregation: Mechanisms behind dimer formation. </w:t>
      </w:r>
      <w:r w:rsidRPr="00785166">
        <w:rPr>
          <w:rFonts w:ascii="Arial" w:cs="Arial"/>
          <w:i/>
          <w:iCs/>
          <w:sz w:val="24"/>
          <w:szCs w:val="24"/>
        </w:rPr>
        <w:t>J Chem Phys</w:t>
      </w:r>
      <w:r w:rsidRPr="00785166">
        <w:rPr>
          <w:rFonts w:ascii="Arial" w:cs="Arial"/>
          <w:sz w:val="24"/>
          <w:szCs w:val="24"/>
        </w:rPr>
        <w:t>. 2018;149(2):025101. doi:10.1063/1.5033458</w:t>
      </w:r>
    </w:p>
    <w:p w14:paraId="1EAA5380" w14:textId="77777777" w:rsidR="008F09C1" w:rsidRPr="00785166" w:rsidRDefault="008F09C1" w:rsidP="00785166">
      <w:pPr>
        <w:pStyle w:val="Bibliography"/>
        <w:rPr>
          <w:rFonts w:ascii="Arial" w:cs="Arial"/>
          <w:sz w:val="24"/>
          <w:szCs w:val="24"/>
        </w:rPr>
      </w:pPr>
      <w:r w:rsidRPr="00785166">
        <w:rPr>
          <w:rFonts w:ascii="Arial" w:cs="Arial"/>
          <w:sz w:val="24"/>
          <w:szCs w:val="24"/>
        </w:rPr>
        <w:t>134.</w:t>
      </w:r>
      <w:r w:rsidRPr="00785166">
        <w:rPr>
          <w:rFonts w:ascii="Arial" w:cs="Arial"/>
          <w:sz w:val="24"/>
          <w:szCs w:val="24"/>
        </w:rPr>
        <w:tab/>
        <w:t xml:space="preserve">Shao Q, Wong KM, Seroski DT, et al. Anatomy of a selectively coassembled β-sheet peptide nanofiber. </w:t>
      </w:r>
      <w:r w:rsidRPr="00785166">
        <w:rPr>
          <w:rFonts w:ascii="Arial" w:cs="Arial"/>
          <w:i/>
          <w:iCs/>
          <w:sz w:val="24"/>
          <w:szCs w:val="24"/>
        </w:rPr>
        <w:t>PNAS</w:t>
      </w:r>
      <w:r w:rsidRPr="00785166">
        <w:rPr>
          <w:rFonts w:ascii="Arial" w:cs="Arial"/>
          <w:sz w:val="24"/>
          <w:szCs w:val="24"/>
        </w:rPr>
        <w:t>. 2020;117(9):4710-4717. doi:10.1073/pnas.1912810117</w:t>
      </w:r>
    </w:p>
    <w:p w14:paraId="07520BE7" w14:textId="77777777" w:rsidR="008F09C1" w:rsidRPr="00785166" w:rsidRDefault="008F09C1" w:rsidP="00785166">
      <w:pPr>
        <w:pStyle w:val="Bibliography"/>
        <w:rPr>
          <w:rFonts w:ascii="Arial" w:cs="Arial"/>
          <w:sz w:val="24"/>
          <w:szCs w:val="24"/>
        </w:rPr>
      </w:pPr>
      <w:r w:rsidRPr="00785166">
        <w:rPr>
          <w:rFonts w:ascii="Arial" w:cs="Arial"/>
          <w:sz w:val="24"/>
          <w:szCs w:val="24"/>
        </w:rPr>
        <w:t>135.</w:t>
      </w:r>
      <w:r w:rsidRPr="00785166">
        <w:rPr>
          <w:rFonts w:ascii="Arial" w:cs="Arial"/>
          <w:sz w:val="24"/>
          <w:szCs w:val="24"/>
        </w:rPr>
        <w:tab/>
        <w:t xml:space="preserve">Kol N, Adler-Abramovich L, Barlam D, Shneck RZ, Gazit E, Rousso I. Self-Assembled Peptide Nanotubes Are Uniquely Rigid Bioinspired Supramolecular Structures. </w:t>
      </w:r>
      <w:r w:rsidRPr="00785166">
        <w:rPr>
          <w:rFonts w:ascii="Arial" w:cs="Arial"/>
          <w:i/>
          <w:iCs/>
          <w:sz w:val="24"/>
          <w:szCs w:val="24"/>
        </w:rPr>
        <w:t>Nano Lett</w:t>
      </w:r>
      <w:r w:rsidRPr="00785166">
        <w:rPr>
          <w:rFonts w:ascii="Arial" w:cs="Arial"/>
          <w:sz w:val="24"/>
          <w:szCs w:val="24"/>
        </w:rPr>
        <w:t>. 2005;5(7):1343-1346. doi:10.1021/nl0505896</w:t>
      </w:r>
    </w:p>
    <w:p w14:paraId="719F4B72" w14:textId="77777777" w:rsidR="008F09C1" w:rsidRPr="00785166" w:rsidRDefault="008F09C1" w:rsidP="00785166">
      <w:pPr>
        <w:pStyle w:val="Bibliography"/>
        <w:rPr>
          <w:rFonts w:ascii="Arial" w:cs="Arial"/>
          <w:sz w:val="24"/>
          <w:szCs w:val="24"/>
        </w:rPr>
      </w:pPr>
      <w:r w:rsidRPr="00785166">
        <w:rPr>
          <w:rFonts w:ascii="Arial" w:cs="Arial"/>
          <w:sz w:val="24"/>
          <w:szCs w:val="24"/>
        </w:rPr>
        <w:t>136.</w:t>
      </w:r>
      <w:r w:rsidRPr="00785166">
        <w:rPr>
          <w:rFonts w:ascii="Arial" w:cs="Arial"/>
          <w:sz w:val="24"/>
          <w:szCs w:val="24"/>
        </w:rPr>
        <w:tab/>
        <w:t xml:space="preserve">Cinar G, Ceylan H, Urel M, et al. Amyloid inspired self-assembled peptide nanofibers. </w:t>
      </w:r>
      <w:r w:rsidRPr="00785166">
        <w:rPr>
          <w:rFonts w:ascii="Arial" w:cs="Arial"/>
          <w:i/>
          <w:iCs/>
          <w:sz w:val="24"/>
          <w:szCs w:val="24"/>
        </w:rPr>
        <w:t>Biomacromolecules</w:t>
      </w:r>
      <w:r w:rsidRPr="00785166">
        <w:rPr>
          <w:rFonts w:ascii="Arial" w:cs="Arial"/>
          <w:sz w:val="24"/>
          <w:szCs w:val="24"/>
        </w:rPr>
        <w:t>. 2012;13(10):3377-3387. doi:10.1021/bm301141h</w:t>
      </w:r>
    </w:p>
    <w:p w14:paraId="071E4CE7" w14:textId="77777777" w:rsidR="008F09C1" w:rsidRPr="00785166" w:rsidRDefault="008F09C1" w:rsidP="00785166">
      <w:pPr>
        <w:pStyle w:val="Bibliography"/>
        <w:rPr>
          <w:rFonts w:ascii="Arial" w:cs="Arial"/>
          <w:sz w:val="24"/>
          <w:szCs w:val="24"/>
        </w:rPr>
      </w:pPr>
      <w:r w:rsidRPr="00785166">
        <w:rPr>
          <w:rFonts w:ascii="Arial" w:cs="Arial"/>
          <w:sz w:val="24"/>
          <w:szCs w:val="24"/>
        </w:rPr>
        <w:t>137.</w:t>
      </w:r>
      <w:r w:rsidRPr="00785166">
        <w:rPr>
          <w:rFonts w:ascii="Arial" w:cs="Arial"/>
          <w:sz w:val="24"/>
          <w:szCs w:val="24"/>
        </w:rPr>
        <w:tab/>
        <w:t xml:space="preserve">Kalyanasundaram K, Thomas JK. Environmental Effects on Vibronic Band Intensities in Pyrene Monomer Fluorescence and Their Application in Studies of Micellar Systems. </w:t>
      </w:r>
      <w:r w:rsidRPr="00785166">
        <w:rPr>
          <w:rFonts w:ascii="Arial" w:cs="Arial"/>
          <w:i/>
          <w:iCs/>
          <w:sz w:val="24"/>
          <w:szCs w:val="24"/>
        </w:rPr>
        <w:t>J Am Chem Soc</w:t>
      </w:r>
      <w:r w:rsidRPr="00785166">
        <w:rPr>
          <w:rFonts w:ascii="Arial" w:cs="Arial"/>
          <w:sz w:val="24"/>
          <w:szCs w:val="24"/>
        </w:rPr>
        <w:t>. 1977;99(7):2039-2044.</w:t>
      </w:r>
    </w:p>
    <w:p w14:paraId="3078F064" w14:textId="77777777" w:rsidR="008F09C1" w:rsidRPr="00785166" w:rsidRDefault="008F09C1" w:rsidP="00785166">
      <w:pPr>
        <w:pStyle w:val="Bibliography"/>
        <w:rPr>
          <w:rFonts w:ascii="Arial" w:cs="Arial"/>
          <w:sz w:val="24"/>
          <w:szCs w:val="24"/>
        </w:rPr>
      </w:pPr>
      <w:r w:rsidRPr="00785166">
        <w:rPr>
          <w:rFonts w:ascii="Arial" w:cs="Arial"/>
          <w:sz w:val="24"/>
          <w:szCs w:val="24"/>
        </w:rPr>
        <w:t>138.</w:t>
      </w:r>
      <w:r w:rsidRPr="00785166">
        <w:rPr>
          <w:rFonts w:ascii="Arial" w:cs="Arial"/>
          <w:sz w:val="24"/>
          <w:szCs w:val="24"/>
        </w:rPr>
        <w:tab/>
        <w:t xml:space="preserve">Castelletto V, Hamley IW. Self assembly of a model amphiphilic phenylalanine peptide/polyethylene glycol block copolymer in aqueous solution. </w:t>
      </w:r>
      <w:r w:rsidRPr="00785166">
        <w:rPr>
          <w:rFonts w:ascii="Arial" w:cs="Arial"/>
          <w:i/>
          <w:iCs/>
          <w:sz w:val="24"/>
          <w:szCs w:val="24"/>
        </w:rPr>
        <w:t>Biophys Chem</w:t>
      </w:r>
      <w:r w:rsidRPr="00785166">
        <w:rPr>
          <w:rFonts w:ascii="Arial" w:cs="Arial"/>
          <w:sz w:val="24"/>
          <w:szCs w:val="24"/>
        </w:rPr>
        <w:t>. 2009;141(2-3):169-174. doi:10.1016/j.bpc.2009.01.008</w:t>
      </w:r>
    </w:p>
    <w:p w14:paraId="2AAB0831" w14:textId="77777777" w:rsidR="008F09C1" w:rsidRPr="00785166" w:rsidRDefault="008F09C1" w:rsidP="00785166">
      <w:pPr>
        <w:pStyle w:val="Bibliography"/>
        <w:rPr>
          <w:rFonts w:ascii="Arial" w:cs="Arial"/>
          <w:sz w:val="24"/>
          <w:szCs w:val="24"/>
        </w:rPr>
      </w:pPr>
      <w:r w:rsidRPr="00785166">
        <w:rPr>
          <w:rFonts w:ascii="Arial" w:cs="Arial"/>
          <w:sz w:val="24"/>
          <w:szCs w:val="24"/>
        </w:rPr>
        <w:t>139.</w:t>
      </w:r>
      <w:r w:rsidRPr="00785166">
        <w:rPr>
          <w:rFonts w:ascii="Arial" w:cs="Arial"/>
          <w:sz w:val="24"/>
          <w:szCs w:val="24"/>
        </w:rPr>
        <w:tab/>
        <w:t xml:space="preserve">Howie AJ, Brewer DB. Optical Properties of Amyloid Stained by Congo Red: History and Mechanisms. </w:t>
      </w:r>
      <w:r w:rsidRPr="00785166">
        <w:rPr>
          <w:rFonts w:ascii="Arial" w:cs="Arial"/>
          <w:i/>
          <w:iCs/>
          <w:sz w:val="24"/>
          <w:szCs w:val="24"/>
        </w:rPr>
        <w:t>Micron</w:t>
      </w:r>
      <w:r w:rsidRPr="00785166">
        <w:rPr>
          <w:rFonts w:ascii="Arial" w:cs="Arial"/>
          <w:sz w:val="24"/>
          <w:szCs w:val="24"/>
        </w:rPr>
        <w:t>. 2009;40(3):285-301. doi:10.1016/j.micron.2008.10.002.</w:t>
      </w:r>
    </w:p>
    <w:p w14:paraId="7E660DCC" w14:textId="77777777" w:rsidR="008F09C1" w:rsidRPr="00785166" w:rsidRDefault="008F09C1" w:rsidP="00785166">
      <w:pPr>
        <w:pStyle w:val="Bibliography"/>
        <w:rPr>
          <w:rFonts w:ascii="Arial" w:cs="Arial"/>
          <w:sz w:val="24"/>
          <w:szCs w:val="24"/>
        </w:rPr>
      </w:pPr>
      <w:r w:rsidRPr="00785166">
        <w:rPr>
          <w:rFonts w:ascii="Arial" w:cs="Arial"/>
          <w:sz w:val="24"/>
          <w:szCs w:val="24"/>
        </w:rPr>
        <w:t>140.</w:t>
      </w:r>
      <w:r w:rsidRPr="00785166">
        <w:rPr>
          <w:rFonts w:ascii="Arial" w:cs="Arial"/>
          <w:sz w:val="24"/>
          <w:szCs w:val="24"/>
        </w:rPr>
        <w:tab/>
        <w:t xml:space="preserve">Hughes M, Frederix PWJM, Raeburn J, et al. Sequence/Structure Relationships in Aromatic Dipeptide Hydrogels Formed under Thermodynamic Control by Enzyme-Assisted Self-Assembly. </w:t>
      </w:r>
      <w:r w:rsidRPr="00785166">
        <w:rPr>
          <w:rFonts w:ascii="Arial" w:cs="Arial"/>
          <w:i/>
          <w:iCs/>
          <w:sz w:val="24"/>
          <w:szCs w:val="24"/>
        </w:rPr>
        <w:t>Soft Matter</w:t>
      </w:r>
      <w:r w:rsidRPr="00785166">
        <w:rPr>
          <w:rFonts w:ascii="Arial" w:cs="Arial"/>
          <w:sz w:val="24"/>
          <w:szCs w:val="24"/>
        </w:rPr>
        <w:t>. 2012;8(20):5595-5602. doi:10.1039/C2SM25224D.</w:t>
      </w:r>
    </w:p>
    <w:p w14:paraId="2C2C4EAF" w14:textId="77777777" w:rsidR="008F09C1" w:rsidRPr="00785166" w:rsidRDefault="008F09C1" w:rsidP="00785166">
      <w:pPr>
        <w:pStyle w:val="Bibliography"/>
        <w:rPr>
          <w:rFonts w:ascii="Arial" w:cs="Arial"/>
          <w:sz w:val="24"/>
          <w:szCs w:val="24"/>
        </w:rPr>
      </w:pPr>
      <w:r w:rsidRPr="00785166">
        <w:rPr>
          <w:rFonts w:ascii="Arial" w:cs="Arial"/>
          <w:sz w:val="24"/>
          <w:szCs w:val="24"/>
        </w:rPr>
        <w:t>141.</w:t>
      </w:r>
      <w:r w:rsidRPr="00785166">
        <w:rPr>
          <w:rFonts w:ascii="Arial" w:cs="Arial"/>
          <w:sz w:val="24"/>
          <w:szCs w:val="24"/>
        </w:rPr>
        <w:tab/>
        <w:t xml:space="preserve">Pelton JT, McLean LR. Spectroscopic Methods for Analysis of Protein Secondary Structure. </w:t>
      </w:r>
      <w:r w:rsidRPr="00785166">
        <w:rPr>
          <w:rFonts w:ascii="Arial" w:cs="Arial"/>
          <w:i/>
          <w:iCs/>
          <w:sz w:val="24"/>
          <w:szCs w:val="24"/>
        </w:rPr>
        <w:t>Anal Biochem</w:t>
      </w:r>
      <w:r w:rsidRPr="00785166">
        <w:rPr>
          <w:rFonts w:ascii="Arial" w:cs="Arial"/>
          <w:sz w:val="24"/>
          <w:szCs w:val="24"/>
        </w:rPr>
        <w:t>. 2000;277(2):167-176. doi:10.1006/abio.1999.4320.</w:t>
      </w:r>
    </w:p>
    <w:p w14:paraId="3AD367EA" w14:textId="77777777" w:rsidR="008F09C1" w:rsidRPr="00785166" w:rsidRDefault="008F09C1" w:rsidP="00785166">
      <w:pPr>
        <w:pStyle w:val="Bibliography"/>
        <w:rPr>
          <w:rFonts w:ascii="Arial" w:cs="Arial"/>
          <w:sz w:val="24"/>
          <w:szCs w:val="24"/>
        </w:rPr>
      </w:pPr>
      <w:r w:rsidRPr="00785166">
        <w:rPr>
          <w:rFonts w:ascii="Arial" w:cs="Arial"/>
          <w:sz w:val="24"/>
          <w:szCs w:val="24"/>
        </w:rPr>
        <w:t>142.</w:t>
      </w:r>
      <w:r w:rsidRPr="00785166">
        <w:rPr>
          <w:rFonts w:ascii="Arial" w:cs="Arial"/>
          <w:sz w:val="24"/>
          <w:szCs w:val="24"/>
        </w:rPr>
        <w:tab/>
        <w:t xml:space="preserve">Barth A, Zscherp C. What vibrations tell about proteins. </w:t>
      </w:r>
      <w:r w:rsidRPr="00785166">
        <w:rPr>
          <w:rFonts w:ascii="Arial" w:cs="Arial"/>
          <w:i/>
          <w:iCs/>
          <w:sz w:val="24"/>
          <w:szCs w:val="24"/>
        </w:rPr>
        <w:t>Q Rev Biophys</w:t>
      </w:r>
      <w:r w:rsidRPr="00785166">
        <w:rPr>
          <w:rFonts w:ascii="Arial" w:cs="Arial"/>
          <w:sz w:val="24"/>
          <w:szCs w:val="24"/>
        </w:rPr>
        <w:t>. 2002;35(4):369-430. doi:10.1017/S0033583502003815</w:t>
      </w:r>
    </w:p>
    <w:p w14:paraId="5B465BC4" w14:textId="77777777" w:rsidR="008F09C1" w:rsidRPr="00785166" w:rsidRDefault="008F09C1" w:rsidP="00785166">
      <w:pPr>
        <w:pStyle w:val="Bibliography"/>
        <w:rPr>
          <w:rFonts w:ascii="Arial" w:cs="Arial"/>
          <w:sz w:val="24"/>
          <w:szCs w:val="24"/>
        </w:rPr>
      </w:pPr>
      <w:r w:rsidRPr="00785166">
        <w:rPr>
          <w:rFonts w:ascii="Arial" w:cs="Arial"/>
          <w:sz w:val="24"/>
          <w:szCs w:val="24"/>
        </w:rPr>
        <w:t>143.</w:t>
      </w:r>
      <w:r w:rsidRPr="00785166">
        <w:rPr>
          <w:rFonts w:ascii="Arial" w:cs="Arial"/>
          <w:sz w:val="24"/>
          <w:szCs w:val="24"/>
        </w:rPr>
        <w:tab/>
        <w:t xml:space="preserve">Gopal R, Park JS, Seo CH, Park Y. Applications of Circular Dichroism for Structural Analysis of Gelatin and Antimicrobial Peptides. </w:t>
      </w:r>
      <w:r w:rsidRPr="00785166">
        <w:rPr>
          <w:rFonts w:ascii="Arial" w:cs="Arial"/>
          <w:i/>
          <w:iCs/>
          <w:sz w:val="24"/>
          <w:szCs w:val="24"/>
        </w:rPr>
        <w:t>Int J Mol Sci</w:t>
      </w:r>
      <w:r w:rsidRPr="00785166">
        <w:rPr>
          <w:rFonts w:ascii="Arial" w:cs="Arial"/>
          <w:sz w:val="24"/>
          <w:szCs w:val="24"/>
        </w:rPr>
        <w:t>. 2012;13(3):3229-3244. doi:10.3390/ijms13033229</w:t>
      </w:r>
    </w:p>
    <w:p w14:paraId="353B4D4A" w14:textId="77777777" w:rsidR="008F09C1" w:rsidRPr="00785166" w:rsidRDefault="008F09C1" w:rsidP="00785166">
      <w:pPr>
        <w:pStyle w:val="Bibliography"/>
        <w:rPr>
          <w:rFonts w:ascii="Arial" w:cs="Arial"/>
          <w:sz w:val="24"/>
          <w:szCs w:val="24"/>
        </w:rPr>
      </w:pPr>
      <w:r w:rsidRPr="00785166">
        <w:rPr>
          <w:rFonts w:ascii="Arial" w:cs="Arial"/>
          <w:sz w:val="24"/>
          <w:szCs w:val="24"/>
        </w:rPr>
        <w:t>144.</w:t>
      </w:r>
      <w:r w:rsidRPr="00785166">
        <w:rPr>
          <w:rFonts w:ascii="Arial" w:cs="Arial"/>
          <w:sz w:val="24"/>
          <w:szCs w:val="24"/>
        </w:rPr>
        <w:tab/>
        <w:t xml:space="preserve">Clarke DE, Parmenter CDJ, Scherman OA. Tunable Pentapeptide Self-Assembled β-Sheet Hydrogels. </w:t>
      </w:r>
      <w:r w:rsidRPr="00785166">
        <w:rPr>
          <w:rFonts w:ascii="Arial" w:cs="Arial"/>
          <w:i/>
          <w:iCs/>
          <w:sz w:val="24"/>
          <w:szCs w:val="24"/>
        </w:rPr>
        <w:t>Angew Chem Int Ed</w:t>
      </w:r>
      <w:r w:rsidRPr="00785166">
        <w:rPr>
          <w:rFonts w:ascii="Arial" w:cs="Arial"/>
          <w:sz w:val="24"/>
          <w:szCs w:val="24"/>
        </w:rPr>
        <w:t>. 2018;57(26):7709-7713. doi:10.1002/anie.201801001</w:t>
      </w:r>
    </w:p>
    <w:p w14:paraId="3F10D69E" w14:textId="77777777" w:rsidR="008F09C1" w:rsidRPr="00785166" w:rsidRDefault="008F09C1" w:rsidP="00785166">
      <w:pPr>
        <w:pStyle w:val="Bibliography"/>
        <w:rPr>
          <w:rFonts w:ascii="Arial" w:cs="Arial"/>
          <w:sz w:val="24"/>
          <w:szCs w:val="24"/>
        </w:rPr>
      </w:pPr>
      <w:r w:rsidRPr="00785166">
        <w:rPr>
          <w:rFonts w:ascii="Arial" w:cs="Arial"/>
          <w:sz w:val="24"/>
          <w:szCs w:val="24"/>
        </w:rPr>
        <w:t>145.</w:t>
      </w:r>
      <w:r w:rsidRPr="00785166">
        <w:rPr>
          <w:rFonts w:ascii="Arial" w:cs="Arial"/>
          <w:sz w:val="24"/>
          <w:szCs w:val="24"/>
        </w:rPr>
        <w:tab/>
        <w:t xml:space="preserve">Andrushchenko VV, Vogel HJ, Prenner EJ. Solvent-Dependent Structure of Two Trypto-phan-Rich Antimicrobial Peptides and Their Analogs Studied by FTIR and CD Spectroscopy. </w:t>
      </w:r>
      <w:r w:rsidRPr="00785166">
        <w:rPr>
          <w:rFonts w:ascii="Arial" w:cs="Arial"/>
          <w:i/>
          <w:iCs/>
          <w:sz w:val="24"/>
          <w:szCs w:val="24"/>
        </w:rPr>
        <w:t>Bio-chimica et Biophysica Acta (BBA) - Biomembranes</w:t>
      </w:r>
      <w:r w:rsidRPr="00785166">
        <w:rPr>
          <w:rFonts w:ascii="Arial" w:cs="Arial"/>
          <w:sz w:val="24"/>
          <w:szCs w:val="24"/>
        </w:rPr>
        <w:t>. 2006;1758(10):1596-1608. doi:10.1016/j.bbamem.2006.07.013.</w:t>
      </w:r>
    </w:p>
    <w:p w14:paraId="040630DC" w14:textId="77777777" w:rsidR="008F09C1" w:rsidRPr="00785166" w:rsidRDefault="008F09C1" w:rsidP="00785166">
      <w:pPr>
        <w:pStyle w:val="Bibliography"/>
        <w:rPr>
          <w:rFonts w:ascii="Arial" w:cs="Arial"/>
          <w:sz w:val="24"/>
          <w:szCs w:val="24"/>
        </w:rPr>
      </w:pPr>
      <w:r w:rsidRPr="00785166">
        <w:rPr>
          <w:rFonts w:ascii="Arial" w:cs="Arial"/>
          <w:sz w:val="24"/>
          <w:szCs w:val="24"/>
        </w:rPr>
        <w:t>146.</w:t>
      </w:r>
      <w:r w:rsidRPr="00785166">
        <w:rPr>
          <w:rFonts w:ascii="Arial" w:cs="Arial"/>
          <w:sz w:val="24"/>
          <w:szCs w:val="24"/>
        </w:rPr>
        <w:tab/>
        <w:t xml:space="preserve">Pashuck ET, Cui H, Stupp SI. Tuning Supramolecular Rigidity of Peptide Fibers through Molecular Structure. </w:t>
      </w:r>
      <w:r w:rsidRPr="00785166">
        <w:rPr>
          <w:rFonts w:ascii="Arial" w:cs="Arial"/>
          <w:i/>
          <w:iCs/>
          <w:sz w:val="24"/>
          <w:szCs w:val="24"/>
        </w:rPr>
        <w:t>J Am Chem Soc</w:t>
      </w:r>
      <w:r w:rsidRPr="00785166">
        <w:rPr>
          <w:rFonts w:ascii="Arial" w:cs="Arial"/>
          <w:sz w:val="24"/>
          <w:szCs w:val="24"/>
        </w:rPr>
        <w:t>. 2010;132(17):6041-6046. doi:10.1021/ja908560n</w:t>
      </w:r>
    </w:p>
    <w:p w14:paraId="7C8D2A01" w14:textId="77777777" w:rsidR="008F09C1" w:rsidRPr="00785166" w:rsidRDefault="008F09C1" w:rsidP="00785166">
      <w:pPr>
        <w:pStyle w:val="Bibliography"/>
        <w:rPr>
          <w:rFonts w:ascii="Arial" w:cs="Arial"/>
          <w:sz w:val="24"/>
          <w:szCs w:val="24"/>
        </w:rPr>
      </w:pPr>
      <w:r w:rsidRPr="00785166">
        <w:rPr>
          <w:rFonts w:ascii="Arial" w:cs="Arial"/>
          <w:sz w:val="24"/>
          <w:szCs w:val="24"/>
        </w:rPr>
        <w:t>147.</w:t>
      </w:r>
      <w:r w:rsidRPr="00785166">
        <w:rPr>
          <w:rFonts w:ascii="Arial" w:cs="Arial"/>
          <w:sz w:val="24"/>
          <w:szCs w:val="24"/>
        </w:rPr>
        <w:tab/>
        <w:t xml:space="preserve">Bakota EL, Wang Y, Danesh FR, Hartgerink JD. Injectable Multidomain Peptide Nanofiber Hydrogel as a Delivery Agent for Stem Cell Secretome. </w:t>
      </w:r>
      <w:r w:rsidRPr="00785166">
        <w:rPr>
          <w:rFonts w:ascii="Arial" w:cs="Arial"/>
          <w:i/>
          <w:iCs/>
          <w:sz w:val="24"/>
          <w:szCs w:val="24"/>
        </w:rPr>
        <w:t>Biomacromolecules</w:t>
      </w:r>
      <w:r w:rsidRPr="00785166">
        <w:rPr>
          <w:rFonts w:ascii="Arial" w:cs="Arial"/>
          <w:sz w:val="24"/>
          <w:szCs w:val="24"/>
        </w:rPr>
        <w:t>. 2011;12(5):1651-1657. doi:10.1021/bm200035r</w:t>
      </w:r>
    </w:p>
    <w:p w14:paraId="4E917082" w14:textId="77777777" w:rsidR="008F09C1" w:rsidRPr="00785166" w:rsidRDefault="008F09C1" w:rsidP="00785166">
      <w:pPr>
        <w:pStyle w:val="Bibliography"/>
        <w:rPr>
          <w:rFonts w:ascii="Arial" w:cs="Arial"/>
          <w:sz w:val="24"/>
          <w:szCs w:val="24"/>
        </w:rPr>
      </w:pPr>
      <w:r w:rsidRPr="00785166">
        <w:rPr>
          <w:rFonts w:ascii="Arial" w:cs="Arial"/>
          <w:sz w:val="24"/>
          <w:szCs w:val="24"/>
        </w:rPr>
        <w:t>148.</w:t>
      </w:r>
      <w:r w:rsidRPr="00785166">
        <w:rPr>
          <w:rFonts w:ascii="Arial" w:cs="Arial"/>
          <w:sz w:val="24"/>
          <w:szCs w:val="24"/>
        </w:rPr>
        <w:tab/>
        <w:t xml:space="preserve">Bera S, Mondal S, Tang Y, et al. Deciphering the Rules for Amino Acid Co-Assembly Based on Interlayer Distances. </w:t>
      </w:r>
      <w:r w:rsidRPr="00785166">
        <w:rPr>
          <w:rFonts w:ascii="Arial" w:cs="Arial"/>
          <w:i/>
          <w:iCs/>
          <w:sz w:val="24"/>
          <w:szCs w:val="24"/>
        </w:rPr>
        <w:t>ACS Nano</w:t>
      </w:r>
      <w:r w:rsidRPr="00785166">
        <w:rPr>
          <w:rFonts w:ascii="Arial" w:cs="Arial"/>
          <w:sz w:val="24"/>
          <w:szCs w:val="24"/>
        </w:rPr>
        <w:t>. Published online 2019:1703-1712. doi:10.1021/acsnano.8b07775</w:t>
      </w:r>
    </w:p>
    <w:p w14:paraId="3C9606B7" w14:textId="77777777" w:rsidR="008F09C1" w:rsidRPr="00785166" w:rsidRDefault="008F09C1" w:rsidP="00785166">
      <w:pPr>
        <w:pStyle w:val="Bibliography"/>
        <w:rPr>
          <w:rFonts w:ascii="Arial" w:cs="Arial"/>
          <w:sz w:val="24"/>
          <w:szCs w:val="24"/>
        </w:rPr>
      </w:pPr>
      <w:r w:rsidRPr="00785166">
        <w:rPr>
          <w:rFonts w:ascii="Arial" w:cs="Arial"/>
          <w:sz w:val="24"/>
          <w:szCs w:val="24"/>
        </w:rPr>
        <w:t>149.</w:t>
      </w:r>
      <w:r w:rsidRPr="00785166">
        <w:rPr>
          <w:rFonts w:ascii="Arial" w:cs="Arial"/>
          <w:sz w:val="24"/>
          <w:szCs w:val="24"/>
        </w:rPr>
        <w:tab/>
        <w:t xml:space="preserve">Gallivan JP, Dougherty DA. Cation-π interactions in structural biology. </w:t>
      </w:r>
      <w:r w:rsidRPr="00785166">
        <w:rPr>
          <w:rFonts w:ascii="Arial" w:cs="Arial"/>
          <w:i/>
          <w:iCs/>
          <w:sz w:val="24"/>
          <w:szCs w:val="24"/>
        </w:rPr>
        <w:t>PNAS</w:t>
      </w:r>
      <w:r w:rsidRPr="00785166">
        <w:rPr>
          <w:rFonts w:ascii="Arial" w:cs="Arial"/>
          <w:sz w:val="24"/>
          <w:szCs w:val="24"/>
        </w:rPr>
        <w:t>. 1999;96(17):9459-9464. doi:10.1073/pnas.96.17.9459</w:t>
      </w:r>
    </w:p>
    <w:p w14:paraId="628C6C00" w14:textId="77777777" w:rsidR="008F09C1" w:rsidRPr="00785166" w:rsidRDefault="008F09C1" w:rsidP="00785166">
      <w:pPr>
        <w:pStyle w:val="Bibliography"/>
        <w:rPr>
          <w:rFonts w:ascii="Arial" w:cs="Arial"/>
          <w:sz w:val="24"/>
          <w:szCs w:val="24"/>
        </w:rPr>
      </w:pPr>
      <w:r w:rsidRPr="00785166">
        <w:rPr>
          <w:rFonts w:ascii="Arial" w:cs="Arial"/>
          <w:sz w:val="24"/>
          <w:szCs w:val="24"/>
        </w:rPr>
        <w:t>150.</w:t>
      </w:r>
      <w:r w:rsidRPr="00785166">
        <w:rPr>
          <w:rFonts w:ascii="Arial" w:cs="Arial"/>
          <w:sz w:val="24"/>
          <w:szCs w:val="24"/>
        </w:rPr>
        <w:tab/>
        <w:t xml:space="preserve">Zhao R, Zhang RQ. A new insight into π–π stacking involving remarkable orbital interactions. </w:t>
      </w:r>
      <w:r w:rsidRPr="00785166">
        <w:rPr>
          <w:rFonts w:ascii="Arial" w:cs="Arial"/>
          <w:i/>
          <w:iCs/>
          <w:sz w:val="24"/>
          <w:szCs w:val="24"/>
        </w:rPr>
        <w:t>Phys Chem Chem Phys</w:t>
      </w:r>
      <w:r w:rsidRPr="00785166">
        <w:rPr>
          <w:rFonts w:ascii="Arial" w:cs="Arial"/>
          <w:sz w:val="24"/>
          <w:szCs w:val="24"/>
        </w:rPr>
        <w:t>. 2016;18(36):25452-25457. doi:10.1039/C6CP05485D</w:t>
      </w:r>
    </w:p>
    <w:p w14:paraId="40182DD1" w14:textId="77777777" w:rsidR="008F09C1" w:rsidRPr="00785166" w:rsidRDefault="008F09C1" w:rsidP="00785166">
      <w:pPr>
        <w:pStyle w:val="Bibliography"/>
        <w:rPr>
          <w:rFonts w:ascii="Arial" w:cs="Arial"/>
          <w:sz w:val="24"/>
          <w:szCs w:val="24"/>
        </w:rPr>
      </w:pPr>
      <w:r w:rsidRPr="00785166">
        <w:rPr>
          <w:rFonts w:ascii="Arial" w:cs="Arial"/>
          <w:sz w:val="24"/>
          <w:szCs w:val="24"/>
        </w:rPr>
        <w:t>151.</w:t>
      </w:r>
      <w:r w:rsidRPr="00785166">
        <w:rPr>
          <w:rFonts w:ascii="Arial" w:cs="Arial"/>
          <w:sz w:val="24"/>
          <w:szCs w:val="24"/>
        </w:rPr>
        <w:tab/>
        <w:t xml:space="preserve">Samanta U, Pal D, Chakrabarti P. Packing of aromatic rings against tryptophan residues in proteins. </w:t>
      </w:r>
      <w:r w:rsidRPr="00785166">
        <w:rPr>
          <w:rFonts w:ascii="Arial" w:cs="Arial"/>
          <w:i/>
          <w:iCs/>
          <w:sz w:val="24"/>
          <w:szCs w:val="24"/>
        </w:rPr>
        <w:t>Acta Cryst D</w:t>
      </w:r>
      <w:r w:rsidRPr="00785166">
        <w:rPr>
          <w:rFonts w:ascii="Arial" w:cs="Arial"/>
          <w:sz w:val="24"/>
          <w:szCs w:val="24"/>
        </w:rPr>
        <w:t>. 1999;55(8):1421-1427. doi:10.1107/S090744499900726X</w:t>
      </w:r>
    </w:p>
    <w:p w14:paraId="7AA28164" w14:textId="77777777" w:rsidR="008F09C1" w:rsidRPr="00785166" w:rsidRDefault="008F09C1" w:rsidP="00785166">
      <w:pPr>
        <w:pStyle w:val="Bibliography"/>
        <w:rPr>
          <w:rFonts w:ascii="Arial" w:cs="Arial"/>
          <w:sz w:val="24"/>
          <w:szCs w:val="24"/>
        </w:rPr>
      </w:pPr>
      <w:r w:rsidRPr="00785166">
        <w:rPr>
          <w:rFonts w:ascii="Arial" w:cs="Arial"/>
          <w:sz w:val="24"/>
          <w:szCs w:val="24"/>
        </w:rPr>
        <w:t>152.</w:t>
      </w:r>
      <w:r w:rsidRPr="00785166">
        <w:rPr>
          <w:rFonts w:ascii="Arial" w:cs="Arial"/>
          <w:sz w:val="24"/>
          <w:szCs w:val="24"/>
        </w:rPr>
        <w:tab/>
        <w:t xml:space="preserve">Dong H, Paramonov SE, Aulisa L, Bakota EL, Hartgerink JD. Self-Assembly of Multidomain Peptides:  Balancing Molecular Frustration Controls Conformation and Nanostructure. </w:t>
      </w:r>
      <w:r w:rsidRPr="00785166">
        <w:rPr>
          <w:rFonts w:ascii="Arial" w:cs="Arial"/>
          <w:i/>
          <w:iCs/>
          <w:sz w:val="24"/>
          <w:szCs w:val="24"/>
        </w:rPr>
        <w:t>J Am Chem Soc</w:t>
      </w:r>
      <w:r w:rsidRPr="00785166">
        <w:rPr>
          <w:rFonts w:ascii="Arial" w:cs="Arial"/>
          <w:sz w:val="24"/>
          <w:szCs w:val="24"/>
        </w:rPr>
        <w:t>. 2007;129(41):12468-12472. doi:10.1021/ja072536r</w:t>
      </w:r>
    </w:p>
    <w:p w14:paraId="474ACAB2" w14:textId="77777777" w:rsidR="008F09C1" w:rsidRPr="00785166" w:rsidRDefault="008F09C1" w:rsidP="00785166">
      <w:pPr>
        <w:pStyle w:val="Bibliography"/>
        <w:rPr>
          <w:rFonts w:ascii="Arial" w:cs="Arial"/>
          <w:sz w:val="24"/>
          <w:szCs w:val="24"/>
        </w:rPr>
      </w:pPr>
      <w:r w:rsidRPr="00785166">
        <w:rPr>
          <w:rFonts w:ascii="Arial" w:cs="Arial"/>
          <w:sz w:val="24"/>
          <w:szCs w:val="24"/>
        </w:rPr>
        <w:t>153.</w:t>
      </w:r>
      <w:r w:rsidRPr="00785166">
        <w:rPr>
          <w:rFonts w:ascii="Arial" w:cs="Arial"/>
          <w:sz w:val="24"/>
          <w:szCs w:val="24"/>
        </w:rPr>
        <w:tab/>
        <w:t xml:space="preserve">Wong KM, Wang Y, Seroski DT, et al. Molecular Complementarity and Structural Heterogeneity within Co-Assembled Peptide β-Sheet Nanofibers. </w:t>
      </w:r>
      <w:r w:rsidRPr="00785166">
        <w:rPr>
          <w:rFonts w:ascii="Arial" w:cs="Arial"/>
          <w:i/>
          <w:iCs/>
          <w:sz w:val="24"/>
          <w:szCs w:val="24"/>
        </w:rPr>
        <w:t>Nanoscale</w:t>
      </w:r>
      <w:r w:rsidRPr="00785166">
        <w:rPr>
          <w:rFonts w:ascii="Arial" w:cs="Arial"/>
          <w:sz w:val="24"/>
          <w:szCs w:val="24"/>
        </w:rPr>
        <w:t>. 2020;12(7):4506-4518. doi:10.1039/C9NR08725G.</w:t>
      </w:r>
    </w:p>
    <w:p w14:paraId="1B4EE1C3" w14:textId="77777777" w:rsidR="008F09C1" w:rsidRPr="00785166" w:rsidRDefault="008F09C1" w:rsidP="00785166">
      <w:pPr>
        <w:pStyle w:val="Bibliography"/>
        <w:rPr>
          <w:rFonts w:ascii="Arial" w:cs="Arial"/>
          <w:sz w:val="24"/>
          <w:szCs w:val="24"/>
        </w:rPr>
      </w:pPr>
      <w:r w:rsidRPr="00785166">
        <w:rPr>
          <w:rFonts w:ascii="Arial" w:cs="Arial"/>
          <w:sz w:val="24"/>
          <w:szCs w:val="24"/>
        </w:rPr>
        <w:t>154.</w:t>
      </w:r>
      <w:r w:rsidRPr="00785166">
        <w:rPr>
          <w:rFonts w:ascii="Arial" w:cs="Arial"/>
          <w:sz w:val="24"/>
          <w:szCs w:val="24"/>
        </w:rPr>
        <w:tab/>
        <w:t xml:space="preserve">de Pablo JJ, Jackson NE, Webb MA, et al. New frontiers for the materials genome initiative. </w:t>
      </w:r>
      <w:r w:rsidRPr="00785166">
        <w:rPr>
          <w:rFonts w:ascii="Arial" w:cs="Arial"/>
          <w:i/>
          <w:iCs/>
          <w:sz w:val="24"/>
          <w:szCs w:val="24"/>
        </w:rPr>
        <w:t>Npj Comput Mater</w:t>
      </w:r>
      <w:r w:rsidRPr="00785166">
        <w:rPr>
          <w:rFonts w:ascii="Arial" w:cs="Arial"/>
          <w:sz w:val="24"/>
          <w:szCs w:val="24"/>
        </w:rPr>
        <w:t>. 2019;5(1):1-23. doi:10.1038/s41524-019-0173-4</w:t>
      </w:r>
    </w:p>
    <w:p w14:paraId="3C37BA2D" w14:textId="77777777" w:rsidR="008F09C1" w:rsidRPr="00785166" w:rsidRDefault="008F09C1" w:rsidP="00785166">
      <w:pPr>
        <w:pStyle w:val="Bibliography"/>
        <w:rPr>
          <w:rFonts w:ascii="Arial" w:cs="Arial"/>
          <w:sz w:val="24"/>
          <w:szCs w:val="24"/>
        </w:rPr>
      </w:pPr>
      <w:r w:rsidRPr="00785166">
        <w:rPr>
          <w:rFonts w:ascii="Arial" w:cs="Arial"/>
          <w:sz w:val="24"/>
          <w:szCs w:val="24"/>
        </w:rPr>
        <w:t>155.</w:t>
      </w:r>
      <w:r w:rsidRPr="00785166">
        <w:rPr>
          <w:rFonts w:ascii="Arial" w:cs="Arial"/>
          <w:sz w:val="24"/>
          <w:szCs w:val="24"/>
        </w:rPr>
        <w:tab/>
        <w:t xml:space="preserve">Sadownik JW, Leckie J, Ulijn RV. Micelle to Fibre Biocatalytic Supramolecular Transfor-mation of an Aromatic Peptide Amphiphile. </w:t>
      </w:r>
      <w:r w:rsidRPr="00785166">
        <w:rPr>
          <w:rFonts w:ascii="Arial" w:cs="Arial"/>
          <w:i/>
          <w:iCs/>
          <w:sz w:val="24"/>
          <w:szCs w:val="24"/>
        </w:rPr>
        <w:t>Chem Commun</w:t>
      </w:r>
      <w:r w:rsidRPr="00785166">
        <w:rPr>
          <w:rFonts w:ascii="Arial" w:cs="Arial"/>
          <w:sz w:val="24"/>
          <w:szCs w:val="24"/>
        </w:rPr>
        <w:t>. 2010;47(2):728-730. doi:10.1039/C0CC03796F.</w:t>
      </w:r>
    </w:p>
    <w:p w14:paraId="40EE1D00" w14:textId="77777777" w:rsidR="008F09C1" w:rsidRPr="00785166" w:rsidRDefault="008F09C1" w:rsidP="00785166">
      <w:pPr>
        <w:pStyle w:val="Bibliography"/>
        <w:rPr>
          <w:rFonts w:ascii="Arial" w:cs="Arial"/>
          <w:sz w:val="24"/>
          <w:szCs w:val="24"/>
        </w:rPr>
      </w:pPr>
      <w:r w:rsidRPr="00785166">
        <w:rPr>
          <w:rFonts w:ascii="Arial" w:cs="Arial"/>
          <w:sz w:val="24"/>
          <w:szCs w:val="24"/>
        </w:rPr>
        <w:t>156.</w:t>
      </w:r>
      <w:r w:rsidRPr="00785166">
        <w:rPr>
          <w:rFonts w:ascii="Arial" w:cs="Arial"/>
          <w:sz w:val="24"/>
          <w:szCs w:val="24"/>
        </w:rPr>
        <w:tab/>
        <w:t xml:space="preserve">Iadanza MG, Jackson MP, Hewitt EW, Ranson NA, Radford SE. A new era for understanding amyloid structures and disease. </w:t>
      </w:r>
      <w:r w:rsidRPr="00785166">
        <w:rPr>
          <w:rFonts w:ascii="Arial" w:cs="Arial"/>
          <w:i/>
          <w:iCs/>
          <w:sz w:val="24"/>
          <w:szCs w:val="24"/>
        </w:rPr>
        <w:t>Nature Reviews Molecular Cell Biology</w:t>
      </w:r>
      <w:r w:rsidRPr="00785166">
        <w:rPr>
          <w:rFonts w:ascii="Arial" w:cs="Arial"/>
          <w:sz w:val="24"/>
          <w:szCs w:val="24"/>
        </w:rPr>
        <w:t>. 2018;19(12):755-773. doi:10.1038/s41580-018-0060-8</w:t>
      </w:r>
    </w:p>
    <w:p w14:paraId="09DB5BE0" w14:textId="77777777" w:rsidR="008F09C1" w:rsidRPr="00785166" w:rsidRDefault="008F09C1" w:rsidP="00785166">
      <w:pPr>
        <w:pStyle w:val="Bibliography"/>
        <w:rPr>
          <w:rFonts w:ascii="Arial" w:cs="Arial"/>
          <w:sz w:val="24"/>
          <w:szCs w:val="24"/>
        </w:rPr>
      </w:pPr>
      <w:r w:rsidRPr="00785166">
        <w:rPr>
          <w:rFonts w:ascii="Arial" w:cs="Arial"/>
          <w:sz w:val="24"/>
          <w:szCs w:val="24"/>
        </w:rPr>
        <w:t>157.</w:t>
      </w:r>
      <w:r w:rsidRPr="00785166">
        <w:rPr>
          <w:rFonts w:ascii="Arial" w:cs="Arial"/>
          <w:sz w:val="24"/>
          <w:szCs w:val="24"/>
        </w:rPr>
        <w:tab/>
        <w:t xml:space="preserve">Gallardo R, Ranson NA, Radford SE. Amyloid structures: much more than just a cross-β fold. </w:t>
      </w:r>
      <w:r w:rsidRPr="00785166">
        <w:rPr>
          <w:rFonts w:ascii="Arial" w:cs="Arial"/>
          <w:i/>
          <w:iCs/>
          <w:sz w:val="24"/>
          <w:szCs w:val="24"/>
        </w:rPr>
        <w:t>Current Opinion in Structural Biology</w:t>
      </w:r>
      <w:r w:rsidRPr="00785166">
        <w:rPr>
          <w:rFonts w:ascii="Arial" w:cs="Arial"/>
          <w:sz w:val="24"/>
          <w:szCs w:val="24"/>
        </w:rPr>
        <w:t>. 2020;60:7-16. doi:10.1016/j.sbi.2019.09.001</w:t>
      </w:r>
    </w:p>
    <w:p w14:paraId="3F604FCE" w14:textId="77777777" w:rsidR="008F09C1" w:rsidRPr="00785166" w:rsidRDefault="008F09C1" w:rsidP="00785166">
      <w:pPr>
        <w:pStyle w:val="Bibliography"/>
        <w:rPr>
          <w:rFonts w:ascii="Arial" w:cs="Arial"/>
          <w:sz w:val="24"/>
          <w:szCs w:val="24"/>
        </w:rPr>
      </w:pPr>
      <w:r w:rsidRPr="00785166">
        <w:rPr>
          <w:rFonts w:ascii="Arial" w:cs="Arial"/>
          <w:sz w:val="24"/>
          <w:szCs w:val="24"/>
        </w:rPr>
        <w:t>158.</w:t>
      </w:r>
      <w:r w:rsidRPr="00785166">
        <w:rPr>
          <w:rFonts w:ascii="Arial" w:cs="Arial"/>
          <w:sz w:val="24"/>
          <w:szCs w:val="24"/>
        </w:rPr>
        <w:tab/>
        <w:t xml:space="preserve">Jia Z, Schmit JD, Chen J. Amyloid assembly is dominated by misregistered kinetic traps on an unbiased energy landscape. </w:t>
      </w:r>
      <w:r w:rsidRPr="00785166">
        <w:rPr>
          <w:rFonts w:ascii="Arial" w:cs="Arial"/>
          <w:i/>
          <w:iCs/>
          <w:sz w:val="24"/>
          <w:szCs w:val="24"/>
        </w:rPr>
        <w:t>Proceedings of the National Academy of Sciences</w:t>
      </w:r>
      <w:r w:rsidRPr="00785166">
        <w:rPr>
          <w:rFonts w:ascii="Arial" w:cs="Arial"/>
          <w:sz w:val="24"/>
          <w:szCs w:val="24"/>
        </w:rPr>
        <w:t>. 2020;117(19):10322-10328. doi:10.1073/pnas.1911153117</w:t>
      </w:r>
    </w:p>
    <w:p w14:paraId="6CE26AD9" w14:textId="77777777" w:rsidR="008F09C1" w:rsidRPr="00785166" w:rsidRDefault="008F09C1" w:rsidP="00785166">
      <w:pPr>
        <w:pStyle w:val="Bibliography"/>
        <w:rPr>
          <w:rFonts w:ascii="Arial" w:cs="Arial"/>
          <w:sz w:val="24"/>
          <w:szCs w:val="24"/>
        </w:rPr>
      </w:pPr>
      <w:r w:rsidRPr="00785166">
        <w:rPr>
          <w:rFonts w:ascii="Arial" w:cs="Arial"/>
          <w:sz w:val="24"/>
          <w:szCs w:val="24"/>
        </w:rPr>
        <w:t>159.</w:t>
      </w:r>
      <w:r w:rsidRPr="00785166">
        <w:rPr>
          <w:rFonts w:ascii="Arial" w:cs="Arial"/>
          <w:sz w:val="24"/>
          <w:szCs w:val="24"/>
        </w:rPr>
        <w:tab/>
        <w:t xml:space="preserve">Kulenkampff K, Wolf Perez AM, Sormanni P, Habchi J, Vendruscolo M. Quantifying misfolded protein oligomers as drug targets and biomarkers in Alzheimer and Parkinson diseases. </w:t>
      </w:r>
      <w:r w:rsidRPr="00785166">
        <w:rPr>
          <w:rFonts w:ascii="Arial" w:cs="Arial"/>
          <w:i/>
          <w:iCs/>
          <w:sz w:val="24"/>
          <w:szCs w:val="24"/>
        </w:rPr>
        <w:t>Nat Rev Chem</w:t>
      </w:r>
      <w:r w:rsidRPr="00785166">
        <w:rPr>
          <w:rFonts w:ascii="Arial" w:cs="Arial"/>
          <w:sz w:val="24"/>
          <w:szCs w:val="24"/>
        </w:rPr>
        <w:t>. 2021;5(4):277-294. doi:10.1038/s41570-021-00254-9</w:t>
      </w:r>
    </w:p>
    <w:p w14:paraId="4529FEF1" w14:textId="77777777" w:rsidR="008F09C1" w:rsidRPr="00785166" w:rsidRDefault="008F09C1" w:rsidP="00785166">
      <w:pPr>
        <w:pStyle w:val="Bibliography"/>
        <w:rPr>
          <w:rFonts w:ascii="Arial" w:cs="Arial"/>
          <w:sz w:val="24"/>
          <w:szCs w:val="24"/>
        </w:rPr>
      </w:pPr>
      <w:r w:rsidRPr="00785166">
        <w:rPr>
          <w:rFonts w:ascii="Arial" w:cs="Arial"/>
          <w:sz w:val="24"/>
          <w:szCs w:val="24"/>
        </w:rPr>
        <w:t>160.</w:t>
      </w:r>
      <w:r w:rsidRPr="00785166">
        <w:rPr>
          <w:rFonts w:ascii="Arial" w:cs="Arial"/>
          <w:sz w:val="24"/>
          <w:szCs w:val="24"/>
        </w:rPr>
        <w:tab/>
        <w:t xml:space="preserve">Fusco G, Chen SW, Williamson PTF, et al. Structural basis of membrane disruption and cellular toxicity by α-synuclein oligomers. </w:t>
      </w:r>
      <w:r w:rsidRPr="00785166">
        <w:rPr>
          <w:rFonts w:ascii="Arial" w:cs="Arial"/>
          <w:i/>
          <w:iCs/>
          <w:sz w:val="24"/>
          <w:szCs w:val="24"/>
        </w:rPr>
        <w:t>Science</w:t>
      </w:r>
      <w:r w:rsidRPr="00785166">
        <w:rPr>
          <w:rFonts w:ascii="Arial" w:cs="Arial"/>
          <w:sz w:val="24"/>
          <w:szCs w:val="24"/>
        </w:rPr>
        <w:t>. 2017;358(6369):1440-1443. doi:10.1126/science.aan6160</w:t>
      </w:r>
    </w:p>
    <w:p w14:paraId="772643FB" w14:textId="77777777" w:rsidR="008F09C1" w:rsidRPr="00785166" w:rsidRDefault="008F09C1" w:rsidP="00785166">
      <w:pPr>
        <w:pStyle w:val="Bibliography"/>
        <w:rPr>
          <w:rFonts w:ascii="Arial" w:cs="Arial"/>
          <w:sz w:val="24"/>
          <w:szCs w:val="24"/>
        </w:rPr>
      </w:pPr>
      <w:r w:rsidRPr="00785166">
        <w:rPr>
          <w:rFonts w:ascii="Arial" w:cs="Arial"/>
          <w:sz w:val="24"/>
          <w:szCs w:val="24"/>
        </w:rPr>
        <w:t>161.</w:t>
      </w:r>
      <w:r w:rsidRPr="00785166">
        <w:rPr>
          <w:rFonts w:ascii="Arial" w:cs="Arial"/>
          <w:sz w:val="24"/>
          <w:szCs w:val="24"/>
        </w:rPr>
        <w:tab/>
        <w:t xml:space="preserve">Milner MT, Maddugoda M, Götz J, Burgener SS, Schroder K. The NLRP3 inflammasome triggers sterile neuroinflammation and Alzheimer’s disease. </w:t>
      </w:r>
      <w:r w:rsidRPr="00785166">
        <w:rPr>
          <w:rFonts w:ascii="Arial" w:cs="Arial"/>
          <w:i/>
          <w:iCs/>
          <w:sz w:val="24"/>
          <w:szCs w:val="24"/>
        </w:rPr>
        <w:t>Current Opinion in Immunology</w:t>
      </w:r>
      <w:r w:rsidRPr="00785166">
        <w:rPr>
          <w:rFonts w:ascii="Arial" w:cs="Arial"/>
          <w:sz w:val="24"/>
          <w:szCs w:val="24"/>
        </w:rPr>
        <w:t>. 2021;68:116-124. doi:10.1016/j.coi.2020.10.011</w:t>
      </w:r>
    </w:p>
    <w:p w14:paraId="120AEB9F" w14:textId="77777777" w:rsidR="008F09C1" w:rsidRPr="00785166" w:rsidRDefault="008F09C1" w:rsidP="00785166">
      <w:pPr>
        <w:pStyle w:val="Bibliography"/>
        <w:rPr>
          <w:rFonts w:ascii="Arial" w:cs="Arial"/>
          <w:sz w:val="24"/>
          <w:szCs w:val="24"/>
        </w:rPr>
      </w:pPr>
      <w:r w:rsidRPr="00785166">
        <w:rPr>
          <w:rFonts w:ascii="Arial" w:cs="Arial"/>
          <w:sz w:val="24"/>
          <w:szCs w:val="24"/>
        </w:rPr>
        <w:t>162.</w:t>
      </w:r>
      <w:r w:rsidRPr="00785166">
        <w:rPr>
          <w:rFonts w:ascii="Arial" w:cs="Arial"/>
          <w:sz w:val="24"/>
          <w:szCs w:val="24"/>
        </w:rPr>
        <w:tab/>
        <w:t xml:space="preserve">Tanaka H, Homma H, Fujita K, et al. YAP-dependent necrosis occurs in early stages of Alzheimer’s disease and regulates mouse model pathology. </w:t>
      </w:r>
      <w:r w:rsidRPr="00785166">
        <w:rPr>
          <w:rFonts w:ascii="Arial" w:cs="Arial"/>
          <w:i/>
          <w:iCs/>
          <w:sz w:val="24"/>
          <w:szCs w:val="24"/>
        </w:rPr>
        <w:t>Nat Commun</w:t>
      </w:r>
      <w:r w:rsidRPr="00785166">
        <w:rPr>
          <w:rFonts w:ascii="Arial" w:cs="Arial"/>
          <w:sz w:val="24"/>
          <w:szCs w:val="24"/>
        </w:rPr>
        <w:t>. 2020;11(1):507. doi:10.1038/s41467-020-14353-6</w:t>
      </w:r>
    </w:p>
    <w:p w14:paraId="47FDFAEB" w14:textId="77777777" w:rsidR="008F09C1" w:rsidRPr="00785166" w:rsidRDefault="008F09C1" w:rsidP="00785166">
      <w:pPr>
        <w:pStyle w:val="Bibliography"/>
        <w:rPr>
          <w:rFonts w:ascii="Arial" w:cs="Arial"/>
          <w:sz w:val="24"/>
          <w:szCs w:val="24"/>
        </w:rPr>
      </w:pPr>
      <w:r w:rsidRPr="00785166">
        <w:rPr>
          <w:rFonts w:ascii="Arial" w:cs="Arial"/>
          <w:sz w:val="24"/>
          <w:szCs w:val="24"/>
        </w:rPr>
        <w:t>163.</w:t>
      </w:r>
      <w:r w:rsidRPr="00785166">
        <w:rPr>
          <w:rFonts w:ascii="Arial" w:cs="Arial"/>
          <w:sz w:val="24"/>
          <w:szCs w:val="24"/>
        </w:rPr>
        <w:tab/>
        <w:t xml:space="preserve">McKenzie BA, Dixit VM, Power C. Fiery Cell Death: Pyroptosis in the Central Nervous System. </w:t>
      </w:r>
      <w:r w:rsidRPr="00785166">
        <w:rPr>
          <w:rFonts w:ascii="Arial" w:cs="Arial"/>
          <w:i/>
          <w:iCs/>
          <w:sz w:val="24"/>
          <w:szCs w:val="24"/>
        </w:rPr>
        <w:t>Trends in Neurosciences</w:t>
      </w:r>
      <w:r w:rsidRPr="00785166">
        <w:rPr>
          <w:rFonts w:ascii="Arial" w:cs="Arial"/>
          <w:sz w:val="24"/>
          <w:szCs w:val="24"/>
        </w:rPr>
        <w:t>. 2020;43(1):55-73. doi:10.1016/j.tins.2019.11.005</w:t>
      </w:r>
    </w:p>
    <w:p w14:paraId="758FE023" w14:textId="77777777" w:rsidR="008F09C1" w:rsidRPr="00785166" w:rsidRDefault="008F09C1" w:rsidP="00785166">
      <w:pPr>
        <w:pStyle w:val="Bibliography"/>
        <w:rPr>
          <w:rFonts w:ascii="Arial" w:cs="Arial"/>
          <w:sz w:val="24"/>
          <w:szCs w:val="24"/>
        </w:rPr>
      </w:pPr>
      <w:r w:rsidRPr="00785166">
        <w:rPr>
          <w:rFonts w:ascii="Arial" w:cs="Arial"/>
          <w:sz w:val="24"/>
          <w:szCs w:val="24"/>
        </w:rPr>
        <w:t>164.</w:t>
      </w:r>
      <w:r w:rsidRPr="00785166">
        <w:rPr>
          <w:rFonts w:ascii="Arial" w:cs="Arial"/>
          <w:sz w:val="24"/>
          <w:szCs w:val="24"/>
        </w:rPr>
        <w:tab/>
        <w:t xml:space="preserve">Walsh DM, Selkoe DJ. Amyloid β-protein and beyond: the path forward in Alzheimer’s disease. </w:t>
      </w:r>
      <w:r w:rsidRPr="00785166">
        <w:rPr>
          <w:rFonts w:ascii="Arial" w:cs="Arial"/>
          <w:i/>
          <w:iCs/>
          <w:sz w:val="24"/>
          <w:szCs w:val="24"/>
        </w:rPr>
        <w:t>Current Opinion in Neurobiology</w:t>
      </w:r>
      <w:r w:rsidRPr="00785166">
        <w:rPr>
          <w:rFonts w:ascii="Arial" w:cs="Arial"/>
          <w:sz w:val="24"/>
          <w:szCs w:val="24"/>
        </w:rPr>
        <w:t>. 2020;61:116-124. doi:10.1016/j.conb.2020.02.003</w:t>
      </w:r>
    </w:p>
    <w:p w14:paraId="2B968598" w14:textId="77777777" w:rsidR="008F09C1" w:rsidRPr="00785166" w:rsidRDefault="008F09C1" w:rsidP="00785166">
      <w:pPr>
        <w:pStyle w:val="Bibliography"/>
        <w:rPr>
          <w:rFonts w:ascii="Arial" w:cs="Arial"/>
          <w:sz w:val="24"/>
          <w:szCs w:val="24"/>
        </w:rPr>
      </w:pPr>
      <w:r w:rsidRPr="00785166">
        <w:rPr>
          <w:rFonts w:ascii="Arial" w:cs="Arial"/>
          <w:sz w:val="24"/>
          <w:szCs w:val="24"/>
        </w:rPr>
        <w:t>165.</w:t>
      </w:r>
      <w:r w:rsidRPr="00785166">
        <w:rPr>
          <w:rFonts w:ascii="Arial" w:cs="Arial"/>
          <w:sz w:val="24"/>
          <w:szCs w:val="24"/>
        </w:rPr>
        <w:tab/>
        <w:t xml:space="preserve">Serrano AL, Lomont JP, Tu LH, Raleigh DP, Zanni MT. A Free Energy Barrier Caused by the Refolding of an Oligomeric Intermediate Controls the Lag Time of Amyloid Formation by hIAPP. </w:t>
      </w:r>
      <w:r w:rsidRPr="00785166">
        <w:rPr>
          <w:rFonts w:ascii="Arial" w:cs="Arial"/>
          <w:i/>
          <w:iCs/>
          <w:sz w:val="24"/>
          <w:szCs w:val="24"/>
        </w:rPr>
        <w:t>J Am Chem Soc</w:t>
      </w:r>
      <w:r w:rsidRPr="00785166">
        <w:rPr>
          <w:rFonts w:ascii="Arial" w:cs="Arial"/>
          <w:sz w:val="24"/>
          <w:szCs w:val="24"/>
        </w:rPr>
        <w:t>. 2017;139(46):16748-16758. doi:10.1021/jacs.7b08830</w:t>
      </w:r>
    </w:p>
    <w:p w14:paraId="488FDAD4" w14:textId="77777777" w:rsidR="008F09C1" w:rsidRPr="00785166" w:rsidRDefault="008F09C1" w:rsidP="00785166">
      <w:pPr>
        <w:pStyle w:val="Bibliography"/>
        <w:rPr>
          <w:rFonts w:ascii="Arial" w:cs="Arial"/>
          <w:sz w:val="24"/>
          <w:szCs w:val="24"/>
        </w:rPr>
      </w:pPr>
      <w:r w:rsidRPr="00785166">
        <w:rPr>
          <w:rFonts w:ascii="Arial" w:cs="Arial"/>
          <w:sz w:val="24"/>
          <w:szCs w:val="24"/>
        </w:rPr>
        <w:t>166.</w:t>
      </w:r>
      <w:r w:rsidRPr="00785166">
        <w:rPr>
          <w:rFonts w:ascii="Arial" w:cs="Arial"/>
          <w:sz w:val="24"/>
          <w:szCs w:val="24"/>
        </w:rPr>
        <w:tab/>
        <w:t xml:space="preserve">Fan J, Lan H, Ning W, et al. Modeling amide-I vibrations of alanine dipeptide in solution by using neural network protocol. </w:t>
      </w:r>
      <w:r w:rsidRPr="00785166">
        <w:rPr>
          <w:rFonts w:ascii="Arial" w:cs="Arial"/>
          <w:i/>
          <w:iCs/>
          <w:sz w:val="24"/>
          <w:szCs w:val="24"/>
        </w:rPr>
        <w:t>Spectrochimica Acta Part A: Molecular and Biomolecular Spectroscopy</w:t>
      </w:r>
      <w:r w:rsidRPr="00785166">
        <w:rPr>
          <w:rFonts w:ascii="Arial" w:cs="Arial"/>
          <w:sz w:val="24"/>
          <w:szCs w:val="24"/>
        </w:rPr>
        <w:t>. 2022;268:120675. doi:10.1016/j.saa.2021.120675</w:t>
      </w:r>
    </w:p>
    <w:p w14:paraId="51CAE336" w14:textId="77777777" w:rsidR="008F09C1" w:rsidRPr="00785166" w:rsidRDefault="008F09C1" w:rsidP="00785166">
      <w:pPr>
        <w:pStyle w:val="Bibliography"/>
        <w:rPr>
          <w:rFonts w:ascii="Arial" w:cs="Arial"/>
          <w:sz w:val="24"/>
          <w:szCs w:val="24"/>
        </w:rPr>
      </w:pPr>
      <w:r w:rsidRPr="00785166">
        <w:rPr>
          <w:rFonts w:ascii="Arial" w:cs="Arial"/>
          <w:sz w:val="24"/>
          <w:szCs w:val="24"/>
        </w:rPr>
        <w:t>167.</w:t>
      </w:r>
      <w:r w:rsidRPr="00785166">
        <w:rPr>
          <w:rFonts w:ascii="Arial" w:cs="Arial"/>
          <w:sz w:val="24"/>
          <w:szCs w:val="24"/>
        </w:rPr>
        <w:tab/>
        <w:t xml:space="preserve">Kazman P, Absmeier RM, Engelhardt H, Buchner J. Dissection of the amyloid formation pathway in AL amyloidosis. </w:t>
      </w:r>
      <w:r w:rsidRPr="00785166">
        <w:rPr>
          <w:rFonts w:ascii="Arial" w:cs="Arial"/>
          <w:i/>
          <w:iCs/>
          <w:sz w:val="24"/>
          <w:szCs w:val="24"/>
        </w:rPr>
        <w:t>Nat Commun</w:t>
      </w:r>
      <w:r w:rsidRPr="00785166">
        <w:rPr>
          <w:rFonts w:ascii="Arial" w:cs="Arial"/>
          <w:sz w:val="24"/>
          <w:szCs w:val="24"/>
        </w:rPr>
        <w:t>. 2021;12(1):6516. doi:10.1038/s41467-021-26845-0</w:t>
      </w:r>
    </w:p>
    <w:p w14:paraId="6F7B738B" w14:textId="77777777" w:rsidR="008F09C1" w:rsidRPr="00785166" w:rsidRDefault="008F09C1" w:rsidP="00785166">
      <w:pPr>
        <w:pStyle w:val="Bibliography"/>
        <w:rPr>
          <w:rFonts w:ascii="Arial" w:cs="Arial"/>
          <w:sz w:val="24"/>
          <w:szCs w:val="24"/>
        </w:rPr>
      </w:pPr>
      <w:r w:rsidRPr="00785166">
        <w:rPr>
          <w:rFonts w:ascii="Arial" w:cs="Arial"/>
          <w:sz w:val="24"/>
          <w:szCs w:val="24"/>
        </w:rPr>
        <w:t>168.</w:t>
      </w:r>
      <w:r w:rsidRPr="00785166">
        <w:rPr>
          <w:rFonts w:ascii="Arial" w:cs="Arial"/>
          <w:sz w:val="24"/>
          <w:szCs w:val="24"/>
        </w:rPr>
        <w:tab/>
        <w:t xml:space="preserve">Hamsici S, White AD, Acar H. Peptide framework for screening the effects of amino acids on assembly. </w:t>
      </w:r>
      <w:r w:rsidRPr="00785166">
        <w:rPr>
          <w:rFonts w:ascii="Arial" w:cs="Arial"/>
          <w:i/>
          <w:iCs/>
          <w:sz w:val="24"/>
          <w:szCs w:val="24"/>
        </w:rPr>
        <w:t>Science Advances</w:t>
      </w:r>
      <w:r w:rsidRPr="00785166">
        <w:rPr>
          <w:rFonts w:ascii="Arial" w:cs="Arial"/>
          <w:sz w:val="24"/>
          <w:szCs w:val="24"/>
        </w:rPr>
        <w:t>. Published online January 2022. doi:10.1126/sciadv.abj0305</w:t>
      </w:r>
    </w:p>
    <w:p w14:paraId="6E0C8F08" w14:textId="77777777" w:rsidR="008F09C1" w:rsidRPr="00785166" w:rsidRDefault="008F09C1" w:rsidP="00785166">
      <w:pPr>
        <w:pStyle w:val="Bibliography"/>
        <w:rPr>
          <w:rFonts w:ascii="Arial" w:cs="Arial"/>
          <w:sz w:val="24"/>
          <w:szCs w:val="24"/>
        </w:rPr>
      </w:pPr>
      <w:r w:rsidRPr="00785166">
        <w:rPr>
          <w:rFonts w:ascii="Arial" w:cs="Arial"/>
          <w:sz w:val="24"/>
          <w:szCs w:val="24"/>
        </w:rPr>
        <w:t>169.</w:t>
      </w:r>
      <w:r w:rsidRPr="00785166">
        <w:rPr>
          <w:rFonts w:ascii="Arial" w:cs="Arial"/>
          <w:sz w:val="24"/>
          <w:szCs w:val="24"/>
        </w:rPr>
        <w:tab/>
        <w:t xml:space="preserve">Gunay G, Hamsici S, Lang GA, Lang ML, Kovats S, Acar H. Peptide Aggregation Induced Immunogenic Rupture (PAIIR). </w:t>
      </w:r>
      <w:r w:rsidRPr="00785166">
        <w:rPr>
          <w:rFonts w:ascii="Arial" w:cs="Arial"/>
          <w:i/>
          <w:iCs/>
          <w:sz w:val="24"/>
          <w:szCs w:val="24"/>
        </w:rPr>
        <w:t>Advanced Science</w:t>
      </w:r>
      <w:r w:rsidRPr="00785166">
        <w:rPr>
          <w:rFonts w:ascii="Arial" w:cs="Arial"/>
          <w:sz w:val="24"/>
          <w:szCs w:val="24"/>
        </w:rPr>
        <w:t>. 2022;n/a(n/a):2105868. doi:10.1002/advs.202105868</w:t>
      </w:r>
    </w:p>
    <w:p w14:paraId="72D829B4" w14:textId="77777777" w:rsidR="008F09C1" w:rsidRPr="00785166" w:rsidRDefault="008F09C1" w:rsidP="00785166">
      <w:pPr>
        <w:pStyle w:val="Bibliography"/>
        <w:rPr>
          <w:rFonts w:ascii="Arial" w:cs="Arial"/>
          <w:sz w:val="24"/>
          <w:szCs w:val="24"/>
        </w:rPr>
      </w:pPr>
      <w:r w:rsidRPr="00785166">
        <w:rPr>
          <w:rFonts w:ascii="Arial" w:cs="Arial"/>
          <w:sz w:val="24"/>
          <w:szCs w:val="24"/>
        </w:rPr>
        <w:t>170.</w:t>
      </w:r>
      <w:r w:rsidRPr="00785166">
        <w:rPr>
          <w:rFonts w:ascii="Arial" w:cs="Arial"/>
          <w:sz w:val="24"/>
          <w:szCs w:val="24"/>
        </w:rPr>
        <w:tab/>
        <w:t xml:space="preserve">Moujalled D, Strasser A, Liddell JR. Molecular mechanisms of cell death in neurological diseases. </w:t>
      </w:r>
      <w:r w:rsidRPr="00785166">
        <w:rPr>
          <w:rFonts w:ascii="Arial" w:cs="Arial"/>
          <w:i/>
          <w:iCs/>
          <w:sz w:val="24"/>
          <w:szCs w:val="24"/>
        </w:rPr>
        <w:t>Cell Death Differ</w:t>
      </w:r>
      <w:r w:rsidRPr="00785166">
        <w:rPr>
          <w:rFonts w:ascii="Arial" w:cs="Arial"/>
          <w:sz w:val="24"/>
          <w:szCs w:val="24"/>
        </w:rPr>
        <w:t>. 2021;28(7):2029-2044. doi:10.1038/s41418-021-00814-y</w:t>
      </w:r>
    </w:p>
    <w:p w14:paraId="69C4CBB5" w14:textId="77777777" w:rsidR="008F09C1" w:rsidRPr="00785166" w:rsidRDefault="008F09C1" w:rsidP="00785166">
      <w:pPr>
        <w:pStyle w:val="Bibliography"/>
        <w:rPr>
          <w:rFonts w:ascii="Arial" w:cs="Arial"/>
          <w:sz w:val="24"/>
          <w:szCs w:val="24"/>
        </w:rPr>
      </w:pPr>
      <w:r w:rsidRPr="00785166">
        <w:rPr>
          <w:rFonts w:ascii="Arial" w:cs="Arial"/>
          <w:sz w:val="24"/>
          <w:szCs w:val="24"/>
        </w:rPr>
        <w:t>171.</w:t>
      </w:r>
      <w:r w:rsidRPr="00785166">
        <w:rPr>
          <w:rFonts w:ascii="Arial" w:cs="Arial"/>
          <w:sz w:val="24"/>
          <w:szCs w:val="24"/>
        </w:rPr>
        <w:tab/>
        <w:t xml:space="preserve">Leong YQ, Ng KY, Chye SM, Ling APK, Koh RY. Mechanisms of action of amyloid-beta and its precursor protein in neuronal cell death. </w:t>
      </w:r>
      <w:r w:rsidRPr="00785166">
        <w:rPr>
          <w:rFonts w:ascii="Arial" w:cs="Arial"/>
          <w:i/>
          <w:iCs/>
          <w:sz w:val="24"/>
          <w:szCs w:val="24"/>
        </w:rPr>
        <w:t>Metab Brain Dis</w:t>
      </w:r>
      <w:r w:rsidRPr="00785166">
        <w:rPr>
          <w:rFonts w:ascii="Arial" w:cs="Arial"/>
          <w:sz w:val="24"/>
          <w:szCs w:val="24"/>
        </w:rPr>
        <w:t>. 2020;35(1):11-30. doi:10.1007/s11011-019-00516-y</w:t>
      </w:r>
    </w:p>
    <w:p w14:paraId="3DC7DF8E" w14:textId="77777777" w:rsidR="008F09C1" w:rsidRPr="00785166" w:rsidRDefault="008F09C1" w:rsidP="00785166">
      <w:pPr>
        <w:pStyle w:val="Bibliography"/>
        <w:rPr>
          <w:rFonts w:ascii="Arial" w:cs="Arial"/>
          <w:sz w:val="24"/>
          <w:szCs w:val="24"/>
        </w:rPr>
      </w:pPr>
      <w:r w:rsidRPr="00785166">
        <w:rPr>
          <w:rFonts w:ascii="Arial" w:cs="Arial"/>
          <w:sz w:val="24"/>
          <w:szCs w:val="24"/>
        </w:rPr>
        <w:t>172.</w:t>
      </w:r>
      <w:r w:rsidRPr="00785166">
        <w:rPr>
          <w:rFonts w:ascii="Arial" w:cs="Arial"/>
          <w:sz w:val="24"/>
          <w:szCs w:val="24"/>
        </w:rPr>
        <w:tab/>
        <w:t xml:space="preserve">Finn TE, Nunez AC, Sunde M, Easterbrook-Smith SB. Serum Albumin Prevents Protein Aggregation and Amyloid Formation and Retains Chaperone-like Activity in the Presence of Physiological Ligands. </w:t>
      </w:r>
      <w:r w:rsidRPr="00785166">
        <w:rPr>
          <w:rFonts w:ascii="Arial" w:cs="Arial"/>
          <w:i/>
          <w:iCs/>
          <w:sz w:val="24"/>
          <w:szCs w:val="24"/>
        </w:rPr>
        <w:t>Journal of Biological Chemistry</w:t>
      </w:r>
      <w:r w:rsidRPr="00785166">
        <w:rPr>
          <w:rFonts w:ascii="Arial" w:cs="Arial"/>
          <w:sz w:val="24"/>
          <w:szCs w:val="24"/>
        </w:rPr>
        <w:t>. 2012;287(25):21530-21540. doi:10.1074/jbc.M112.372961</w:t>
      </w:r>
    </w:p>
    <w:p w14:paraId="37D82DA4" w14:textId="77777777" w:rsidR="008F09C1" w:rsidRPr="00785166" w:rsidRDefault="008F09C1" w:rsidP="00785166">
      <w:pPr>
        <w:pStyle w:val="Bibliography"/>
        <w:rPr>
          <w:rFonts w:ascii="Arial" w:cs="Arial"/>
          <w:sz w:val="24"/>
          <w:szCs w:val="24"/>
        </w:rPr>
      </w:pPr>
      <w:r w:rsidRPr="00785166">
        <w:rPr>
          <w:rFonts w:ascii="Arial" w:cs="Arial"/>
          <w:sz w:val="24"/>
          <w:szCs w:val="24"/>
        </w:rPr>
        <w:t>173.</w:t>
      </w:r>
      <w:r w:rsidRPr="00785166">
        <w:rPr>
          <w:rFonts w:ascii="Arial" w:cs="Arial"/>
          <w:sz w:val="24"/>
          <w:szCs w:val="24"/>
        </w:rPr>
        <w:tab/>
        <w:t xml:space="preserve">Zhao M, Guo C. Multipronged Regulatory Functions of Serum Albumin in Early Stages of Amyloid-β Aggregation. </w:t>
      </w:r>
      <w:r w:rsidRPr="00785166">
        <w:rPr>
          <w:rFonts w:ascii="Arial" w:cs="Arial"/>
          <w:i/>
          <w:iCs/>
          <w:sz w:val="24"/>
          <w:szCs w:val="24"/>
        </w:rPr>
        <w:t>ACS Chem Neurosci</w:t>
      </w:r>
      <w:r w:rsidRPr="00785166">
        <w:rPr>
          <w:rFonts w:ascii="Arial" w:cs="Arial"/>
          <w:sz w:val="24"/>
          <w:szCs w:val="24"/>
        </w:rPr>
        <w:t>. 2021;12(13):2409-2420. doi:10.1021/acschemneuro.1c00150</w:t>
      </w:r>
    </w:p>
    <w:p w14:paraId="7B5BCB5C" w14:textId="77777777" w:rsidR="008F09C1" w:rsidRPr="00785166" w:rsidRDefault="008F09C1" w:rsidP="00785166">
      <w:pPr>
        <w:pStyle w:val="Bibliography"/>
        <w:rPr>
          <w:rFonts w:ascii="Arial" w:cs="Arial"/>
          <w:sz w:val="24"/>
          <w:szCs w:val="24"/>
        </w:rPr>
      </w:pPr>
      <w:r w:rsidRPr="00785166">
        <w:rPr>
          <w:rFonts w:ascii="Arial" w:cs="Arial"/>
          <w:sz w:val="24"/>
          <w:szCs w:val="24"/>
        </w:rPr>
        <w:t>174.</w:t>
      </w:r>
      <w:r w:rsidRPr="00785166">
        <w:rPr>
          <w:rFonts w:ascii="Arial" w:cs="Arial"/>
          <w:sz w:val="24"/>
          <w:szCs w:val="24"/>
        </w:rPr>
        <w:tab/>
        <w:t xml:space="preserve">Picón-Pagès P, Bonet J, García-García J, et al. Human Albumin Impairs Amyloid β-peptide Fibrillation Through its C-terminus: From docking Modeling to Protection Against Neurotoxicity in Alzheimer’s disease. </w:t>
      </w:r>
      <w:r w:rsidRPr="00785166">
        <w:rPr>
          <w:rFonts w:ascii="Arial" w:cs="Arial"/>
          <w:i/>
          <w:iCs/>
          <w:sz w:val="24"/>
          <w:szCs w:val="24"/>
        </w:rPr>
        <w:t>Computational and Structural Biotechnology Journal</w:t>
      </w:r>
      <w:r w:rsidRPr="00785166">
        <w:rPr>
          <w:rFonts w:ascii="Arial" w:cs="Arial"/>
          <w:sz w:val="24"/>
          <w:szCs w:val="24"/>
        </w:rPr>
        <w:t>. 2019;17:963-971. doi:10.1016/j.csbj.2019.06.017</w:t>
      </w:r>
    </w:p>
    <w:p w14:paraId="0B958003" w14:textId="77777777" w:rsidR="008F09C1" w:rsidRPr="00785166" w:rsidRDefault="008F09C1" w:rsidP="00785166">
      <w:pPr>
        <w:pStyle w:val="Bibliography"/>
        <w:rPr>
          <w:rFonts w:ascii="Arial" w:cs="Arial"/>
          <w:sz w:val="24"/>
          <w:szCs w:val="24"/>
        </w:rPr>
      </w:pPr>
      <w:r w:rsidRPr="00785166">
        <w:rPr>
          <w:rFonts w:ascii="Arial" w:cs="Arial"/>
          <w:sz w:val="24"/>
          <w:szCs w:val="24"/>
        </w:rPr>
        <w:t>175.</w:t>
      </w:r>
      <w:r w:rsidRPr="00785166">
        <w:rPr>
          <w:rFonts w:ascii="Arial" w:cs="Arial"/>
          <w:sz w:val="24"/>
          <w:szCs w:val="24"/>
        </w:rPr>
        <w:tab/>
        <w:t xml:space="preserve">Kakinen A, Javed I, Faridi A, Davis TP, Ke PC. Serum albumin impedes the amyloid aggregation and hemolysis of human islet amyloid polypeptide and alpha synuclein. </w:t>
      </w:r>
      <w:r w:rsidRPr="00785166">
        <w:rPr>
          <w:rFonts w:ascii="Arial" w:cs="Arial"/>
          <w:i/>
          <w:iCs/>
          <w:sz w:val="24"/>
          <w:szCs w:val="24"/>
        </w:rPr>
        <w:t>Biochimica et Biophysica Acta (BBA) - Biomembranes</w:t>
      </w:r>
      <w:r w:rsidRPr="00785166">
        <w:rPr>
          <w:rFonts w:ascii="Arial" w:cs="Arial"/>
          <w:sz w:val="24"/>
          <w:szCs w:val="24"/>
        </w:rPr>
        <w:t>. 2018;1860(9):1803-1809. doi:10.1016/j.bbamem.2018.01.015</w:t>
      </w:r>
    </w:p>
    <w:p w14:paraId="015CA2AC" w14:textId="77777777" w:rsidR="008F09C1" w:rsidRPr="00785166" w:rsidRDefault="008F09C1" w:rsidP="00785166">
      <w:pPr>
        <w:pStyle w:val="Bibliography"/>
        <w:rPr>
          <w:rFonts w:ascii="Arial" w:cs="Arial"/>
          <w:sz w:val="24"/>
          <w:szCs w:val="24"/>
        </w:rPr>
      </w:pPr>
      <w:r w:rsidRPr="00785166">
        <w:rPr>
          <w:rFonts w:ascii="Arial" w:cs="Arial"/>
          <w:sz w:val="24"/>
          <w:szCs w:val="24"/>
        </w:rPr>
        <w:t>176.</w:t>
      </w:r>
      <w:r w:rsidRPr="00785166">
        <w:rPr>
          <w:rFonts w:ascii="Arial" w:cs="Arial"/>
          <w:sz w:val="24"/>
          <w:szCs w:val="24"/>
        </w:rPr>
        <w:tab/>
        <w:t xml:space="preserve">Travkova OG, Moehwald H, Brezesinski G. The interaction of antimicrobial peptides with membranes. </w:t>
      </w:r>
      <w:r w:rsidRPr="00785166">
        <w:rPr>
          <w:rFonts w:ascii="Arial" w:cs="Arial"/>
          <w:i/>
          <w:iCs/>
          <w:sz w:val="24"/>
          <w:szCs w:val="24"/>
        </w:rPr>
        <w:t>Advances in Colloid and Interface Science</w:t>
      </w:r>
      <w:r w:rsidRPr="00785166">
        <w:rPr>
          <w:rFonts w:ascii="Arial" w:cs="Arial"/>
          <w:sz w:val="24"/>
          <w:szCs w:val="24"/>
        </w:rPr>
        <w:t>. 2017;247:521-532. doi:10.1016/j.cis.2017.06.001</w:t>
      </w:r>
    </w:p>
    <w:p w14:paraId="59D96112" w14:textId="77777777" w:rsidR="008F09C1" w:rsidRPr="00785166" w:rsidRDefault="008F09C1" w:rsidP="00785166">
      <w:pPr>
        <w:pStyle w:val="Bibliography"/>
        <w:rPr>
          <w:rFonts w:ascii="Arial" w:cs="Arial"/>
          <w:sz w:val="24"/>
          <w:szCs w:val="24"/>
        </w:rPr>
      </w:pPr>
      <w:r w:rsidRPr="00785166">
        <w:rPr>
          <w:rFonts w:ascii="Arial" w:cs="Arial"/>
          <w:sz w:val="24"/>
          <w:szCs w:val="24"/>
        </w:rPr>
        <w:t>177.</w:t>
      </w:r>
      <w:r w:rsidRPr="00785166">
        <w:rPr>
          <w:rFonts w:ascii="Arial" w:cs="Arial"/>
          <w:sz w:val="24"/>
          <w:szCs w:val="24"/>
        </w:rPr>
        <w:tab/>
        <w:t xml:space="preserve">Moore AN, Hartgerink JD. Self-Assembling Multidomain Peptide Nanofibers for Delivery of Bioactive Molecules and Tissue Regeneration. </w:t>
      </w:r>
      <w:r w:rsidRPr="00785166">
        <w:rPr>
          <w:rFonts w:ascii="Arial" w:cs="Arial"/>
          <w:i/>
          <w:iCs/>
          <w:sz w:val="24"/>
          <w:szCs w:val="24"/>
        </w:rPr>
        <w:t>Acc Chem Res</w:t>
      </w:r>
      <w:r w:rsidRPr="00785166">
        <w:rPr>
          <w:rFonts w:ascii="Arial" w:cs="Arial"/>
          <w:sz w:val="24"/>
          <w:szCs w:val="24"/>
        </w:rPr>
        <w:t>. 2017;50(4):714-722. doi:10.1021/acs.accounts.6b00553</w:t>
      </w:r>
    </w:p>
    <w:p w14:paraId="036DDF6A" w14:textId="77777777" w:rsidR="008F09C1" w:rsidRPr="00785166" w:rsidRDefault="008F09C1" w:rsidP="00785166">
      <w:pPr>
        <w:pStyle w:val="Bibliography"/>
        <w:rPr>
          <w:rFonts w:ascii="Arial" w:cs="Arial"/>
          <w:sz w:val="24"/>
          <w:szCs w:val="24"/>
        </w:rPr>
      </w:pPr>
      <w:r w:rsidRPr="00785166">
        <w:rPr>
          <w:rFonts w:ascii="Arial" w:cs="Arial"/>
          <w:sz w:val="24"/>
          <w:szCs w:val="24"/>
        </w:rPr>
        <w:t>178.</w:t>
      </w:r>
      <w:r w:rsidRPr="00785166">
        <w:rPr>
          <w:rFonts w:ascii="Arial" w:cs="Arial"/>
          <w:sz w:val="24"/>
          <w:szCs w:val="24"/>
        </w:rPr>
        <w:tab/>
        <w:t xml:space="preserve">Heuvel M van den, Baptist H, Venema P, Linden E van der, M. Löwik DWP, Hest JCM van. Mechanical and thermal stabilities of peptide amphiphile fibres. </w:t>
      </w:r>
      <w:r w:rsidRPr="00785166">
        <w:rPr>
          <w:rFonts w:ascii="Arial" w:cs="Arial"/>
          <w:i/>
          <w:iCs/>
          <w:sz w:val="24"/>
          <w:szCs w:val="24"/>
        </w:rPr>
        <w:t>Soft Matter</w:t>
      </w:r>
      <w:r w:rsidRPr="00785166">
        <w:rPr>
          <w:rFonts w:ascii="Arial" w:cs="Arial"/>
          <w:sz w:val="24"/>
          <w:szCs w:val="24"/>
        </w:rPr>
        <w:t>. 2011;7(20):9737-9743. doi:10.1039/C1SM05642E</w:t>
      </w:r>
    </w:p>
    <w:p w14:paraId="2920855B" w14:textId="77777777" w:rsidR="008F09C1" w:rsidRPr="00785166" w:rsidRDefault="008F09C1" w:rsidP="00785166">
      <w:pPr>
        <w:pStyle w:val="Bibliography"/>
        <w:rPr>
          <w:rFonts w:ascii="Arial" w:cs="Arial"/>
          <w:sz w:val="24"/>
          <w:szCs w:val="24"/>
        </w:rPr>
      </w:pPr>
      <w:r w:rsidRPr="00785166">
        <w:rPr>
          <w:rFonts w:ascii="Arial" w:cs="Arial"/>
          <w:sz w:val="24"/>
          <w:szCs w:val="24"/>
        </w:rPr>
        <w:t>179.</w:t>
      </w:r>
      <w:r w:rsidRPr="00785166">
        <w:rPr>
          <w:rFonts w:ascii="Arial" w:cs="Arial"/>
          <w:sz w:val="24"/>
          <w:szCs w:val="24"/>
        </w:rPr>
        <w:tab/>
        <w:t xml:space="preserve">Yakupova EI, Bobyleva LG, Vikhlyantsev IM, Bobylev AG. Congo Red and amyloids: history and relationship. </w:t>
      </w:r>
      <w:r w:rsidRPr="00785166">
        <w:rPr>
          <w:rFonts w:ascii="Arial" w:cs="Arial"/>
          <w:i/>
          <w:iCs/>
          <w:sz w:val="24"/>
          <w:szCs w:val="24"/>
        </w:rPr>
        <w:t>Biosci Rep</w:t>
      </w:r>
      <w:r w:rsidRPr="00785166">
        <w:rPr>
          <w:rFonts w:ascii="Arial" w:cs="Arial"/>
          <w:sz w:val="24"/>
          <w:szCs w:val="24"/>
        </w:rPr>
        <w:t>. 2019;39(1):BSR20181415. doi:10.1042/BSR20181415</w:t>
      </w:r>
    </w:p>
    <w:p w14:paraId="5FA8AF1A" w14:textId="77777777" w:rsidR="008F09C1" w:rsidRPr="00785166" w:rsidRDefault="008F09C1" w:rsidP="00785166">
      <w:pPr>
        <w:pStyle w:val="Bibliography"/>
        <w:rPr>
          <w:rFonts w:ascii="Arial" w:cs="Arial"/>
          <w:sz w:val="24"/>
          <w:szCs w:val="24"/>
        </w:rPr>
      </w:pPr>
      <w:r w:rsidRPr="00785166">
        <w:rPr>
          <w:rFonts w:ascii="Arial" w:cs="Arial"/>
          <w:sz w:val="24"/>
          <w:szCs w:val="24"/>
        </w:rPr>
        <w:t>180.</w:t>
      </w:r>
      <w:r w:rsidRPr="00785166">
        <w:rPr>
          <w:rFonts w:ascii="Arial" w:cs="Arial"/>
          <w:sz w:val="24"/>
          <w:szCs w:val="24"/>
        </w:rPr>
        <w:tab/>
        <w:t xml:space="preserve">Lakowicz JR, ed. Fluorescence Sensing. In: </w:t>
      </w:r>
      <w:r w:rsidRPr="00785166">
        <w:rPr>
          <w:rFonts w:ascii="Arial" w:cs="Arial"/>
          <w:i/>
          <w:iCs/>
          <w:sz w:val="24"/>
          <w:szCs w:val="24"/>
        </w:rPr>
        <w:t>Principles of Fluorescence Spectroscopy</w:t>
      </w:r>
      <w:r w:rsidRPr="00785166">
        <w:rPr>
          <w:rFonts w:ascii="Arial" w:cs="Arial"/>
          <w:sz w:val="24"/>
          <w:szCs w:val="24"/>
        </w:rPr>
        <w:t>. Springer US; 2006:623-673. doi:10.1007/978-0-387-46312-4_19</w:t>
      </w:r>
    </w:p>
    <w:p w14:paraId="65525761" w14:textId="77777777" w:rsidR="008F09C1" w:rsidRPr="00785166" w:rsidRDefault="008F09C1" w:rsidP="00785166">
      <w:pPr>
        <w:pStyle w:val="Bibliography"/>
        <w:rPr>
          <w:rFonts w:ascii="Arial" w:cs="Arial"/>
          <w:sz w:val="24"/>
          <w:szCs w:val="24"/>
        </w:rPr>
      </w:pPr>
      <w:r w:rsidRPr="00785166">
        <w:rPr>
          <w:rFonts w:ascii="Arial" w:cs="Arial"/>
          <w:sz w:val="24"/>
          <w:szCs w:val="24"/>
        </w:rPr>
        <w:t>181.</w:t>
      </w:r>
      <w:r w:rsidRPr="00785166">
        <w:rPr>
          <w:rFonts w:ascii="Arial" w:cs="Arial"/>
          <w:sz w:val="24"/>
          <w:szCs w:val="24"/>
        </w:rPr>
        <w:tab/>
        <w:t xml:space="preserve">Chan DI, Prenner EJ, Vogel HJ. Tryptophan- and arginine-rich antimicrobial peptides: Structures and mechanisms of action. </w:t>
      </w:r>
      <w:r w:rsidRPr="00785166">
        <w:rPr>
          <w:rFonts w:ascii="Arial" w:cs="Arial"/>
          <w:i/>
          <w:iCs/>
          <w:sz w:val="24"/>
          <w:szCs w:val="24"/>
        </w:rPr>
        <w:t>Biochimica et Biophysica Acta (BBA) - Biomembranes</w:t>
      </w:r>
      <w:r w:rsidRPr="00785166">
        <w:rPr>
          <w:rFonts w:ascii="Arial" w:cs="Arial"/>
          <w:sz w:val="24"/>
          <w:szCs w:val="24"/>
        </w:rPr>
        <w:t>. 2006;1758(9):1184-1202. doi:10.1016/j.bbamem.2006.04.006</w:t>
      </w:r>
    </w:p>
    <w:p w14:paraId="22EF0366" w14:textId="77777777" w:rsidR="008F09C1" w:rsidRPr="00785166" w:rsidRDefault="008F09C1" w:rsidP="00785166">
      <w:pPr>
        <w:pStyle w:val="Bibliography"/>
        <w:rPr>
          <w:rFonts w:ascii="Arial" w:cs="Arial"/>
          <w:sz w:val="24"/>
          <w:szCs w:val="24"/>
        </w:rPr>
      </w:pPr>
      <w:r w:rsidRPr="00785166">
        <w:rPr>
          <w:rFonts w:ascii="Arial" w:cs="Arial"/>
          <w:sz w:val="24"/>
          <w:szCs w:val="24"/>
        </w:rPr>
        <w:t>182.</w:t>
      </w:r>
      <w:r w:rsidRPr="00785166">
        <w:rPr>
          <w:rFonts w:ascii="Arial" w:cs="Arial"/>
          <w:sz w:val="24"/>
          <w:szCs w:val="24"/>
        </w:rPr>
        <w:tab/>
        <w:t xml:space="preserve">de Jesus AJ, Allen TW. The role of tryptophan side chains in membrane protein anchoring and hydrophobic mismatch. </w:t>
      </w:r>
      <w:r w:rsidRPr="00785166">
        <w:rPr>
          <w:rFonts w:ascii="Arial" w:cs="Arial"/>
          <w:i/>
          <w:iCs/>
          <w:sz w:val="24"/>
          <w:szCs w:val="24"/>
        </w:rPr>
        <w:t>Biochimica et Biophysica Acta (BBA) - Biomembranes</w:t>
      </w:r>
      <w:r w:rsidRPr="00785166">
        <w:rPr>
          <w:rFonts w:ascii="Arial" w:cs="Arial"/>
          <w:sz w:val="24"/>
          <w:szCs w:val="24"/>
        </w:rPr>
        <w:t>. 2013;1828(2):864-876. doi:10.1016/j.bbamem.2012.09.009</w:t>
      </w:r>
    </w:p>
    <w:p w14:paraId="46622DC1" w14:textId="77777777" w:rsidR="008F09C1" w:rsidRPr="00785166" w:rsidRDefault="008F09C1" w:rsidP="00785166">
      <w:pPr>
        <w:pStyle w:val="Bibliography"/>
        <w:rPr>
          <w:rFonts w:ascii="Arial" w:cs="Arial"/>
          <w:sz w:val="24"/>
          <w:szCs w:val="24"/>
        </w:rPr>
      </w:pPr>
      <w:r w:rsidRPr="00785166">
        <w:rPr>
          <w:rFonts w:ascii="Arial" w:cs="Arial"/>
          <w:sz w:val="24"/>
          <w:szCs w:val="24"/>
        </w:rPr>
        <w:t>183.</w:t>
      </w:r>
      <w:r w:rsidRPr="00785166">
        <w:rPr>
          <w:rFonts w:ascii="Arial" w:cs="Arial"/>
          <w:sz w:val="24"/>
          <w:szCs w:val="24"/>
        </w:rPr>
        <w:tab/>
        <w:t xml:space="preserve">Sawai H, Domae N. Discrimination between primary necrosis and apoptosis by necrostatin-1 in Annexin V-positive/propidium iodide-negative cells. </w:t>
      </w:r>
      <w:r w:rsidRPr="00785166">
        <w:rPr>
          <w:rFonts w:ascii="Arial" w:cs="Arial"/>
          <w:i/>
          <w:iCs/>
          <w:sz w:val="24"/>
          <w:szCs w:val="24"/>
        </w:rPr>
        <w:t>Biochemical and Biophysical Research Communications</w:t>
      </w:r>
      <w:r w:rsidRPr="00785166">
        <w:rPr>
          <w:rFonts w:ascii="Arial" w:cs="Arial"/>
          <w:sz w:val="24"/>
          <w:szCs w:val="24"/>
        </w:rPr>
        <w:t>. 2011;411(3):569-573. doi:10.1016/j.bbrc.2011.06.186</w:t>
      </w:r>
    </w:p>
    <w:p w14:paraId="3F822CD0" w14:textId="77777777" w:rsidR="008F09C1" w:rsidRPr="00785166" w:rsidRDefault="008F09C1" w:rsidP="00785166">
      <w:pPr>
        <w:pStyle w:val="Bibliography"/>
        <w:rPr>
          <w:rFonts w:ascii="Arial" w:cs="Arial"/>
          <w:sz w:val="24"/>
          <w:szCs w:val="24"/>
        </w:rPr>
      </w:pPr>
      <w:r w:rsidRPr="00785166">
        <w:rPr>
          <w:rFonts w:ascii="Arial" w:cs="Arial"/>
          <w:sz w:val="24"/>
          <w:szCs w:val="24"/>
        </w:rPr>
        <w:t>184.</w:t>
      </w:r>
      <w:r w:rsidRPr="00785166">
        <w:rPr>
          <w:rFonts w:ascii="Arial" w:cs="Arial"/>
          <w:sz w:val="24"/>
          <w:szCs w:val="24"/>
        </w:rPr>
        <w:tab/>
        <w:t xml:space="preserve">Hou L, Liu K, Li Y, Ma S, Ji X, Liu L. Necrotic pyknosis is a morphologically and biochemically distinct event from apoptotic pyknosis. </w:t>
      </w:r>
      <w:r w:rsidRPr="00785166">
        <w:rPr>
          <w:rFonts w:ascii="Arial" w:cs="Arial"/>
          <w:i/>
          <w:iCs/>
          <w:sz w:val="24"/>
          <w:szCs w:val="24"/>
        </w:rPr>
        <w:t>Journal of Cell Science</w:t>
      </w:r>
      <w:r w:rsidRPr="00785166">
        <w:rPr>
          <w:rFonts w:ascii="Arial" w:cs="Arial"/>
          <w:sz w:val="24"/>
          <w:szCs w:val="24"/>
        </w:rPr>
        <w:t>. Published online January 1, 2016:jcs.184374. doi:10.1242/jcs.184374</w:t>
      </w:r>
    </w:p>
    <w:p w14:paraId="7FFE1062" w14:textId="77777777" w:rsidR="008F09C1" w:rsidRPr="00785166" w:rsidRDefault="008F09C1" w:rsidP="00785166">
      <w:pPr>
        <w:pStyle w:val="Bibliography"/>
        <w:rPr>
          <w:rFonts w:ascii="Arial" w:cs="Arial"/>
          <w:sz w:val="24"/>
          <w:szCs w:val="24"/>
        </w:rPr>
      </w:pPr>
      <w:r w:rsidRPr="00785166">
        <w:rPr>
          <w:rFonts w:ascii="Arial" w:cs="Arial"/>
          <w:sz w:val="24"/>
          <w:szCs w:val="24"/>
        </w:rPr>
        <w:t>185.</w:t>
      </w:r>
      <w:r w:rsidRPr="00785166">
        <w:rPr>
          <w:rFonts w:ascii="Arial" w:cs="Arial"/>
          <w:sz w:val="24"/>
          <w:szCs w:val="24"/>
        </w:rPr>
        <w:tab/>
        <w:t xml:space="preserve">Savini F, Bobone S, Roversi D, Mangoni ML, Stella L. From liposomes to cells: Filling the gap between physicochemical and microbiological studies of the activity and selectivity of host-defense peptides. </w:t>
      </w:r>
      <w:r w:rsidRPr="00785166">
        <w:rPr>
          <w:rFonts w:ascii="Arial" w:cs="Arial"/>
          <w:i/>
          <w:iCs/>
          <w:sz w:val="24"/>
          <w:szCs w:val="24"/>
        </w:rPr>
        <w:t>Peptide Science</w:t>
      </w:r>
      <w:r w:rsidRPr="00785166">
        <w:rPr>
          <w:rFonts w:ascii="Arial" w:cs="Arial"/>
          <w:sz w:val="24"/>
          <w:szCs w:val="24"/>
        </w:rPr>
        <w:t>. 2018;110(5):e24041. doi:10.1002/pep2.24041</w:t>
      </w:r>
    </w:p>
    <w:p w14:paraId="50C78439" w14:textId="77777777" w:rsidR="008F09C1" w:rsidRPr="00785166" w:rsidRDefault="008F09C1" w:rsidP="00785166">
      <w:pPr>
        <w:pStyle w:val="Bibliography"/>
        <w:rPr>
          <w:rFonts w:ascii="Arial" w:cs="Arial"/>
          <w:sz w:val="24"/>
          <w:szCs w:val="24"/>
        </w:rPr>
      </w:pPr>
      <w:r w:rsidRPr="00785166">
        <w:rPr>
          <w:rFonts w:ascii="Arial" w:cs="Arial"/>
          <w:sz w:val="24"/>
          <w:szCs w:val="24"/>
        </w:rPr>
        <w:t>186.</w:t>
      </w:r>
      <w:r w:rsidRPr="00785166">
        <w:rPr>
          <w:rFonts w:ascii="Arial" w:cs="Arial"/>
          <w:sz w:val="24"/>
          <w:szCs w:val="24"/>
        </w:rPr>
        <w:tab/>
        <w:t xml:space="preserve">Andrade S, Loureiro JA, Pereira MC. The Role of Amyloid β-Biomembrane Interactions in the Pathogenesis of Alzheimer’s Disease: Insights from Liposomes as Membrane Models. </w:t>
      </w:r>
      <w:r w:rsidRPr="00785166">
        <w:rPr>
          <w:rFonts w:ascii="Arial" w:cs="Arial"/>
          <w:i/>
          <w:iCs/>
          <w:sz w:val="24"/>
          <w:szCs w:val="24"/>
        </w:rPr>
        <w:t>ChemPhysChem</w:t>
      </w:r>
      <w:r w:rsidRPr="00785166">
        <w:rPr>
          <w:rFonts w:ascii="Arial" w:cs="Arial"/>
          <w:sz w:val="24"/>
          <w:szCs w:val="24"/>
        </w:rPr>
        <w:t>. 2021;22(15):1547-1565. doi:10.1002/cphc.202100124</w:t>
      </w:r>
    </w:p>
    <w:p w14:paraId="11286C08" w14:textId="77777777" w:rsidR="008F09C1" w:rsidRPr="00785166" w:rsidRDefault="008F09C1" w:rsidP="00785166">
      <w:pPr>
        <w:pStyle w:val="Bibliography"/>
        <w:rPr>
          <w:rFonts w:ascii="Arial" w:cs="Arial"/>
          <w:sz w:val="24"/>
          <w:szCs w:val="24"/>
        </w:rPr>
      </w:pPr>
      <w:r w:rsidRPr="00785166">
        <w:rPr>
          <w:rFonts w:ascii="Arial" w:cs="Arial"/>
          <w:sz w:val="24"/>
          <w:szCs w:val="24"/>
        </w:rPr>
        <w:t>187.</w:t>
      </w:r>
      <w:r w:rsidRPr="00785166">
        <w:rPr>
          <w:rFonts w:ascii="Arial" w:cs="Arial"/>
          <w:sz w:val="24"/>
          <w:szCs w:val="24"/>
        </w:rPr>
        <w:tab/>
        <w:t xml:space="preserve">Horger KS, Estes DJ, Capone R, Mayer M. Films of Agarose Enable Rapid Formation of Giant Liposomes in Solutions of Physiologic Ionic Strength. </w:t>
      </w:r>
      <w:r w:rsidRPr="00785166">
        <w:rPr>
          <w:rFonts w:ascii="Arial" w:cs="Arial"/>
          <w:i/>
          <w:iCs/>
          <w:sz w:val="24"/>
          <w:szCs w:val="24"/>
        </w:rPr>
        <w:t>J Am Chem Soc</w:t>
      </w:r>
      <w:r w:rsidRPr="00785166">
        <w:rPr>
          <w:rFonts w:ascii="Arial" w:cs="Arial"/>
          <w:sz w:val="24"/>
          <w:szCs w:val="24"/>
        </w:rPr>
        <w:t>. 2009;131(5):1810-1819. doi:10.1021/ja805625u</w:t>
      </w:r>
    </w:p>
    <w:p w14:paraId="56C522E8" w14:textId="77777777" w:rsidR="008F09C1" w:rsidRPr="00785166" w:rsidRDefault="008F09C1" w:rsidP="00785166">
      <w:pPr>
        <w:pStyle w:val="Bibliography"/>
        <w:rPr>
          <w:rFonts w:ascii="Arial" w:cs="Arial"/>
          <w:sz w:val="24"/>
          <w:szCs w:val="24"/>
        </w:rPr>
      </w:pPr>
      <w:r w:rsidRPr="00785166">
        <w:rPr>
          <w:rFonts w:ascii="Arial" w:cs="Arial"/>
          <w:sz w:val="24"/>
          <w:szCs w:val="24"/>
        </w:rPr>
        <w:t>188.</w:t>
      </w:r>
      <w:r w:rsidRPr="00785166">
        <w:rPr>
          <w:rFonts w:ascii="Arial" w:cs="Arial"/>
          <w:sz w:val="24"/>
          <w:szCs w:val="24"/>
        </w:rPr>
        <w:tab/>
        <w:t xml:space="preserve">Chibowski E, Szcześ A. Zeta potential and surface charge of DPPC and DOPC liposomes in the presence of PLC enzyme. </w:t>
      </w:r>
      <w:r w:rsidRPr="00785166">
        <w:rPr>
          <w:rFonts w:ascii="Arial" w:cs="Arial"/>
          <w:i/>
          <w:iCs/>
          <w:sz w:val="24"/>
          <w:szCs w:val="24"/>
        </w:rPr>
        <w:t>Adsorption</w:t>
      </w:r>
      <w:r w:rsidRPr="00785166">
        <w:rPr>
          <w:rFonts w:ascii="Arial" w:cs="Arial"/>
          <w:sz w:val="24"/>
          <w:szCs w:val="24"/>
        </w:rPr>
        <w:t>. 2016;22(4-6):755-765. doi:10.1007/s10450-016-9767-z</w:t>
      </w:r>
    </w:p>
    <w:p w14:paraId="63D8FA5E" w14:textId="77777777" w:rsidR="008F09C1" w:rsidRPr="00785166" w:rsidRDefault="008F09C1" w:rsidP="00785166">
      <w:pPr>
        <w:pStyle w:val="Bibliography"/>
        <w:rPr>
          <w:rFonts w:ascii="Arial" w:cs="Arial"/>
          <w:sz w:val="24"/>
          <w:szCs w:val="24"/>
        </w:rPr>
      </w:pPr>
      <w:r w:rsidRPr="00785166">
        <w:rPr>
          <w:rFonts w:ascii="Arial" w:cs="Arial"/>
          <w:sz w:val="24"/>
          <w:szCs w:val="24"/>
        </w:rPr>
        <w:t>189.</w:t>
      </w:r>
      <w:r w:rsidRPr="00785166">
        <w:rPr>
          <w:rFonts w:ascii="Arial" w:cs="Arial"/>
          <w:sz w:val="24"/>
          <w:szCs w:val="24"/>
        </w:rPr>
        <w:tab/>
        <w:t xml:space="preserve">Arosio P, J. Knowles TP, Linse S. On the lag phase in amyloid fibril formation. </w:t>
      </w:r>
      <w:r w:rsidRPr="00785166">
        <w:rPr>
          <w:rFonts w:ascii="Arial" w:cs="Arial"/>
          <w:i/>
          <w:iCs/>
          <w:sz w:val="24"/>
          <w:szCs w:val="24"/>
        </w:rPr>
        <w:t>Physical Chemistry Chemical Physics</w:t>
      </w:r>
      <w:r w:rsidRPr="00785166">
        <w:rPr>
          <w:rFonts w:ascii="Arial" w:cs="Arial"/>
          <w:sz w:val="24"/>
          <w:szCs w:val="24"/>
        </w:rPr>
        <w:t>. 2015;17(12):7606-7618. doi:10.1039/C4CP05563B</w:t>
      </w:r>
    </w:p>
    <w:p w14:paraId="1609CB0F" w14:textId="77777777" w:rsidR="008F09C1" w:rsidRPr="00785166" w:rsidRDefault="008F09C1" w:rsidP="00785166">
      <w:pPr>
        <w:pStyle w:val="Bibliography"/>
        <w:rPr>
          <w:rFonts w:ascii="Arial" w:cs="Arial"/>
          <w:sz w:val="24"/>
          <w:szCs w:val="24"/>
        </w:rPr>
      </w:pPr>
      <w:r w:rsidRPr="00785166">
        <w:rPr>
          <w:rFonts w:ascii="Arial" w:cs="Arial"/>
          <w:sz w:val="24"/>
          <w:szCs w:val="24"/>
        </w:rPr>
        <w:t>190.</w:t>
      </w:r>
      <w:r w:rsidRPr="00785166">
        <w:rPr>
          <w:rFonts w:ascii="Arial" w:cs="Arial"/>
          <w:sz w:val="24"/>
          <w:szCs w:val="24"/>
        </w:rPr>
        <w:tab/>
        <w:t xml:space="preserve">Stanyon HF, Viles JH. Human Serum Albumin Can Regulate Amyloid-β Peptide Fiber Growth in the Brain Interstitium: IMPLICATIONS FOR ALZHEIMER DISEASE *. </w:t>
      </w:r>
      <w:r w:rsidRPr="00785166">
        <w:rPr>
          <w:rFonts w:ascii="Arial" w:cs="Arial"/>
          <w:i/>
          <w:iCs/>
          <w:sz w:val="24"/>
          <w:szCs w:val="24"/>
        </w:rPr>
        <w:t>Journal of Biological Chemistry</w:t>
      </w:r>
      <w:r w:rsidRPr="00785166">
        <w:rPr>
          <w:rFonts w:ascii="Arial" w:cs="Arial"/>
          <w:sz w:val="24"/>
          <w:szCs w:val="24"/>
        </w:rPr>
        <w:t>. 2012;287(33):28163-28168. doi:10.1074/jbc.C112.360800</w:t>
      </w:r>
    </w:p>
    <w:p w14:paraId="10BFA8F0" w14:textId="77777777" w:rsidR="008F09C1" w:rsidRPr="00785166" w:rsidRDefault="008F09C1" w:rsidP="00785166">
      <w:pPr>
        <w:pStyle w:val="Bibliography"/>
        <w:rPr>
          <w:rFonts w:ascii="Arial" w:cs="Arial"/>
          <w:sz w:val="24"/>
          <w:szCs w:val="24"/>
        </w:rPr>
      </w:pPr>
      <w:r w:rsidRPr="00785166">
        <w:rPr>
          <w:rFonts w:ascii="Arial" w:cs="Arial"/>
          <w:sz w:val="24"/>
          <w:szCs w:val="24"/>
        </w:rPr>
        <w:t>191.</w:t>
      </w:r>
      <w:r w:rsidRPr="00785166">
        <w:rPr>
          <w:rFonts w:ascii="Arial" w:cs="Arial"/>
          <w:sz w:val="24"/>
          <w:szCs w:val="24"/>
        </w:rPr>
        <w:tab/>
        <w:t xml:space="preserve">Biancalana M, Koide S. Molecular mechanism of Thioflavin-T binding to amyloid fibrils. </w:t>
      </w:r>
      <w:r w:rsidRPr="00785166">
        <w:rPr>
          <w:rFonts w:ascii="Arial" w:cs="Arial"/>
          <w:i/>
          <w:iCs/>
          <w:sz w:val="24"/>
          <w:szCs w:val="24"/>
        </w:rPr>
        <w:t>Biochimica et Biophysica Acta (BBA) - Proteins and Proteomics</w:t>
      </w:r>
      <w:r w:rsidRPr="00785166">
        <w:rPr>
          <w:rFonts w:ascii="Arial" w:cs="Arial"/>
          <w:sz w:val="24"/>
          <w:szCs w:val="24"/>
        </w:rPr>
        <w:t>. 2010;1804(7):1405-1412. doi:10.1016/j.bbapap.2010.04.001</w:t>
      </w:r>
    </w:p>
    <w:p w14:paraId="23C0B24A" w14:textId="77777777" w:rsidR="008F09C1" w:rsidRPr="00785166" w:rsidRDefault="008F09C1" w:rsidP="00785166">
      <w:pPr>
        <w:pStyle w:val="Bibliography"/>
        <w:rPr>
          <w:rFonts w:ascii="Arial" w:cs="Arial"/>
          <w:sz w:val="24"/>
          <w:szCs w:val="24"/>
        </w:rPr>
      </w:pPr>
      <w:r w:rsidRPr="00785166">
        <w:rPr>
          <w:rFonts w:ascii="Arial" w:cs="Arial"/>
          <w:sz w:val="24"/>
          <w:szCs w:val="24"/>
        </w:rPr>
        <w:t>192.</w:t>
      </w:r>
      <w:r w:rsidRPr="00785166">
        <w:rPr>
          <w:rFonts w:ascii="Arial" w:cs="Arial"/>
          <w:sz w:val="24"/>
          <w:szCs w:val="24"/>
        </w:rPr>
        <w:tab/>
        <w:t xml:space="preserve">Sang JC, Lee JE, Dear AJ, et al. Direct observation of prion protein oligomer formation reveals an aggregation mechanism with multiple conformationally distinct species. </w:t>
      </w:r>
      <w:r w:rsidRPr="00785166">
        <w:rPr>
          <w:rFonts w:ascii="Arial" w:cs="Arial"/>
          <w:i/>
          <w:iCs/>
          <w:sz w:val="24"/>
          <w:szCs w:val="24"/>
        </w:rPr>
        <w:t>Chem Sci</w:t>
      </w:r>
      <w:r w:rsidRPr="00785166">
        <w:rPr>
          <w:rFonts w:ascii="Arial" w:cs="Arial"/>
          <w:sz w:val="24"/>
          <w:szCs w:val="24"/>
        </w:rPr>
        <w:t>. 2019;10(17):4588-4597. doi:10.1039/C8SC05627G</w:t>
      </w:r>
    </w:p>
    <w:p w14:paraId="32849614" w14:textId="77777777" w:rsidR="008F09C1" w:rsidRPr="00785166" w:rsidRDefault="008F09C1" w:rsidP="00785166">
      <w:pPr>
        <w:pStyle w:val="Bibliography"/>
        <w:rPr>
          <w:rFonts w:ascii="Arial" w:cs="Arial"/>
          <w:sz w:val="24"/>
          <w:szCs w:val="24"/>
        </w:rPr>
      </w:pPr>
      <w:r w:rsidRPr="00785166">
        <w:rPr>
          <w:rFonts w:ascii="Arial" w:cs="Arial"/>
          <w:sz w:val="24"/>
          <w:szCs w:val="24"/>
        </w:rPr>
        <w:t>193.</w:t>
      </w:r>
      <w:r w:rsidRPr="00785166">
        <w:rPr>
          <w:rFonts w:ascii="Arial" w:cs="Arial"/>
          <w:sz w:val="24"/>
          <w:szCs w:val="24"/>
        </w:rPr>
        <w:tab/>
        <w:t xml:space="preserve">Ziaunys M, Sakalauskas A, Sneideris T, Smirnovas V. Lysozyme Fibrils Alter the Mechanism of Insulin Amyloid Aggregation. </w:t>
      </w:r>
      <w:r w:rsidRPr="00785166">
        <w:rPr>
          <w:rFonts w:ascii="Arial" w:cs="Arial"/>
          <w:i/>
          <w:iCs/>
          <w:sz w:val="24"/>
          <w:szCs w:val="24"/>
        </w:rPr>
        <w:t>International Journal of Molecular Sciences</w:t>
      </w:r>
      <w:r w:rsidRPr="00785166">
        <w:rPr>
          <w:rFonts w:ascii="Arial" w:cs="Arial"/>
          <w:sz w:val="24"/>
          <w:szCs w:val="24"/>
        </w:rPr>
        <w:t>. 2021;22(4):1775. doi:10.3390/ijms22041775</w:t>
      </w:r>
    </w:p>
    <w:p w14:paraId="237E44E6" w14:textId="77777777" w:rsidR="008F09C1" w:rsidRPr="00785166" w:rsidRDefault="008F09C1" w:rsidP="00785166">
      <w:pPr>
        <w:pStyle w:val="Bibliography"/>
        <w:rPr>
          <w:rFonts w:ascii="Arial" w:cs="Arial"/>
          <w:sz w:val="24"/>
          <w:szCs w:val="24"/>
        </w:rPr>
      </w:pPr>
      <w:r w:rsidRPr="00785166">
        <w:rPr>
          <w:rFonts w:ascii="Arial" w:cs="Arial"/>
          <w:sz w:val="24"/>
          <w:szCs w:val="24"/>
        </w:rPr>
        <w:t>194.</w:t>
      </w:r>
      <w:r w:rsidRPr="00785166">
        <w:rPr>
          <w:rFonts w:ascii="Arial" w:cs="Arial"/>
          <w:sz w:val="24"/>
          <w:szCs w:val="24"/>
        </w:rPr>
        <w:tab/>
        <w:t xml:space="preserve">Makwana PK, Jethva PN, Roy I. Coumarin 6 and 1,6-diphenyl-1,3,5-hexatriene (DPH) as fluorescent probes to monitor protein aggregation. </w:t>
      </w:r>
      <w:r w:rsidRPr="00785166">
        <w:rPr>
          <w:rFonts w:ascii="Arial" w:cs="Arial"/>
          <w:i/>
          <w:iCs/>
          <w:sz w:val="24"/>
          <w:szCs w:val="24"/>
        </w:rPr>
        <w:t>Analyst</w:t>
      </w:r>
      <w:r w:rsidRPr="00785166">
        <w:rPr>
          <w:rFonts w:ascii="Arial" w:cs="Arial"/>
          <w:sz w:val="24"/>
          <w:szCs w:val="24"/>
        </w:rPr>
        <w:t>. 2011;136(10):2161-2167. doi:10.1039/C0AN00829J</w:t>
      </w:r>
    </w:p>
    <w:p w14:paraId="3E25F7E8" w14:textId="77777777" w:rsidR="008F09C1" w:rsidRPr="00785166" w:rsidRDefault="008F09C1" w:rsidP="00785166">
      <w:pPr>
        <w:pStyle w:val="Bibliography"/>
        <w:rPr>
          <w:rFonts w:ascii="Arial" w:cs="Arial"/>
          <w:sz w:val="24"/>
          <w:szCs w:val="24"/>
        </w:rPr>
      </w:pPr>
      <w:r w:rsidRPr="00785166">
        <w:rPr>
          <w:rFonts w:ascii="Arial" w:cs="Arial"/>
          <w:sz w:val="24"/>
          <w:szCs w:val="24"/>
        </w:rPr>
        <w:t>195.</w:t>
      </w:r>
      <w:r w:rsidRPr="00785166">
        <w:rPr>
          <w:rFonts w:ascii="Arial" w:cs="Arial"/>
          <w:sz w:val="24"/>
          <w:szCs w:val="24"/>
        </w:rPr>
        <w:tab/>
        <w:t xml:space="preserve">Kumar P, Nagarajan A, Uchil PD. Analysis of Cell Viability by the Lactate Dehydrogenase Assay. </w:t>
      </w:r>
      <w:r w:rsidRPr="00785166">
        <w:rPr>
          <w:rFonts w:ascii="Arial" w:cs="Arial"/>
          <w:i/>
          <w:iCs/>
          <w:sz w:val="24"/>
          <w:szCs w:val="24"/>
        </w:rPr>
        <w:t>Cold Spring Harb Protoc</w:t>
      </w:r>
      <w:r w:rsidRPr="00785166">
        <w:rPr>
          <w:rFonts w:ascii="Arial" w:cs="Arial"/>
          <w:sz w:val="24"/>
          <w:szCs w:val="24"/>
        </w:rPr>
        <w:t>. 2018;2018(6):pdb.prot095497. doi:10.1101/pdb.prot095497</w:t>
      </w:r>
    </w:p>
    <w:p w14:paraId="51A45CA4" w14:textId="77777777" w:rsidR="008F09C1" w:rsidRPr="00785166" w:rsidRDefault="008F09C1" w:rsidP="00785166">
      <w:pPr>
        <w:pStyle w:val="Bibliography"/>
        <w:rPr>
          <w:rFonts w:ascii="Arial" w:cs="Arial"/>
          <w:sz w:val="24"/>
          <w:szCs w:val="24"/>
        </w:rPr>
      </w:pPr>
      <w:r w:rsidRPr="00785166">
        <w:rPr>
          <w:rFonts w:ascii="Arial" w:cs="Arial"/>
          <w:sz w:val="24"/>
          <w:szCs w:val="24"/>
        </w:rPr>
        <w:t>196.</w:t>
      </w:r>
      <w:r w:rsidRPr="00785166">
        <w:rPr>
          <w:rFonts w:ascii="Arial" w:cs="Arial"/>
          <w:sz w:val="24"/>
          <w:szCs w:val="24"/>
        </w:rPr>
        <w:tab/>
        <w:t xml:space="preserve">Lichlyter DJ, Grant SA, Soykan O. Development of a novel FRET immunosensor technique. </w:t>
      </w:r>
      <w:r w:rsidRPr="00785166">
        <w:rPr>
          <w:rFonts w:ascii="Arial" w:cs="Arial"/>
          <w:i/>
          <w:iCs/>
          <w:sz w:val="24"/>
          <w:szCs w:val="24"/>
        </w:rPr>
        <w:t>Biosensors and Bioelectronics</w:t>
      </w:r>
      <w:r w:rsidRPr="00785166">
        <w:rPr>
          <w:rFonts w:ascii="Arial" w:cs="Arial"/>
          <w:sz w:val="24"/>
          <w:szCs w:val="24"/>
        </w:rPr>
        <w:t>. 2003;19(3):219-226. doi:10.1016/S0956-5663(03)00215-X</w:t>
      </w:r>
    </w:p>
    <w:p w14:paraId="2982E5DB" w14:textId="77777777" w:rsidR="008F09C1" w:rsidRPr="00785166" w:rsidRDefault="008F09C1" w:rsidP="00785166">
      <w:pPr>
        <w:pStyle w:val="Bibliography"/>
        <w:rPr>
          <w:rFonts w:ascii="Arial" w:cs="Arial"/>
          <w:sz w:val="24"/>
          <w:szCs w:val="24"/>
        </w:rPr>
      </w:pPr>
      <w:r w:rsidRPr="00785166">
        <w:rPr>
          <w:rFonts w:ascii="Arial" w:cs="Arial"/>
          <w:sz w:val="24"/>
          <w:szCs w:val="24"/>
        </w:rPr>
        <w:t>197.</w:t>
      </w:r>
      <w:r w:rsidRPr="00785166">
        <w:rPr>
          <w:rFonts w:ascii="Arial" w:cs="Arial"/>
          <w:sz w:val="24"/>
          <w:szCs w:val="24"/>
        </w:rPr>
        <w:tab/>
        <w:t xml:space="preserve">Irwin M, Tare M, Singh A, et al. A Positive Feedback Loop of Hippo- and c-Jun-Amino-Terminal Kinase Signaling Pathways Regulates Amyloid-Beta-Mediated Neurodegeneration. </w:t>
      </w:r>
      <w:r w:rsidRPr="00785166">
        <w:rPr>
          <w:rFonts w:ascii="Arial" w:cs="Arial"/>
          <w:i/>
          <w:iCs/>
          <w:sz w:val="24"/>
          <w:szCs w:val="24"/>
        </w:rPr>
        <w:t>Front Cell Dev Biol</w:t>
      </w:r>
      <w:r w:rsidRPr="00785166">
        <w:rPr>
          <w:rFonts w:ascii="Arial" w:cs="Arial"/>
          <w:sz w:val="24"/>
          <w:szCs w:val="24"/>
        </w:rPr>
        <w:t>. 2020;8:117. doi:10.3389/fcell.2020.00117</w:t>
      </w:r>
    </w:p>
    <w:p w14:paraId="1DB8DA14" w14:textId="77777777" w:rsidR="008F09C1" w:rsidRPr="00785166" w:rsidRDefault="008F09C1" w:rsidP="00785166">
      <w:pPr>
        <w:pStyle w:val="Bibliography"/>
        <w:rPr>
          <w:rFonts w:ascii="Arial" w:cs="Arial"/>
          <w:sz w:val="24"/>
          <w:szCs w:val="24"/>
        </w:rPr>
      </w:pPr>
      <w:r w:rsidRPr="00785166">
        <w:rPr>
          <w:rFonts w:ascii="Arial" w:cs="Arial"/>
          <w:sz w:val="24"/>
          <w:szCs w:val="24"/>
        </w:rPr>
        <w:t>198.</w:t>
      </w:r>
      <w:r w:rsidRPr="00785166">
        <w:rPr>
          <w:rFonts w:ascii="Arial" w:cs="Arial"/>
          <w:sz w:val="24"/>
          <w:szCs w:val="24"/>
        </w:rPr>
        <w:tab/>
        <w:t xml:space="preserve">Hao Y, Chun A, Cheung K, Rashidi B, Yang X. Tumor Suppressor LATS1 Is a Negative Regulator of Oncogene YAP. </w:t>
      </w:r>
      <w:r w:rsidRPr="00785166">
        <w:rPr>
          <w:rFonts w:ascii="Arial" w:cs="Arial"/>
          <w:i/>
          <w:iCs/>
          <w:sz w:val="24"/>
          <w:szCs w:val="24"/>
        </w:rPr>
        <w:t>Journal of Biological Chemistry</w:t>
      </w:r>
      <w:r w:rsidRPr="00785166">
        <w:rPr>
          <w:rFonts w:ascii="Arial" w:cs="Arial"/>
          <w:sz w:val="24"/>
          <w:szCs w:val="24"/>
        </w:rPr>
        <w:t>. 2008;283(9):5496-5509. doi:10.1074/jbc.M709037200</w:t>
      </w:r>
    </w:p>
    <w:p w14:paraId="5792EABC" w14:textId="77777777" w:rsidR="008F09C1" w:rsidRPr="00785166" w:rsidRDefault="008F09C1" w:rsidP="00785166">
      <w:pPr>
        <w:pStyle w:val="Bibliography"/>
        <w:rPr>
          <w:rFonts w:ascii="Arial" w:cs="Arial"/>
          <w:sz w:val="24"/>
          <w:szCs w:val="24"/>
        </w:rPr>
      </w:pPr>
      <w:r w:rsidRPr="00785166">
        <w:rPr>
          <w:rFonts w:ascii="Arial" w:cs="Arial"/>
          <w:sz w:val="24"/>
          <w:szCs w:val="24"/>
        </w:rPr>
        <w:t>199.</w:t>
      </w:r>
      <w:r w:rsidRPr="00785166">
        <w:rPr>
          <w:rFonts w:ascii="Arial" w:cs="Arial"/>
          <w:sz w:val="24"/>
          <w:szCs w:val="24"/>
        </w:rPr>
        <w:tab/>
        <w:t xml:space="preserve">Abylkassov R, Xie Y. Role of Yes-associated protein in cancer: An update. </w:t>
      </w:r>
      <w:r w:rsidRPr="00785166">
        <w:rPr>
          <w:rFonts w:ascii="Arial" w:cs="Arial"/>
          <w:i/>
          <w:iCs/>
          <w:sz w:val="24"/>
          <w:szCs w:val="24"/>
        </w:rPr>
        <w:t>Oncology Letters</w:t>
      </w:r>
      <w:r w:rsidRPr="00785166">
        <w:rPr>
          <w:rFonts w:ascii="Arial" w:cs="Arial"/>
          <w:sz w:val="24"/>
          <w:szCs w:val="24"/>
        </w:rPr>
        <w:t>. 2016;12(4):2277-2282. doi:10.3892/ol.2016.4955</w:t>
      </w:r>
    </w:p>
    <w:p w14:paraId="3A44145A" w14:textId="77777777" w:rsidR="008F09C1" w:rsidRPr="00785166" w:rsidRDefault="008F09C1" w:rsidP="00785166">
      <w:pPr>
        <w:pStyle w:val="Bibliography"/>
        <w:rPr>
          <w:rFonts w:ascii="Arial" w:cs="Arial"/>
          <w:sz w:val="24"/>
          <w:szCs w:val="24"/>
        </w:rPr>
      </w:pPr>
      <w:r w:rsidRPr="00785166">
        <w:rPr>
          <w:rFonts w:ascii="Arial" w:cs="Arial"/>
          <w:sz w:val="24"/>
          <w:szCs w:val="24"/>
        </w:rPr>
        <w:t>200.</w:t>
      </w:r>
      <w:r w:rsidRPr="00785166">
        <w:rPr>
          <w:rFonts w:ascii="Arial" w:cs="Arial"/>
          <w:sz w:val="24"/>
          <w:szCs w:val="24"/>
        </w:rPr>
        <w:tab/>
        <w:t xml:space="preserve">Bond S, Lopez-Lloreda C, Gannon PJ, Akay-Espinoza C, Jordan-Sciutto KL. The Integrated Stress Response and Phosphorylated Eukaryotic Initiation Factor 2α in Neurodegeneration. </w:t>
      </w:r>
      <w:r w:rsidRPr="00785166">
        <w:rPr>
          <w:rFonts w:ascii="Arial" w:cs="Arial"/>
          <w:i/>
          <w:iCs/>
          <w:sz w:val="24"/>
          <w:szCs w:val="24"/>
        </w:rPr>
        <w:t>Journal of Neuropathology &amp; Experimental Neurology</w:t>
      </w:r>
      <w:r w:rsidRPr="00785166">
        <w:rPr>
          <w:rFonts w:ascii="Arial" w:cs="Arial"/>
          <w:sz w:val="24"/>
          <w:szCs w:val="24"/>
        </w:rPr>
        <w:t>. 2020;79(2):123-143. doi:10.1093/jnen/nlz129</w:t>
      </w:r>
    </w:p>
    <w:p w14:paraId="60CD834E" w14:textId="77777777" w:rsidR="008F09C1" w:rsidRPr="00785166" w:rsidRDefault="008F09C1" w:rsidP="00785166">
      <w:pPr>
        <w:pStyle w:val="Bibliography"/>
        <w:rPr>
          <w:rFonts w:ascii="Arial" w:cs="Arial"/>
          <w:sz w:val="24"/>
          <w:szCs w:val="24"/>
        </w:rPr>
      </w:pPr>
      <w:r w:rsidRPr="00785166">
        <w:rPr>
          <w:rFonts w:ascii="Arial" w:cs="Arial"/>
          <w:sz w:val="24"/>
          <w:szCs w:val="24"/>
        </w:rPr>
        <w:t>201.</w:t>
      </w:r>
      <w:r w:rsidRPr="00785166">
        <w:rPr>
          <w:rFonts w:ascii="Arial" w:cs="Arial"/>
          <w:sz w:val="24"/>
          <w:szCs w:val="24"/>
        </w:rPr>
        <w:tab/>
        <w:t>Ohno M. Roles of eIF2Î± kinases in the pathogenesis of Alzheimerâ€</w:t>
      </w:r>
      <w:r w:rsidRPr="00785166">
        <w:rPr>
          <w:rFonts w:ascii="Arial" w:cs="Arial"/>
          <w:sz w:val="24"/>
          <w:szCs w:val="24"/>
          <w:vertAlign w:val="superscript"/>
        </w:rPr>
        <w:t>TM</w:t>
      </w:r>
      <w:r w:rsidRPr="00785166">
        <w:rPr>
          <w:rFonts w:ascii="Arial" w:cs="Arial"/>
          <w:sz w:val="24"/>
          <w:szCs w:val="24"/>
        </w:rPr>
        <w:t xml:space="preserve">s disease. </w:t>
      </w:r>
      <w:r w:rsidRPr="00785166">
        <w:rPr>
          <w:rFonts w:ascii="Arial" w:cs="Arial"/>
          <w:i/>
          <w:iCs/>
          <w:sz w:val="24"/>
          <w:szCs w:val="24"/>
        </w:rPr>
        <w:t>Front Mol Neurosci</w:t>
      </w:r>
      <w:r w:rsidRPr="00785166">
        <w:rPr>
          <w:rFonts w:ascii="Arial" w:cs="Arial"/>
          <w:sz w:val="24"/>
          <w:szCs w:val="24"/>
        </w:rPr>
        <w:t>. 2014;7. doi:10.3389/fnmol.2014.00022</w:t>
      </w:r>
    </w:p>
    <w:p w14:paraId="47333388" w14:textId="77777777" w:rsidR="008F09C1" w:rsidRPr="00785166" w:rsidRDefault="008F09C1" w:rsidP="00785166">
      <w:pPr>
        <w:pStyle w:val="Bibliography"/>
        <w:rPr>
          <w:rFonts w:ascii="Arial" w:cs="Arial"/>
          <w:sz w:val="24"/>
          <w:szCs w:val="24"/>
        </w:rPr>
      </w:pPr>
      <w:r w:rsidRPr="00785166">
        <w:rPr>
          <w:rFonts w:ascii="Arial" w:cs="Arial"/>
          <w:sz w:val="24"/>
          <w:szCs w:val="24"/>
        </w:rPr>
        <w:t>202.</w:t>
      </w:r>
      <w:r w:rsidRPr="00785166">
        <w:rPr>
          <w:rFonts w:ascii="Arial" w:cs="Arial"/>
          <w:sz w:val="24"/>
          <w:szCs w:val="24"/>
        </w:rPr>
        <w:tab/>
        <w:t xml:space="preserve">Chang RCC, Wong AKY, Ng HK, Hugon J. Phosphorylation of eukaryotic initiation factor-2α (eIF2α) is associated with neuronal degeneration in Alzheimerʼs disease: </w:t>
      </w:r>
      <w:r w:rsidRPr="00785166">
        <w:rPr>
          <w:rFonts w:ascii="Arial" w:cs="Arial"/>
          <w:i/>
          <w:iCs/>
          <w:sz w:val="24"/>
          <w:szCs w:val="24"/>
        </w:rPr>
        <w:t>NeuroReport</w:t>
      </w:r>
      <w:r w:rsidRPr="00785166">
        <w:rPr>
          <w:rFonts w:ascii="Arial" w:cs="Arial"/>
          <w:sz w:val="24"/>
          <w:szCs w:val="24"/>
        </w:rPr>
        <w:t>. 2002;13(18):2429-2432. doi:10.1097/00001756-200212200-00011</w:t>
      </w:r>
    </w:p>
    <w:p w14:paraId="124CCD56" w14:textId="77777777" w:rsidR="008F09C1" w:rsidRPr="00785166" w:rsidRDefault="008F09C1" w:rsidP="00785166">
      <w:pPr>
        <w:pStyle w:val="Bibliography"/>
        <w:rPr>
          <w:rFonts w:ascii="Arial" w:cs="Arial"/>
          <w:sz w:val="24"/>
          <w:szCs w:val="24"/>
        </w:rPr>
      </w:pPr>
      <w:r w:rsidRPr="00785166">
        <w:rPr>
          <w:rFonts w:ascii="Arial" w:cs="Arial"/>
          <w:sz w:val="24"/>
          <w:szCs w:val="24"/>
        </w:rPr>
        <w:t>203.</w:t>
      </w:r>
      <w:r w:rsidRPr="00785166">
        <w:rPr>
          <w:rFonts w:ascii="Arial" w:cs="Arial"/>
          <w:sz w:val="24"/>
          <w:szCs w:val="24"/>
        </w:rPr>
        <w:tab/>
        <w:t xml:space="preserve">Lee DY, Lee KS, Lee HJ, et al. Activation of PERK Signaling Attenuates Aβ-Mediated ER Stress. Feany MB, ed. </w:t>
      </w:r>
      <w:r w:rsidRPr="00785166">
        <w:rPr>
          <w:rFonts w:ascii="Arial" w:cs="Arial"/>
          <w:i/>
          <w:iCs/>
          <w:sz w:val="24"/>
          <w:szCs w:val="24"/>
        </w:rPr>
        <w:t>PLoS ONE</w:t>
      </w:r>
      <w:r w:rsidRPr="00785166">
        <w:rPr>
          <w:rFonts w:ascii="Arial" w:cs="Arial"/>
          <w:sz w:val="24"/>
          <w:szCs w:val="24"/>
        </w:rPr>
        <w:t>. 2010;5(5):e10489. doi:10.1371/journal.pone.0010489</w:t>
      </w:r>
    </w:p>
    <w:p w14:paraId="276E296C" w14:textId="77777777" w:rsidR="008F09C1" w:rsidRPr="00785166" w:rsidRDefault="008F09C1" w:rsidP="00785166">
      <w:pPr>
        <w:pStyle w:val="Bibliography"/>
        <w:rPr>
          <w:rFonts w:ascii="Arial" w:cs="Arial"/>
          <w:sz w:val="24"/>
          <w:szCs w:val="24"/>
        </w:rPr>
      </w:pPr>
      <w:r w:rsidRPr="00785166">
        <w:rPr>
          <w:rFonts w:ascii="Arial" w:cs="Arial"/>
          <w:sz w:val="24"/>
          <w:szCs w:val="24"/>
        </w:rPr>
        <w:t>204.</w:t>
      </w:r>
      <w:r w:rsidRPr="00785166">
        <w:rPr>
          <w:rFonts w:ascii="Arial" w:cs="Arial"/>
          <w:sz w:val="24"/>
          <w:szCs w:val="24"/>
        </w:rPr>
        <w:tab/>
        <w:t xml:space="preserve">Yerlikaya A, Kimball SR, Stanley BA. Phosphorylation of eIF2α in response to 26S proteasome inhibition is mediated by the haem-regulated inhibitor (HRI) kinase. </w:t>
      </w:r>
      <w:r w:rsidRPr="00785166">
        <w:rPr>
          <w:rFonts w:ascii="Arial" w:cs="Arial"/>
          <w:i/>
          <w:iCs/>
          <w:sz w:val="24"/>
          <w:szCs w:val="24"/>
        </w:rPr>
        <w:t>Biochemical Journal</w:t>
      </w:r>
      <w:r w:rsidRPr="00785166">
        <w:rPr>
          <w:rFonts w:ascii="Arial" w:cs="Arial"/>
          <w:sz w:val="24"/>
          <w:szCs w:val="24"/>
        </w:rPr>
        <w:t>. 2008;412(3):579-588. doi:10.1042/BJ20080324</w:t>
      </w:r>
    </w:p>
    <w:p w14:paraId="4837CB28" w14:textId="77777777" w:rsidR="008F09C1" w:rsidRPr="00785166" w:rsidRDefault="008F09C1" w:rsidP="00785166">
      <w:pPr>
        <w:pStyle w:val="Bibliography"/>
        <w:rPr>
          <w:rFonts w:ascii="Arial" w:cs="Arial"/>
          <w:sz w:val="24"/>
          <w:szCs w:val="24"/>
        </w:rPr>
      </w:pPr>
      <w:r w:rsidRPr="00785166">
        <w:rPr>
          <w:rFonts w:ascii="Arial" w:cs="Arial"/>
          <w:sz w:val="24"/>
          <w:szCs w:val="24"/>
        </w:rPr>
        <w:t>205.</w:t>
      </w:r>
      <w:r w:rsidRPr="00785166">
        <w:rPr>
          <w:rFonts w:ascii="Arial" w:cs="Arial"/>
          <w:sz w:val="24"/>
          <w:szCs w:val="24"/>
        </w:rPr>
        <w:tab/>
        <w:t xml:space="preserve">Saiki M, Shiba K, Okumura M. Structural stability of amyloid fibrils depends on the existence of the peripheral sequence near the core cross-β region. </w:t>
      </w:r>
      <w:r w:rsidRPr="00785166">
        <w:rPr>
          <w:rFonts w:ascii="Arial" w:cs="Arial"/>
          <w:i/>
          <w:iCs/>
          <w:sz w:val="24"/>
          <w:szCs w:val="24"/>
        </w:rPr>
        <w:t>FEBS Letters</w:t>
      </w:r>
      <w:r w:rsidRPr="00785166">
        <w:rPr>
          <w:rFonts w:ascii="Arial" w:cs="Arial"/>
          <w:sz w:val="24"/>
          <w:szCs w:val="24"/>
        </w:rPr>
        <w:t>. 2015;589(23):3541-3547. doi:10.1016/j.febslet.2015.10.015</w:t>
      </w:r>
    </w:p>
    <w:p w14:paraId="1F799CD8" w14:textId="77777777" w:rsidR="008F09C1" w:rsidRPr="00785166" w:rsidRDefault="008F09C1" w:rsidP="00785166">
      <w:pPr>
        <w:pStyle w:val="Bibliography"/>
        <w:rPr>
          <w:rFonts w:ascii="Arial" w:cs="Arial"/>
          <w:sz w:val="24"/>
          <w:szCs w:val="24"/>
        </w:rPr>
      </w:pPr>
      <w:r w:rsidRPr="00785166">
        <w:rPr>
          <w:rFonts w:ascii="Arial" w:cs="Arial"/>
          <w:sz w:val="24"/>
          <w:szCs w:val="24"/>
        </w:rPr>
        <w:t>206.</w:t>
      </w:r>
      <w:r w:rsidRPr="00785166">
        <w:rPr>
          <w:rFonts w:ascii="Arial" w:cs="Arial"/>
          <w:sz w:val="24"/>
          <w:szCs w:val="24"/>
        </w:rPr>
        <w:tab/>
        <w:t xml:space="preserve">Chiti F, Dobson CM. Protein misfolding, functional amyloid, and human disease. </w:t>
      </w:r>
      <w:r w:rsidRPr="00785166">
        <w:rPr>
          <w:rFonts w:ascii="Arial" w:cs="Arial"/>
          <w:i/>
          <w:iCs/>
          <w:sz w:val="24"/>
          <w:szCs w:val="24"/>
        </w:rPr>
        <w:t>Annu Rev Biochem</w:t>
      </w:r>
      <w:r w:rsidRPr="00785166">
        <w:rPr>
          <w:rFonts w:ascii="Arial" w:cs="Arial"/>
          <w:sz w:val="24"/>
          <w:szCs w:val="24"/>
        </w:rPr>
        <w:t>. 2006;75:333-366. doi:10.1146/annurev.biochem.75.101304.123901</w:t>
      </w:r>
    </w:p>
    <w:p w14:paraId="1782BFBF" w14:textId="77777777" w:rsidR="008F09C1" w:rsidRPr="00785166" w:rsidRDefault="008F09C1" w:rsidP="00785166">
      <w:pPr>
        <w:pStyle w:val="Bibliography"/>
        <w:rPr>
          <w:rFonts w:ascii="Arial" w:cs="Arial"/>
          <w:sz w:val="24"/>
          <w:szCs w:val="24"/>
        </w:rPr>
      </w:pPr>
      <w:r w:rsidRPr="00785166">
        <w:rPr>
          <w:rFonts w:ascii="Arial" w:cs="Arial"/>
          <w:sz w:val="24"/>
          <w:szCs w:val="24"/>
        </w:rPr>
        <w:t>207.</w:t>
      </w:r>
      <w:r w:rsidRPr="00785166">
        <w:rPr>
          <w:rFonts w:ascii="Arial" w:cs="Arial"/>
          <w:sz w:val="24"/>
          <w:szCs w:val="24"/>
        </w:rPr>
        <w:tab/>
        <w:t xml:space="preserve">Sipe JD, Benson MD, Buxbaum JN, et al. Nomenclature 2014: Amyloid fibril proteins and clinical classification of the amyloidosis. </w:t>
      </w:r>
      <w:r w:rsidRPr="00785166">
        <w:rPr>
          <w:rFonts w:ascii="Arial" w:cs="Arial"/>
          <w:i/>
          <w:iCs/>
          <w:sz w:val="24"/>
          <w:szCs w:val="24"/>
        </w:rPr>
        <w:t>Amyloid</w:t>
      </w:r>
      <w:r w:rsidRPr="00785166">
        <w:rPr>
          <w:rFonts w:ascii="Arial" w:cs="Arial"/>
          <w:sz w:val="24"/>
          <w:szCs w:val="24"/>
        </w:rPr>
        <w:t>. 2014;21(4):221-224. doi:10.3109/13506129.2014.964858</w:t>
      </w:r>
    </w:p>
    <w:p w14:paraId="0E02BB7C" w14:textId="77777777" w:rsidR="008F09C1" w:rsidRPr="00785166" w:rsidRDefault="008F09C1" w:rsidP="00785166">
      <w:pPr>
        <w:pStyle w:val="Bibliography"/>
        <w:rPr>
          <w:rFonts w:ascii="Arial" w:cs="Arial"/>
          <w:sz w:val="24"/>
          <w:szCs w:val="24"/>
        </w:rPr>
      </w:pPr>
      <w:r w:rsidRPr="00785166">
        <w:rPr>
          <w:rFonts w:ascii="Arial" w:cs="Arial"/>
          <w:sz w:val="24"/>
          <w:szCs w:val="24"/>
        </w:rPr>
        <w:t>208.</w:t>
      </w:r>
      <w:r w:rsidRPr="00785166">
        <w:rPr>
          <w:rFonts w:ascii="Arial" w:cs="Arial"/>
          <w:sz w:val="24"/>
          <w:szCs w:val="24"/>
        </w:rPr>
        <w:tab/>
        <w:t xml:space="preserve">Linse S. Mechanism of amyloid protein aggregation and the role of inhibitors. </w:t>
      </w:r>
      <w:r w:rsidRPr="00785166">
        <w:rPr>
          <w:rFonts w:ascii="Arial" w:cs="Arial"/>
          <w:i/>
          <w:iCs/>
          <w:sz w:val="24"/>
          <w:szCs w:val="24"/>
        </w:rPr>
        <w:t>Pure and Applied Chemistry</w:t>
      </w:r>
      <w:r w:rsidRPr="00785166">
        <w:rPr>
          <w:rFonts w:ascii="Arial" w:cs="Arial"/>
          <w:sz w:val="24"/>
          <w:szCs w:val="24"/>
        </w:rPr>
        <w:t>. 2019;91(2):211-229. doi:10.1515/pac-2018-1017</w:t>
      </w:r>
    </w:p>
    <w:p w14:paraId="19DF4743" w14:textId="77777777" w:rsidR="008F09C1" w:rsidRPr="00785166" w:rsidRDefault="008F09C1" w:rsidP="00785166">
      <w:pPr>
        <w:pStyle w:val="Bibliography"/>
        <w:rPr>
          <w:rFonts w:ascii="Arial" w:cs="Arial"/>
          <w:sz w:val="24"/>
          <w:szCs w:val="24"/>
        </w:rPr>
      </w:pPr>
      <w:r w:rsidRPr="00785166">
        <w:rPr>
          <w:rFonts w:ascii="Arial" w:cs="Arial"/>
          <w:sz w:val="24"/>
          <w:szCs w:val="24"/>
        </w:rPr>
        <w:t>209.</w:t>
      </w:r>
      <w:r w:rsidRPr="00785166">
        <w:rPr>
          <w:rFonts w:ascii="Arial" w:cs="Arial"/>
          <w:sz w:val="24"/>
          <w:szCs w:val="24"/>
        </w:rPr>
        <w:tab/>
        <w:t xml:space="preserve">R. Sahoo B, J. Cox S, Ramamoorthy A. High-resolution probing of early events in amyloid-β aggregation related to Alzheimer’s disease. </w:t>
      </w:r>
      <w:r w:rsidRPr="00785166">
        <w:rPr>
          <w:rFonts w:ascii="Arial" w:cs="Arial"/>
          <w:i/>
          <w:iCs/>
          <w:sz w:val="24"/>
          <w:szCs w:val="24"/>
        </w:rPr>
        <w:t>Chemical Communications</w:t>
      </w:r>
      <w:r w:rsidRPr="00785166">
        <w:rPr>
          <w:rFonts w:ascii="Arial" w:cs="Arial"/>
          <w:sz w:val="24"/>
          <w:szCs w:val="24"/>
        </w:rPr>
        <w:t>. 2020;56(34):4627-4639. doi:10.1039/D0CC01551B</w:t>
      </w:r>
    </w:p>
    <w:p w14:paraId="25BD8632" w14:textId="77777777" w:rsidR="008F09C1" w:rsidRPr="00785166" w:rsidRDefault="008F09C1" w:rsidP="00785166">
      <w:pPr>
        <w:pStyle w:val="Bibliography"/>
        <w:rPr>
          <w:rFonts w:ascii="Arial" w:cs="Arial"/>
          <w:sz w:val="24"/>
          <w:szCs w:val="24"/>
        </w:rPr>
      </w:pPr>
      <w:r w:rsidRPr="00785166">
        <w:rPr>
          <w:rFonts w:ascii="Arial" w:cs="Arial"/>
          <w:sz w:val="24"/>
          <w:szCs w:val="24"/>
        </w:rPr>
        <w:t>210.</w:t>
      </w:r>
      <w:r w:rsidRPr="00785166">
        <w:rPr>
          <w:rFonts w:ascii="Arial" w:cs="Arial"/>
          <w:sz w:val="24"/>
          <w:szCs w:val="24"/>
        </w:rPr>
        <w:tab/>
        <w:t xml:space="preserve">Stefani M. Biochemical and biophysical features of both oligomer/fibril and cell membrane in amyloid cytotoxicity. </w:t>
      </w:r>
      <w:r w:rsidRPr="00785166">
        <w:rPr>
          <w:rFonts w:ascii="Arial" w:cs="Arial"/>
          <w:i/>
          <w:iCs/>
          <w:sz w:val="24"/>
          <w:szCs w:val="24"/>
        </w:rPr>
        <w:t>The FEBS Journal</w:t>
      </w:r>
      <w:r w:rsidRPr="00785166">
        <w:rPr>
          <w:rFonts w:ascii="Arial" w:cs="Arial"/>
          <w:sz w:val="24"/>
          <w:szCs w:val="24"/>
        </w:rPr>
        <w:t>. 2010;277(22):4602-4613. doi:10.1111/j.1742-4658.2010.07889.x</w:t>
      </w:r>
    </w:p>
    <w:p w14:paraId="72D1F01F" w14:textId="77777777" w:rsidR="008F09C1" w:rsidRPr="00785166" w:rsidRDefault="008F09C1" w:rsidP="00785166">
      <w:pPr>
        <w:pStyle w:val="Bibliography"/>
        <w:rPr>
          <w:rFonts w:ascii="Arial" w:cs="Arial"/>
          <w:sz w:val="24"/>
          <w:szCs w:val="24"/>
        </w:rPr>
      </w:pPr>
      <w:r w:rsidRPr="00785166">
        <w:rPr>
          <w:rFonts w:ascii="Arial" w:cs="Arial"/>
          <w:sz w:val="24"/>
          <w:szCs w:val="24"/>
        </w:rPr>
        <w:t>211.</w:t>
      </w:r>
      <w:r w:rsidRPr="00785166">
        <w:rPr>
          <w:rFonts w:ascii="Arial" w:cs="Arial"/>
          <w:sz w:val="24"/>
          <w:szCs w:val="24"/>
        </w:rPr>
        <w:tab/>
        <w:t xml:space="preserve">Luheshi LM, Tartaglia GG, Brorsson AC, et al. Systematic In Vivo Analysis of the Intrinsic Determinants of Amyloid β Pathogenicity. </w:t>
      </w:r>
      <w:r w:rsidRPr="00785166">
        <w:rPr>
          <w:rFonts w:ascii="Arial" w:cs="Arial"/>
          <w:i/>
          <w:iCs/>
          <w:sz w:val="24"/>
          <w:szCs w:val="24"/>
        </w:rPr>
        <w:t>PLOS Biology</w:t>
      </w:r>
      <w:r w:rsidRPr="00785166">
        <w:rPr>
          <w:rFonts w:ascii="Arial" w:cs="Arial"/>
          <w:sz w:val="24"/>
          <w:szCs w:val="24"/>
        </w:rPr>
        <w:t>. 2007;5(11):e290. doi:10.1371/journal.pbio.0050290</w:t>
      </w:r>
    </w:p>
    <w:p w14:paraId="7AF5CBCC" w14:textId="77777777" w:rsidR="008F09C1" w:rsidRPr="00785166" w:rsidRDefault="008F09C1" w:rsidP="00785166">
      <w:pPr>
        <w:pStyle w:val="Bibliography"/>
        <w:rPr>
          <w:rFonts w:ascii="Arial" w:cs="Arial"/>
          <w:sz w:val="24"/>
          <w:szCs w:val="24"/>
        </w:rPr>
      </w:pPr>
      <w:r w:rsidRPr="00785166">
        <w:rPr>
          <w:rFonts w:ascii="Arial" w:cs="Arial"/>
          <w:sz w:val="24"/>
          <w:szCs w:val="24"/>
        </w:rPr>
        <w:t>212.</w:t>
      </w:r>
      <w:r w:rsidRPr="00785166">
        <w:rPr>
          <w:rFonts w:ascii="Arial" w:cs="Arial"/>
          <w:sz w:val="24"/>
          <w:szCs w:val="24"/>
        </w:rPr>
        <w:tab/>
        <w:t xml:space="preserve">Hane F, Leonenko Z. Effect of Metals on Kinetic Pathways of Amyloid-β Aggregation. </w:t>
      </w:r>
      <w:r w:rsidRPr="00785166">
        <w:rPr>
          <w:rFonts w:ascii="Arial" w:cs="Arial"/>
          <w:i/>
          <w:iCs/>
          <w:sz w:val="24"/>
          <w:szCs w:val="24"/>
        </w:rPr>
        <w:t>Biomolecules</w:t>
      </w:r>
      <w:r w:rsidRPr="00785166">
        <w:rPr>
          <w:rFonts w:ascii="Arial" w:cs="Arial"/>
          <w:sz w:val="24"/>
          <w:szCs w:val="24"/>
        </w:rPr>
        <w:t>. 2014;4(1):101-116. doi:10.3390/biom4010101</w:t>
      </w:r>
    </w:p>
    <w:p w14:paraId="429838BC" w14:textId="77777777" w:rsidR="008F09C1" w:rsidRPr="00785166" w:rsidRDefault="008F09C1" w:rsidP="00785166">
      <w:pPr>
        <w:pStyle w:val="Bibliography"/>
        <w:rPr>
          <w:rFonts w:ascii="Arial" w:cs="Arial"/>
          <w:sz w:val="24"/>
          <w:szCs w:val="24"/>
        </w:rPr>
      </w:pPr>
      <w:r w:rsidRPr="00785166">
        <w:rPr>
          <w:rFonts w:ascii="Arial" w:cs="Arial"/>
          <w:sz w:val="24"/>
          <w:szCs w:val="24"/>
        </w:rPr>
        <w:t>213.</w:t>
      </w:r>
      <w:r w:rsidRPr="00785166">
        <w:rPr>
          <w:rFonts w:ascii="Arial" w:cs="Arial"/>
          <w:sz w:val="24"/>
          <w:szCs w:val="24"/>
        </w:rPr>
        <w:tab/>
        <w:t xml:space="preserve">Hamsici S, Gunay G, Acar H. Controllable membrane damage by tunable peptide aggregation with albumin. </w:t>
      </w:r>
      <w:r w:rsidRPr="00785166">
        <w:rPr>
          <w:rFonts w:ascii="Arial" w:cs="Arial"/>
          <w:i/>
          <w:iCs/>
          <w:sz w:val="24"/>
          <w:szCs w:val="24"/>
        </w:rPr>
        <w:t>AIChE Journal</w:t>
      </w:r>
      <w:r w:rsidRPr="00785166">
        <w:rPr>
          <w:rFonts w:ascii="Arial" w:cs="Arial"/>
          <w:sz w:val="24"/>
          <w:szCs w:val="24"/>
        </w:rPr>
        <w:t>. 2022;n/a(n/a):e17893. doi:10.1002/aic.17893</w:t>
      </w:r>
    </w:p>
    <w:p w14:paraId="64C5663A" w14:textId="77777777" w:rsidR="008F09C1" w:rsidRPr="00785166" w:rsidRDefault="008F09C1" w:rsidP="00785166">
      <w:pPr>
        <w:pStyle w:val="Bibliography"/>
        <w:rPr>
          <w:rFonts w:ascii="Arial" w:cs="Arial"/>
          <w:sz w:val="24"/>
          <w:szCs w:val="24"/>
        </w:rPr>
      </w:pPr>
      <w:r w:rsidRPr="00785166">
        <w:rPr>
          <w:rFonts w:ascii="Arial" w:cs="Arial"/>
          <w:sz w:val="24"/>
          <w:szCs w:val="24"/>
        </w:rPr>
        <w:t>214.</w:t>
      </w:r>
      <w:r w:rsidRPr="00785166">
        <w:rPr>
          <w:rFonts w:ascii="Arial" w:cs="Arial"/>
          <w:sz w:val="24"/>
          <w:szCs w:val="24"/>
        </w:rPr>
        <w:tab/>
        <w:t xml:space="preserve">Meisl G, Kirkegaard JB, Arosio P, et al. Molecular mechanisms of protein aggregation from global fitting of kinetic models. </w:t>
      </w:r>
      <w:r w:rsidRPr="00785166">
        <w:rPr>
          <w:rFonts w:ascii="Arial" w:cs="Arial"/>
          <w:i/>
          <w:iCs/>
          <w:sz w:val="24"/>
          <w:szCs w:val="24"/>
        </w:rPr>
        <w:t>Nat Protoc</w:t>
      </w:r>
      <w:r w:rsidRPr="00785166">
        <w:rPr>
          <w:rFonts w:ascii="Arial" w:cs="Arial"/>
          <w:sz w:val="24"/>
          <w:szCs w:val="24"/>
        </w:rPr>
        <w:t>. 2016;11(2):252-272. doi:10.1038/nprot.2016.010</w:t>
      </w:r>
    </w:p>
    <w:p w14:paraId="03EFA86C" w14:textId="77777777" w:rsidR="008F09C1" w:rsidRPr="00785166" w:rsidRDefault="008F09C1" w:rsidP="00785166">
      <w:pPr>
        <w:pStyle w:val="Bibliography"/>
        <w:rPr>
          <w:rFonts w:ascii="Arial" w:cs="Arial"/>
          <w:sz w:val="24"/>
          <w:szCs w:val="24"/>
        </w:rPr>
      </w:pPr>
      <w:r w:rsidRPr="00785166">
        <w:rPr>
          <w:rFonts w:ascii="Arial" w:cs="Arial"/>
          <w:sz w:val="24"/>
          <w:szCs w:val="24"/>
        </w:rPr>
        <w:t>215.</w:t>
      </w:r>
      <w:r w:rsidRPr="00785166">
        <w:rPr>
          <w:rFonts w:ascii="Arial" w:cs="Arial"/>
          <w:sz w:val="24"/>
          <w:szCs w:val="24"/>
        </w:rPr>
        <w:tab/>
        <w:t xml:space="preserve">Cecchi C, Stefani M. The amyloid-cell membrane system. The interplay between the biophysical features of oligomers/fibrils and cell membrane defines amyloid toxicity. </w:t>
      </w:r>
      <w:r w:rsidRPr="00785166">
        <w:rPr>
          <w:rFonts w:ascii="Arial" w:cs="Arial"/>
          <w:i/>
          <w:iCs/>
          <w:sz w:val="24"/>
          <w:szCs w:val="24"/>
        </w:rPr>
        <w:t>Biophysical Chemistry</w:t>
      </w:r>
      <w:r w:rsidRPr="00785166">
        <w:rPr>
          <w:rFonts w:ascii="Arial" w:cs="Arial"/>
          <w:sz w:val="24"/>
          <w:szCs w:val="24"/>
        </w:rPr>
        <w:t>. 2013;182:30-43. doi:10.1016/j.bpc.2013.06.003</w:t>
      </w:r>
    </w:p>
    <w:p w14:paraId="1C1CF98C" w14:textId="77777777" w:rsidR="008F09C1" w:rsidRPr="00785166" w:rsidRDefault="008F09C1" w:rsidP="00785166">
      <w:pPr>
        <w:pStyle w:val="Bibliography"/>
        <w:rPr>
          <w:rFonts w:ascii="Arial" w:cs="Arial"/>
          <w:sz w:val="24"/>
          <w:szCs w:val="24"/>
        </w:rPr>
      </w:pPr>
      <w:r w:rsidRPr="00785166">
        <w:rPr>
          <w:rFonts w:ascii="Arial" w:cs="Arial"/>
          <w:sz w:val="24"/>
          <w:szCs w:val="24"/>
        </w:rPr>
        <w:t>216.</w:t>
      </w:r>
      <w:r w:rsidRPr="00785166">
        <w:rPr>
          <w:rFonts w:ascii="Arial" w:cs="Arial"/>
          <w:sz w:val="24"/>
          <w:szCs w:val="24"/>
        </w:rPr>
        <w:tab/>
        <w:t xml:space="preserve">Kuperstein I, Broersen K, Benilova I, et al. Neurotoxicity of Alzheimer’s disease Aβ peptides is induced by small changes in the Aβ42 to Aβ40 ratio. </w:t>
      </w:r>
      <w:r w:rsidRPr="00785166">
        <w:rPr>
          <w:rFonts w:ascii="Arial" w:cs="Arial"/>
          <w:i/>
          <w:iCs/>
          <w:sz w:val="24"/>
          <w:szCs w:val="24"/>
        </w:rPr>
        <w:t>EMBO J</w:t>
      </w:r>
      <w:r w:rsidRPr="00785166">
        <w:rPr>
          <w:rFonts w:ascii="Arial" w:cs="Arial"/>
          <w:sz w:val="24"/>
          <w:szCs w:val="24"/>
        </w:rPr>
        <w:t>. 2010;29(19):3408-3420. doi:10.1038/emboj.2010.211</w:t>
      </w:r>
    </w:p>
    <w:p w14:paraId="1E9E402F" w14:textId="77777777" w:rsidR="008F09C1" w:rsidRPr="00785166" w:rsidRDefault="008F09C1" w:rsidP="00785166">
      <w:pPr>
        <w:pStyle w:val="Bibliography"/>
        <w:rPr>
          <w:rFonts w:ascii="Arial" w:cs="Arial"/>
          <w:sz w:val="24"/>
          <w:szCs w:val="24"/>
        </w:rPr>
      </w:pPr>
      <w:r w:rsidRPr="00785166">
        <w:rPr>
          <w:rFonts w:ascii="Arial" w:cs="Arial"/>
          <w:sz w:val="24"/>
          <w:szCs w:val="24"/>
        </w:rPr>
        <w:t>217.</w:t>
      </w:r>
      <w:r w:rsidRPr="00785166">
        <w:rPr>
          <w:rFonts w:ascii="Arial" w:cs="Arial"/>
          <w:sz w:val="24"/>
          <w:szCs w:val="24"/>
        </w:rPr>
        <w:tab/>
        <w:t xml:space="preserve">Cizas P, Budvytyte R, Morkuniene R, et al. Size-dependent neurotoxicity of beta-amyloid oligomers. </w:t>
      </w:r>
      <w:r w:rsidRPr="00785166">
        <w:rPr>
          <w:rFonts w:ascii="Arial" w:cs="Arial"/>
          <w:i/>
          <w:iCs/>
          <w:sz w:val="24"/>
          <w:szCs w:val="24"/>
        </w:rPr>
        <w:t>Arch Biochem Biophys</w:t>
      </w:r>
      <w:r w:rsidRPr="00785166">
        <w:rPr>
          <w:rFonts w:ascii="Arial" w:cs="Arial"/>
          <w:sz w:val="24"/>
          <w:szCs w:val="24"/>
        </w:rPr>
        <w:t>. 2010;496(2):84-92. doi:10.1016/j.abb.2010.02.001</w:t>
      </w:r>
    </w:p>
    <w:p w14:paraId="38111A20" w14:textId="77777777" w:rsidR="008F09C1" w:rsidRPr="00785166" w:rsidRDefault="008F09C1" w:rsidP="00785166">
      <w:pPr>
        <w:pStyle w:val="Bibliography"/>
        <w:rPr>
          <w:rFonts w:ascii="Arial" w:cs="Arial"/>
          <w:sz w:val="24"/>
          <w:szCs w:val="24"/>
        </w:rPr>
      </w:pPr>
      <w:r w:rsidRPr="00785166">
        <w:rPr>
          <w:rFonts w:ascii="Arial" w:cs="Arial"/>
          <w:sz w:val="24"/>
          <w:szCs w:val="24"/>
        </w:rPr>
        <w:t>218.</w:t>
      </w:r>
      <w:r w:rsidRPr="00785166">
        <w:rPr>
          <w:rFonts w:ascii="Arial" w:cs="Arial"/>
          <w:sz w:val="24"/>
          <w:szCs w:val="24"/>
        </w:rPr>
        <w:tab/>
        <w:t xml:space="preserve">Venegas C, Heneka MT. Danger-associated molecular patterns in Alzheimer’s disease. </w:t>
      </w:r>
      <w:r w:rsidRPr="00785166">
        <w:rPr>
          <w:rFonts w:ascii="Arial" w:cs="Arial"/>
          <w:i/>
          <w:iCs/>
          <w:sz w:val="24"/>
          <w:szCs w:val="24"/>
        </w:rPr>
        <w:t>Journal of Leukocyte Biology</w:t>
      </w:r>
      <w:r w:rsidRPr="00785166">
        <w:rPr>
          <w:rFonts w:ascii="Arial" w:cs="Arial"/>
          <w:sz w:val="24"/>
          <w:szCs w:val="24"/>
        </w:rPr>
        <w:t>. 2017;101(1):87-98. doi:10.1189/jlb.3MR0416-204R</w:t>
      </w:r>
    </w:p>
    <w:p w14:paraId="0324094E" w14:textId="77777777" w:rsidR="008F09C1" w:rsidRPr="00785166" w:rsidRDefault="008F09C1" w:rsidP="00785166">
      <w:pPr>
        <w:pStyle w:val="Bibliography"/>
        <w:rPr>
          <w:rFonts w:ascii="Arial" w:cs="Arial"/>
          <w:sz w:val="24"/>
          <w:szCs w:val="24"/>
        </w:rPr>
      </w:pPr>
      <w:r w:rsidRPr="00785166">
        <w:rPr>
          <w:rFonts w:ascii="Arial" w:cs="Arial"/>
          <w:sz w:val="24"/>
          <w:szCs w:val="24"/>
        </w:rPr>
        <w:t>219.</w:t>
      </w:r>
      <w:r w:rsidRPr="00785166">
        <w:rPr>
          <w:rFonts w:ascii="Arial" w:cs="Arial"/>
          <w:sz w:val="24"/>
          <w:szCs w:val="24"/>
        </w:rPr>
        <w:tab/>
        <w:t xml:space="preserve">Heneka MT, Kummer MP, Latz E. Innate immune activation in neurodegenerative disease. </w:t>
      </w:r>
      <w:r w:rsidRPr="00785166">
        <w:rPr>
          <w:rFonts w:ascii="Arial" w:cs="Arial"/>
          <w:i/>
          <w:iCs/>
          <w:sz w:val="24"/>
          <w:szCs w:val="24"/>
        </w:rPr>
        <w:t>Nat Rev Immunol</w:t>
      </w:r>
      <w:r w:rsidRPr="00785166">
        <w:rPr>
          <w:rFonts w:ascii="Arial" w:cs="Arial"/>
          <w:sz w:val="24"/>
          <w:szCs w:val="24"/>
        </w:rPr>
        <w:t>. 2014;14(7):463-477. doi:10.1038/nri3705</w:t>
      </w:r>
    </w:p>
    <w:p w14:paraId="1885BA59" w14:textId="77777777" w:rsidR="008F09C1" w:rsidRPr="00785166" w:rsidRDefault="008F09C1" w:rsidP="00785166">
      <w:pPr>
        <w:pStyle w:val="Bibliography"/>
        <w:rPr>
          <w:rFonts w:ascii="Arial" w:cs="Arial"/>
          <w:sz w:val="24"/>
          <w:szCs w:val="24"/>
        </w:rPr>
      </w:pPr>
      <w:r w:rsidRPr="00785166">
        <w:rPr>
          <w:rFonts w:ascii="Arial" w:cs="Arial"/>
          <w:sz w:val="24"/>
          <w:szCs w:val="24"/>
        </w:rPr>
        <w:t>220.</w:t>
      </w:r>
      <w:r w:rsidRPr="00785166">
        <w:rPr>
          <w:rFonts w:ascii="Arial" w:cs="Arial"/>
          <w:sz w:val="24"/>
          <w:szCs w:val="24"/>
        </w:rPr>
        <w:tab/>
        <w:t xml:space="preserve">Bolognesi B, Kumita JR, Barros TP, et al. ANS Binding Reveals Common Features of Cytotoxic Amyloid Species. </w:t>
      </w:r>
      <w:r w:rsidRPr="00785166">
        <w:rPr>
          <w:rFonts w:ascii="Arial" w:cs="Arial"/>
          <w:i/>
          <w:iCs/>
          <w:sz w:val="24"/>
          <w:szCs w:val="24"/>
        </w:rPr>
        <w:t>ACS Chem Biol</w:t>
      </w:r>
      <w:r w:rsidRPr="00785166">
        <w:rPr>
          <w:rFonts w:ascii="Arial" w:cs="Arial"/>
          <w:sz w:val="24"/>
          <w:szCs w:val="24"/>
        </w:rPr>
        <w:t>. 2010;5(8):735-740. doi:10.1021/cb1001203</w:t>
      </w:r>
    </w:p>
    <w:p w14:paraId="5D4AA6F9" w14:textId="77777777" w:rsidR="008F09C1" w:rsidRPr="00785166" w:rsidRDefault="008F09C1" w:rsidP="00785166">
      <w:pPr>
        <w:pStyle w:val="Bibliography"/>
        <w:rPr>
          <w:rFonts w:ascii="Arial" w:cs="Arial"/>
          <w:sz w:val="24"/>
          <w:szCs w:val="24"/>
        </w:rPr>
      </w:pPr>
      <w:r w:rsidRPr="00785166">
        <w:rPr>
          <w:rFonts w:ascii="Arial" w:cs="Arial"/>
          <w:sz w:val="24"/>
          <w:szCs w:val="24"/>
        </w:rPr>
        <w:t>221.</w:t>
      </w:r>
      <w:r w:rsidRPr="00785166">
        <w:rPr>
          <w:rFonts w:ascii="Arial" w:cs="Arial"/>
          <w:sz w:val="24"/>
          <w:szCs w:val="24"/>
        </w:rPr>
        <w:tab/>
        <w:t xml:space="preserve">Kayed R, Head E, Thompson JL, et al. Common Structure of Soluble Amyloid Oligomers Implies Common Mechanism of Pathogenesis. </w:t>
      </w:r>
      <w:r w:rsidRPr="00785166">
        <w:rPr>
          <w:rFonts w:ascii="Arial" w:cs="Arial"/>
          <w:i/>
          <w:iCs/>
          <w:sz w:val="24"/>
          <w:szCs w:val="24"/>
        </w:rPr>
        <w:t>Science</w:t>
      </w:r>
      <w:r w:rsidRPr="00785166">
        <w:rPr>
          <w:rFonts w:ascii="Arial" w:cs="Arial"/>
          <w:sz w:val="24"/>
          <w:szCs w:val="24"/>
        </w:rPr>
        <w:t>. 2003;300(5618):486-489. doi:10.1126/science.1079469</w:t>
      </w:r>
    </w:p>
    <w:p w14:paraId="13F4899C" w14:textId="77777777" w:rsidR="008F09C1" w:rsidRPr="00785166" w:rsidRDefault="008F09C1" w:rsidP="00785166">
      <w:pPr>
        <w:pStyle w:val="Bibliography"/>
        <w:rPr>
          <w:rFonts w:ascii="Arial" w:cs="Arial"/>
          <w:sz w:val="24"/>
          <w:szCs w:val="24"/>
        </w:rPr>
      </w:pPr>
      <w:r w:rsidRPr="00785166">
        <w:rPr>
          <w:rFonts w:ascii="Arial" w:cs="Arial"/>
          <w:sz w:val="24"/>
          <w:szCs w:val="24"/>
        </w:rPr>
        <w:t>222.</w:t>
      </w:r>
      <w:r w:rsidRPr="00785166">
        <w:rPr>
          <w:rFonts w:ascii="Arial" w:cs="Arial"/>
          <w:sz w:val="24"/>
          <w:szCs w:val="24"/>
        </w:rPr>
        <w:tab/>
        <w:t xml:space="preserve">C. Lee SJ, Nam E, Jin Lee H, G. Savelieff M, Hee Lim M. Towards an understanding of amyloid-β oligomers: characterization, toxicity mechanisms, and inhibitors. </w:t>
      </w:r>
      <w:r w:rsidRPr="00785166">
        <w:rPr>
          <w:rFonts w:ascii="Arial" w:cs="Arial"/>
          <w:i/>
          <w:iCs/>
          <w:sz w:val="24"/>
          <w:szCs w:val="24"/>
        </w:rPr>
        <w:t>Chemical Society Reviews</w:t>
      </w:r>
      <w:r w:rsidRPr="00785166">
        <w:rPr>
          <w:rFonts w:ascii="Arial" w:cs="Arial"/>
          <w:sz w:val="24"/>
          <w:szCs w:val="24"/>
        </w:rPr>
        <w:t>. 2017;46(2):310-323. doi:10.1039/C6CS00731G</w:t>
      </w:r>
    </w:p>
    <w:p w14:paraId="274FCF69" w14:textId="77777777" w:rsidR="008F09C1" w:rsidRPr="00785166" w:rsidRDefault="008F09C1" w:rsidP="00785166">
      <w:pPr>
        <w:pStyle w:val="Bibliography"/>
        <w:rPr>
          <w:rFonts w:ascii="Arial" w:cs="Arial"/>
          <w:sz w:val="24"/>
          <w:szCs w:val="24"/>
        </w:rPr>
      </w:pPr>
      <w:r w:rsidRPr="00785166">
        <w:rPr>
          <w:rFonts w:ascii="Arial" w:cs="Arial"/>
          <w:sz w:val="24"/>
          <w:szCs w:val="24"/>
        </w:rPr>
        <w:t>223.</w:t>
      </w:r>
      <w:r w:rsidRPr="00785166">
        <w:rPr>
          <w:rFonts w:ascii="Arial" w:cs="Arial"/>
          <w:sz w:val="24"/>
          <w:szCs w:val="24"/>
        </w:rPr>
        <w:tab/>
        <w:t xml:space="preserve">Menendez-Gonzalez M, Gasparovic C. Albumin Exchange in Alzheimer’s Disease: Might CSF Be an Alternative Route to Plasma? </w:t>
      </w:r>
      <w:r w:rsidRPr="00785166">
        <w:rPr>
          <w:rFonts w:ascii="Arial" w:cs="Arial"/>
          <w:i/>
          <w:iCs/>
          <w:sz w:val="24"/>
          <w:szCs w:val="24"/>
        </w:rPr>
        <w:t>Front Neurol</w:t>
      </w:r>
      <w:r w:rsidRPr="00785166">
        <w:rPr>
          <w:rFonts w:ascii="Arial" w:cs="Arial"/>
          <w:sz w:val="24"/>
          <w:szCs w:val="24"/>
        </w:rPr>
        <w:t>. 2019;10:1036. doi:10.3389/fneur.2019.01036</w:t>
      </w:r>
    </w:p>
    <w:p w14:paraId="3BD4A94A" w14:textId="77777777" w:rsidR="008F09C1" w:rsidRPr="00785166" w:rsidRDefault="008F09C1" w:rsidP="00785166">
      <w:pPr>
        <w:pStyle w:val="Bibliography"/>
        <w:rPr>
          <w:rFonts w:ascii="Arial" w:cs="Arial"/>
          <w:sz w:val="24"/>
          <w:szCs w:val="24"/>
        </w:rPr>
      </w:pPr>
      <w:r w:rsidRPr="00785166">
        <w:rPr>
          <w:rFonts w:ascii="Arial" w:cs="Arial"/>
          <w:sz w:val="24"/>
          <w:szCs w:val="24"/>
        </w:rPr>
        <w:t>224.</w:t>
      </w:r>
      <w:r w:rsidRPr="00785166">
        <w:rPr>
          <w:rFonts w:ascii="Arial" w:cs="Arial"/>
          <w:sz w:val="24"/>
          <w:szCs w:val="24"/>
        </w:rPr>
        <w:tab/>
        <w:t xml:space="preserve">Oropesa-Nuñez R, Seghezza S, Dante S, et al. Interaction of toxic and non-toxic HypF-N oligomers with lipid bilayers investigated at high resolution with atomic force microscopy. </w:t>
      </w:r>
      <w:r w:rsidRPr="00785166">
        <w:rPr>
          <w:rFonts w:ascii="Arial" w:cs="Arial"/>
          <w:i/>
          <w:iCs/>
          <w:sz w:val="24"/>
          <w:szCs w:val="24"/>
        </w:rPr>
        <w:t>Oncotarget</w:t>
      </w:r>
      <w:r w:rsidRPr="00785166">
        <w:rPr>
          <w:rFonts w:ascii="Arial" w:cs="Arial"/>
          <w:sz w:val="24"/>
          <w:szCs w:val="24"/>
        </w:rPr>
        <w:t>. 2016;7(29):44991-45004. doi:10.18632/oncotarget.10449</w:t>
      </w:r>
    </w:p>
    <w:p w14:paraId="686F53EC" w14:textId="77777777" w:rsidR="008F09C1" w:rsidRPr="00785166" w:rsidRDefault="008F09C1" w:rsidP="00785166">
      <w:pPr>
        <w:pStyle w:val="Bibliography"/>
        <w:rPr>
          <w:rFonts w:ascii="Arial" w:cs="Arial"/>
          <w:sz w:val="24"/>
          <w:szCs w:val="24"/>
        </w:rPr>
      </w:pPr>
      <w:r w:rsidRPr="00785166">
        <w:rPr>
          <w:rFonts w:ascii="Arial" w:cs="Arial"/>
          <w:sz w:val="24"/>
          <w:szCs w:val="24"/>
        </w:rPr>
        <w:t>225.</w:t>
      </w:r>
      <w:r w:rsidRPr="00785166">
        <w:rPr>
          <w:rFonts w:ascii="Arial" w:cs="Arial"/>
          <w:sz w:val="24"/>
          <w:szCs w:val="24"/>
        </w:rPr>
        <w:tab/>
        <w:t xml:space="preserve">Berghe TV, Vanlangenakker N, Parthoens E, et al. Necroptosis, necrosis and secondary necrosis converge on similar cellular disintegration features. </w:t>
      </w:r>
      <w:r w:rsidRPr="00785166">
        <w:rPr>
          <w:rFonts w:ascii="Arial" w:cs="Arial"/>
          <w:i/>
          <w:iCs/>
          <w:sz w:val="24"/>
          <w:szCs w:val="24"/>
        </w:rPr>
        <w:t>Cell Death Differ</w:t>
      </w:r>
      <w:r w:rsidRPr="00785166">
        <w:rPr>
          <w:rFonts w:ascii="Arial" w:cs="Arial"/>
          <w:sz w:val="24"/>
          <w:szCs w:val="24"/>
        </w:rPr>
        <w:t>. 2010;17(6):922-930. doi:10.1038/cdd.2009.184</w:t>
      </w:r>
    </w:p>
    <w:p w14:paraId="11F36EFC" w14:textId="77777777" w:rsidR="008F09C1" w:rsidRPr="00785166" w:rsidRDefault="008F09C1" w:rsidP="00785166">
      <w:pPr>
        <w:pStyle w:val="Bibliography"/>
        <w:rPr>
          <w:rFonts w:ascii="Arial" w:cs="Arial"/>
          <w:sz w:val="24"/>
          <w:szCs w:val="24"/>
        </w:rPr>
      </w:pPr>
      <w:r w:rsidRPr="00785166">
        <w:rPr>
          <w:rFonts w:ascii="Arial" w:cs="Arial"/>
          <w:sz w:val="24"/>
          <w:szCs w:val="24"/>
        </w:rPr>
        <w:t>226.</w:t>
      </w:r>
      <w:r w:rsidRPr="00785166">
        <w:rPr>
          <w:rFonts w:ascii="Arial" w:cs="Arial"/>
          <w:sz w:val="24"/>
          <w:szCs w:val="24"/>
        </w:rPr>
        <w:tab/>
        <w:t xml:space="preserve">Efimova I, Catanzaro E, Van der Meeren L, et al. Vaccination with early ferroptotic cancer cells induces efficient antitumor immunity. </w:t>
      </w:r>
      <w:r w:rsidRPr="00785166">
        <w:rPr>
          <w:rFonts w:ascii="Arial" w:cs="Arial"/>
          <w:i/>
          <w:iCs/>
          <w:sz w:val="24"/>
          <w:szCs w:val="24"/>
        </w:rPr>
        <w:t>J Immunother Cancer</w:t>
      </w:r>
      <w:r w:rsidRPr="00785166">
        <w:rPr>
          <w:rFonts w:ascii="Arial" w:cs="Arial"/>
          <w:sz w:val="24"/>
          <w:szCs w:val="24"/>
        </w:rPr>
        <w:t>. 2020;8(2):e001369. doi:10.1136/jitc-2020-001369</w:t>
      </w:r>
    </w:p>
    <w:p w14:paraId="42F582C1" w14:textId="77777777" w:rsidR="008F09C1" w:rsidRPr="00785166" w:rsidRDefault="008F09C1" w:rsidP="00785166">
      <w:pPr>
        <w:pStyle w:val="Bibliography"/>
        <w:rPr>
          <w:rFonts w:ascii="Arial" w:cs="Arial"/>
          <w:sz w:val="24"/>
          <w:szCs w:val="24"/>
        </w:rPr>
      </w:pPr>
      <w:r w:rsidRPr="00785166">
        <w:rPr>
          <w:rFonts w:ascii="Arial" w:cs="Arial"/>
          <w:sz w:val="24"/>
          <w:szCs w:val="24"/>
        </w:rPr>
        <w:t>227.</w:t>
      </w:r>
      <w:r w:rsidRPr="00785166">
        <w:rPr>
          <w:rFonts w:ascii="Arial" w:cs="Arial"/>
          <w:sz w:val="24"/>
          <w:szCs w:val="24"/>
        </w:rPr>
        <w:tab/>
        <w:t xml:space="preserve">Tesniere A, Schlemmer F, Boige V, et al. Immunogenic death of colon cancer cells treated with oxaliplatin. </w:t>
      </w:r>
      <w:r w:rsidRPr="00785166">
        <w:rPr>
          <w:rFonts w:ascii="Arial" w:cs="Arial"/>
          <w:i/>
          <w:iCs/>
          <w:sz w:val="24"/>
          <w:szCs w:val="24"/>
        </w:rPr>
        <w:t>Oncogene</w:t>
      </w:r>
      <w:r w:rsidRPr="00785166">
        <w:rPr>
          <w:rFonts w:ascii="Arial" w:cs="Arial"/>
          <w:sz w:val="24"/>
          <w:szCs w:val="24"/>
        </w:rPr>
        <w:t>. 2010;29(4):482-491. doi:10.1038/onc.2009.356</w:t>
      </w:r>
    </w:p>
    <w:p w14:paraId="5FA5EB58" w14:textId="77777777" w:rsidR="008F09C1" w:rsidRPr="00785166" w:rsidRDefault="008F09C1" w:rsidP="00785166">
      <w:pPr>
        <w:pStyle w:val="Bibliography"/>
        <w:rPr>
          <w:rFonts w:ascii="Arial" w:cs="Arial"/>
          <w:sz w:val="24"/>
          <w:szCs w:val="24"/>
        </w:rPr>
      </w:pPr>
      <w:r w:rsidRPr="00785166">
        <w:rPr>
          <w:rFonts w:ascii="Arial" w:cs="Arial"/>
          <w:sz w:val="24"/>
          <w:szCs w:val="24"/>
        </w:rPr>
        <w:t>228.</w:t>
      </w:r>
      <w:r w:rsidRPr="00785166">
        <w:rPr>
          <w:rFonts w:ascii="Arial" w:cs="Arial"/>
          <w:sz w:val="24"/>
          <w:szCs w:val="24"/>
        </w:rPr>
        <w:tab/>
        <w:t xml:space="preserve">Oli AN, Oli UC, Ejiofor OS, Nwoye CU, Esimone CO. An assessment, in mice, of the safety of the childhood immunization vaccines sourced from three south-eastern states of Nigeria. </w:t>
      </w:r>
      <w:r w:rsidRPr="00785166">
        <w:rPr>
          <w:rFonts w:ascii="Arial" w:cs="Arial"/>
          <w:i/>
          <w:iCs/>
          <w:sz w:val="24"/>
          <w:szCs w:val="24"/>
        </w:rPr>
        <w:t>Trials in Vaccinology</w:t>
      </w:r>
      <w:r w:rsidRPr="00785166">
        <w:rPr>
          <w:rFonts w:ascii="Arial" w:cs="Arial"/>
          <w:sz w:val="24"/>
          <w:szCs w:val="24"/>
        </w:rPr>
        <w:t>. 2016;5:8-14. doi:10.1016/j.trivac.2015.10.001</w:t>
      </w:r>
    </w:p>
    <w:p w14:paraId="7B4288E0" w14:textId="77777777" w:rsidR="008F09C1" w:rsidRPr="00785166" w:rsidRDefault="008F09C1" w:rsidP="00785166">
      <w:pPr>
        <w:pStyle w:val="Bibliography"/>
        <w:rPr>
          <w:rFonts w:ascii="Arial" w:cs="Arial"/>
          <w:sz w:val="24"/>
          <w:szCs w:val="24"/>
        </w:rPr>
      </w:pPr>
      <w:r w:rsidRPr="00785166">
        <w:rPr>
          <w:rFonts w:ascii="Arial" w:cs="Arial"/>
          <w:sz w:val="24"/>
          <w:szCs w:val="24"/>
        </w:rPr>
        <w:t>229.</w:t>
      </w:r>
      <w:r w:rsidRPr="00785166">
        <w:rPr>
          <w:rFonts w:ascii="Arial" w:cs="Arial"/>
          <w:sz w:val="24"/>
          <w:szCs w:val="24"/>
        </w:rPr>
        <w:tab/>
        <w:t xml:space="preserve">Martin TA, Ye L, Sanders AJ, Lane J, Jiang WG. </w:t>
      </w:r>
      <w:r w:rsidRPr="00785166">
        <w:rPr>
          <w:rFonts w:ascii="Arial" w:cs="Arial"/>
          <w:i/>
          <w:iCs/>
          <w:sz w:val="24"/>
          <w:szCs w:val="24"/>
        </w:rPr>
        <w:t>Cancer Invasion and Metastasis: Molecular and Cellular Perspective</w:t>
      </w:r>
      <w:r w:rsidRPr="00785166">
        <w:rPr>
          <w:rFonts w:ascii="Arial" w:cs="Arial"/>
          <w:sz w:val="24"/>
          <w:szCs w:val="24"/>
        </w:rPr>
        <w:t>. Landes Bioscience; 2013. Accessed October 9, 2020. https://www.ncbi.nlm.nih.gov/books/NBK164700/</w:t>
      </w:r>
    </w:p>
    <w:p w14:paraId="5DC3AE66" w14:textId="65F5654E" w:rsidR="00710B14" w:rsidRPr="00785166" w:rsidRDefault="00B20456" w:rsidP="00785166">
      <w:pPr>
        <w:spacing w:line="480" w:lineRule="auto"/>
        <w:rPr>
          <w:rFonts w:cstheme="minorHAnsi"/>
          <w:sz w:val="24"/>
          <w:szCs w:val="24"/>
        </w:rPr>
      </w:pPr>
      <w:r w:rsidRPr="00785166">
        <w:rPr>
          <w:rFonts w:cstheme="minorHAnsi"/>
          <w:b/>
          <w:bCs/>
          <w:sz w:val="24"/>
          <w:szCs w:val="24"/>
        </w:rPr>
        <w:fldChar w:fldCharType="end"/>
      </w:r>
    </w:p>
    <w:p w14:paraId="127CEE03" w14:textId="77777777" w:rsidR="00710B14" w:rsidRPr="00EB0422" w:rsidRDefault="00710B14" w:rsidP="00EB0422">
      <w:pPr>
        <w:spacing w:line="480" w:lineRule="auto"/>
        <w:rPr>
          <w:rFonts w:ascii="Palatino Linotype" w:hAnsi="Palatino Linotype"/>
          <w:sz w:val="24"/>
          <w:szCs w:val="24"/>
        </w:rPr>
      </w:pPr>
    </w:p>
    <w:p w14:paraId="62BDF5B9" w14:textId="2C889433" w:rsidR="006924D0" w:rsidRPr="00EB0422" w:rsidRDefault="006924D0" w:rsidP="00EB0422">
      <w:pPr>
        <w:spacing w:line="480" w:lineRule="auto"/>
        <w:rPr>
          <w:sz w:val="24"/>
          <w:szCs w:val="24"/>
        </w:rPr>
      </w:pPr>
    </w:p>
    <w:p w14:paraId="5A8CABCA" w14:textId="77777777" w:rsidR="00CD2127" w:rsidRPr="00EB0422" w:rsidRDefault="00CD2127" w:rsidP="00EB0422">
      <w:pPr>
        <w:spacing w:line="480" w:lineRule="auto"/>
        <w:rPr>
          <w:sz w:val="24"/>
          <w:szCs w:val="24"/>
        </w:rPr>
      </w:pPr>
    </w:p>
    <w:sectPr w:rsidR="00CD2127" w:rsidRPr="00EB0422" w:rsidSect="00DC685D">
      <w:footerReference w:type="default" r:id="rId5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43250" w14:textId="77777777" w:rsidR="008B6E53" w:rsidRDefault="008B6E53" w:rsidP="001377CE">
      <w:pPr>
        <w:spacing w:after="0" w:line="240" w:lineRule="auto"/>
      </w:pPr>
      <w:r>
        <w:separator/>
      </w:r>
    </w:p>
  </w:endnote>
  <w:endnote w:type="continuationSeparator" w:id="0">
    <w:p w14:paraId="07EF9A04" w14:textId="77777777" w:rsidR="008B6E53" w:rsidRDefault="008B6E53" w:rsidP="0013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auto"/>
    <w:pitch w:val="variable"/>
    <w:sig w:usb0="E0002AEF" w:usb1="C0007841" w:usb2="00000009" w:usb3="00000000" w:csb0="000001FF" w:csb1="00000000"/>
  </w:font>
  <w:font w:name="Arial (Body)">
    <w:altName w:val="Arial"/>
    <w:panose1 w:val="020B0604020202020204"/>
    <w:charset w:val="00"/>
    <w:family w:val="roman"/>
    <w:pitch w:val="default"/>
  </w:font>
  <w:font w:name="EB Garamond">
    <w:panose1 w:val="00000500000000000000"/>
    <w:charset w:val="00"/>
    <w:family w:val="auto"/>
    <w:pitch w:val="variable"/>
    <w:sig w:usb0="E00002FF" w:usb1="020004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Lato">
    <w:panose1 w:val="020B0604020202020204"/>
    <w:charset w:val="00"/>
    <w:family w:val="swiss"/>
    <w:pitch w:val="variable"/>
    <w:sig w:usb0="E10002FF" w:usb1="5000ECF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7945366"/>
      <w:docPartObj>
        <w:docPartGallery w:val="Page Numbers (Bottom of Page)"/>
        <w:docPartUnique/>
      </w:docPartObj>
    </w:sdtPr>
    <w:sdtContent>
      <w:p w14:paraId="213DEBC0" w14:textId="3140B279" w:rsidR="001377CE" w:rsidRDefault="001377CE" w:rsidP="008C11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2EB2">
          <w:rPr>
            <w:rStyle w:val="PageNumber"/>
            <w:noProof/>
          </w:rPr>
          <w:t>1</w:t>
        </w:r>
        <w:r>
          <w:rPr>
            <w:rStyle w:val="PageNumber"/>
          </w:rPr>
          <w:fldChar w:fldCharType="end"/>
        </w:r>
      </w:p>
    </w:sdtContent>
  </w:sdt>
  <w:p w14:paraId="0CE0A59B" w14:textId="77777777" w:rsidR="001377CE" w:rsidRDefault="001377CE" w:rsidP="0073636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7465284"/>
      <w:docPartObj>
        <w:docPartGallery w:val="Page Numbers (Bottom of Page)"/>
        <w:docPartUnique/>
      </w:docPartObj>
    </w:sdtPr>
    <w:sdtContent>
      <w:p w14:paraId="084583BE" w14:textId="78F2D1D2" w:rsidR="00736364" w:rsidRDefault="00736364" w:rsidP="003D77DC">
        <w:pPr>
          <w:pStyle w:val="Footer"/>
          <w:framePr w:w="10281" w:wrap="none" w:vAnchor="text" w:hAnchor="margin" w:xAlign="right" w:y="11"/>
          <w:ind w:left="5400" w:right="360" w:firstLine="3240"/>
          <w:rPr>
            <w:rStyle w:val="PageNumber"/>
          </w:rPr>
        </w:pPr>
        <w:r>
          <w:rPr>
            <w:rStyle w:val="PageNumber"/>
          </w:rPr>
          <w:t xml:space="preserve">                          </w:t>
        </w:r>
      </w:p>
    </w:sdtContent>
  </w:sdt>
  <w:p w14:paraId="5835937A" w14:textId="34A9263D" w:rsidR="00F07B4A" w:rsidRDefault="00F07B4A" w:rsidP="00736364">
    <w:pPr>
      <w:pStyle w:val="Footer"/>
      <w:framePr w:w="10281" w:wrap="none" w:vAnchor="text" w:hAnchor="margin" w:xAlign="right" w:y="11"/>
      <w:ind w:right="360"/>
      <w:rPr>
        <w:rStyle w:val="PageNumber"/>
      </w:rPr>
    </w:pPr>
  </w:p>
  <w:p w14:paraId="4753F498" w14:textId="77777777" w:rsidR="001377CE" w:rsidRDefault="001377CE" w:rsidP="00736364">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2884700"/>
      <w:docPartObj>
        <w:docPartGallery w:val="Page Numbers (Bottom of Page)"/>
        <w:docPartUnique/>
      </w:docPartObj>
    </w:sdtPr>
    <w:sdtContent>
      <w:p w14:paraId="43578395" w14:textId="11E9F7BB" w:rsidR="008C113D" w:rsidRDefault="008C113D" w:rsidP="004808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2DA7824" w14:textId="346869F3" w:rsidR="00736364" w:rsidRDefault="00736364" w:rsidP="003D77DC">
    <w:pPr>
      <w:pStyle w:val="Footer"/>
      <w:framePr w:wrap="none" w:vAnchor="text" w:hAnchor="margin" w:xAlign="right" w:y="1"/>
      <w:ind w:right="360"/>
      <w:rPr>
        <w:rStyle w:val="PageNumber"/>
      </w:rPr>
    </w:pPr>
  </w:p>
  <w:p w14:paraId="1E4CA349" w14:textId="77777777" w:rsidR="00F07B4A" w:rsidRDefault="00F07B4A" w:rsidP="007670BF">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5581405"/>
      <w:docPartObj>
        <w:docPartGallery w:val="Page Numbers (Bottom of Page)"/>
        <w:docPartUnique/>
      </w:docPartObj>
    </w:sdtPr>
    <w:sdtContent>
      <w:p w14:paraId="499FF959" w14:textId="34FEBA40" w:rsidR="008C113D" w:rsidRDefault="008C113D" w:rsidP="004808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sdt>
    <w:sdtPr>
      <w:rPr>
        <w:rStyle w:val="PageNumber"/>
      </w:rPr>
      <w:id w:val="-850105484"/>
      <w:docPartObj>
        <w:docPartGallery w:val="Page Numbers (Bottom of Page)"/>
        <w:docPartUnique/>
      </w:docPartObj>
    </w:sdtPr>
    <w:sdtContent>
      <w:p w14:paraId="53BDE84A" w14:textId="77777777" w:rsidR="008C113D" w:rsidRDefault="008C113D" w:rsidP="003D77DC">
        <w:pPr>
          <w:pStyle w:val="Footer"/>
          <w:framePr w:w="10281" w:wrap="none" w:vAnchor="text" w:hAnchor="margin" w:xAlign="right" w:y="11"/>
          <w:ind w:left="5400" w:right="360" w:firstLine="3240"/>
          <w:rPr>
            <w:rStyle w:val="PageNumber"/>
          </w:rPr>
        </w:pPr>
        <w:r>
          <w:rPr>
            <w:rStyle w:val="PageNumber"/>
          </w:rPr>
          <w:t xml:space="preserve">                          </w:t>
        </w:r>
      </w:p>
    </w:sdtContent>
  </w:sdt>
  <w:p w14:paraId="37854071" w14:textId="77777777" w:rsidR="008C113D" w:rsidRDefault="008C113D" w:rsidP="00736364">
    <w:pPr>
      <w:pStyle w:val="Footer"/>
      <w:framePr w:w="10281" w:wrap="none" w:vAnchor="text" w:hAnchor="margin" w:xAlign="right" w:y="11"/>
      <w:ind w:right="360"/>
      <w:rPr>
        <w:rStyle w:val="PageNumber"/>
      </w:rPr>
    </w:pPr>
  </w:p>
  <w:p w14:paraId="0E05F590" w14:textId="77777777" w:rsidR="008C113D" w:rsidRDefault="008C113D" w:rsidP="00736364">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5564296"/>
      <w:docPartObj>
        <w:docPartGallery w:val="Page Numbers (Bottom of Page)"/>
        <w:docPartUnique/>
      </w:docPartObj>
    </w:sdtPr>
    <w:sdtContent>
      <w:p w14:paraId="72E70C8D" w14:textId="77777777" w:rsidR="008C113D" w:rsidRDefault="008C113D" w:rsidP="004808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4D98093" w14:textId="77777777" w:rsidR="008C113D" w:rsidRDefault="008C113D" w:rsidP="003D77DC">
    <w:pPr>
      <w:pStyle w:val="Footer"/>
      <w:framePr w:wrap="none" w:vAnchor="text" w:hAnchor="margin" w:xAlign="right" w:y="1"/>
      <w:ind w:right="360"/>
      <w:rPr>
        <w:rStyle w:val="PageNumber"/>
      </w:rPr>
    </w:pPr>
  </w:p>
  <w:p w14:paraId="47264AEA" w14:textId="77777777" w:rsidR="008C113D" w:rsidRDefault="008C113D" w:rsidP="007670BF">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412373"/>
      <w:docPartObj>
        <w:docPartGallery w:val="Page Numbers (Bottom of Page)"/>
        <w:docPartUnique/>
      </w:docPartObj>
    </w:sdtPr>
    <w:sdtContent>
      <w:p w14:paraId="50398810" w14:textId="77777777" w:rsidR="008C113D" w:rsidRDefault="008C113D" w:rsidP="004808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sdt>
    <w:sdtPr>
      <w:rPr>
        <w:rStyle w:val="PageNumber"/>
      </w:rPr>
      <w:id w:val="-61404874"/>
      <w:docPartObj>
        <w:docPartGallery w:val="Page Numbers (Bottom of Page)"/>
        <w:docPartUnique/>
      </w:docPartObj>
    </w:sdtPr>
    <w:sdtContent>
      <w:p w14:paraId="4A259F2F" w14:textId="77777777" w:rsidR="008C113D" w:rsidRDefault="008C113D" w:rsidP="003D77DC">
        <w:pPr>
          <w:pStyle w:val="Footer"/>
          <w:framePr w:w="10281" w:wrap="none" w:vAnchor="text" w:hAnchor="margin" w:xAlign="right" w:y="11"/>
          <w:ind w:left="5400" w:right="360" w:firstLine="3240"/>
          <w:rPr>
            <w:rStyle w:val="PageNumber"/>
          </w:rPr>
        </w:pPr>
        <w:r>
          <w:rPr>
            <w:rStyle w:val="PageNumber"/>
          </w:rPr>
          <w:t xml:space="preserve">                          </w:t>
        </w:r>
      </w:p>
    </w:sdtContent>
  </w:sdt>
  <w:p w14:paraId="2058B1F5" w14:textId="77777777" w:rsidR="008C113D" w:rsidRDefault="008C113D" w:rsidP="00736364">
    <w:pPr>
      <w:pStyle w:val="Footer"/>
      <w:framePr w:w="10281" w:wrap="none" w:vAnchor="text" w:hAnchor="margin" w:xAlign="right" w:y="11"/>
      <w:ind w:right="360"/>
      <w:rPr>
        <w:rStyle w:val="PageNumber"/>
      </w:rPr>
    </w:pPr>
  </w:p>
  <w:p w14:paraId="05AFBC5B" w14:textId="77777777" w:rsidR="008C113D" w:rsidRDefault="008C113D" w:rsidP="00736364">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DD0E0" w14:textId="77777777" w:rsidR="008B6E53" w:rsidRDefault="008B6E53" w:rsidP="001377CE">
      <w:pPr>
        <w:spacing w:after="0" w:line="240" w:lineRule="auto"/>
      </w:pPr>
      <w:r>
        <w:separator/>
      </w:r>
    </w:p>
  </w:footnote>
  <w:footnote w:type="continuationSeparator" w:id="0">
    <w:p w14:paraId="6291D908" w14:textId="77777777" w:rsidR="008B6E53" w:rsidRDefault="008B6E53" w:rsidP="00137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EF4"/>
    <w:multiLevelType w:val="multilevel"/>
    <w:tmpl w:val="558432D8"/>
    <w:lvl w:ilvl="0">
      <w:start w:val="3"/>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0386B64"/>
    <w:multiLevelType w:val="multilevel"/>
    <w:tmpl w:val="3AB83336"/>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920F02"/>
    <w:multiLevelType w:val="multilevel"/>
    <w:tmpl w:val="F6443F8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EC675FD"/>
    <w:multiLevelType w:val="multilevel"/>
    <w:tmpl w:val="6ED2E89A"/>
    <w:lvl w:ilvl="0">
      <w:start w:val="3"/>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13D7798"/>
    <w:multiLevelType w:val="multilevel"/>
    <w:tmpl w:val="3AB83336"/>
    <w:lvl w:ilvl="0">
      <w:start w:val="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1A62380"/>
    <w:multiLevelType w:val="multilevel"/>
    <w:tmpl w:val="3E78D93C"/>
    <w:lvl w:ilvl="0">
      <w:start w:val="1"/>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9FA6D50"/>
    <w:multiLevelType w:val="multilevel"/>
    <w:tmpl w:val="C0B09C5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F5D0A91"/>
    <w:multiLevelType w:val="multilevel"/>
    <w:tmpl w:val="0EB6BB74"/>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00C4065"/>
    <w:multiLevelType w:val="multilevel"/>
    <w:tmpl w:val="5D9CAD78"/>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27541D6"/>
    <w:multiLevelType w:val="hybridMultilevel"/>
    <w:tmpl w:val="F6304B22"/>
    <w:lvl w:ilvl="0" w:tplc="0448A84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547002">
    <w:abstractNumId w:val="2"/>
  </w:num>
  <w:num w:numId="2" w16cid:durableId="865480391">
    <w:abstractNumId w:val="6"/>
  </w:num>
  <w:num w:numId="3" w16cid:durableId="309792249">
    <w:abstractNumId w:val="1"/>
  </w:num>
  <w:num w:numId="4" w16cid:durableId="1812553692">
    <w:abstractNumId w:val="0"/>
  </w:num>
  <w:num w:numId="5" w16cid:durableId="618410620">
    <w:abstractNumId w:val="9"/>
  </w:num>
  <w:num w:numId="6" w16cid:durableId="2080514057">
    <w:abstractNumId w:val="3"/>
  </w:num>
  <w:num w:numId="7" w16cid:durableId="2085565143">
    <w:abstractNumId w:val="7"/>
  </w:num>
  <w:num w:numId="8" w16cid:durableId="1128276828">
    <w:abstractNumId w:val="8"/>
  </w:num>
  <w:num w:numId="9" w16cid:durableId="904876256">
    <w:abstractNumId w:val="5"/>
  </w:num>
  <w:num w:numId="10" w16cid:durableId="157014297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27"/>
    <w:rsid w:val="000003F4"/>
    <w:rsid w:val="00002DDB"/>
    <w:rsid w:val="00003826"/>
    <w:rsid w:val="00004A9B"/>
    <w:rsid w:val="0000533B"/>
    <w:rsid w:val="000113BE"/>
    <w:rsid w:val="0001450A"/>
    <w:rsid w:val="00015832"/>
    <w:rsid w:val="0001626A"/>
    <w:rsid w:val="00020C30"/>
    <w:rsid w:val="0002287C"/>
    <w:rsid w:val="00025CB0"/>
    <w:rsid w:val="000264DD"/>
    <w:rsid w:val="00026668"/>
    <w:rsid w:val="00027B95"/>
    <w:rsid w:val="000324AE"/>
    <w:rsid w:val="0003569C"/>
    <w:rsid w:val="00042DC2"/>
    <w:rsid w:val="000505BA"/>
    <w:rsid w:val="00050877"/>
    <w:rsid w:val="00051FBD"/>
    <w:rsid w:val="0005670B"/>
    <w:rsid w:val="00057D4C"/>
    <w:rsid w:val="0006295D"/>
    <w:rsid w:val="00086E7B"/>
    <w:rsid w:val="00086FFC"/>
    <w:rsid w:val="00094662"/>
    <w:rsid w:val="0009526C"/>
    <w:rsid w:val="000B4F79"/>
    <w:rsid w:val="000B57F4"/>
    <w:rsid w:val="000C24BC"/>
    <w:rsid w:val="000C78B0"/>
    <w:rsid w:val="000D0843"/>
    <w:rsid w:val="000D4FDD"/>
    <w:rsid w:val="000D5D1A"/>
    <w:rsid w:val="000D6853"/>
    <w:rsid w:val="000E0E3F"/>
    <w:rsid w:val="000E6385"/>
    <w:rsid w:val="000F35C2"/>
    <w:rsid w:val="001059A1"/>
    <w:rsid w:val="001147A8"/>
    <w:rsid w:val="00115264"/>
    <w:rsid w:val="00120D13"/>
    <w:rsid w:val="00121B74"/>
    <w:rsid w:val="00125068"/>
    <w:rsid w:val="001377CE"/>
    <w:rsid w:val="00144F16"/>
    <w:rsid w:val="0015121D"/>
    <w:rsid w:val="0015133B"/>
    <w:rsid w:val="0015526A"/>
    <w:rsid w:val="001609B8"/>
    <w:rsid w:val="0016142F"/>
    <w:rsid w:val="0016446D"/>
    <w:rsid w:val="00165F1E"/>
    <w:rsid w:val="001672F7"/>
    <w:rsid w:val="00177433"/>
    <w:rsid w:val="0018567A"/>
    <w:rsid w:val="001969F1"/>
    <w:rsid w:val="001A28F8"/>
    <w:rsid w:val="001A721D"/>
    <w:rsid w:val="001B2BC8"/>
    <w:rsid w:val="001C0455"/>
    <w:rsid w:val="001C140C"/>
    <w:rsid w:val="001C5AC2"/>
    <w:rsid w:val="001C61E3"/>
    <w:rsid w:val="001D5B97"/>
    <w:rsid w:val="001E4946"/>
    <w:rsid w:val="001E56E8"/>
    <w:rsid w:val="001E5F03"/>
    <w:rsid w:val="001E6D3F"/>
    <w:rsid w:val="001F162D"/>
    <w:rsid w:val="001F1B2C"/>
    <w:rsid w:val="001F4ED3"/>
    <w:rsid w:val="001F4F8F"/>
    <w:rsid w:val="002001B2"/>
    <w:rsid w:val="0020151C"/>
    <w:rsid w:val="00203F70"/>
    <w:rsid w:val="002056A5"/>
    <w:rsid w:val="00205A65"/>
    <w:rsid w:val="002077DD"/>
    <w:rsid w:val="00207E11"/>
    <w:rsid w:val="0021285E"/>
    <w:rsid w:val="00212D7D"/>
    <w:rsid w:val="00215C8E"/>
    <w:rsid w:val="0022467F"/>
    <w:rsid w:val="002376F4"/>
    <w:rsid w:val="0024008D"/>
    <w:rsid w:val="00250647"/>
    <w:rsid w:val="00252461"/>
    <w:rsid w:val="00260D64"/>
    <w:rsid w:val="0026340E"/>
    <w:rsid w:val="00274699"/>
    <w:rsid w:val="00276711"/>
    <w:rsid w:val="002818E6"/>
    <w:rsid w:val="00291262"/>
    <w:rsid w:val="002A0383"/>
    <w:rsid w:val="002A06FB"/>
    <w:rsid w:val="002A0867"/>
    <w:rsid w:val="002A2132"/>
    <w:rsid w:val="002B20B7"/>
    <w:rsid w:val="002B51EA"/>
    <w:rsid w:val="002C6C2D"/>
    <w:rsid w:val="002C7C75"/>
    <w:rsid w:val="002D550F"/>
    <w:rsid w:val="002E38F6"/>
    <w:rsid w:val="002E6DCB"/>
    <w:rsid w:val="002F03FB"/>
    <w:rsid w:val="002F12E8"/>
    <w:rsid w:val="002F2463"/>
    <w:rsid w:val="002F29E2"/>
    <w:rsid w:val="002F4C31"/>
    <w:rsid w:val="002F502E"/>
    <w:rsid w:val="002F7A01"/>
    <w:rsid w:val="003038DB"/>
    <w:rsid w:val="003039A3"/>
    <w:rsid w:val="003057E4"/>
    <w:rsid w:val="003122F3"/>
    <w:rsid w:val="00323480"/>
    <w:rsid w:val="003253F2"/>
    <w:rsid w:val="003337DF"/>
    <w:rsid w:val="003362BF"/>
    <w:rsid w:val="00337632"/>
    <w:rsid w:val="00344E47"/>
    <w:rsid w:val="00344EDF"/>
    <w:rsid w:val="00345971"/>
    <w:rsid w:val="003467C0"/>
    <w:rsid w:val="00346F0E"/>
    <w:rsid w:val="00347387"/>
    <w:rsid w:val="0035669D"/>
    <w:rsid w:val="003618C9"/>
    <w:rsid w:val="00364BDC"/>
    <w:rsid w:val="00366531"/>
    <w:rsid w:val="00373A80"/>
    <w:rsid w:val="00373E59"/>
    <w:rsid w:val="00381B65"/>
    <w:rsid w:val="00382D73"/>
    <w:rsid w:val="00392711"/>
    <w:rsid w:val="003A08EC"/>
    <w:rsid w:val="003A2A85"/>
    <w:rsid w:val="003A2AF7"/>
    <w:rsid w:val="003A3618"/>
    <w:rsid w:val="003B26CC"/>
    <w:rsid w:val="003B7454"/>
    <w:rsid w:val="003C6D03"/>
    <w:rsid w:val="003C7BF6"/>
    <w:rsid w:val="003D0901"/>
    <w:rsid w:val="003D3A5E"/>
    <w:rsid w:val="003D77DC"/>
    <w:rsid w:val="003E0860"/>
    <w:rsid w:val="003E0A3A"/>
    <w:rsid w:val="003E0D9A"/>
    <w:rsid w:val="003E5A49"/>
    <w:rsid w:val="003E70A3"/>
    <w:rsid w:val="003F056F"/>
    <w:rsid w:val="003F2515"/>
    <w:rsid w:val="003F54EC"/>
    <w:rsid w:val="003F573B"/>
    <w:rsid w:val="003F63F0"/>
    <w:rsid w:val="00402E30"/>
    <w:rsid w:val="00403214"/>
    <w:rsid w:val="004050A6"/>
    <w:rsid w:val="004065A3"/>
    <w:rsid w:val="00412F48"/>
    <w:rsid w:val="00413D71"/>
    <w:rsid w:val="00416EA6"/>
    <w:rsid w:val="00421D68"/>
    <w:rsid w:val="004224C0"/>
    <w:rsid w:val="00425A7D"/>
    <w:rsid w:val="00426556"/>
    <w:rsid w:val="0042743C"/>
    <w:rsid w:val="004367B3"/>
    <w:rsid w:val="00442433"/>
    <w:rsid w:val="00443785"/>
    <w:rsid w:val="004441C9"/>
    <w:rsid w:val="00447709"/>
    <w:rsid w:val="004611C3"/>
    <w:rsid w:val="00464704"/>
    <w:rsid w:val="0047062D"/>
    <w:rsid w:val="004719DD"/>
    <w:rsid w:val="00472D09"/>
    <w:rsid w:val="00474FBE"/>
    <w:rsid w:val="0047726B"/>
    <w:rsid w:val="00477645"/>
    <w:rsid w:val="00480891"/>
    <w:rsid w:val="00484A28"/>
    <w:rsid w:val="004857B5"/>
    <w:rsid w:val="00493CB4"/>
    <w:rsid w:val="00494D73"/>
    <w:rsid w:val="00497EBB"/>
    <w:rsid w:val="004A051B"/>
    <w:rsid w:val="004A0D6D"/>
    <w:rsid w:val="004A2AA8"/>
    <w:rsid w:val="004A5835"/>
    <w:rsid w:val="004B44A8"/>
    <w:rsid w:val="004B55C8"/>
    <w:rsid w:val="004C7567"/>
    <w:rsid w:val="004D13D1"/>
    <w:rsid w:val="004D522A"/>
    <w:rsid w:val="004D5C17"/>
    <w:rsid w:val="004D645B"/>
    <w:rsid w:val="004E0688"/>
    <w:rsid w:val="004E5CC0"/>
    <w:rsid w:val="004F16D9"/>
    <w:rsid w:val="00503843"/>
    <w:rsid w:val="005160F9"/>
    <w:rsid w:val="005167B5"/>
    <w:rsid w:val="005308E3"/>
    <w:rsid w:val="00530F23"/>
    <w:rsid w:val="00533D84"/>
    <w:rsid w:val="0053477E"/>
    <w:rsid w:val="005373CC"/>
    <w:rsid w:val="00537A6E"/>
    <w:rsid w:val="00537DE3"/>
    <w:rsid w:val="00542522"/>
    <w:rsid w:val="00544A8D"/>
    <w:rsid w:val="00544BA8"/>
    <w:rsid w:val="00552A91"/>
    <w:rsid w:val="00567312"/>
    <w:rsid w:val="00567350"/>
    <w:rsid w:val="00567F3F"/>
    <w:rsid w:val="00571E32"/>
    <w:rsid w:val="0057370B"/>
    <w:rsid w:val="00575816"/>
    <w:rsid w:val="00576413"/>
    <w:rsid w:val="00595145"/>
    <w:rsid w:val="00595BE7"/>
    <w:rsid w:val="00596008"/>
    <w:rsid w:val="00596176"/>
    <w:rsid w:val="005A0E53"/>
    <w:rsid w:val="005A121C"/>
    <w:rsid w:val="005A2302"/>
    <w:rsid w:val="005A32D6"/>
    <w:rsid w:val="005A4A69"/>
    <w:rsid w:val="005A7291"/>
    <w:rsid w:val="005B1FE8"/>
    <w:rsid w:val="005B2127"/>
    <w:rsid w:val="005B3AB4"/>
    <w:rsid w:val="005B4478"/>
    <w:rsid w:val="005B5FDF"/>
    <w:rsid w:val="005C5E26"/>
    <w:rsid w:val="005C5FCE"/>
    <w:rsid w:val="005C61E4"/>
    <w:rsid w:val="005C7B5D"/>
    <w:rsid w:val="005D5D1B"/>
    <w:rsid w:val="005E1616"/>
    <w:rsid w:val="005F2AE2"/>
    <w:rsid w:val="005F4629"/>
    <w:rsid w:val="006001BA"/>
    <w:rsid w:val="00607751"/>
    <w:rsid w:val="00612786"/>
    <w:rsid w:val="00620DF0"/>
    <w:rsid w:val="00624961"/>
    <w:rsid w:val="00625130"/>
    <w:rsid w:val="00631B96"/>
    <w:rsid w:val="00633542"/>
    <w:rsid w:val="00637B38"/>
    <w:rsid w:val="00640C6B"/>
    <w:rsid w:val="0064208D"/>
    <w:rsid w:val="0064251D"/>
    <w:rsid w:val="006478E3"/>
    <w:rsid w:val="00652BE9"/>
    <w:rsid w:val="00654E16"/>
    <w:rsid w:val="00661334"/>
    <w:rsid w:val="00671605"/>
    <w:rsid w:val="00671A5F"/>
    <w:rsid w:val="00671E83"/>
    <w:rsid w:val="006727EE"/>
    <w:rsid w:val="00675E16"/>
    <w:rsid w:val="006760E1"/>
    <w:rsid w:val="006761CA"/>
    <w:rsid w:val="00677CEC"/>
    <w:rsid w:val="00682CEB"/>
    <w:rsid w:val="006834A5"/>
    <w:rsid w:val="00690ED1"/>
    <w:rsid w:val="006924D0"/>
    <w:rsid w:val="00693192"/>
    <w:rsid w:val="00694184"/>
    <w:rsid w:val="0069601D"/>
    <w:rsid w:val="006A6ED2"/>
    <w:rsid w:val="006A76AC"/>
    <w:rsid w:val="006B1439"/>
    <w:rsid w:val="006B41BA"/>
    <w:rsid w:val="006B6140"/>
    <w:rsid w:val="006C1FE6"/>
    <w:rsid w:val="006C44DD"/>
    <w:rsid w:val="006C7FB5"/>
    <w:rsid w:val="006D2409"/>
    <w:rsid w:val="006D2782"/>
    <w:rsid w:val="006D7140"/>
    <w:rsid w:val="006D7736"/>
    <w:rsid w:val="006E0E2B"/>
    <w:rsid w:val="006F139F"/>
    <w:rsid w:val="006F13D9"/>
    <w:rsid w:val="006F30CC"/>
    <w:rsid w:val="006F4806"/>
    <w:rsid w:val="006F6564"/>
    <w:rsid w:val="00701EBF"/>
    <w:rsid w:val="00707508"/>
    <w:rsid w:val="00710942"/>
    <w:rsid w:val="00710B14"/>
    <w:rsid w:val="007129C8"/>
    <w:rsid w:val="00722159"/>
    <w:rsid w:val="00733D63"/>
    <w:rsid w:val="00734B00"/>
    <w:rsid w:val="00736364"/>
    <w:rsid w:val="00737ACD"/>
    <w:rsid w:val="0074043A"/>
    <w:rsid w:val="00743AB8"/>
    <w:rsid w:val="007446C9"/>
    <w:rsid w:val="007526FE"/>
    <w:rsid w:val="00753CEF"/>
    <w:rsid w:val="00760803"/>
    <w:rsid w:val="007658D5"/>
    <w:rsid w:val="00765C0E"/>
    <w:rsid w:val="007670BF"/>
    <w:rsid w:val="0076780F"/>
    <w:rsid w:val="00771BA6"/>
    <w:rsid w:val="00776C62"/>
    <w:rsid w:val="007775A8"/>
    <w:rsid w:val="007835DA"/>
    <w:rsid w:val="00785166"/>
    <w:rsid w:val="0078643E"/>
    <w:rsid w:val="00791101"/>
    <w:rsid w:val="0079764E"/>
    <w:rsid w:val="007A0FE0"/>
    <w:rsid w:val="007A167C"/>
    <w:rsid w:val="007A3E29"/>
    <w:rsid w:val="007A51D6"/>
    <w:rsid w:val="007B33B0"/>
    <w:rsid w:val="007B54DC"/>
    <w:rsid w:val="007B7239"/>
    <w:rsid w:val="007C10CC"/>
    <w:rsid w:val="007C2017"/>
    <w:rsid w:val="007D07A1"/>
    <w:rsid w:val="007D0DA4"/>
    <w:rsid w:val="007D1F70"/>
    <w:rsid w:val="007D3222"/>
    <w:rsid w:val="007E2CEC"/>
    <w:rsid w:val="007E75E5"/>
    <w:rsid w:val="008017D9"/>
    <w:rsid w:val="00801DFB"/>
    <w:rsid w:val="00804124"/>
    <w:rsid w:val="00804593"/>
    <w:rsid w:val="00804B32"/>
    <w:rsid w:val="008075B0"/>
    <w:rsid w:val="00810AEA"/>
    <w:rsid w:val="00811245"/>
    <w:rsid w:val="0081229A"/>
    <w:rsid w:val="00815888"/>
    <w:rsid w:val="00817B60"/>
    <w:rsid w:val="00823E6D"/>
    <w:rsid w:val="00824921"/>
    <w:rsid w:val="00825D7F"/>
    <w:rsid w:val="00833869"/>
    <w:rsid w:val="00834F02"/>
    <w:rsid w:val="00837472"/>
    <w:rsid w:val="00837BC8"/>
    <w:rsid w:val="008417D7"/>
    <w:rsid w:val="0084192D"/>
    <w:rsid w:val="00845B6C"/>
    <w:rsid w:val="0084674A"/>
    <w:rsid w:val="00846F2B"/>
    <w:rsid w:val="0084736C"/>
    <w:rsid w:val="008519BC"/>
    <w:rsid w:val="00855276"/>
    <w:rsid w:val="00855662"/>
    <w:rsid w:val="00856E9E"/>
    <w:rsid w:val="00863024"/>
    <w:rsid w:val="0086682E"/>
    <w:rsid w:val="00867166"/>
    <w:rsid w:val="008678B2"/>
    <w:rsid w:val="008719FB"/>
    <w:rsid w:val="008750DF"/>
    <w:rsid w:val="0088137B"/>
    <w:rsid w:val="00882D1E"/>
    <w:rsid w:val="00891612"/>
    <w:rsid w:val="008941BE"/>
    <w:rsid w:val="008A26B4"/>
    <w:rsid w:val="008A3EF7"/>
    <w:rsid w:val="008A48D3"/>
    <w:rsid w:val="008A4CEC"/>
    <w:rsid w:val="008B0C45"/>
    <w:rsid w:val="008B5FB4"/>
    <w:rsid w:val="008B6CBE"/>
    <w:rsid w:val="008B6E53"/>
    <w:rsid w:val="008B7EF3"/>
    <w:rsid w:val="008C113D"/>
    <w:rsid w:val="008C6822"/>
    <w:rsid w:val="008C7C43"/>
    <w:rsid w:val="008D2DFB"/>
    <w:rsid w:val="008E1076"/>
    <w:rsid w:val="008E28D5"/>
    <w:rsid w:val="008F09C1"/>
    <w:rsid w:val="008F1AC9"/>
    <w:rsid w:val="008F40D1"/>
    <w:rsid w:val="008F62E8"/>
    <w:rsid w:val="008F79E0"/>
    <w:rsid w:val="008F7A46"/>
    <w:rsid w:val="00900CC1"/>
    <w:rsid w:val="00900EEC"/>
    <w:rsid w:val="00904368"/>
    <w:rsid w:val="0092438D"/>
    <w:rsid w:val="00925836"/>
    <w:rsid w:val="00925E2A"/>
    <w:rsid w:val="00926465"/>
    <w:rsid w:val="00926DD7"/>
    <w:rsid w:val="00930174"/>
    <w:rsid w:val="009311A5"/>
    <w:rsid w:val="00932ECA"/>
    <w:rsid w:val="009356DE"/>
    <w:rsid w:val="009502FC"/>
    <w:rsid w:val="00956EB0"/>
    <w:rsid w:val="00960916"/>
    <w:rsid w:val="009615EE"/>
    <w:rsid w:val="0096278C"/>
    <w:rsid w:val="00965ED9"/>
    <w:rsid w:val="00970A9F"/>
    <w:rsid w:val="00972418"/>
    <w:rsid w:val="00972B75"/>
    <w:rsid w:val="00973979"/>
    <w:rsid w:val="00981E22"/>
    <w:rsid w:val="0098345A"/>
    <w:rsid w:val="00983DC3"/>
    <w:rsid w:val="00985B8D"/>
    <w:rsid w:val="00994AEE"/>
    <w:rsid w:val="00996D87"/>
    <w:rsid w:val="009A06B6"/>
    <w:rsid w:val="009A4405"/>
    <w:rsid w:val="009B08B1"/>
    <w:rsid w:val="009B497D"/>
    <w:rsid w:val="009B5A3E"/>
    <w:rsid w:val="009B6EE0"/>
    <w:rsid w:val="009D0139"/>
    <w:rsid w:val="009E067C"/>
    <w:rsid w:val="009E3EB9"/>
    <w:rsid w:val="009E5181"/>
    <w:rsid w:val="009F2CA2"/>
    <w:rsid w:val="009F4348"/>
    <w:rsid w:val="009F7970"/>
    <w:rsid w:val="009F7A76"/>
    <w:rsid w:val="009F7AEA"/>
    <w:rsid w:val="00A046DF"/>
    <w:rsid w:val="00A05B7B"/>
    <w:rsid w:val="00A1419C"/>
    <w:rsid w:val="00A343B5"/>
    <w:rsid w:val="00A366DB"/>
    <w:rsid w:val="00A36FE8"/>
    <w:rsid w:val="00A40EB3"/>
    <w:rsid w:val="00A508B2"/>
    <w:rsid w:val="00A51B10"/>
    <w:rsid w:val="00A53163"/>
    <w:rsid w:val="00A54230"/>
    <w:rsid w:val="00A54F8F"/>
    <w:rsid w:val="00A56065"/>
    <w:rsid w:val="00A6052C"/>
    <w:rsid w:val="00A62A4E"/>
    <w:rsid w:val="00A63A9B"/>
    <w:rsid w:val="00A66A3D"/>
    <w:rsid w:val="00A70A36"/>
    <w:rsid w:val="00A74AA7"/>
    <w:rsid w:val="00A76B94"/>
    <w:rsid w:val="00A800A0"/>
    <w:rsid w:val="00A8274D"/>
    <w:rsid w:val="00A84BD9"/>
    <w:rsid w:val="00A86D54"/>
    <w:rsid w:val="00A95204"/>
    <w:rsid w:val="00AA10F4"/>
    <w:rsid w:val="00AA30C9"/>
    <w:rsid w:val="00AA4906"/>
    <w:rsid w:val="00AA5F8D"/>
    <w:rsid w:val="00AA65D3"/>
    <w:rsid w:val="00AB3C66"/>
    <w:rsid w:val="00AB5976"/>
    <w:rsid w:val="00AB60B1"/>
    <w:rsid w:val="00AB61C6"/>
    <w:rsid w:val="00AC0070"/>
    <w:rsid w:val="00AC1571"/>
    <w:rsid w:val="00AC29A2"/>
    <w:rsid w:val="00AC517A"/>
    <w:rsid w:val="00AC5BC2"/>
    <w:rsid w:val="00AD43A9"/>
    <w:rsid w:val="00AD6E83"/>
    <w:rsid w:val="00AD6F4D"/>
    <w:rsid w:val="00AE0B17"/>
    <w:rsid w:val="00AE30F0"/>
    <w:rsid w:val="00AE36B0"/>
    <w:rsid w:val="00AE60B3"/>
    <w:rsid w:val="00AE6607"/>
    <w:rsid w:val="00AF1814"/>
    <w:rsid w:val="00AF3F92"/>
    <w:rsid w:val="00B00ABA"/>
    <w:rsid w:val="00B022E3"/>
    <w:rsid w:val="00B048FB"/>
    <w:rsid w:val="00B117DC"/>
    <w:rsid w:val="00B16C6D"/>
    <w:rsid w:val="00B17039"/>
    <w:rsid w:val="00B20456"/>
    <w:rsid w:val="00B21E63"/>
    <w:rsid w:val="00B26245"/>
    <w:rsid w:val="00B2790D"/>
    <w:rsid w:val="00B32932"/>
    <w:rsid w:val="00B34001"/>
    <w:rsid w:val="00B34C61"/>
    <w:rsid w:val="00B37168"/>
    <w:rsid w:val="00B41C5E"/>
    <w:rsid w:val="00B4664F"/>
    <w:rsid w:val="00B4771E"/>
    <w:rsid w:val="00B47C5B"/>
    <w:rsid w:val="00B54152"/>
    <w:rsid w:val="00B5499F"/>
    <w:rsid w:val="00B5502E"/>
    <w:rsid w:val="00B6556A"/>
    <w:rsid w:val="00B6637B"/>
    <w:rsid w:val="00B76C1A"/>
    <w:rsid w:val="00B81312"/>
    <w:rsid w:val="00B8278E"/>
    <w:rsid w:val="00B9099A"/>
    <w:rsid w:val="00B91FF7"/>
    <w:rsid w:val="00B92E68"/>
    <w:rsid w:val="00B9358F"/>
    <w:rsid w:val="00B95772"/>
    <w:rsid w:val="00B9724E"/>
    <w:rsid w:val="00B975F5"/>
    <w:rsid w:val="00B97DFC"/>
    <w:rsid w:val="00BA03A9"/>
    <w:rsid w:val="00BA0437"/>
    <w:rsid w:val="00BA28E3"/>
    <w:rsid w:val="00BA4628"/>
    <w:rsid w:val="00BA6967"/>
    <w:rsid w:val="00BB5857"/>
    <w:rsid w:val="00BB59CE"/>
    <w:rsid w:val="00BB62AA"/>
    <w:rsid w:val="00BC224A"/>
    <w:rsid w:val="00BC2ECD"/>
    <w:rsid w:val="00BC429E"/>
    <w:rsid w:val="00BC47CF"/>
    <w:rsid w:val="00BC66AD"/>
    <w:rsid w:val="00BD7C31"/>
    <w:rsid w:val="00BE0373"/>
    <w:rsid w:val="00BE1273"/>
    <w:rsid w:val="00BE34F0"/>
    <w:rsid w:val="00BE4428"/>
    <w:rsid w:val="00BE5D02"/>
    <w:rsid w:val="00BF0332"/>
    <w:rsid w:val="00BF2034"/>
    <w:rsid w:val="00BF2D99"/>
    <w:rsid w:val="00BF6E39"/>
    <w:rsid w:val="00C0296F"/>
    <w:rsid w:val="00C02F4E"/>
    <w:rsid w:val="00C10777"/>
    <w:rsid w:val="00C15996"/>
    <w:rsid w:val="00C23815"/>
    <w:rsid w:val="00C24C36"/>
    <w:rsid w:val="00C34323"/>
    <w:rsid w:val="00C34BA7"/>
    <w:rsid w:val="00C35EAB"/>
    <w:rsid w:val="00C50649"/>
    <w:rsid w:val="00C54B8A"/>
    <w:rsid w:val="00C575DF"/>
    <w:rsid w:val="00C61A73"/>
    <w:rsid w:val="00C630D3"/>
    <w:rsid w:val="00C73070"/>
    <w:rsid w:val="00C76CD6"/>
    <w:rsid w:val="00C90B72"/>
    <w:rsid w:val="00C94396"/>
    <w:rsid w:val="00C9540C"/>
    <w:rsid w:val="00C95711"/>
    <w:rsid w:val="00CB2240"/>
    <w:rsid w:val="00CB4427"/>
    <w:rsid w:val="00CB66DF"/>
    <w:rsid w:val="00CB7803"/>
    <w:rsid w:val="00CC0180"/>
    <w:rsid w:val="00CC032F"/>
    <w:rsid w:val="00CC0463"/>
    <w:rsid w:val="00CC1409"/>
    <w:rsid w:val="00CC3C42"/>
    <w:rsid w:val="00CC6F3F"/>
    <w:rsid w:val="00CC7D43"/>
    <w:rsid w:val="00CD1261"/>
    <w:rsid w:val="00CD2127"/>
    <w:rsid w:val="00CD2F0F"/>
    <w:rsid w:val="00CD5017"/>
    <w:rsid w:val="00CD5BEA"/>
    <w:rsid w:val="00CD619D"/>
    <w:rsid w:val="00CD7A3D"/>
    <w:rsid w:val="00CF282B"/>
    <w:rsid w:val="00D02B28"/>
    <w:rsid w:val="00D1329F"/>
    <w:rsid w:val="00D13C65"/>
    <w:rsid w:val="00D1509C"/>
    <w:rsid w:val="00D24821"/>
    <w:rsid w:val="00D2548C"/>
    <w:rsid w:val="00D3624A"/>
    <w:rsid w:val="00D41CFA"/>
    <w:rsid w:val="00D4535D"/>
    <w:rsid w:val="00D4639D"/>
    <w:rsid w:val="00D62B59"/>
    <w:rsid w:val="00D6592B"/>
    <w:rsid w:val="00D70B50"/>
    <w:rsid w:val="00D77BF8"/>
    <w:rsid w:val="00D81679"/>
    <w:rsid w:val="00D81776"/>
    <w:rsid w:val="00D849A8"/>
    <w:rsid w:val="00D84D0E"/>
    <w:rsid w:val="00DA0813"/>
    <w:rsid w:val="00DA4362"/>
    <w:rsid w:val="00DA46A0"/>
    <w:rsid w:val="00DA7EB8"/>
    <w:rsid w:val="00DB387C"/>
    <w:rsid w:val="00DB4BB4"/>
    <w:rsid w:val="00DB4EEF"/>
    <w:rsid w:val="00DB6877"/>
    <w:rsid w:val="00DB70C5"/>
    <w:rsid w:val="00DC3D4A"/>
    <w:rsid w:val="00DC685D"/>
    <w:rsid w:val="00DC6BB2"/>
    <w:rsid w:val="00DD25AA"/>
    <w:rsid w:val="00DD2795"/>
    <w:rsid w:val="00DE43C5"/>
    <w:rsid w:val="00DF0DF9"/>
    <w:rsid w:val="00DF1267"/>
    <w:rsid w:val="00DF1ED2"/>
    <w:rsid w:val="00DF337E"/>
    <w:rsid w:val="00DF6FED"/>
    <w:rsid w:val="00DF79F9"/>
    <w:rsid w:val="00E1111F"/>
    <w:rsid w:val="00E1512E"/>
    <w:rsid w:val="00E3006C"/>
    <w:rsid w:val="00E31D5F"/>
    <w:rsid w:val="00E351D0"/>
    <w:rsid w:val="00E402D1"/>
    <w:rsid w:val="00E40CA1"/>
    <w:rsid w:val="00E44507"/>
    <w:rsid w:val="00E47C3A"/>
    <w:rsid w:val="00E52036"/>
    <w:rsid w:val="00E52A61"/>
    <w:rsid w:val="00E55FAA"/>
    <w:rsid w:val="00E560ED"/>
    <w:rsid w:val="00E7395F"/>
    <w:rsid w:val="00E7726F"/>
    <w:rsid w:val="00E82FD5"/>
    <w:rsid w:val="00E86D64"/>
    <w:rsid w:val="00E90030"/>
    <w:rsid w:val="00E909D3"/>
    <w:rsid w:val="00E919EA"/>
    <w:rsid w:val="00E94265"/>
    <w:rsid w:val="00EA353E"/>
    <w:rsid w:val="00EB0422"/>
    <w:rsid w:val="00EB28EC"/>
    <w:rsid w:val="00EB3BC3"/>
    <w:rsid w:val="00EB7774"/>
    <w:rsid w:val="00EB7B63"/>
    <w:rsid w:val="00EC0E29"/>
    <w:rsid w:val="00EC1BEE"/>
    <w:rsid w:val="00EC2D1C"/>
    <w:rsid w:val="00EC47DA"/>
    <w:rsid w:val="00ED1806"/>
    <w:rsid w:val="00ED6802"/>
    <w:rsid w:val="00EE3A5B"/>
    <w:rsid w:val="00EE7824"/>
    <w:rsid w:val="00EF0073"/>
    <w:rsid w:val="00EF1C0C"/>
    <w:rsid w:val="00EF371F"/>
    <w:rsid w:val="00EF66BD"/>
    <w:rsid w:val="00F0571F"/>
    <w:rsid w:val="00F07A65"/>
    <w:rsid w:val="00F07B4A"/>
    <w:rsid w:val="00F130FF"/>
    <w:rsid w:val="00F210FA"/>
    <w:rsid w:val="00F32BFF"/>
    <w:rsid w:val="00F33526"/>
    <w:rsid w:val="00F337F3"/>
    <w:rsid w:val="00F34388"/>
    <w:rsid w:val="00F373FF"/>
    <w:rsid w:val="00F414B7"/>
    <w:rsid w:val="00F4384E"/>
    <w:rsid w:val="00F55071"/>
    <w:rsid w:val="00F55133"/>
    <w:rsid w:val="00F57003"/>
    <w:rsid w:val="00F633F5"/>
    <w:rsid w:val="00F656E0"/>
    <w:rsid w:val="00F65BE0"/>
    <w:rsid w:val="00F6672B"/>
    <w:rsid w:val="00F668BD"/>
    <w:rsid w:val="00F6788A"/>
    <w:rsid w:val="00F7018B"/>
    <w:rsid w:val="00F726A8"/>
    <w:rsid w:val="00F76193"/>
    <w:rsid w:val="00F84292"/>
    <w:rsid w:val="00F97D03"/>
    <w:rsid w:val="00FA1EFB"/>
    <w:rsid w:val="00FA2FE4"/>
    <w:rsid w:val="00FA72D7"/>
    <w:rsid w:val="00FB0702"/>
    <w:rsid w:val="00FB290F"/>
    <w:rsid w:val="00FB2EB2"/>
    <w:rsid w:val="00FB670A"/>
    <w:rsid w:val="00FB6D75"/>
    <w:rsid w:val="00FB77A9"/>
    <w:rsid w:val="00FB79E0"/>
    <w:rsid w:val="00FC28F4"/>
    <w:rsid w:val="00FC6085"/>
    <w:rsid w:val="00FC7B14"/>
    <w:rsid w:val="00FD0D71"/>
    <w:rsid w:val="00FD1BE6"/>
    <w:rsid w:val="00FD29F3"/>
    <w:rsid w:val="00FE1451"/>
    <w:rsid w:val="00FE15AD"/>
    <w:rsid w:val="00FE2833"/>
    <w:rsid w:val="00FE392B"/>
    <w:rsid w:val="00FE5F4B"/>
    <w:rsid w:val="00FE64B2"/>
    <w:rsid w:val="00FE781B"/>
    <w:rsid w:val="00FF153D"/>
    <w:rsid w:val="00FF6751"/>
    <w:rsid w:val="00FF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C02F"/>
  <w15:docId w15:val="{A865FD9E-2298-1941-A0F6-DCD163EA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B10"/>
  </w:style>
  <w:style w:type="paragraph" w:styleId="Heading1">
    <w:name w:val="heading 1"/>
    <w:basedOn w:val="Normal"/>
    <w:next w:val="Normal"/>
    <w:link w:val="Heading1Char"/>
    <w:uiPriority w:val="9"/>
    <w:qFormat/>
    <w:rsid w:val="00FE5F4B"/>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FE5F4B"/>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FE5F4B"/>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FE5F4B"/>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FE5F4B"/>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FE5F4B"/>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FE5F4B"/>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FE5F4B"/>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FE5F4B"/>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F4B"/>
    <w:rPr>
      <w:smallCaps/>
      <w:spacing w:val="5"/>
      <w:sz w:val="32"/>
      <w:szCs w:val="32"/>
    </w:rPr>
  </w:style>
  <w:style w:type="character" w:customStyle="1" w:styleId="Heading2Char">
    <w:name w:val="Heading 2 Char"/>
    <w:basedOn w:val="DefaultParagraphFont"/>
    <w:link w:val="Heading2"/>
    <w:uiPriority w:val="9"/>
    <w:rsid w:val="00FE5F4B"/>
    <w:rPr>
      <w:smallCaps/>
      <w:spacing w:val="5"/>
      <w:sz w:val="28"/>
      <w:szCs w:val="28"/>
    </w:rPr>
  </w:style>
  <w:style w:type="character" w:customStyle="1" w:styleId="Heading3Char">
    <w:name w:val="Heading 3 Char"/>
    <w:basedOn w:val="DefaultParagraphFont"/>
    <w:link w:val="Heading3"/>
    <w:uiPriority w:val="9"/>
    <w:rsid w:val="00FE5F4B"/>
    <w:rPr>
      <w:smallCaps/>
      <w:spacing w:val="5"/>
      <w:sz w:val="24"/>
      <w:szCs w:val="24"/>
    </w:rPr>
  </w:style>
  <w:style w:type="character" w:customStyle="1" w:styleId="Heading4Char">
    <w:name w:val="Heading 4 Char"/>
    <w:basedOn w:val="DefaultParagraphFont"/>
    <w:link w:val="Heading4"/>
    <w:uiPriority w:val="9"/>
    <w:rsid w:val="00FE5F4B"/>
    <w:rPr>
      <w:smallCaps/>
      <w:spacing w:val="10"/>
      <w:sz w:val="22"/>
      <w:szCs w:val="22"/>
    </w:rPr>
  </w:style>
  <w:style w:type="character" w:customStyle="1" w:styleId="Heading5Char">
    <w:name w:val="Heading 5 Char"/>
    <w:basedOn w:val="DefaultParagraphFont"/>
    <w:link w:val="Heading5"/>
    <w:uiPriority w:val="9"/>
    <w:rsid w:val="00FE5F4B"/>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FE5F4B"/>
    <w:rPr>
      <w:smallCaps/>
      <w:color w:val="ED7D31" w:themeColor="accent2"/>
      <w:spacing w:val="5"/>
      <w:sz w:val="22"/>
    </w:rPr>
  </w:style>
  <w:style w:type="character" w:customStyle="1" w:styleId="Heading7Char">
    <w:name w:val="Heading 7 Char"/>
    <w:basedOn w:val="DefaultParagraphFont"/>
    <w:link w:val="Heading7"/>
    <w:uiPriority w:val="9"/>
    <w:semiHidden/>
    <w:rsid w:val="00FE5F4B"/>
    <w:rPr>
      <w:b/>
      <w:smallCaps/>
      <w:color w:val="ED7D31" w:themeColor="accent2"/>
      <w:spacing w:val="10"/>
    </w:rPr>
  </w:style>
  <w:style w:type="character" w:customStyle="1" w:styleId="Heading8Char">
    <w:name w:val="Heading 8 Char"/>
    <w:basedOn w:val="DefaultParagraphFont"/>
    <w:link w:val="Heading8"/>
    <w:uiPriority w:val="9"/>
    <w:semiHidden/>
    <w:rsid w:val="00FE5F4B"/>
    <w:rPr>
      <w:b/>
      <w:i/>
      <w:smallCaps/>
      <w:color w:val="C45911" w:themeColor="accent2" w:themeShade="BF"/>
    </w:rPr>
  </w:style>
  <w:style w:type="character" w:customStyle="1" w:styleId="Heading9Char">
    <w:name w:val="Heading 9 Char"/>
    <w:basedOn w:val="DefaultParagraphFont"/>
    <w:link w:val="Heading9"/>
    <w:uiPriority w:val="9"/>
    <w:semiHidden/>
    <w:rsid w:val="00FE5F4B"/>
    <w:rPr>
      <w:b/>
      <w:i/>
      <w:smallCaps/>
      <w:color w:val="823B0B" w:themeColor="accent2" w:themeShade="7F"/>
    </w:rPr>
  </w:style>
  <w:style w:type="paragraph" w:styleId="Caption">
    <w:name w:val="caption"/>
    <w:basedOn w:val="Normal"/>
    <w:next w:val="Normal"/>
    <w:autoRedefine/>
    <w:uiPriority w:val="35"/>
    <w:unhideWhenUsed/>
    <w:qFormat/>
    <w:rsid w:val="008A3EF7"/>
    <w:rPr>
      <w:rFonts w:cs="Times New Roman (Body CS)"/>
      <w:sz w:val="24"/>
      <w:szCs w:val="24"/>
    </w:rPr>
  </w:style>
  <w:style w:type="paragraph" w:styleId="Title">
    <w:name w:val="Title"/>
    <w:basedOn w:val="Normal"/>
    <w:next w:val="Normal"/>
    <w:link w:val="TitleChar"/>
    <w:uiPriority w:val="10"/>
    <w:qFormat/>
    <w:rsid w:val="00FE5F4B"/>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FE5F4B"/>
    <w:rPr>
      <w:smallCaps/>
      <w:sz w:val="48"/>
      <w:szCs w:val="48"/>
    </w:rPr>
  </w:style>
  <w:style w:type="paragraph" w:styleId="Subtitle">
    <w:name w:val="Subtitle"/>
    <w:basedOn w:val="Normal"/>
    <w:next w:val="Normal"/>
    <w:link w:val="SubtitleChar"/>
    <w:uiPriority w:val="11"/>
    <w:qFormat/>
    <w:rsid w:val="00FE5F4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FE5F4B"/>
    <w:rPr>
      <w:rFonts w:asciiTheme="majorHAnsi" w:eastAsiaTheme="majorEastAsia" w:hAnsiTheme="majorHAnsi" w:cstheme="majorBidi"/>
      <w:szCs w:val="22"/>
    </w:rPr>
  </w:style>
  <w:style w:type="character" w:styleId="Strong">
    <w:name w:val="Strong"/>
    <w:uiPriority w:val="22"/>
    <w:qFormat/>
    <w:rsid w:val="00FE5F4B"/>
    <w:rPr>
      <w:b/>
      <w:color w:val="ED7D31" w:themeColor="accent2"/>
    </w:rPr>
  </w:style>
  <w:style w:type="character" w:styleId="Emphasis">
    <w:name w:val="Emphasis"/>
    <w:uiPriority w:val="20"/>
    <w:qFormat/>
    <w:rsid w:val="00FE5F4B"/>
    <w:rPr>
      <w:b/>
      <w:i/>
      <w:spacing w:val="10"/>
    </w:rPr>
  </w:style>
  <w:style w:type="paragraph" w:styleId="NoSpacing">
    <w:name w:val="No Spacing"/>
    <w:basedOn w:val="Normal"/>
    <w:link w:val="NoSpacingChar"/>
    <w:uiPriority w:val="1"/>
    <w:qFormat/>
    <w:rsid w:val="00FE5F4B"/>
    <w:pPr>
      <w:spacing w:after="0" w:line="240" w:lineRule="auto"/>
    </w:pPr>
  </w:style>
  <w:style w:type="character" w:customStyle="1" w:styleId="NoSpacingChar">
    <w:name w:val="No Spacing Char"/>
    <w:basedOn w:val="DefaultParagraphFont"/>
    <w:link w:val="NoSpacing"/>
    <w:uiPriority w:val="1"/>
    <w:rsid w:val="00FE5F4B"/>
  </w:style>
  <w:style w:type="paragraph" w:styleId="ListParagraph">
    <w:name w:val="List Paragraph"/>
    <w:basedOn w:val="Normal"/>
    <w:uiPriority w:val="34"/>
    <w:qFormat/>
    <w:rsid w:val="00FE5F4B"/>
    <w:pPr>
      <w:ind w:left="720"/>
      <w:contextualSpacing/>
    </w:pPr>
  </w:style>
  <w:style w:type="paragraph" w:styleId="Quote">
    <w:name w:val="Quote"/>
    <w:basedOn w:val="Normal"/>
    <w:next w:val="Normal"/>
    <w:link w:val="QuoteChar"/>
    <w:uiPriority w:val="29"/>
    <w:qFormat/>
    <w:rsid w:val="00FE5F4B"/>
    <w:rPr>
      <w:i/>
    </w:rPr>
  </w:style>
  <w:style w:type="character" w:customStyle="1" w:styleId="QuoteChar">
    <w:name w:val="Quote Char"/>
    <w:basedOn w:val="DefaultParagraphFont"/>
    <w:link w:val="Quote"/>
    <w:uiPriority w:val="29"/>
    <w:rsid w:val="00FE5F4B"/>
    <w:rPr>
      <w:i/>
    </w:rPr>
  </w:style>
  <w:style w:type="paragraph" w:styleId="IntenseQuote">
    <w:name w:val="Intense Quote"/>
    <w:basedOn w:val="Normal"/>
    <w:next w:val="Normal"/>
    <w:link w:val="IntenseQuoteChar"/>
    <w:uiPriority w:val="30"/>
    <w:qFormat/>
    <w:rsid w:val="00FE5F4B"/>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FE5F4B"/>
    <w:rPr>
      <w:b/>
      <w:i/>
      <w:color w:val="FFFFFF" w:themeColor="background1"/>
      <w:shd w:val="clear" w:color="auto" w:fill="ED7D31" w:themeFill="accent2"/>
    </w:rPr>
  </w:style>
  <w:style w:type="character" w:styleId="SubtleEmphasis">
    <w:name w:val="Subtle Emphasis"/>
    <w:uiPriority w:val="19"/>
    <w:qFormat/>
    <w:rsid w:val="00FE5F4B"/>
    <w:rPr>
      <w:i/>
    </w:rPr>
  </w:style>
  <w:style w:type="character" w:styleId="IntenseEmphasis">
    <w:name w:val="Intense Emphasis"/>
    <w:uiPriority w:val="21"/>
    <w:qFormat/>
    <w:rsid w:val="00FE5F4B"/>
    <w:rPr>
      <w:b/>
      <w:i/>
      <w:color w:val="ED7D31" w:themeColor="accent2"/>
      <w:spacing w:val="10"/>
    </w:rPr>
  </w:style>
  <w:style w:type="character" w:styleId="SubtleReference">
    <w:name w:val="Subtle Reference"/>
    <w:uiPriority w:val="31"/>
    <w:qFormat/>
    <w:rsid w:val="00FE5F4B"/>
    <w:rPr>
      <w:b/>
    </w:rPr>
  </w:style>
  <w:style w:type="character" w:styleId="IntenseReference">
    <w:name w:val="Intense Reference"/>
    <w:uiPriority w:val="32"/>
    <w:qFormat/>
    <w:rsid w:val="00FE5F4B"/>
    <w:rPr>
      <w:b/>
      <w:bCs/>
      <w:smallCaps/>
      <w:spacing w:val="5"/>
      <w:sz w:val="22"/>
      <w:szCs w:val="22"/>
      <w:u w:val="single"/>
    </w:rPr>
  </w:style>
  <w:style w:type="character" w:styleId="BookTitle">
    <w:name w:val="Book Title"/>
    <w:uiPriority w:val="33"/>
    <w:qFormat/>
    <w:rsid w:val="00FE5F4B"/>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FE5F4B"/>
    <w:pPr>
      <w:outlineLvl w:val="9"/>
    </w:pPr>
  </w:style>
  <w:style w:type="paragraph" w:styleId="TOC1">
    <w:name w:val="toc 1"/>
    <w:basedOn w:val="Normal"/>
    <w:next w:val="Normal"/>
    <w:autoRedefine/>
    <w:uiPriority w:val="39"/>
    <w:unhideWhenUsed/>
    <w:qFormat/>
    <w:rsid w:val="003039A3"/>
    <w:pPr>
      <w:spacing w:before="240" w:after="120" w:line="240" w:lineRule="auto"/>
      <w:jc w:val="left"/>
    </w:pPr>
    <w:rPr>
      <w:rFonts w:cstheme="minorHAnsi"/>
      <w:b/>
      <w:bCs/>
      <w:sz w:val="24"/>
    </w:rPr>
  </w:style>
  <w:style w:type="character" w:styleId="Hyperlink">
    <w:name w:val="Hyperlink"/>
    <w:basedOn w:val="DefaultParagraphFont"/>
    <w:uiPriority w:val="99"/>
    <w:unhideWhenUsed/>
    <w:rsid w:val="007835DA"/>
    <w:rPr>
      <w:color w:val="0563C1" w:themeColor="hyperlink"/>
      <w:u w:val="single"/>
    </w:rPr>
  </w:style>
  <w:style w:type="paragraph" w:styleId="TOC2">
    <w:name w:val="toc 2"/>
    <w:basedOn w:val="Normal"/>
    <w:next w:val="Normal"/>
    <w:autoRedefine/>
    <w:uiPriority w:val="39"/>
    <w:unhideWhenUsed/>
    <w:rsid w:val="003039A3"/>
    <w:pPr>
      <w:spacing w:before="120" w:after="0" w:line="240" w:lineRule="auto"/>
      <w:ind w:left="200"/>
      <w:jc w:val="left"/>
    </w:pPr>
    <w:rPr>
      <w:rFonts w:cstheme="minorHAnsi"/>
      <w:iCs/>
      <w:sz w:val="24"/>
    </w:rPr>
  </w:style>
  <w:style w:type="paragraph" w:styleId="TOC3">
    <w:name w:val="toc 3"/>
    <w:basedOn w:val="Normal"/>
    <w:next w:val="Normal"/>
    <w:autoRedefine/>
    <w:uiPriority w:val="39"/>
    <w:unhideWhenUsed/>
    <w:rsid w:val="003039A3"/>
    <w:pPr>
      <w:spacing w:after="0" w:line="240" w:lineRule="auto"/>
      <w:ind w:left="400"/>
      <w:jc w:val="left"/>
    </w:pPr>
    <w:rPr>
      <w:rFonts w:cstheme="minorHAnsi"/>
      <w:sz w:val="24"/>
    </w:rPr>
  </w:style>
  <w:style w:type="paragraph" w:styleId="TOC4">
    <w:name w:val="toc 4"/>
    <w:basedOn w:val="Normal"/>
    <w:next w:val="Normal"/>
    <w:autoRedefine/>
    <w:uiPriority w:val="39"/>
    <w:unhideWhenUsed/>
    <w:rsid w:val="003039A3"/>
    <w:pPr>
      <w:spacing w:after="0" w:line="240" w:lineRule="auto"/>
      <w:ind w:left="600"/>
      <w:jc w:val="left"/>
    </w:pPr>
    <w:rPr>
      <w:rFonts w:cstheme="minorHAnsi"/>
      <w:sz w:val="24"/>
    </w:rPr>
  </w:style>
  <w:style w:type="paragraph" w:styleId="TOC5">
    <w:name w:val="toc 5"/>
    <w:basedOn w:val="Normal"/>
    <w:next w:val="Normal"/>
    <w:autoRedefine/>
    <w:uiPriority w:val="39"/>
    <w:unhideWhenUsed/>
    <w:rsid w:val="007835DA"/>
    <w:pPr>
      <w:spacing w:after="0"/>
      <w:ind w:left="800"/>
      <w:jc w:val="left"/>
    </w:pPr>
    <w:rPr>
      <w:rFonts w:cstheme="minorHAnsi"/>
    </w:rPr>
  </w:style>
  <w:style w:type="paragraph" w:styleId="TOC6">
    <w:name w:val="toc 6"/>
    <w:basedOn w:val="Normal"/>
    <w:next w:val="Normal"/>
    <w:autoRedefine/>
    <w:uiPriority w:val="39"/>
    <w:unhideWhenUsed/>
    <w:rsid w:val="007835DA"/>
    <w:pPr>
      <w:spacing w:after="0"/>
      <w:ind w:left="1000"/>
      <w:jc w:val="left"/>
    </w:pPr>
    <w:rPr>
      <w:rFonts w:cstheme="minorHAnsi"/>
    </w:rPr>
  </w:style>
  <w:style w:type="paragraph" w:styleId="TOC7">
    <w:name w:val="toc 7"/>
    <w:basedOn w:val="Normal"/>
    <w:next w:val="Normal"/>
    <w:autoRedefine/>
    <w:uiPriority w:val="39"/>
    <w:unhideWhenUsed/>
    <w:rsid w:val="007835DA"/>
    <w:pPr>
      <w:spacing w:after="0"/>
      <w:ind w:left="1200"/>
      <w:jc w:val="left"/>
    </w:pPr>
    <w:rPr>
      <w:rFonts w:cstheme="minorHAnsi"/>
    </w:rPr>
  </w:style>
  <w:style w:type="paragraph" w:styleId="TOC8">
    <w:name w:val="toc 8"/>
    <w:basedOn w:val="Normal"/>
    <w:next w:val="Normal"/>
    <w:autoRedefine/>
    <w:uiPriority w:val="39"/>
    <w:unhideWhenUsed/>
    <w:rsid w:val="007835DA"/>
    <w:pPr>
      <w:spacing w:after="0"/>
      <w:ind w:left="1400"/>
      <w:jc w:val="left"/>
    </w:pPr>
    <w:rPr>
      <w:rFonts w:cstheme="minorHAnsi"/>
    </w:rPr>
  </w:style>
  <w:style w:type="paragraph" w:styleId="TOC9">
    <w:name w:val="toc 9"/>
    <w:basedOn w:val="Normal"/>
    <w:next w:val="Normal"/>
    <w:autoRedefine/>
    <w:uiPriority w:val="39"/>
    <w:unhideWhenUsed/>
    <w:rsid w:val="007835DA"/>
    <w:pPr>
      <w:spacing w:after="0"/>
      <w:ind w:left="1600"/>
      <w:jc w:val="left"/>
    </w:pPr>
    <w:rPr>
      <w:rFonts w:cstheme="minorHAnsi"/>
    </w:rPr>
  </w:style>
  <w:style w:type="paragraph" w:styleId="TableofFigures">
    <w:name w:val="table of figures"/>
    <w:basedOn w:val="Normal"/>
    <w:next w:val="Normal"/>
    <w:uiPriority w:val="99"/>
    <w:unhideWhenUsed/>
    <w:rsid w:val="008B6CBE"/>
    <w:pPr>
      <w:spacing w:after="0" w:line="240" w:lineRule="auto"/>
      <w:ind w:left="400" w:hanging="400"/>
      <w:jc w:val="left"/>
    </w:pPr>
    <w:rPr>
      <w:rFonts w:cs="Arial (Body)"/>
      <w:sz w:val="24"/>
    </w:rPr>
  </w:style>
  <w:style w:type="table" w:styleId="TableGrid">
    <w:name w:val="Table Grid"/>
    <w:basedOn w:val="TableNormal"/>
    <w:uiPriority w:val="39"/>
    <w:rsid w:val="0078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835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B20456"/>
    <w:pPr>
      <w:tabs>
        <w:tab w:val="left" w:pos="500"/>
      </w:tabs>
      <w:spacing w:after="240" w:line="240" w:lineRule="auto"/>
      <w:ind w:left="504" w:hanging="504"/>
    </w:pPr>
  </w:style>
  <w:style w:type="character" w:customStyle="1" w:styleId="apple-converted-space">
    <w:name w:val="apple-converted-space"/>
    <w:basedOn w:val="DefaultParagraphFont"/>
    <w:rsid w:val="008B0C45"/>
  </w:style>
  <w:style w:type="paragraph" w:styleId="Revision">
    <w:name w:val="Revision"/>
    <w:hidden/>
    <w:uiPriority w:val="99"/>
    <w:semiHidden/>
    <w:rsid w:val="00276711"/>
    <w:pPr>
      <w:spacing w:after="0" w:line="240" w:lineRule="auto"/>
      <w:jc w:val="left"/>
    </w:pPr>
  </w:style>
  <w:style w:type="character" w:customStyle="1" w:styleId="jss746">
    <w:name w:val="jss746"/>
    <w:basedOn w:val="DefaultParagraphFont"/>
    <w:rsid w:val="00FE1451"/>
  </w:style>
  <w:style w:type="character" w:customStyle="1" w:styleId="jss1266">
    <w:name w:val="jss1266"/>
    <w:basedOn w:val="DefaultParagraphFont"/>
    <w:rsid w:val="004B55C8"/>
  </w:style>
  <w:style w:type="paragraph" w:styleId="Footer">
    <w:name w:val="footer"/>
    <w:basedOn w:val="Normal"/>
    <w:link w:val="FooterChar"/>
    <w:uiPriority w:val="99"/>
    <w:unhideWhenUsed/>
    <w:rsid w:val="00137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7CE"/>
  </w:style>
  <w:style w:type="character" w:styleId="PageNumber">
    <w:name w:val="page number"/>
    <w:basedOn w:val="DefaultParagraphFont"/>
    <w:uiPriority w:val="99"/>
    <w:semiHidden/>
    <w:unhideWhenUsed/>
    <w:rsid w:val="001377CE"/>
  </w:style>
  <w:style w:type="character" w:customStyle="1" w:styleId="jss3195">
    <w:name w:val="jss3195"/>
    <w:basedOn w:val="DefaultParagraphFont"/>
    <w:rsid w:val="003B26CC"/>
  </w:style>
  <w:style w:type="paragraph" w:styleId="Header">
    <w:name w:val="header"/>
    <w:basedOn w:val="Normal"/>
    <w:link w:val="HeaderChar"/>
    <w:uiPriority w:val="99"/>
    <w:unhideWhenUsed/>
    <w:rsid w:val="00FB2E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EB2"/>
  </w:style>
  <w:style w:type="character" w:styleId="UnresolvedMention">
    <w:name w:val="Unresolved Mention"/>
    <w:basedOn w:val="DefaultParagraphFont"/>
    <w:uiPriority w:val="99"/>
    <w:semiHidden/>
    <w:unhideWhenUsed/>
    <w:rsid w:val="009F7970"/>
    <w:rPr>
      <w:color w:val="605E5C"/>
      <w:shd w:val="clear" w:color="auto" w:fill="E1DFDD"/>
    </w:rPr>
  </w:style>
  <w:style w:type="paragraph" w:customStyle="1" w:styleId="Style1">
    <w:name w:val="Style1"/>
    <w:basedOn w:val="Caption"/>
    <w:qFormat/>
    <w:rsid w:val="00624961"/>
    <w:rPr>
      <w:sz w:val="18"/>
    </w:rPr>
  </w:style>
  <w:style w:type="character" w:customStyle="1" w:styleId="smallcaps">
    <w:name w:val="smallcaps"/>
    <w:basedOn w:val="DefaultParagraphFont"/>
    <w:rsid w:val="001E6D3F"/>
  </w:style>
  <w:style w:type="character" w:styleId="PlaceholderText">
    <w:name w:val="Placeholder Text"/>
    <w:basedOn w:val="DefaultParagraphFont"/>
    <w:uiPriority w:val="99"/>
    <w:semiHidden/>
    <w:rsid w:val="0047062D"/>
    <w:rPr>
      <w:color w:val="808080"/>
    </w:rPr>
  </w:style>
  <w:style w:type="character" w:styleId="CommentReference">
    <w:name w:val="annotation reference"/>
    <w:basedOn w:val="DefaultParagraphFont"/>
    <w:uiPriority w:val="99"/>
    <w:semiHidden/>
    <w:unhideWhenUsed/>
    <w:rsid w:val="00AC29A2"/>
    <w:rPr>
      <w:sz w:val="16"/>
      <w:szCs w:val="16"/>
    </w:rPr>
  </w:style>
  <w:style w:type="paragraph" w:styleId="CommentText">
    <w:name w:val="annotation text"/>
    <w:basedOn w:val="Normal"/>
    <w:link w:val="CommentTextChar"/>
    <w:uiPriority w:val="99"/>
    <w:semiHidden/>
    <w:unhideWhenUsed/>
    <w:rsid w:val="00AC29A2"/>
    <w:pPr>
      <w:spacing w:line="240" w:lineRule="auto"/>
    </w:pPr>
  </w:style>
  <w:style w:type="character" w:customStyle="1" w:styleId="CommentTextChar">
    <w:name w:val="Comment Text Char"/>
    <w:basedOn w:val="DefaultParagraphFont"/>
    <w:link w:val="CommentText"/>
    <w:uiPriority w:val="99"/>
    <w:semiHidden/>
    <w:rsid w:val="00AC29A2"/>
  </w:style>
  <w:style w:type="paragraph" w:styleId="CommentSubject">
    <w:name w:val="annotation subject"/>
    <w:basedOn w:val="CommentText"/>
    <w:next w:val="CommentText"/>
    <w:link w:val="CommentSubjectChar"/>
    <w:uiPriority w:val="99"/>
    <w:semiHidden/>
    <w:unhideWhenUsed/>
    <w:rsid w:val="00AC29A2"/>
    <w:rPr>
      <w:b/>
      <w:bCs/>
    </w:rPr>
  </w:style>
  <w:style w:type="character" w:customStyle="1" w:styleId="CommentSubjectChar">
    <w:name w:val="Comment Subject Char"/>
    <w:basedOn w:val="CommentTextChar"/>
    <w:link w:val="CommentSubject"/>
    <w:uiPriority w:val="99"/>
    <w:semiHidden/>
    <w:rsid w:val="00AC29A2"/>
    <w:rPr>
      <w:b/>
      <w:bCs/>
    </w:rPr>
  </w:style>
  <w:style w:type="character" w:customStyle="1" w:styleId="highlight-purple">
    <w:name w:val="highlight-purple"/>
    <w:basedOn w:val="DefaultParagraphFont"/>
    <w:rsid w:val="005F2AE2"/>
  </w:style>
  <w:style w:type="character" w:customStyle="1" w:styleId="highlight-green">
    <w:name w:val="highlight-green"/>
    <w:basedOn w:val="DefaultParagraphFont"/>
    <w:rsid w:val="005F2AE2"/>
  </w:style>
  <w:style w:type="character" w:customStyle="1" w:styleId="highlight-yellow">
    <w:name w:val="highlight-yellow"/>
    <w:basedOn w:val="DefaultParagraphFont"/>
    <w:rsid w:val="005F2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4806">
      <w:bodyDiv w:val="1"/>
      <w:marLeft w:val="0"/>
      <w:marRight w:val="0"/>
      <w:marTop w:val="0"/>
      <w:marBottom w:val="0"/>
      <w:divBdr>
        <w:top w:val="none" w:sz="0" w:space="0" w:color="auto"/>
        <w:left w:val="none" w:sz="0" w:space="0" w:color="auto"/>
        <w:bottom w:val="none" w:sz="0" w:space="0" w:color="auto"/>
        <w:right w:val="none" w:sz="0" w:space="0" w:color="auto"/>
      </w:divBdr>
    </w:div>
    <w:div w:id="119543723">
      <w:bodyDiv w:val="1"/>
      <w:marLeft w:val="0"/>
      <w:marRight w:val="0"/>
      <w:marTop w:val="0"/>
      <w:marBottom w:val="0"/>
      <w:divBdr>
        <w:top w:val="none" w:sz="0" w:space="0" w:color="auto"/>
        <w:left w:val="none" w:sz="0" w:space="0" w:color="auto"/>
        <w:bottom w:val="none" w:sz="0" w:space="0" w:color="auto"/>
        <w:right w:val="none" w:sz="0" w:space="0" w:color="auto"/>
      </w:divBdr>
    </w:div>
    <w:div w:id="157187008">
      <w:bodyDiv w:val="1"/>
      <w:marLeft w:val="0"/>
      <w:marRight w:val="0"/>
      <w:marTop w:val="0"/>
      <w:marBottom w:val="0"/>
      <w:divBdr>
        <w:top w:val="none" w:sz="0" w:space="0" w:color="auto"/>
        <w:left w:val="none" w:sz="0" w:space="0" w:color="auto"/>
        <w:bottom w:val="none" w:sz="0" w:space="0" w:color="auto"/>
        <w:right w:val="none" w:sz="0" w:space="0" w:color="auto"/>
      </w:divBdr>
    </w:div>
    <w:div w:id="196504253">
      <w:bodyDiv w:val="1"/>
      <w:marLeft w:val="0"/>
      <w:marRight w:val="0"/>
      <w:marTop w:val="0"/>
      <w:marBottom w:val="0"/>
      <w:divBdr>
        <w:top w:val="none" w:sz="0" w:space="0" w:color="auto"/>
        <w:left w:val="none" w:sz="0" w:space="0" w:color="auto"/>
        <w:bottom w:val="none" w:sz="0" w:space="0" w:color="auto"/>
        <w:right w:val="none" w:sz="0" w:space="0" w:color="auto"/>
      </w:divBdr>
    </w:div>
    <w:div w:id="524753918">
      <w:bodyDiv w:val="1"/>
      <w:marLeft w:val="0"/>
      <w:marRight w:val="0"/>
      <w:marTop w:val="0"/>
      <w:marBottom w:val="0"/>
      <w:divBdr>
        <w:top w:val="none" w:sz="0" w:space="0" w:color="auto"/>
        <w:left w:val="none" w:sz="0" w:space="0" w:color="auto"/>
        <w:bottom w:val="none" w:sz="0" w:space="0" w:color="auto"/>
        <w:right w:val="none" w:sz="0" w:space="0" w:color="auto"/>
      </w:divBdr>
    </w:div>
    <w:div w:id="559025455">
      <w:bodyDiv w:val="1"/>
      <w:marLeft w:val="0"/>
      <w:marRight w:val="0"/>
      <w:marTop w:val="0"/>
      <w:marBottom w:val="0"/>
      <w:divBdr>
        <w:top w:val="none" w:sz="0" w:space="0" w:color="auto"/>
        <w:left w:val="none" w:sz="0" w:space="0" w:color="auto"/>
        <w:bottom w:val="none" w:sz="0" w:space="0" w:color="auto"/>
        <w:right w:val="none" w:sz="0" w:space="0" w:color="auto"/>
      </w:divBdr>
    </w:div>
    <w:div w:id="641010412">
      <w:bodyDiv w:val="1"/>
      <w:marLeft w:val="0"/>
      <w:marRight w:val="0"/>
      <w:marTop w:val="0"/>
      <w:marBottom w:val="0"/>
      <w:divBdr>
        <w:top w:val="none" w:sz="0" w:space="0" w:color="auto"/>
        <w:left w:val="none" w:sz="0" w:space="0" w:color="auto"/>
        <w:bottom w:val="none" w:sz="0" w:space="0" w:color="auto"/>
        <w:right w:val="none" w:sz="0" w:space="0" w:color="auto"/>
      </w:divBdr>
    </w:div>
    <w:div w:id="722369987">
      <w:bodyDiv w:val="1"/>
      <w:marLeft w:val="0"/>
      <w:marRight w:val="0"/>
      <w:marTop w:val="0"/>
      <w:marBottom w:val="0"/>
      <w:divBdr>
        <w:top w:val="none" w:sz="0" w:space="0" w:color="auto"/>
        <w:left w:val="none" w:sz="0" w:space="0" w:color="auto"/>
        <w:bottom w:val="none" w:sz="0" w:space="0" w:color="auto"/>
        <w:right w:val="none" w:sz="0" w:space="0" w:color="auto"/>
      </w:divBdr>
    </w:div>
    <w:div w:id="919876580">
      <w:bodyDiv w:val="1"/>
      <w:marLeft w:val="0"/>
      <w:marRight w:val="0"/>
      <w:marTop w:val="0"/>
      <w:marBottom w:val="0"/>
      <w:divBdr>
        <w:top w:val="none" w:sz="0" w:space="0" w:color="auto"/>
        <w:left w:val="none" w:sz="0" w:space="0" w:color="auto"/>
        <w:bottom w:val="none" w:sz="0" w:space="0" w:color="auto"/>
        <w:right w:val="none" w:sz="0" w:space="0" w:color="auto"/>
      </w:divBdr>
    </w:div>
    <w:div w:id="957567265">
      <w:bodyDiv w:val="1"/>
      <w:marLeft w:val="0"/>
      <w:marRight w:val="0"/>
      <w:marTop w:val="0"/>
      <w:marBottom w:val="0"/>
      <w:divBdr>
        <w:top w:val="none" w:sz="0" w:space="0" w:color="auto"/>
        <w:left w:val="none" w:sz="0" w:space="0" w:color="auto"/>
        <w:bottom w:val="none" w:sz="0" w:space="0" w:color="auto"/>
        <w:right w:val="none" w:sz="0" w:space="0" w:color="auto"/>
      </w:divBdr>
    </w:div>
    <w:div w:id="1159731221">
      <w:bodyDiv w:val="1"/>
      <w:marLeft w:val="0"/>
      <w:marRight w:val="0"/>
      <w:marTop w:val="0"/>
      <w:marBottom w:val="0"/>
      <w:divBdr>
        <w:top w:val="none" w:sz="0" w:space="0" w:color="auto"/>
        <w:left w:val="none" w:sz="0" w:space="0" w:color="auto"/>
        <w:bottom w:val="none" w:sz="0" w:space="0" w:color="auto"/>
        <w:right w:val="none" w:sz="0" w:space="0" w:color="auto"/>
      </w:divBdr>
    </w:div>
    <w:div w:id="1384408722">
      <w:bodyDiv w:val="1"/>
      <w:marLeft w:val="0"/>
      <w:marRight w:val="0"/>
      <w:marTop w:val="0"/>
      <w:marBottom w:val="0"/>
      <w:divBdr>
        <w:top w:val="none" w:sz="0" w:space="0" w:color="auto"/>
        <w:left w:val="none" w:sz="0" w:space="0" w:color="auto"/>
        <w:bottom w:val="none" w:sz="0" w:space="0" w:color="auto"/>
        <w:right w:val="none" w:sz="0" w:space="0" w:color="auto"/>
      </w:divBdr>
      <w:divsChild>
        <w:div w:id="292947293">
          <w:marLeft w:val="0"/>
          <w:marRight w:val="0"/>
          <w:marTop w:val="0"/>
          <w:marBottom w:val="0"/>
          <w:divBdr>
            <w:top w:val="none" w:sz="0" w:space="0" w:color="auto"/>
            <w:left w:val="none" w:sz="0" w:space="0" w:color="auto"/>
            <w:bottom w:val="none" w:sz="0" w:space="0" w:color="auto"/>
            <w:right w:val="none" w:sz="0" w:space="0" w:color="auto"/>
          </w:divBdr>
        </w:div>
        <w:div w:id="299188806">
          <w:marLeft w:val="0"/>
          <w:marRight w:val="0"/>
          <w:marTop w:val="0"/>
          <w:marBottom w:val="0"/>
          <w:divBdr>
            <w:top w:val="none" w:sz="0" w:space="0" w:color="auto"/>
            <w:left w:val="none" w:sz="0" w:space="0" w:color="auto"/>
            <w:bottom w:val="none" w:sz="0" w:space="0" w:color="auto"/>
            <w:right w:val="none" w:sz="0" w:space="0" w:color="auto"/>
          </w:divBdr>
        </w:div>
        <w:div w:id="416942546">
          <w:marLeft w:val="0"/>
          <w:marRight w:val="0"/>
          <w:marTop w:val="0"/>
          <w:marBottom w:val="0"/>
          <w:divBdr>
            <w:top w:val="none" w:sz="0" w:space="0" w:color="auto"/>
            <w:left w:val="none" w:sz="0" w:space="0" w:color="auto"/>
            <w:bottom w:val="none" w:sz="0" w:space="0" w:color="auto"/>
            <w:right w:val="none" w:sz="0" w:space="0" w:color="auto"/>
          </w:divBdr>
        </w:div>
        <w:div w:id="1265766611">
          <w:marLeft w:val="0"/>
          <w:marRight w:val="0"/>
          <w:marTop w:val="0"/>
          <w:marBottom w:val="0"/>
          <w:divBdr>
            <w:top w:val="none" w:sz="0" w:space="0" w:color="auto"/>
            <w:left w:val="none" w:sz="0" w:space="0" w:color="auto"/>
            <w:bottom w:val="none" w:sz="0" w:space="0" w:color="auto"/>
            <w:right w:val="none" w:sz="0" w:space="0" w:color="auto"/>
          </w:divBdr>
        </w:div>
        <w:div w:id="1836215137">
          <w:marLeft w:val="0"/>
          <w:marRight w:val="0"/>
          <w:marTop w:val="0"/>
          <w:marBottom w:val="0"/>
          <w:divBdr>
            <w:top w:val="none" w:sz="0" w:space="0" w:color="auto"/>
            <w:left w:val="none" w:sz="0" w:space="0" w:color="auto"/>
            <w:bottom w:val="none" w:sz="0" w:space="0" w:color="auto"/>
            <w:right w:val="none" w:sz="0" w:space="0" w:color="auto"/>
          </w:divBdr>
        </w:div>
      </w:divsChild>
    </w:div>
    <w:div w:id="1649284809">
      <w:bodyDiv w:val="1"/>
      <w:marLeft w:val="0"/>
      <w:marRight w:val="0"/>
      <w:marTop w:val="0"/>
      <w:marBottom w:val="0"/>
      <w:divBdr>
        <w:top w:val="none" w:sz="0" w:space="0" w:color="auto"/>
        <w:left w:val="none" w:sz="0" w:space="0" w:color="auto"/>
        <w:bottom w:val="none" w:sz="0" w:space="0" w:color="auto"/>
        <w:right w:val="none" w:sz="0" w:space="0" w:color="auto"/>
      </w:divBdr>
      <w:divsChild>
        <w:div w:id="1865049511">
          <w:marLeft w:val="0"/>
          <w:marRight w:val="0"/>
          <w:marTop w:val="0"/>
          <w:marBottom w:val="0"/>
          <w:divBdr>
            <w:top w:val="none" w:sz="0" w:space="0" w:color="auto"/>
            <w:left w:val="none" w:sz="0" w:space="0" w:color="auto"/>
            <w:bottom w:val="none" w:sz="0" w:space="0" w:color="auto"/>
            <w:right w:val="none" w:sz="0" w:space="0" w:color="auto"/>
          </w:divBdr>
        </w:div>
      </w:divsChild>
    </w:div>
    <w:div w:id="2040814289">
      <w:bodyDiv w:val="1"/>
      <w:marLeft w:val="0"/>
      <w:marRight w:val="0"/>
      <w:marTop w:val="0"/>
      <w:marBottom w:val="0"/>
      <w:divBdr>
        <w:top w:val="none" w:sz="0" w:space="0" w:color="auto"/>
        <w:left w:val="none" w:sz="0" w:space="0" w:color="auto"/>
        <w:bottom w:val="none" w:sz="0" w:space="0" w:color="auto"/>
        <w:right w:val="none" w:sz="0" w:space="0" w:color="auto"/>
      </w:divBdr>
      <w:divsChild>
        <w:div w:id="6581188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emf"/><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footer" Target="footer6.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3.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8B181AFDF35D488EAA04E165200E34"/>
        <w:category>
          <w:name w:val="General"/>
          <w:gallery w:val="placeholder"/>
        </w:category>
        <w:types>
          <w:type w:val="bbPlcHdr"/>
        </w:types>
        <w:behaviors>
          <w:behavior w:val="content"/>
        </w:behaviors>
        <w:guid w:val="{0F726465-0370-8B44-853F-F0EB86E80725}"/>
      </w:docPartPr>
      <w:docPartBody>
        <w:p w:rsidR="00C11C82" w:rsidRDefault="00AE6F70" w:rsidP="00AE6F70">
          <w:pPr>
            <w:pStyle w:val="9C8B181AFDF35D488EAA04E165200E34"/>
          </w:pPr>
          <w:r w:rsidRPr="001F1C68">
            <w:rPr>
              <w:rStyle w:val="PlaceholderText"/>
            </w:rPr>
            <w:t>Click here to enter text.</w:t>
          </w:r>
        </w:p>
      </w:docPartBody>
    </w:docPart>
    <w:docPart>
      <w:docPartPr>
        <w:name w:val="0C6D9FD2F64CD24AB30DB1BDF8A6703F"/>
        <w:category>
          <w:name w:val="General"/>
          <w:gallery w:val="placeholder"/>
        </w:category>
        <w:types>
          <w:type w:val="bbPlcHdr"/>
        </w:types>
        <w:behaviors>
          <w:behavior w:val="content"/>
        </w:behaviors>
        <w:guid w:val="{616A6641-BEA4-F240-A79C-D45005612C86}"/>
      </w:docPartPr>
      <w:docPartBody>
        <w:p w:rsidR="00C11C82" w:rsidRDefault="00AE6F70" w:rsidP="00AE6F70">
          <w:pPr>
            <w:pStyle w:val="0C6D9FD2F64CD24AB30DB1BDF8A6703F"/>
          </w:pPr>
          <w:r w:rsidRPr="001F1C68">
            <w:rPr>
              <w:rStyle w:val="PlaceholderText"/>
            </w:rPr>
            <w:t>Click here to enter text.</w:t>
          </w:r>
        </w:p>
      </w:docPartBody>
    </w:docPart>
    <w:docPart>
      <w:docPartPr>
        <w:name w:val="6CBF0CAD2C43FE459B0B01973170E04A"/>
        <w:category>
          <w:name w:val="General"/>
          <w:gallery w:val="placeholder"/>
        </w:category>
        <w:types>
          <w:type w:val="bbPlcHdr"/>
        </w:types>
        <w:behaviors>
          <w:behavior w:val="content"/>
        </w:behaviors>
        <w:guid w:val="{8F53EABA-7D19-8042-99A0-6C2213EEC981}"/>
      </w:docPartPr>
      <w:docPartBody>
        <w:p w:rsidR="00C11C82" w:rsidRDefault="00AE6F70" w:rsidP="00AE6F70">
          <w:pPr>
            <w:pStyle w:val="6CBF0CAD2C43FE459B0B01973170E04A"/>
          </w:pPr>
          <w:r w:rsidRPr="001F1C68">
            <w:rPr>
              <w:rStyle w:val="PlaceholderText"/>
            </w:rPr>
            <w:t>Click here to enter text.</w:t>
          </w:r>
        </w:p>
      </w:docPartBody>
    </w:docPart>
    <w:docPart>
      <w:docPartPr>
        <w:name w:val="D514E9672CE68D4BAF442E382DE3C388"/>
        <w:category>
          <w:name w:val="General"/>
          <w:gallery w:val="placeholder"/>
        </w:category>
        <w:types>
          <w:type w:val="bbPlcHdr"/>
        </w:types>
        <w:behaviors>
          <w:behavior w:val="content"/>
        </w:behaviors>
        <w:guid w:val="{3698E053-C1EE-6B44-9958-E986A83ACC59}"/>
      </w:docPartPr>
      <w:docPartBody>
        <w:p w:rsidR="00C11C82" w:rsidRDefault="00AE6F70" w:rsidP="00AE6F70">
          <w:pPr>
            <w:pStyle w:val="D514E9672CE68D4BAF442E382DE3C388"/>
          </w:pPr>
          <w:r w:rsidRPr="001F1C68">
            <w:rPr>
              <w:rStyle w:val="PlaceholderText"/>
            </w:rPr>
            <w:t>Click here to enter text.</w:t>
          </w:r>
        </w:p>
      </w:docPartBody>
    </w:docPart>
    <w:docPart>
      <w:docPartPr>
        <w:name w:val="BAAFDFFCE3E86C4D9A7373C7D5EA52D4"/>
        <w:category>
          <w:name w:val="General"/>
          <w:gallery w:val="placeholder"/>
        </w:category>
        <w:types>
          <w:type w:val="bbPlcHdr"/>
        </w:types>
        <w:behaviors>
          <w:behavior w:val="content"/>
        </w:behaviors>
        <w:guid w:val="{31A94EEE-A3A6-334B-865F-828D3A83E608}"/>
      </w:docPartPr>
      <w:docPartBody>
        <w:p w:rsidR="00C11C82" w:rsidRDefault="00AE6F70" w:rsidP="00AE6F70">
          <w:pPr>
            <w:pStyle w:val="BAAFDFFCE3E86C4D9A7373C7D5EA52D4"/>
          </w:pPr>
          <w:r w:rsidRPr="001F1C68">
            <w:rPr>
              <w:rStyle w:val="PlaceholderText"/>
            </w:rPr>
            <w:t>Click here to enter text.</w:t>
          </w:r>
        </w:p>
      </w:docPartBody>
    </w:docPart>
    <w:docPart>
      <w:docPartPr>
        <w:name w:val="89795F73BB9709499FB8D2149B9EE4D2"/>
        <w:category>
          <w:name w:val="General"/>
          <w:gallery w:val="placeholder"/>
        </w:category>
        <w:types>
          <w:type w:val="bbPlcHdr"/>
        </w:types>
        <w:behaviors>
          <w:behavior w:val="content"/>
        </w:behaviors>
        <w:guid w:val="{4EDACF98-4720-0243-B17D-5F48B89097DB}"/>
      </w:docPartPr>
      <w:docPartBody>
        <w:p w:rsidR="00C11C82" w:rsidRDefault="00AE6F70" w:rsidP="00AE6F70">
          <w:pPr>
            <w:pStyle w:val="89795F73BB9709499FB8D2149B9EE4D2"/>
          </w:pPr>
          <w:r w:rsidRPr="001F1C68">
            <w:rPr>
              <w:rStyle w:val="PlaceholderText"/>
            </w:rPr>
            <w:t>Click here to enter text.</w:t>
          </w:r>
        </w:p>
      </w:docPartBody>
    </w:docPart>
    <w:docPart>
      <w:docPartPr>
        <w:name w:val="B824D34F3EF1C84FBF2145B3BB1C0394"/>
        <w:category>
          <w:name w:val="General"/>
          <w:gallery w:val="placeholder"/>
        </w:category>
        <w:types>
          <w:type w:val="bbPlcHdr"/>
        </w:types>
        <w:behaviors>
          <w:behavior w:val="content"/>
        </w:behaviors>
        <w:guid w:val="{A9F4B21A-AF41-F545-ADE0-8E20CFC577E8}"/>
      </w:docPartPr>
      <w:docPartBody>
        <w:p w:rsidR="00186C6C" w:rsidRDefault="00501B8F" w:rsidP="00501B8F">
          <w:pPr>
            <w:pStyle w:val="B824D34F3EF1C84FBF2145B3BB1C039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auto"/>
    <w:pitch w:val="variable"/>
    <w:sig w:usb0="E0002AEF" w:usb1="C0007841" w:usb2="00000009" w:usb3="00000000" w:csb0="000001FF" w:csb1="00000000"/>
  </w:font>
  <w:font w:name="Arial (Body)">
    <w:altName w:val="Arial"/>
    <w:panose1 w:val="020B0604020202020204"/>
    <w:charset w:val="00"/>
    <w:family w:val="roman"/>
    <w:pitch w:val="default"/>
  </w:font>
  <w:font w:name="EB Garamond">
    <w:panose1 w:val="00000500000000000000"/>
    <w:charset w:val="00"/>
    <w:family w:val="auto"/>
    <w:pitch w:val="variable"/>
    <w:sig w:usb0="E00002FF" w:usb1="020004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Lato">
    <w:panose1 w:val="020B0604020202020204"/>
    <w:charset w:val="00"/>
    <w:family w:val="swiss"/>
    <w:pitch w:val="variable"/>
    <w:sig w:usb0="E10002FF" w:usb1="5000ECF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F70"/>
    <w:rsid w:val="000809C5"/>
    <w:rsid w:val="000855DB"/>
    <w:rsid w:val="00143961"/>
    <w:rsid w:val="00153214"/>
    <w:rsid w:val="00156278"/>
    <w:rsid w:val="00186C6C"/>
    <w:rsid w:val="001C1018"/>
    <w:rsid w:val="001D280A"/>
    <w:rsid w:val="001D3CF1"/>
    <w:rsid w:val="0024352C"/>
    <w:rsid w:val="00325804"/>
    <w:rsid w:val="004F7318"/>
    <w:rsid w:val="00501B8F"/>
    <w:rsid w:val="0052064B"/>
    <w:rsid w:val="00574095"/>
    <w:rsid w:val="00576658"/>
    <w:rsid w:val="005B1085"/>
    <w:rsid w:val="006560DB"/>
    <w:rsid w:val="006F70AD"/>
    <w:rsid w:val="00855C7A"/>
    <w:rsid w:val="00866188"/>
    <w:rsid w:val="00956FFB"/>
    <w:rsid w:val="009876A0"/>
    <w:rsid w:val="00994930"/>
    <w:rsid w:val="00994CA2"/>
    <w:rsid w:val="009A4576"/>
    <w:rsid w:val="009B120F"/>
    <w:rsid w:val="009E4767"/>
    <w:rsid w:val="00A01889"/>
    <w:rsid w:val="00A33CF2"/>
    <w:rsid w:val="00AB1720"/>
    <w:rsid w:val="00AE6F70"/>
    <w:rsid w:val="00B418F8"/>
    <w:rsid w:val="00B7284B"/>
    <w:rsid w:val="00BD5E45"/>
    <w:rsid w:val="00BE4146"/>
    <w:rsid w:val="00C11C82"/>
    <w:rsid w:val="00C73D8F"/>
    <w:rsid w:val="00C9259C"/>
    <w:rsid w:val="00CB4551"/>
    <w:rsid w:val="00CD3244"/>
    <w:rsid w:val="00D351A8"/>
    <w:rsid w:val="00D415CD"/>
    <w:rsid w:val="00D95F6B"/>
    <w:rsid w:val="00DA2D12"/>
    <w:rsid w:val="00E350D8"/>
    <w:rsid w:val="00E828B4"/>
    <w:rsid w:val="00F46D1B"/>
    <w:rsid w:val="00F86B50"/>
    <w:rsid w:val="00FC5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CF2"/>
    <w:rPr>
      <w:color w:val="808080"/>
    </w:rPr>
  </w:style>
  <w:style w:type="paragraph" w:customStyle="1" w:styleId="9C8B181AFDF35D488EAA04E165200E34">
    <w:name w:val="9C8B181AFDF35D488EAA04E165200E34"/>
    <w:rsid w:val="00AE6F70"/>
  </w:style>
  <w:style w:type="paragraph" w:customStyle="1" w:styleId="0C6D9FD2F64CD24AB30DB1BDF8A6703F">
    <w:name w:val="0C6D9FD2F64CD24AB30DB1BDF8A6703F"/>
    <w:rsid w:val="00AE6F70"/>
  </w:style>
  <w:style w:type="paragraph" w:customStyle="1" w:styleId="6CBF0CAD2C43FE459B0B01973170E04A">
    <w:name w:val="6CBF0CAD2C43FE459B0B01973170E04A"/>
    <w:rsid w:val="00AE6F70"/>
  </w:style>
  <w:style w:type="paragraph" w:customStyle="1" w:styleId="D514E9672CE68D4BAF442E382DE3C388">
    <w:name w:val="D514E9672CE68D4BAF442E382DE3C388"/>
    <w:rsid w:val="00AE6F70"/>
  </w:style>
  <w:style w:type="paragraph" w:customStyle="1" w:styleId="BAAFDFFCE3E86C4D9A7373C7D5EA52D4">
    <w:name w:val="BAAFDFFCE3E86C4D9A7373C7D5EA52D4"/>
    <w:rsid w:val="00AE6F70"/>
  </w:style>
  <w:style w:type="paragraph" w:customStyle="1" w:styleId="89795F73BB9709499FB8D2149B9EE4D2">
    <w:name w:val="89795F73BB9709499FB8D2149B9EE4D2"/>
    <w:rsid w:val="00AE6F70"/>
  </w:style>
  <w:style w:type="paragraph" w:customStyle="1" w:styleId="B824D34F3EF1C84FBF2145B3BB1C0394">
    <w:name w:val="B824D34F3EF1C84FBF2145B3BB1C0394"/>
    <w:rsid w:val="0050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ABFDEC1-F626-3048-BDCC-37F840183857}">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92198649-6F04-4B45-8BC8-87157638F944}">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18566-9D3E-E345-814B-6D5F41FA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135407</Words>
  <Characters>771826</Characters>
  <Application>Microsoft Office Word</Application>
  <DocSecurity>0</DocSecurity>
  <Lines>6431</Lines>
  <Paragraphs>1810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Hamsici, Seren</dc:creator>
  <cp:keywords/>
  <dc:description/>
  <cp:lastModifiedBy>Hamsici, Seren</cp:lastModifiedBy>
  <cp:revision>4</cp:revision>
  <cp:lastPrinted>2022-12-05T21:53:00Z</cp:lastPrinted>
  <dcterms:created xsi:type="dcterms:W3CDTF">2022-12-05T21:53:00Z</dcterms:created>
  <dcterms:modified xsi:type="dcterms:W3CDTF">2022-12-05T21:58:00Z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id="BKSkRwpr"/&gt;&lt;style id="http://www.zotero.org/styles/american-medical-association" hasBibliography="1" bibliographyStyleHasBeenSet="1"/&gt;&lt;prefs&gt;&lt;pref name="fieldType" value="Field"/&gt;&lt;pref name="dont</vt:lpwstr>
  </property>
  <property fmtid="{D5CDD505-2E9C-101B-9397-08002B2CF9AE}" pid="3" name="grammarly_documentId">
    <vt:lpwstr>documentId_68</vt:lpwstr>
  </property>
  <property fmtid="{D5CDD505-2E9C-101B-9397-08002B2CF9AE}" pid="4" name="grammarly_documentContext">
    <vt:lpwstr>{"goals":[],"domain":"general","emotions":[],"dialect":"american"}</vt:lpwstr>
  </property>
  <property fmtid="{D5CDD505-2E9C-101B-9397-08002B2CF9AE}" pid="5" name="ZOTERO_PREF_2">
    <vt:lpwstr>AskDelayCitationUpdates" value="true"/&gt;&lt;pref name="delayCitationUpdates" value="true"/&gt;&lt;/prefs&gt;&lt;/data&gt;</vt:lpwstr>
  </property>
</Properties>
</file>