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1.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drawings/drawing1.xml" ContentType="application/vnd.openxmlformats-officedocument.drawingml.chartshapes+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3514" w:rsidRDefault="00D23514" w:rsidP="00D23514">
      <w:pPr>
        <w:rPr>
          <w:caps/>
        </w:rPr>
      </w:pPr>
    </w:p>
    <w:p w:rsidR="00D23514" w:rsidRDefault="00D23514">
      <w:pPr>
        <w:spacing w:line="240" w:lineRule="auto"/>
        <w:rPr>
          <w:caps/>
          <w:szCs w:val="32"/>
        </w:rPr>
      </w:pPr>
    </w:p>
    <w:sdt>
      <w:sdtPr>
        <w:rPr>
          <w:caps/>
        </w:rPr>
        <w:id w:val="30091833"/>
        <w:lock w:val="contentLocked"/>
        <w:placeholder>
          <w:docPart w:val="DefaultPlaceholder_22675703"/>
        </w:placeholder>
        <w:group/>
      </w:sdt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Content>
        <w:p w:rsidR="0008176F" w:rsidRPr="0008176F" w:rsidRDefault="002932A6" w:rsidP="0008176F">
          <w:pPr>
            <w:pStyle w:val="NoSpacing"/>
            <w:spacing w:line="480" w:lineRule="auto"/>
            <w:jc w:val="center"/>
            <w:rPr>
              <w:caps/>
            </w:rPr>
          </w:pPr>
          <w:r>
            <w:rPr>
              <w:caps/>
            </w:rPr>
            <w:t xml:space="preserve">Stable nitrogen isotope signal in crude oils throughout geologic time </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rsidR="0008176F" w:rsidRPr="0008176F" w:rsidRDefault="0008176F" w:rsidP="0008176F">
          <w:pPr>
            <w:pStyle w:val="NoSpacing"/>
            <w:jc w:val="center"/>
            <w:rPr>
              <w:caps/>
            </w:rPr>
          </w:pPr>
          <w:r w:rsidRPr="0008176F">
            <w:rPr>
              <w:caps/>
            </w:rPr>
            <w:t>A thesis</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Content>
        <w:p w:rsidR="00746E16" w:rsidRDefault="002932A6" w:rsidP="00746E16">
          <w:pPr>
            <w:pStyle w:val="NoSpacing"/>
            <w:spacing w:line="480" w:lineRule="auto"/>
            <w:jc w:val="center"/>
            <w:rPr>
              <w:caps/>
            </w:rPr>
          </w:pPr>
          <w:r>
            <w:rPr>
              <w:caps/>
            </w:rPr>
            <w:t>Master of Science</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680780">
      <w:pPr>
        <w:pStyle w:val="NoSpacing"/>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Content>
        <w:p w:rsidR="00746E16" w:rsidRDefault="002932A6" w:rsidP="00746E16">
          <w:pPr>
            <w:pStyle w:val="NoSpacing"/>
            <w:jc w:val="center"/>
            <w:rPr>
              <w:caps/>
            </w:rPr>
          </w:pPr>
          <w:r>
            <w:rPr>
              <w:caps/>
            </w:rPr>
            <w:t>Alyse johansen</w:t>
          </w:r>
        </w:p>
      </w:sdtContent>
    </w:sdt>
    <w:sdt>
      <w:sdtPr>
        <w:id w:val="30091838"/>
        <w:lock w:val="contentLocked"/>
        <w:placeholder>
          <w:docPart w:val="DefaultPlaceholder_22675703"/>
        </w:placeholder>
        <w:group/>
      </w:sdt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Content>
        <w:p w:rsidR="00730F0A" w:rsidRDefault="002932A6" w:rsidP="00730F0A">
          <w:pPr>
            <w:pStyle w:val="NoSpacing"/>
            <w:jc w:val="center"/>
          </w:pPr>
          <w:r>
            <w:t>2017</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6B5C7A" w:rsidRDefault="006B5C7A" w:rsidP="00730F0A">
      <w:pPr>
        <w:pStyle w:val="NoSpacing"/>
        <w:jc w:val="center"/>
      </w:pPr>
    </w:p>
    <w:p w:rsidR="00C378FA" w:rsidRDefault="00C378FA" w:rsidP="00730F0A">
      <w:pPr>
        <w:pStyle w:val="NoSpacing"/>
        <w:jc w:val="center"/>
      </w:pPr>
    </w:p>
    <w:p w:rsidR="00730F0A" w:rsidRDefault="00730F0A" w:rsidP="00730F0A">
      <w:pPr>
        <w:pStyle w:val="NoSpacing"/>
        <w:jc w:val="center"/>
      </w:pPr>
    </w:p>
    <w:sdt>
      <w:sdtPr>
        <w:rPr>
          <w:caps/>
        </w:rPr>
        <w:alias w:val="Click to enter thesis title"/>
        <w:tag w:val="Click to enter thesis title"/>
        <w:id w:val="30091843"/>
        <w:lock w:val="sdtLocked"/>
        <w:placeholder>
          <w:docPart w:val="DefaultPlaceholder_22675703"/>
        </w:placeholder>
      </w:sdtPr>
      <w:sdtContent>
        <w:p w:rsidR="00730F0A" w:rsidRPr="00730F0A" w:rsidRDefault="002932A6" w:rsidP="00730F0A">
          <w:pPr>
            <w:pStyle w:val="NoSpacing"/>
            <w:jc w:val="center"/>
            <w:rPr>
              <w:caps/>
            </w:rPr>
          </w:pPr>
          <w:r>
            <w:rPr>
              <w:caps/>
            </w:rPr>
            <w:t>stable nitrogen isotope signal in crude oils th</w:t>
          </w:r>
          <w:r w:rsidR="00DB74B3">
            <w:rPr>
              <w:caps/>
            </w:rPr>
            <w:t>r</w:t>
          </w:r>
          <w:r>
            <w:rPr>
              <w:caps/>
            </w:rPr>
            <w:t xml:space="preserve">oughout geologic time </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Content>
        <w:p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Content>
        <w:p w:rsidR="00746E16" w:rsidRDefault="002932A6" w:rsidP="00746E16">
          <w:pPr>
            <w:pStyle w:val="NoSpacing"/>
            <w:jc w:val="center"/>
            <w:rPr>
              <w:caps/>
            </w:rPr>
          </w:pPr>
          <w:r>
            <w:rPr>
              <w:caps/>
            </w:rPr>
            <w:t>ConocoPhillips School of Geology and Geophysics</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3B763D" w:rsidRDefault="003B763D" w:rsidP="00730F0A">
      <w:pPr>
        <w:pStyle w:val="NoSpacing"/>
        <w:jc w:val="right"/>
      </w:pPr>
      <w:r>
        <w:t>______________________________</w:t>
      </w:r>
    </w:p>
    <w:p w:rsidR="00730F0A" w:rsidRDefault="0052763E"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Content>
          <w:r w:rsidR="002932A6">
            <w:t>Dr.</w:t>
          </w:r>
        </w:sdtContent>
      </w:sdt>
      <w:r w:rsidR="00730F0A">
        <w:t xml:space="preserve"> </w:t>
      </w:r>
      <w:sdt>
        <w:sdtPr>
          <w:alias w:val="Click to enter committee chair name"/>
          <w:tag w:val="committee chair"/>
          <w:id w:val="30091849"/>
          <w:lock w:val="sdtLocked"/>
          <w:placeholder>
            <w:docPart w:val="DefaultPlaceholder_22675703"/>
          </w:placeholder>
        </w:sdtPr>
        <w:sdtContent>
          <w:r w:rsidR="002932A6">
            <w:t>Michael H. Engel</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52763E"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Content>
          <w:r w:rsidR="002932A6">
            <w:t>Dr.</w:t>
          </w:r>
        </w:sdtContent>
      </w:sdt>
      <w:r w:rsidR="00730F0A">
        <w:t xml:space="preserve"> </w:t>
      </w:r>
      <w:sdt>
        <w:sdtPr>
          <w:alias w:val="Click to enter 2nd member name"/>
          <w:tag w:val="2nd member"/>
          <w:id w:val="30091850"/>
          <w:lock w:val="sdtLocked"/>
          <w:placeholder>
            <w:docPart w:val="C062FEE9CF144A928363900CFCE29497"/>
          </w:placeholder>
        </w:sdtPr>
        <w:sdtContent>
          <w:r w:rsidR="002932A6">
            <w:t>R. Douglas Elmore</w:t>
          </w:r>
        </w:sdtContent>
      </w:sdt>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52763E"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Content>
          <w:r w:rsidR="002932A6">
            <w:t>Dr.</w:t>
          </w:r>
        </w:sdtContent>
      </w:sdt>
      <w:r w:rsidR="00746E16">
        <w:t xml:space="preserve"> </w:t>
      </w:r>
      <w:sdt>
        <w:sdtPr>
          <w:alias w:val="Click to enter 3rd member name"/>
          <w:tag w:val="3rd member"/>
          <w:id w:val="30091852"/>
          <w:lock w:val="sdtLocked"/>
          <w:placeholder>
            <w:docPart w:val="6D39F422706D4B8B985B3284341ED3DD"/>
          </w:placeholder>
        </w:sdtPr>
        <w:sdtContent>
          <w:r w:rsidR="002932A6">
            <w:t>John E. Zumberge</w:t>
          </w:r>
        </w:sdtContent>
      </w:sdt>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52763E" w:rsidP="00730F0A">
      <w:pPr>
        <w:pStyle w:val="NoSpacing"/>
        <w:jc w:val="center"/>
      </w:pPr>
      <w:sdt>
        <w:sdtPr>
          <w:id w:val="30091877"/>
          <w:lock w:val="contentLocked"/>
          <w:placeholder>
            <w:docPart w:val="DefaultPlaceholder_22675703"/>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2932A6">
            <w:rPr>
              <w:caps/>
            </w:rPr>
            <w:t>Alyse johansen</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Content>
          <w:r w:rsidR="002932A6">
            <w:t>2017</w:t>
          </w:r>
        </w:sdtContent>
      </w:sdt>
    </w:p>
    <w:p w:rsidR="00730F0A" w:rsidRDefault="00730F0A" w:rsidP="00730F0A">
      <w:pPr>
        <w:pStyle w:val="NoSpacing"/>
        <w:jc w:val="center"/>
      </w:pPr>
      <w:r>
        <w:t>All Rights Reserved.</w:t>
      </w:r>
    </w:p>
    <w:p w:rsidR="008E1C26" w:rsidRDefault="006F10CE" w:rsidP="0011372F">
      <w:pPr>
        <w:jc w:val="center"/>
        <w:sectPr w:rsidR="008E1C26" w:rsidSect="00C378FA">
          <w:pgSz w:w="12240" w:h="15840" w:code="1"/>
          <w:pgMar w:top="1440" w:right="1440" w:bottom="1440" w:left="2304" w:header="720" w:footer="720" w:gutter="0"/>
          <w:cols w:space="720"/>
          <w:docGrid w:linePitch="360"/>
        </w:sectPr>
      </w:pPr>
      <w:r>
        <w:br w:type="page"/>
      </w:r>
      <w:r w:rsidR="0011372F">
        <w:lastRenderedPageBreak/>
        <w:t xml:space="preserve">In dedication to my husband, Zachary Johansen, my rock.    </w:t>
      </w:r>
    </w:p>
    <w:p w:rsidR="008E1C26" w:rsidRDefault="00775701" w:rsidP="00C16C66">
      <w:pPr>
        <w:pStyle w:val="Heading1"/>
      </w:pPr>
      <w:bookmarkStart w:id="0" w:name="_Toc310579464"/>
      <w:bookmarkStart w:id="1" w:name="_Toc315681358"/>
      <w:r>
        <w:lastRenderedPageBreak/>
        <w:t>Acknowledgements</w:t>
      </w:r>
      <w:bookmarkEnd w:id="0"/>
      <w:bookmarkEnd w:id="1"/>
    </w:p>
    <w:p w:rsidR="00CA5D73" w:rsidRDefault="004514C8" w:rsidP="004514C8">
      <w:pPr>
        <w:ind w:firstLine="720"/>
      </w:pPr>
      <w:r>
        <w:t xml:space="preserve">To Dr. Michael Engel, for awarding me this amazing opportunity in attaining my Master’s degree at the University of Oklahoma under your advisement. Thank you for your never-ending patience, your guidance and care. </w:t>
      </w:r>
      <w:r w:rsidR="00000239">
        <w:t xml:space="preserve">I would not be here without you. </w:t>
      </w:r>
    </w:p>
    <w:p w:rsidR="00EA4F84" w:rsidRDefault="00000239" w:rsidP="004514C8">
      <w:pPr>
        <w:ind w:firstLine="720"/>
      </w:pPr>
      <w:r>
        <w:t xml:space="preserve">To my other committee members, Dr. Douglas Elmore and Dr. John Zumberge. I appreciate all of Dr. Elmore’s care in teaching me </w:t>
      </w:r>
      <w:r w:rsidR="008D4F69">
        <w:t>a</w:t>
      </w:r>
      <w:r w:rsidR="00853B6F">
        <w:t>nd taking the time to help me understand geological processes. I wan</w:t>
      </w:r>
      <w:r w:rsidR="000F3931">
        <w:t>t to thank Dr. Zumberge and GeoM</w:t>
      </w:r>
      <w:r w:rsidR="00853B6F">
        <w:t xml:space="preserve">ark for providing the oil samples </w:t>
      </w:r>
      <w:r w:rsidR="00EA4F84">
        <w:t xml:space="preserve">used in this research and for taking the time to be on my thesis committee. </w:t>
      </w:r>
    </w:p>
    <w:p w:rsidR="00E90675" w:rsidRDefault="00EA4F84" w:rsidP="0011372F">
      <w:pPr>
        <w:ind w:firstLine="720"/>
      </w:pPr>
      <w:r>
        <w:t>To Rick Maynard, thank you for all the time you put into running my samples. I appreciate all your hard work and the many hours spent. Also to Sarah Engel, I appreciate your patience</w:t>
      </w:r>
      <w:r w:rsidR="00E90675">
        <w:t xml:space="preserve"> and time</w:t>
      </w:r>
      <w:r>
        <w:t xml:space="preserve"> in teaching me column chromatography </w:t>
      </w:r>
      <w:r w:rsidR="00E90675">
        <w:t xml:space="preserve">and molecular sieving. </w:t>
      </w:r>
      <w:r>
        <w:t xml:space="preserve"> </w:t>
      </w:r>
      <w:r w:rsidR="008D4F69">
        <w:t xml:space="preserve"> </w:t>
      </w:r>
    </w:p>
    <w:p w:rsidR="003450B1" w:rsidRDefault="00E90675" w:rsidP="004514C8">
      <w:pPr>
        <w:ind w:firstLine="720"/>
      </w:pPr>
      <w:r>
        <w:t>To my mom and grandma, Elissa Maug</w:t>
      </w:r>
      <w:r w:rsidR="00CA5D73">
        <w:t xml:space="preserve">han and </w:t>
      </w:r>
      <w:proofErr w:type="spellStart"/>
      <w:r w:rsidR="00CA5D73">
        <w:t>LaRey</w:t>
      </w:r>
      <w:proofErr w:type="spellEnd"/>
      <w:r w:rsidR="00CA5D73">
        <w:t xml:space="preserve"> West, you </w:t>
      </w:r>
      <w:r>
        <w:t xml:space="preserve">encouraged me and always believed in me. Also to my brother Tyler Maughan, </w:t>
      </w:r>
      <w:r w:rsidR="00CA5D73">
        <w:t>thank you for supporting me and helping me so much along the way.</w:t>
      </w:r>
    </w:p>
    <w:p w:rsidR="00CA5D73" w:rsidRDefault="00CA5D73" w:rsidP="004514C8">
      <w:pPr>
        <w:ind w:firstLine="720"/>
      </w:pPr>
      <w:r>
        <w:t xml:space="preserve">I want to thank all my geology friends. You have cared for me so much during these two years. Thank you for teaching me and helping me in my classes, and in life in general.  </w:t>
      </w:r>
    </w:p>
    <w:p w:rsidR="00000239" w:rsidRDefault="00000239" w:rsidP="004514C8">
      <w:pPr>
        <w:ind w:firstLine="720"/>
      </w:pPr>
    </w:p>
    <w:p w:rsidR="00775701" w:rsidRDefault="00775701" w:rsidP="00C16C66">
      <w:pPr>
        <w:pStyle w:val="Title"/>
      </w:pPr>
      <w:r>
        <w:br w:type="page"/>
      </w:r>
      <w:r>
        <w:lastRenderedPageBreak/>
        <w:t xml:space="preserve">Table of </w:t>
      </w:r>
      <w:r w:rsidRPr="00775701">
        <w:t>Contents</w:t>
      </w:r>
    </w:p>
    <w:p w:rsidR="009C4FEF" w:rsidRPr="0078679A" w:rsidRDefault="009C4FEF" w:rsidP="009C4FEF">
      <w:pPr>
        <w:pStyle w:val="NoSpacing"/>
      </w:pPr>
    </w:p>
    <w:p w:rsidR="00FC5D6F" w:rsidRDefault="00AA4AE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315681358" w:history="1">
        <w:r w:rsidR="00FC5D6F" w:rsidRPr="008F2F88">
          <w:rPr>
            <w:rStyle w:val="Hyperlink"/>
            <w:noProof/>
          </w:rPr>
          <w:t>Acknowledgements</w:t>
        </w:r>
        <w:r w:rsidR="00FC5D6F">
          <w:rPr>
            <w:noProof/>
            <w:webHidden/>
          </w:rPr>
          <w:tab/>
        </w:r>
        <w:r>
          <w:rPr>
            <w:noProof/>
            <w:webHidden/>
          </w:rPr>
          <w:fldChar w:fldCharType="begin"/>
        </w:r>
        <w:r w:rsidR="00FC5D6F">
          <w:rPr>
            <w:noProof/>
            <w:webHidden/>
          </w:rPr>
          <w:instrText xml:space="preserve"> PAGEREF _Toc315681358 \h </w:instrText>
        </w:r>
        <w:r>
          <w:rPr>
            <w:noProof/>
            <w:webHidden/>
          </w:rPr>
        </w:r>
        <w:r>
          <w:rPr>
            <w:noProof/>
            <w:webHidden/>
          </w:rPr>
          <w:fldChar w:fldCharType="separate"/>
        </w:r>
        <w:r w:rsidR="007B7066">
          <w:rPr>
            <w:noProof/>
            <w:webHidden/>
          </w:rPr>
          <w:t>iv</w:t>
        </w:r>
        <w:r>
          <w:rPr>
            <w:noProof/>
            <w:webHidden/>
          </w:rPr>
          <w:fldChar w:fldCharType="end"/>
        </w:r>
      </w:hyperlink>
    </w:p>
    <w:p w:rsidR="00FC5D6F" w:rsidRDefault="0052763E">
      <w:pPr>
        <w:pStyle w:val="TOC1"/>
        <w:rPr>
          <w:rFonts w:eastAsiaTheme="minorEastAsia" w:cstheme="minorBidi"/>
          <w:noProof/>
          <w:sz w:val="22"/>
          <w:szCs w:val="22"/>
          <w:lang w:bidi="ar-SA"/>
        </w:rPr>
      </w:pPr>
      <w:hyperlink w:anchor="_Toc315681359" w:history="1">
        <w:r w:rsidR="00FC5D6F" w:rsidRPr="008F2F88">
          <w:rPr>
            <w:rStyle w:val="Hyperlink"/>
            <w:noProof/>
          </w:rPr>
          <w:t>List of Tables</w:t>
        </w:r>
        <w:r w:rsidR="00FC5D6F">
          <w:rPr>
            <w:noProof/>
            <w:webHidden/>
          </w:rPr>
          <w:tab/>
        </w:r>
        <w:r w:rsidR="00AA4AED">
          <w:rPr>
            <w:noProof/>
            <w:webHidden/>
          </w:rPr>
          <w:fldChar w:fldCharType="begin"/>
        </w:r>
        <w:r w:rsidR="00FC5D6F">
          <w:rPr>
            <w:noProof/>
            <w:webHidden/>
          </w:rPr>
          <w:instrText xml:space="preserve"> PAGEREF _Toc315681359 \h </w:instrText>
        </w:r>
        <w:r w:rsidR="00AA4AED">
          <w:rPr>
            <w:noProof/>
            <w:webHidden/>
          </w:rPr>
        </w:r>
        <w:r w:rsidR="00AA4AED">
          <w:rPr>
            <w:noProof/>
            <w:webHidden/>
          </w:rPr>
          <w:fldChar w:fldCharType="separate"/>
        </w:r>
        <w:r w:rsidR="007B7066">
          <w:rPr>
            <w:noProof/>
            <w:webHidden/>
          </w:rPr>
          <w:t>vii</w:t>
        </w:r>
        <w:r w:rsidR="00AA4AED">
          <w:rPr>
            <w:noProof/>
            <w:webHidden/>
          </w:rPr>
          <w:fldChar w:fldCharType="end"/>
        </w:r>
      </w:hyperlink>
    </w:p>
    <w:p w:rsidR="00FC5D6F" w:rsidRDefault="0052763E">
      <w:pPr>
        <w:pStyle w:val="TOC1"/>
        <w:rPr>
          <w:rFonts w:eastAsiaTheme="minorEastAsia" w:cstheme="minorBidi"/>
          <w:noProof/>
          <w:sz w:val="22"/>
          <w:szCs w:val="22"/>
          <w:lang w:bidi="ar-SA"/>
        </w:rPr>
      </w:pPr>
      <w:hyperlink w:anchor="_Toc315681360" w:history="1">
        <w:r w:rsidR="00FC5D6F" w:rsidRPr="008F2F88">
          <w:rPr>
            <w:rStyle w:val="Hyperlink"/>
            <w:noProof/>
          </w:rPr>
          <w:t>List of Figures</w:t>
        </w:r>
        <w:r w:rsidR="00FC5D6F">
          <w:rPr>
            <w:noProof/>
            <w:webHidden/>
          </w:rPr>
          <w:tab/>
        </w:r>
        <w:r w:rsidR="00AA4AED">
          <w:rPr>
            <w:noProof/>
            <w:webHidden/>
          </w:rPr>
          <w:fldChar w:fldCharType="begin"/>
        </w:r>
        <w:r w:rsidR="00FC5D6F">
          <w:rPr>
            <w:noProof/>
            <w:webHidden/>
          </w:rPr>
          <w:instrText xml:space="preserve"> PAGEREF _Toc315681360 \h </w:instrText>
        </w:r>
        <w:r w:rsidR="00AA4AED">
          <w:rPr>
            <w:noProof/>
            <w:webHidden/>
          </w:rPr>
        </w:r>
        <w:r w:rsidR="00AA4AED">
          <w:rPr>
            <w:noProof/>
            <w:webHidden/>
          </w:rPr>
          <w:fldChar w:fldCharType="separate"/>
        </w:r>
        <w:r w:rsidR="007B7066">
          <w:rPr>
            <w:noProof/>
            <w:webHidden/>
          </w:rPr>
          <w:t>viii</w:t>
        </w:r>
        <w:r w:rsidR="00AA4AED">
          <w:rPr>
            <w:noProof/>
            <w:webHidden/>
          </w:rPr>
          <w:fldChar w:fldCharType="end"/>
        </w:r>
      </w:hyperlink>
    </w:p>
    <w:p w:rsidR="00FC5D6F" w:rsidRDefault="0052763E">
      <w:pPr>
        <w:pStyle w:val="TOC1"/>
        <w:rPr>
          <w:rFonts w:eastAsiaTheme="minorEastAsia" w:cstheme="minorBidi"/>
          <w:noProof/>
          <w:sz w:val="22"/>
          <w:szCs w:val="22"/>
          <w:lang w:bidi="ar-SA"/>
        </w:rPr>
      </w:pPr>
      <w:hyperlink w:anchor="_Toc315681361" w:history="1">
        <w:r w:rsidR="00FC5D6F" w:rsidRPr="008F2F88">
          <w:rPr>
            <w:rStyle w:val="Hyperlink"/>
            <w:noProof/>
          </w:rPr>
          <w:t>Abstract</w:t>
        </w:r>
        <w:r w:rsidR="00FC5D6F">
          <w:rPr>
            <w:noProof/>
            <w:webHidden/>
          </w:rPr>
          <w:tab/>
        </w:r>
        <w:r w:rsidR="00AA4AED">
          <w:rPr>
            <w:noProof/>
            <w:webHidden/>
          </w:rPr>
          <w:fldChar w:fldCharType="begin"/>
        </w:r>
        <w:r w:rsidR="00FC5D6F">
          <w:rPr>
            <w:noProof/>
            <w:webHidden/>
          </w:rPr>
          <w:instrText xml:space="preserve"> PAGEREF _Toc315681361 \h </w:instrText>
        </w:r>
        <w:r w:rsidR="00AA4AED">
          <w:rPr>
            <w:noProof/>
            <w:webHidden/>
          </w:rPr>
        </w:r>
        <w:r w:rsidR="00AA4AED">
          <w:rPr>
            <w:noProof/>
            <w:webHidden/>
          </w:rPr>
          <w:fldChar w:fldCharType="separate"/>
        </w:r>
        <w:r w:rsidR="007B7066">
          <w:rPr>
            <w:noProof/>
            <w:webHidden/>
          </w:rPr>
          <w:t>x</w:t>
        </w:r>
        <w:r w:rsidR="00AA4AED">
          <w:rPr>
            <w:noProof/>
            <w:webHidden/>
          </w:rPr>
          <w:fldChar w:fldCharType="end"/>
        </w:r>
      </w:hyperlink>
    </w:p>
    <w:p w:rsidR="00FC5D6F" w:rsidRDefault="0052763E">
      <w:pPr>
        <w:pStyle w:val="TOC1"/>
        <w:rPr>
          <w:rFonts w:eastAsiaTheme="minorEastAsia" w:cstheme="minorBidi"/>
          <w:noProof/>
          <w:sz w:val="22"/>
          <w:szCs w:val="22"/>
          <w:lang w:bidi="ar-SA"/>
        </w:rPr>
      </w:pPr>
      <w:hyperlink w:anchor="_Toc315681362" w:history="1">
        <w:r w:rsidR="005C7477">
          <w:rPr>
            <w:rStyle w:val="Hyperlink"/>
            <w:noProof/>
          </w:rPr>
          <w:t>Introduction</w:t>
        </w:r>
        <w:r w:rsidR="00FC5D6F">
          <w:rPr>
            <w:noProof/>
            <w:webHidden/>
          </w:rPr>
          <w:tab/>
        </w:r>
        <w:r w:rsidR="00AA4AED">
          <w:rPr>
            <w:noProof/>
            <w:webHidden/>
          </w:rPr>
          <w:fldChar w:fldCharType="begin"/>
        </w:r>
        <w:r w:rsidR="00FC5D6F">
          <w:rPr>
            <w:noProof/>
            <w:webHidden/>
          </w:rPr>
          <w:instrText xml:space="preserve"> PAGEREF _Toc315681362 \h </w:instrText>
        </w:r>
        <w:r w:rsidR="00AA4AED">
          <w:rPr>
            <w:noProof/>
            <w:webHidden/>
          </w:rPr>
        </w:r>
        <w:r w:rsidR="00AA4AED">
          <w:rPr>
            <w:noProof/>
            <w:webHidden/>
          </w:rPr>
          <w:fldChar w:fldCharType="separate"/>
        </w:r>
        <w:r w:rsidR="007B7066">
          <w:rPr>
            <w:noProof/>
            <w:webHidden/>
          </w:rPr>
          <w:t>1</w:t>
        </w:r>
        <w:r w:rsidR="00AA4AED">
          <w:rPr>
            <w:noProof/>
            <w:webHidden/>
          </w:rPr>
          <w:fldChar w:fldCharType="end"/>
        </w:r>
      </w:hyperlink>
    </w:p>
    <w:p w:rsidR="00FC5D6F" w:rsidRDefault="0052763E">
      <w:pPr>
        <w:pStyle w:val="TOC1"/>
        <w:rPr>
          <w:noProof/>
        </w:rPr>
      </w:pPr>
      <w:hyperlink w:anchor="_Toc315681365" w:history="1">
        <w:r w:rsidR="005C7477">
          <w:rPr>
            <w:rStyle w:val="Hyperlink"/>
            <w:noProof/>
          </w:rPr>
          <w:t>Sample Selection …</w:t>
        </w:r>
        <w:r w:rsidR="00FC5D6F">
          <w:rPr>
            <w:noProof/>
            <w:webHidden/>
          </w:rPr>
          <w:tab/>
        </w:r>
      </w:hyperlink>
      <w:r w:rsidR="005F44F2">
        <w:rPr>
          <w:noProof/>
        </w:rPr>
        <w:t>7</w:t>
      </w:r>
    </w:p>
    <w:p w:rsidR="005C7477" w:rsidRPr="005C7477" w:rsidRDefault="005C7477" w:rsidP="005C7477">
      <w:pPr>
        <w:rPr>
          <w:rFonts w:eastAsiaTheme="minorEastAsia"/>
        </w:rPr>
      </w:pPr>
      <w:r>
        <w:rPr>
          <w:rFonts w:eastAsiaTheme="minorEastAsia"/>
        </w:rPr>
        <w:t>Experimental Methods…………………………………………………………………...9</w:t>
      </w:r>
    </w:p>
    <w:p w:rsidR="00FC5D6F" w:rsidRDefault="0052763E">
      <w:pPr>
        <w:pStyle w:val="TOC2"/>
        <w:tabs>
          <w:tab w:val="right" w:leader="dot" w:pos="8486"/>
        </w:tabs>
        <w:rPr>
          <w:rFonts w:eastAsiaTheme="minorEastAsia" w:cstheme="minorBidi"/>
          <w:noProof/>
          <w:sz w:val="22"/>
          <w:szCs w:val="22"/>
          <w:lang w:bidi="ar-SA"/>
        </w:rPr>
      </w:pPr>
      <w:hyperlink w:anchor="_Toc315681366" w:history="1">
        <w:r w:rsidR="00A3042E">
          <w:rPr>
            <w:rStyle w:val="Hyperlink"/>
            <w:noProof/>
          </w:rPr>
          <w:t xml:space="preserve">Sample Preparation </w:t>
        </w:r>
        <w:r w:rsidR="00FC5D6F">
          <w:rPr>
            <w:noProof/>
            <w:webHidden/>
          </w:rPr>
          <w:tab/>
        </w:r>
      </w:hyperlink>
      <w:r w:rsidR="00A3042E">
        <w:rPr>
          <w:noProof/>
        </w:rPr>
        <w:t>9</w:t>
      </w:r>
    </w:p>
    <w:p w:rsidR="00FC5D6F" w:rsidRDefault="0052763E">
      <w:pPr>
        <w:pStyle w:val="TOC2"/>
        <w:tabs>
          <w:tab w:val="right" w:leader="dot" w:pos="8486"/>
        </w:tabs>
        <w:rPr>
          <w:noProof/>
        </w:rPr>
      </w:pPr>
      <w:hyperlink w:anchor="_Toc315681367" w:history="1">
        <w:r w:rsidR="00A3042E">
          <w:rPr>
            <w:rStyle w:val="Hyperlink"/>
            <w:noProof/>
          </w:rPr>
          <w:t>Column Chromatography</w:t>
        </w:r>
        <w:r w:rsidR="00FC5D6F">
          <w:rPr>
            <w:noProof/>
            <w:webHidden/>
          </w:rPr>
          <w:tab/>
        </w:r>
      </w:hyperlink>
      <w:r w:rsidR="00A3042E">
        <w:rPr>
          <w:noProof/>
        </w:rPr>
        <w:t>9</w:t>
      </w:r>
    </w:p>
    <w:p w:rsidR="00A3042E" w:rsidRDefault="00A3042E" w:rsidP="00A3042E">
      <w:r>
        <w:t xml:space="preserve">      Nitrogen Isotope Analysis………………………………………………………….10</w:t>
      </w:r>
    </w:p>
    <w:p w:rsidR="00A3042E" w:rsidRDefault="00F63E0B" w:rsidP="00A3042E">
      <w:r>
        <w:t xml:space="preserve">      </w:t>
      </w:r>
      <w:r w:rsidR="00A3042E">
        <w:t>Calculation of D</w:t>
      </w:r>
      <w:r w:rsidR="00952303">
        <w:t>elta………………………………………………………………...10</w:t>
      </w:r>
    </w:p>
    <w:p w:rsidR="00A3042E" w:rsidRDefault="00F63E0B" w:rsidP="00A3042E">
      <w:r>
        <w:t>Results………………………………………………………………………………….12</w:t>
      </w:r>
    </w:p>
    <w:p w:rsidR="00765714" w:rsidRDefault="00765714" w:rsidP="00A3042E">
      <w:r>
        <w:t xml:space="preserve">       The Stable Nitrogen Isotopic Analysis of Mexican Oils…………………………..12</w:t>
      </w:r>
    </w:p>
    <w:p w:rsidR="00765714" w:rsidRDefault="00765714" w:rsidP="00A3042E">
      <w:r>
        <w:t xml:space="preserve">       The Stable Nitrogen Isotopic Analysis of Middle East Oils………………………16</w:t>
      </w:r>
    </w:p>
    <w:p w:rsidR="00765714" w:rsidRDefault="00EC63D1" w:rsidP="00A3042E">
      <w:r>
        <w:t xml:space="preserve">     </w:t>
      </w:r>
      <w:r w:rsidR="00765714">
        <w:t xml:space="preserve">  The Stable Nitrogen Isotopic</w:t>
      </w:r>
      <w:r w:rsidR="00D76F5F">
        <w:t xml:space="preserve"> Analysis of the Sixty-two Crude O</w:t>
      </w:r>
      <w:r w:rsidR="00765714">
        <w:t>ils ……………</w:t>
      </w:r>
      <w:r w:rsidR="00D76F5F">
        <w:t>..</w:t>
      </w:r>
      <w:r w:rsidR="00952303">
        <w:t>19</w:t>
      </w:r>
    </w:p>
    <w:p w:rsidR="00765714" w:rsidRDefault="00EC63D1" w:rsidP="00A3042E">
      <w:r>
        <w:t>Discussion</w:t>
      </w:r>
      <w:r w:rsidR="00952303">
        <w:t>………………………………………………………………………………27</w:t>
      </w:r>
    </w:p>
    <w:p w:rsidR="00EC63D1" w:rsidRDefault="00EC63D1" w:rsidP="00A3042E">
      <w:r>
        <w:t xml:space="preserve">       </w:t>
      </w:r>
      <w:r w:rsidRPr="00EC63D1">
        <w:t>The δ</w:t>
      </w:r>
      <w:r w:rsidRPr="00EC63D1">
        <w:rPr>
          <w:vertAlign w:val="superscript"/>
        </w:rPr>
        <w:t>15</w:t>
      </w:r>
      <w:r>
        <w:t>N values of the Mexican O</w:t>
      </w:r>
      <w:r w:rsidRPr="00EC63D1">
        <w:t>ils</w:t>
      </w:r>
      <w:r>
        <w:t>…………</w:t>
      </w:r>
      <w:r w:rsidR="00D76F5F">
        <w:t>…………………………………...2</w:t>
      </w:r>
      <w:r w:rsidR="00952303">
        <w:t>7</w:t>
      </w:r>
    </w:p>
    <w:p w:rsidR="00D76F5F" w:rsidRDefault="00D76F5F" w:rsidP="00A3042E">
      <w:pPr>
        <w:rPr>
          <w:rFonts w:ascii="Times New Roman" w:eastAsia="DengXian" w:hAnsi="Times New Roman"/>
          <w:lang w:eastAsia="zh-CN" w:bidi="ar-SA"/>
        </w:rPr>
      </w:pPr>
      <w:r>
        <w:t xml:space="preserve">       The </w:t>
      </w:r>
      <w:r w:rsidRPr="00D76F5F">
        <w:rPr>
          <w:rFonts w:ascii="Times New Roman" w:eastAsia="DengXian" w:hAnsi="Times New Roman"/>
          <w:lang w:eastAsia="zh-CN" w:bidi="ar-SA"/>
        </w:rPr>
        <w:t>δ</w:t>
      </w:r>
      <w:r w:rsidRPr="00D76F5F">
        <w:rPr>
          <w:rFonts w:ascii="Times New Roman" w:eastAsia="DengXian" w:hAnsi="Times New Roman"/>
          <w:vertAlign w:val="superscript"/>
          <w:lang w:eastAsia="zh-CN" w:bidi="ar-SA"/>
        </w:rPr>
        <w:t>15</w:t>
      </w:r>
      <w:r w:rsidRPr="00D76F5F">
        <w:rPr>
          <w:rFonts w:ascii="Times New Roman" w:eastAsia="DengXian" w:hAnsi="Times New Roman"/>
          <w:lang w:eastAsia="zh-CN" w:bidi="ar-SA"/>
        </w:rPr>
        <w:t>N values</w:t>
      </w:r>
      <w:r>
        <w:rPr>
          <w:rFonts w:ascii="Times New Roman" w:eastAsia="DengXian" w:hAnsi="Times New Roman"/>
          <w:lang w:eastAsia="zh-CN" w:bidi="ar-SA"/>
        </w:rPr>
        <w:t xml:space="preserve"> of the Mid</w:t>
      </w:r>
      <w:r w:rsidR="00952303">
        <w:rPr>
          <w:rFonts w:ascii="Times New Roman" w:eastAsia="DengXian" w:hAnsi="Times New Roman"/>
          <w:lang w:eastAsia="zh-CN" w:bidi="ar-SA"/>
        </w:rPr>
        <w:t>dle East Oils………………………………………….34</w:t>
      </w:r>
    </w:p>
    <w:p w:rsidR="00D76F5F" w:rsidRDefault="00D76F5F" w:rsidP="00A3042E">
      <w:pPr>
        <w:rPr>
          <w:rFonts w:ascii="Times New Roman" w:eastAsia="DengXian" w:hAnsi="Times New Roman"/>
          <w:lang w:eastAsia="zh-CN" w:bidi="ar-SA"/>
        </w:rPr>
      </w:pPr>
      <w:r>
        <w:rPr>
          <w:rFonts w:ascii="Times New Roman" w:eastAsia="DengXian" w:hAnsi="Times New Roman"/>
          <w:lang w:eastAsia="zh-CN" w:bidi="ar-SA"/>
        </w:rPr>
        <w:t xml:space="preserve">       </w:t>
      </w:r>
      <w:r w:rsidRPr="00D76F5F">
        <w:rPr>
          <w:rFonts w:ascii="Times New Roman" w:eastAsia="DengXian" w:hAnsi="Times New Roman"/>
          <w:lang w:eastAsia="zh-CN" w:bidi="ar-SA"/>
        </w:rPr>
        <w:t>The δ</w:t>
      </w:r>
      <w:r w:rsidRPr="00D76F5F">
        <w:rPr>
          <w:rFonts w:ascii="Times New Roman" w:eastAsia="DengXian" w:hAnsi="Times New Roman"/>
          <w:vertAlign w:val="superscript"/>
          <w:lang w:eastAsia="zh-CN" w:bidi="ar-SA"/>
        </w:rPr>
        <w:t>15</w:t>
      </w:r>
      <w:r w:rsidRPr="00D76F5F">
        <w:rPr>
          <w:rFonts w:ascii="Times New Roman" w:eastAsia="DengXian" w:hAnsi="Times New Roman"/>
          <w:lang w:eastAsia="zh-CN" w:bidi="ar-SA"/>
        </w:rPr>
        <w:t xml:space="preserve">N values </w:t>
      </w:r>
      <w:r>
        <w:rPr>
          <w:rFonts w:ascii="Times New Roman" w:eastAsia="DengXian" w:hAnsi="Times New Roman"/>
          <w:lang w:eastAsia="zh-CN" w:bidi="ar-SA"/>
        </w:rPr>
        <w:t>of the Sixty-two Crude Oils ……………………………………</w:t>
      </w:r>
      <w:r w:rsidR="002039E5">
        <w:rPr>
          <w:rFonts w:ascii="Times New Roman" w:eastAsia="DengXian" w:hAnsi="Times New Roman"/>
          <w:lang w:eastAsia="zh-CN" w:bidi="ar-SA"/>
        </w:rPr>
        <w:t>..</w:t>
      </w:r>
      <w:r w:rsidR="00952303">
        <w:rPr>
          <w:rFonts w:ascii="Times New Roman" w:eastAsia="DengXian" w:hAnsi="Times New Roman"/>
          <w:lang w:eastAsia="zh-CN" w:bidi="ar-SA"/>
        </w:rPr>
        <w:t>36</w:t>
      </w:r>
    </w:p>
    <w:p w:rsidR="00765714" w:rsidRPr="00D76F5F" w:rsidRDefault="00D76F5F" w:rsidP="00A3042E">
      <w:pPr>
        <w:rPr>
          <w:rFonts w:ascii="Times New Roman" w:eastAsia="DengXian" w:hAnsi="Times New Roman"/>
          <w:lang w:eastAsia="zh-CN" w:bidi="ar-SA"/>
        </w:rPr>
      </w:pPr>
      <w:r>
        <w:rPr>
          <w:rFonts w:ascii="Times New Roman" w:eastAsia="DengXian" w:hAnsi="Times New Roman"/>
          <w:lang w:eastAsia="zh-CN" w:bidi="ar-SA"/>
        </w:rPr>
        <w:t>Conclusion …</w:t>
      </w:r>
      <w:r w:rsidR="00565343">
        <w:rPr>
          <w:rFonts w:ascii="Times New Roman" w:eastAsia="DengXian" w:hAnsi="Times New Roman"/>
          <w:lang w:eastAsia="zh-CN" w:bidi="ar-SA"/>
        </w:rPr>
        <w:t>…………………………………………………………………………..47</w:t>
      </w:r>
    </w:p>
    <w:p w:rsidR="00FC5D6F" w:rsidRDefault="0052763E">
      <w:pPr>
        <w:pStyle w:val="TOC1"/>
        <w:rPr>
          <w:rFonts w:eastAsiaTheme="minorEastAsia" w:cstheme="minorBidi"/>
          <w:noProof/>
          <w:sz w:val="22"/>
          <w:szCs w:val="22"/>
          <w:lang w:bidi="ar-SA"/>
        </w:rPr>
      </w:pPr>
      <w:hyperlink w:anchor="_Toc315681371" w:history="1">
        <w:r w:rsidR="00FC5D6F" w:rsidRPr="008F2F88">
          <w:rPr>
            <w:rStyle w:val="Hyperlink"/>
            <w:noProof/>
          </w:rPr>
          <w:t>References</w:t>
        </w:r>
        <w:r w:rsidR="00FC5D6F">
          <w:rPr>
            <w:noProof/>
            <w:webHidden/>
          </w:rPr>
          <w:tab/>
        </w:r>
        <w:r w:rsidR="00A63C7F">
          <w:rPr>
            <w:noProof/>
            <w:webHidden/>
          </w:rPr>
          <w:t>4</w:t>
        </w:r>
      </w:hyperlink>
      <w:r w:rsidR="00565343">
        <w:rPr>
          <w:noProof/>
        </w:rPr>
        <w:t>9</w:t>
      </w:r>
    </w:p>
    <w:p w:rsidR="00FC5D6F" w:rsidRPr="00A63C7F" w:rsidRDefault="0052763E" w:rsidP="00A63C7F">
      <w:pPr>
        <w:keepNext/>
        <w:spacing w:after="200" w:line="240" w:lineRule="auto"/>
        <w:rPr>
          <w:rFonts w:ascii="Times New Roman" w:hAnsi="Times New Roman"/>
          <w:iCs/>
        </w:rPr>
      </w:pPr>
      <w:hyperlink w:anchor="_Toc315681372" w:history="1">
        <w:r w:rsidR="00A63C7F">
          <w:rPr>
            <w:rStyle w:val="Hyperlink"/>
            <w:noProof/>
          </w:rPr>
          <w:t xml:space="preserve">Appendix 1: </w:t>
        </w:r>
        <w:r w:rsidR="00A63C7F" w:rsidRPr="006F7CD0">
          <w:rPr>
            <w:rFonts w:ascii="Times New Roman" w:hAnsi="Times New Roman"/>
            <w:iCs/>
          </w:rPr>
          <w:t xml:space="preserve">Age, </w:t>
        </w:r>
        <w:r w:rsidR="00A63C7F">
          <w:rPr>
            <w:rFonts w:ascii="Times New Roman" w:hAnsi="Times New Roman"/>
            <w:iCs/>
          </w:rPr>
          <w:t>lithology, and sample location ……………………………………..</w:t>
        </w:r>
        <w:r w:rsidR="00A63C7F">
          <w:rPr>
            <w:noProof/>
            <w:webHidden/>
          </w:rPr>
          <w:t>5</w:t>
        </w:r>
      </w:hyperlink>
      <w:r w:rsidR="00565343">
        <w:rPr>
          <w:noProof/>
        </w:rPr>
        <w:t>7</w:t>
      </w:r>
    </w:p>
    <w:p w:rsidR="00A63C7F" w:rsidRPr="00101A0C" w:rsidRDefault="00A63C7F" w:rsidP="00A63C7F">
      <w:pPr>
        <w:keepNext/>
        <w:spacing w:after="200" w:line="240" w:lineRule="auto"/>
        <w:rPr>
          <w:rFonts w:ascii="Times New Roman" w:hAnsi="Times New Roman"/>
          <w:iCs/>
        </w:rPr>
      </w:pPr>
      <w:r>
        <w:t>Appendix 2:</w:t>
      </w:r>
      <w:r w:rsidRPr="00A63C7F">
        <w:rPr>
          <w:rFonts w:ascii="Times New Roman" w:hAnsi="Times New Roman"/>
          <w:iCs/>
        </w:rPr>
        <w:t xml:space="preserve"> </w:t>
      </w:r>
      <w:r w:rsidRPr="00101A0C">
        <w:rPr>
          <w:rFonts w:ascii="Times New Roman" w:hAnsi="Times New Roman"/>
          <w:iCs/>
        </w:rPr>
        <w:t>Age and δ</w:t>
      </w:r>
      <w:r w:rsidRPr="00101A0C">
        <w:rPr>
          <w:rFonts w:ascii="Times New Roman" w:hAnsi="Times New Roman"/>
          <w:vertAlign w:val="superscript"/>
        </w:rPr>
        <w:t>15</w:t>
      </w:r>
      <w:r w:rsidRPr="00101A0C">
        <w:rPr>
          <w:rFonts w:ascii="Times New Roman" w:hAnsi="Times New Roman"/>
        </w:rPr>
        <w:t>N values for each oil sample</w:t>
      </w:r>
      <w:r w:rsidR="00565343">
        <w:rPr>
          <w:rFonts w:ascii="Times New Roman" w:hAnsi="Times New Roman"/>
        </w:rPr>
        <w:t>…………………………………60</w:t>
      </w:r>
      <w:r w:rsidRPr="00101A0C">
        <w:rPr>
          <w:rFonts w:ascii="Times New Roman" w:hAnsi="Times New Roman"/>
        </w:rPr>
        <w:t xml:space="preserve"> </w:t>
      </w:r>
    </w:p>
    <w:p w:rsidR="00A63C7F" w:rsidRPr="00A63C7F" w:rsidRDefault="00A63C7F" w:rsidP="00A63C7F"/>
    <w:p w:rsidR="00A63C7F" w:rsidRPr="00A63C7F" w:rsidRDefault="00A63C7F" w:rsidP="00A63C7F">
      <w:pPr>
        <w:rPr>
          <w:rFonts w:eastAsiaTheme="minorEastAsia"/>
        </w:rPr>
      </w:pPr>
    </w:p>
    <w:p w:rsidR="00DA1971" w:rsidRDefault="00AA4AED" w:rsidP="00DA1971">
      <w:r>
        <w:fldChar w:fldCharType="end"/>
      </w:r>
      <w:r w:rsidR="00C92079">
        <w:t xml:space="preserve"> </w:t>
      </w:r>
    </w:p>
    <w:p w:rsidR="00DB74B3" w:rsidRDefault="00DB74B3" w:rsidP="00C16C66">
      <w:pPr>
        <w:pStyle w:val="Heading1"/>
      </w:pPr>
    </w:p>
    <w:p w:rsidR="00DB74B3" w:rsidRDefault="00DB74B3" w:rsidP="00DB74B3">
      <w:pPr>
        <w:pStyle w:val="Heading1"/>
        <w:tabs>
          <w:tab w:val="left" w:pos="6240"/>
        </w:tabs>
        <w:jc w:val="left"/>
      </w:pPr>
      <w:r>
        <w:tab/>
      </w:r>
    </w:p>
    <w:p w:rsidR="00775701" w:rsidRDefault="00DA1971" w:rsidP="00C16C66">
      <w:pPr>
        <w:pStyle w:val="Heading1"/>
      </w:pPr>
      <w:r w:rsidRPr="00DB74B3">
        <w:br w:type="page"/>
      </w:r>
      <w:bookmarkStart w:id="2" w:name="_Toc310579465"/>
      <w:bookmarkStart w:id="3" w:name="_Toc315681359"/>
      <w:r>
        <w:lastRenderedPageBreak/>
        <w:t>List of Tables</w:t>
      </w:r>
      <w:bookmarkEnd w:id="2"/>
      <w:bookmarkEnd w:id="3"/>
    </w:p>
    <w:p w:rsidR="009C4FEF" w:rsidRDefault="009C4FEF" w:rsidP="009C4FEF">
      <w:pPr>
        <w:pStyle w:val="NoSpacing"/>
      </w:pPr>
    </w:p>
    <w:p w:rsidR="00F948D8" w:rsidRDefault="00173030" w:rsidP="00F948D8">
      <w:pPr>
        <w:pStyle w:val="TableofFigures"/>
        <w:tabs>
          <w:tab w:val="right" w:leader="dot" w:pos="8486"/>
        </w:tabs>
      </w:pPr>
      <w:r>
        <w:t>Table 1. Mexican oils of increasing maturity……………………</w:t>
      </w:r>
      <w:r w:rsidR="00F948D8">
        <w:t>……………</w:t>
      </w:r>
      <w:r w:rsidR="002039E5">
        <w:t>…………8</w:t>
      </w:r>
    </w:p>
    <w:p w:rsidR="00F948D8" w:rsidRDefault="00F948D8" w:rsidP="00F948D8">
      <w:r>
        <w:t>Table 2. Middle East oils of increasing maturity…………………………...…</w:t>
      </w:r>
      <w:r w:rsidR="002039E5">
        <w:t>………...</w:t>
      </w:r>
      <w:r>
        <w:t>8</w:t>
      </w:r>
    </w:p>
    <w:p w:rsidR="00F948D8" w:rsidRDefault="00F948D8" w:rsidP="00F948D8">
      <w:pPr>
        <w:pStyle w:val="Caption"/>
        <w:keepNext/>
        <w:spacing w:line="480" w:lineRule="auto"/>
        <w:rPr>
          <w:rFonts w:ascii="Times New Roman" w:hAnsi="Times New Roman"/>
          <w:b w:val="0"/>
        </w:rPr>
      </w:pPr>
      <w:r w:rsidRPr="00F948D8">
        <w:rPr>
          <w:b w:val="0"/>
        </w:rPr>
        <w:t>Table 3.</w:t>
      </w:r>
      <w:r>
        <w:t xml:space="preserve"> </w:t>
      </w:r>
      <w:r w:rsidRPr="00AA30BB">
        <w:rPr>
          <w:rFonts w:ascii="Times New Roman" w:hAnsi="Times New Roman"/>
          <w:b w:val="0"/>
        </w:rPr>
        <w:t>Maturity parameters and δ</w:t>
      </w:r>
      <w:r w:rsidRPr="00AA30BB">
        <w:rPr>
          <w:rFonts w:ascii="Times New Roman" w:hAnsi="Times New Roman"/>
          <w:b w:val="0"/>
          <w:vertAlign w:val="superscript"/>
        </w:rPr>
        <w:t>15</w:t>
      </w:r>
      <w:r w:rsidRPr="00AA30BB">
        <w:rPr>
          <w:rFonts w:ascii="Times New Roman" w:hAnsi="Times New Roman"/>
          <w:b w:val="0"/>
        </w:rPr>
        <w:t>N values for the Mexican oils</w:t>
      </w:r>
      <w:r w:rsidR="002039E5">
        <w:rPr>
          <w:rFonts w:ascii="Times New Roman" w:hAnsi="Times New Roman"/>
          <w:b w:val="0"/>
        </w:rPr>
        <w:t>…………………...12</w:t>
      </w:r>
    </w:p>
    <w:p w:rsidR="00F948D8" w:rsidRDefault="00F948D8" w:rsidP="00F948D8">
      <w:pPr>
        <w:rPr>
          <w:rFonts w:ascii="Times New Roman" w:hAnsi="Times New Roman"/>
        </w:rPr>
      </w:pPr>
      <w:r>
        <w:t xml:space="preserve">Table 4. Maturity parameters and </w:t>
      </w:r>
      <w:r w:rsidRPr="00F948D8">
        <w:rPr>
          <w:rFonts w:ascii="Times New Roman" w:hAnsi="Times New Roman"/>
        </w:rPr>
        <w:t>δ</w:t>
      </w:r>
      <w:r w:rsidRPr="00F948D8">
        <w:rPr>
          <w:rFonts w:ascii="Times New Roman" w:hAnsi="Times New Roman"/>
          <w:vertAlign w:val="superscript"/>
        </w:rPr>
        <w:t>15</w:t>
      </w:r>
      <w:r w:rsidRPr="00F948D8">
        <w:rPr>
          <w:rFonts w:ascii="Times New Roman" w:hAnsi="Times New Roman"/>
        </w:rPr>
        <w:t>N values</w:t>
      </w:r>
      <w:r w:rsidR="002039E5">
        <w:rPr>
          <w:rFonts w:ascii="Times New Roman" w:hAnsi="Times New Roman"/>
        </w:rPr>
        <w:t xml:space="preserve"> for the Middle East oils……………….12</w:t>
      </w:r>
    </w:p>
    <w:p w:rsidR="00F948D8" w:rsidRDefault="00F948D8" w:rsidP="00F948D8">
      <w:pPr>
        <w:rPr>
          <w:rFonts w:ascii="Times New Roman" w:eastAsia="DengXian" w:hAnsi="Times New Roman"/>
          <w:iCs/>
          <w:color w:val="000000"/>
          <w:lang w:eastAsia="zh-CN" w:bidi="ar-SA"/>
        </w:rPr>
      </w:pPr>
      <w:r>
        <w:rPr>
          <w:rFonts w:ascii="Times New Roman" w:hAnsi="Times New Roman"/>
        </w:rPr>
        <w:t xml:space="preserve">Table 5. </w:t>
      </w:r>
      <w:r w:rsidRPr="0008061A">
        <w:rPr>
          <w:rFonts w:ascii="Times New Roman" w:eastAsia="DengXian" w:hAnsi="Times New Roman"/>
          <w:iCs/>
          <w:color w:val="000000"/>
          <w:lang w:eastAsia="zh-CN" w:bidi="ar-SA"/>
        </w:rPr>
        <w:t>Depositional environmen</w:t>
      </w:r>
      <w:r>
        <w:rPr>
          <w:rFonts w:ascii="Times New Roman" w:eastAsia="DengXian" w:hAnsi="Times New Roman"/>
          <w:iCs/>
          <w:color w:val="000000"/>
          <w:lang w:eastAsia="zh-CN" w:bidi="ar-SA"/>
        </w:rPr>
        <w:t>t parameters for the Mexican o</w:t>
      </w:r>
      <w:r w:rsidRPr="0008061A">
        <w:rPr>
          <w:rFonts w:ascii="Times New Roman" w:eastAsia="DengXian" w:hAnsi="Times New Roman"/>
          <w:iCs/>
          <w:color w:val="000000"/>
          <w:lang w:eastAsia="zh-CN" w:bidi="ar-SA"/>
        </w:rPr>
        <w:t>ils</w:t>
      </w:r>
      <w:r w:rsidR="009774C8">
        <w:rPr>
          <w:rFonts w:ascii="Times New Roman" w:eastAsia="DengXian" w:hAnsi="Times New Roman"/>
          <w:iCs/>
          <w:color w:val="000000"/>
          <w:lang w:eastAsia="zh-CN" w:bidi="ar-SA"/>
        </w:rPr>
        <w:t>………</w:t>
      </w:r>
      <w:r w:rsidR="002039E5">
        <w:rPr>
          <w:rFonts w:ascii="Times New Roman" w:eastAsia="DengXian" w:hAnsi="Times New Roman"/>
          <w:iCs/>
          <w:color w:val="000000"/>
          <w:lang w:eastAsia="zh-CN" w:bidi="ar-SA"/>
        </w:rPr>
        <w:t>…………</w:t>
      </w:r>
      <w:r w:rsidR="009774C8">
        <w:rPr>
          <w:rFonts w:ascii="Times New Roman" w:eastAsia="DengXian" w:hAnsi="Times New Roman"/>
          <w:iCs/>
          <w:color w:val="000000"/>
          <w:lang w:eastAsia="zh-CN" w:bidi="ar-SA"/>
        </w:rPr>
        <w:t>.32</w:t>
      </w:r>
    </w:p>
    <w:p w:rsidR="00F948D8" w:rsidRPr="00F948D8" w:rsidRDefault="00F948D8" w:rsidP="00F948D8">
      <w:r>
        <w:rPr>
          <w:rFonts w:ascii="Times New Roman" w:eastAsia="DengXian" w:hAnsi="Times New Roman"/>
          <w:iCs/>
          <w:color w:val="000000"/>
          <w:lang w:eastAsia="zh-CN" w:bidi="ar-SA"/>
        </w:rPr>
        <w:t xml:space="preserve">Table 6. </w:t>
      </w:r>
      <w:r w:rsidRPr="0008061A">
        <w:rPr>
          <w:rFonts w:ascii="Times New Roman" w:eastAsia="DengXian" w:hAnsi="Times New Roman"/>
          <w:iCs/>
          <w:color w:val="000000"/>
          <w:lang w:eastAsia="zh-CN" w:bidi="ar-SA"/>
        </w:rPr>
        <w:t>Depositional environment</w:t>
      </w:r>
      <w:r>
        <w:rPr>
          <w:rFonts w:ascii="Times New Roman" w:eastAsia="DengXian" w:hAnsi="Times New Roman"/>
          <w:iCs/>
          <w:color w:val="000000"/>
          <w:lang w:eastAsia="zh-CN" w:bidi="ar-SA"/>
        </w:rPr>
        <w:t xml:space="preserve"> paramete</w:t>
      </w:r>
      <w:r w:rsidR="009774C8">
        <w:rPr>
          <w:rFonts w:ascii="Times New Roman" w:eastAsia="DengXian" w:hAnsi="Times New Roman"/>
          <w:iCs/>
          <w:color w:val="000000"/>
          <w:lang w:eastAsia="zh-CN" w:bidi="ar-SA"/>
        </w:rPr>
        <w:t>rs for the Middle East oils……</w:t>
      </w:r>
      <w:r w:rsidR="002039E5">
        <w:rPr>
          <w:rFonts w:ascii="Times New Roman" w:eastAsia="DengXian" w:hAnsi="Times New Roman"/>
          <w:iCs/>
          <w:color w:val="000000"/>
          <w:lang w:eastAsia="zh-CN" w:bidi="ar-SA"/>
        </w:rPr>
        <w:t>…………</w:t>
      </w:r>
      <w:r w:rsidR="009774C8">
        <w:rPr>
          <w:rFonts w:ascii="Times New Roman" w:eastAsia="DengXian" w:hAnsi="Times New Roman"/>
          <w:iCs/>
          <w:color w:val="000000"/>
          <w:lang w:eastAsia="zh-CN" w:bidi="ar-SA"/>
        </w:rPr>
        <w:t>34</w:t>
      </w:r>
    </w:p>
    <w:p w:rsidR="00F948D8" w:rsidRPr="00F948D8" w:rsidRDefault="00F948D8" w:rsidP="00F948D8"/>
    <w:p w:rsidR="00F948D8" w:rsidRPr="00F948D8" w:rsidRDefault="00F948D8" w:rsidP="00F948D8"/>
    <w:p w:rsidR="00DA1971" w:rsidRDefault="00DA1971" w:rsidP="00F948D8">
      <w:pPr>
        <w:pStyle w:val="Heading1"/>
        <w:ind w:right="36"/>
      </w:pPr>
      <w:r>
        <w:br w:type="page"/>
      </w:r>
      <w:bookmarkStart w:id="4" w:name="_Toc310579466"/>
      <w:bookmarkStart w:id="5" w:name="_Toc315681360"/>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Content>
          <w:r w:rsidR="001B12EF">
            <w:t>List of Figures</w:t>
          </w:r>
        </w:sdtContent>
      </w:sdt>
      <w:bookmarkEnd w:id="4"/>
      <w:bookmarkEnd w:id="5"/>
    </w:p>
    <w:p w:rsidR="009C4FEF" w:rsidRPr="00EE3EDB" w:rsidRDefault="009C4FEF" w:rsidP="009C4FEF">
      <w:pPr>
        <w:pStyle w:val="NoSpacing"/>
      </w:pPr>
    </w:p>
    <w:p w:rsidR="00CB05DB" w:rsidRDefault="00F948D8" w:rsidP="00CB05DB">
      <w:pPr>
        <w:pStyle w:val="TableofFigures"/>
        <w:tabs>
          <w:tab w:val="right" w:leader="dot" w:pos="8486"/>
        </w:tabs>
      </w:pPr>
      <w:r>
        <w:t xml:space="preserve">Figure 1. </w:t>
      </w:r>
      <w:r w:rsidRPr="00F948D8">
        <w:rPr>
          <w:rFonts w:ascii="Times New Roman" w:hAnsi="Times New Roman"/>
        </w:rPr>
        <w:t>Nitrogen cycle in the open ocean</w:t>
      </w:r>
      <w:r w:rsidR="00CB05DB">
        <w:t>……………………..................................</w:t>
      </w:r>
      <w:r w:rsidR="00A40406">
        <w:t>...</w:t>
      </w:r>
      <w:r w:rsidR="00CB05DB">
        <w:t>3</w:t>
      </w:r>
    </w:p>
    <w:p w:rsidR="00CB05DB" w:rsidRDefault="00CB05DB" w:rsidP="00CB05DB">
      <w:pPr>
        <w:pStyle w:val="TableofFigures"/>
        <w:tabs>
          <w:tab w:val="right" w:leader="dot" w:pos="8486"/>
        </w:tabs>
        <w:rPr>
          <w:rFonts w:ascii="Times New Roman" w:hAnsi="Times New Roman"/>
        </w:rPr>
      </w:pPr>
      <w:r>
        <w:t xml:space="preserve">Figure 2. Graphical representation of </w:t>
      </w:r>
      <w:r w:rsidRPr="00CB05DB">
        <w:rPr>
          <w:rFonts w:ascii="Times New Roman" w:hAnsi="Times New Roman"/>
        </w:rPr>
        <w:t>δ</w:t>
      </w:r>
      <w:r w:rsidRPr="00CB05DB">
        <w:rPr>
          <w:rFonts w:ascii="Times New Roman" w:hAnsi="Times New Roman"/>
          <w:vertAlign w:val="superscript"/>
        </w:rPr>
        <w:t>15</w:t>
      </w:r>
      <w:r w:rsidRPr="00CB05DB">
        <w:rPr>
          <w:rFonts w:ascii="Times New Roman" w:hAnsi="Times New Roman"/>
        </w:rPr>
        <w:t>N values</w:t>
      </w:r>
      <w:r w:rsidRPr="00AA30BB">
        <w:rPr>
          <w:rFonts w:ascii="Times New Roman" w:hAnsi="Times New Roman"/>
          <w:b/>
        </w:rPr>
        <w:t xml:space="preserve"> </w:t>
      </w:r>
      <w:r>
        <w:rPr>
          <w:rFonts w:ascii="Times New Roman" w:hAnsi="Times New Roman"/>
        </w:rPr>
        <w:t>for varying redox conditions……</w:t>
      </w:r>
      <w:r w:rsidR="00A40406">
        <w:rPr>
          <w:rFonts w:ascii="Times New Roman" w:hAnsi="Times New Roman"/>
        </w:rPr>
        <w:t>...</w:t>
      </w:r>
      <w:r>
        <w:rPr>
          <w:rFonts w:ascii="Times New Roman" w:hAnsi="Times New Roman"/>
        </w:rPr>
        <w:t>.5</w:t>
      </w:r>
    </w:p>
    <w:p w:rsidR="00CB05DB" w:rsidRDefault="00CB05DB" w:rsidP="00A40406">
      <w:pPr>
        <w:pStyle w:val="TableofFigures"/>
        <w:tabs>
          <w:tab w:val="right" w:leader="dot" w:pos="8486"/>
        </w:tabs>
      </w:pPr>
      <w:r>
        <w:rPr>
          <w:rFonts w:ascii="Times New Roman" w:hAnsi="Times New Roman"/>
        </w:rPr>
        <w:t xml:space="preserve">Figure 3. The </w:t>
      </w:r>
      <w:r w:rsidRPr="00BF7B4D">
        <w:rPr>
          <w:rFonts w:ascii="Times New Roman" w:hAnsi="Times New Roman"/>
        </w:rPr>
        <w:t>δ</w:t>
      </w:r>
      <w:r w:rsidRPr="00BF7B4D">
        <w:rPr>
          <w:rFonts w:ascii="Times New Roman" w:hAnsi="Times New Roman"/>
          <w:vertAlign w:val="superscript"/>
        </w:rPr>
        <w:t>15</w:t>
      </w:r>
      <w:r w:rsidRPr="00BF7B4D">
        <w:rPr>
          <w:rFonts w:ascii="Times New Roman" w:hAnsi="Times New Roman"/>
        </w:rPr>
        <w:t>N</w:t>
      </w:r>
      <w:r>
        <w:rPr>
          <w:rFonts w:ascii="Times New Roman" w:hAnsi="Times New Roman"/>
        </w:rPr>
        <w:t xml:space="preserve"> NSO values of the Mexican oils</w:t>
      </w:r>
      <w:r>
        <w:t xml:space="preserve"> ………………………………</w:t>
      </w:r>
      <w:proofErr w:type="gramStart"/>
      <w:r>
        <w:t>..</w:t>
      </w:r>
      <w:r w:rsidR="00A40406">
        <w:t>.</w:t>
      </w:r>
      <w:r>
        <w:t>.</w:t>
      </w:r>
      <w:r w:rsidR="00A40406">
        <w:t>.</w:t>
      </w:r>
      <w:proofErr w:type="gramEnd"/>
      <w:r w:rsidR="002039E5">
        <w:t>13</w:t>
      </w:r>
    </w:p>
    <w:p w:rsidR="00CB05DB" w:rsidRDefault="00CB05DB" w:rsidP="00CB05DB">
      <w:pPr>
        <w:pStyle w:val="TableofFigures"/>
        <w:tabs>
          <w:tab w:val="right" w:leader="dot" w:pos="8486"/>
        </w:tabs>
      </w:pPr>
      <w:r>
        <w:t xml:space="preserve">Figure 4. </w:t>
      </w:r>
      <w:r>
        <w:rPr>
          <w:rFonts w:ascii="Times New Roman" w:hAnsi="Times New Roman"/>
        </w:rPr>
        <w:t xml:space="preserve">The </w:t>
      </w:r>
      <w:r w:rsidRPr="00BF7B4D">
        <w:rPr>
          <w:rFonts w:ascii="Times New Roman" w:hAnsi="Times New Roman"/>
        </w:rPr>
        <w:t>δ</w:t>
      </w:r>
      <w:r w:rsidRPr="00BF7B4D">
        <w:rPr>
          <w:rFonts w:ascii="Times New Roman" w:hAnsi="Times New Roman"/>
          <w:vertAlign w:val="superscript"/>
        </w:rPr>
        <w:t>15</w:t>
      </w:r>
      <w:r w:rsidRPr="00BF7B4D">
        <w:rPr>
          <w:rFonts w:ascii="Times New Roman" w:hAnsi="Times New Roman"/>
        </w:rPr>
        <w:t>N</w:t>
      </w:r>
      <w:r>
        <w:rPr>
          <w:rFonts w:ascii="Times New Roman" w:hAnsi="Times New Roman"/>
        </w:rPr>
        <w:t xml:space="preserve"> asphaltene values of the Mexican oils</w:t>
      </w:r>
      <w:r>
        <w:t>…………………………</w:t>
      </w:r>
      <w:proofErr w:type="gramStart"/>
      <w:r>
        <w:t>...</w:t>
      </w:r>
      <w:r w:rsidR="00A40406">
        <w:t>.</w:t>
      </w:r>
      <w:r w:rsidR="002039E5">
        <w:t>.</w:t>
      </w:r>
      <w:proofErr w:type="gramEnd"/>
      <w:r w:rsidR="002039E5">
        <w:t>14</w:t>
      </w:r>
    </w:p>
    <w:p w:rsidR="00CB05DB" w:rsidRDefault="00CB05DB" w:rsidP="00CB05DB">
      <w:pPr>
        <w:pStyle w:val="TableofFigures"/>
        <w:tabs>
          <w:tab w:val="right" w:leader="dot" w:pos="8486"/>
        </w:tabs>
        <w:rPr>
          <w:rFonts w:ascii="Times New Roman" w:hAnsi="Times New Roman"/>
        </w:rPr>
      </w:pPr>
      <w:r>
        <w:t xml:space="preserve">Figure 5. </w:t>
      </w:r>
      <w:r w:rsidRPr="006E1CD3">
        <w:rPr>
          <w:rFonts w:ascii="Times New Roman" w:hAnsi="Times New Roman"/>
        </w:rPr>
        <w:t>The combined δ</w:t>
      </w:r>
      <w:r w:rsidRPr="006E1CD3">
        <w:rPr>
          <w:rFonts w:ascii="Times New Roman" w:hAnsi="Times New Roman"/>
          <w:vertAlign w:val="superscript"/>
        </w:rPr>
        <w:t>15</w:t>
      </w:r>
      <w:r>
        <w:rPr>
          <w:rFonts w:ascii="Times New Roman" w:hAnsi="Times New Roman"/>
        </w:rPr>
        <w:t>N NSO and asphaltene values</w:t>
      </w:r>
      <w:r w:rsidRPr="006E1CD3">
        <w:rPr>
          <w:rFonts w:ascii="Times New Roman" w:hAnsi="Times New Roman"/>
        </w:rPr>
        <w:t xml:space="preserve"> of the Mexican oils </w:t>
      </w:r>
      <w:r>
        <w:rPr>
          <w:rFonts w:ascii="Times New Roman" w:hAnsi="Times New Roman"/>
        </w:rPr>
        <w:t>……...</w:t>
      </w:r>
      <w:r w:rsidR="00A40406">
        <w:rPr>
          <w:rFonts w:ascii="Times New Roman" w:hAnsi="Times New Roman"/>
        </w:rPr>
        <w:t>.</w:t>
      </w:r>
      <w:r w:rsidR="002039E5">
        <w:rPr>
          <w:rFonts w:ascii="Times New Roman" w:hAnsi="Times New Roman"/>
        </w:rPr>
        <w:t>15</w:t>
      </w:r>
    </w:p>
    <w:p w:rsidR="00CB05DB" w:rsidRDefault="00CB05DB" w:rsidP="00CB05DB">
      <w:pPr>
        <w:pStyle w:val="TableofFigures"/>
        <w:tabs>
          <w:tab w:val="right" w:leader="dot" w:pos="8486"/>
        </w:tabs>
        <w:rPr>
          <w:rFonts w:ascii="Times New Roman" w:hAnsi="Times New Roman"/>
        </w:rPr>
      </w:pPr>
      <w:r>
        <w:rPr>
          <w:rFonts w:ascii="Times New Roman" w:hAnsi="Times New Roman"/>
        </w:rPr>
        <w:t xml:space="preserve">Figure 6. The </w:t>
      </w:r>
      <w:r w:rsidRPr="00BF7B4D">
        <w:rPr>
          <w:rFonts w:ascii="Times New Roman" w:hAnsi="Times New Roman"/>
        </w:rPr>
        <w:t>δ</w:t>
      </w:r>
      <w:r w:rsidRPr="00BF7B4D">
        <w:rPr>
          <w:rFonts w:ascii="Times New Roman" w:hAnsi="Times New Roman"/>
          <w:vertAlign w:val="superscript"/>
        </w:rPr>
        <w:t>15</w:t>
      </w:r>
      <w:r w:rsidRPr="00BF7B4D">
        <w:rPr>
          <w:rFonts w:ascii="Times New Roman" w:hAnsi="Times New Roman"/>
        </w:rPr>
        <w:t>N</w:t>
      </w:r>
      <w:r>
        <w:rPr>
          <w:rFonts w:ascii="Times New Roman" w:hAnsi="Times New Roman"/>
        </w:rPr>
        <w:t xml:space="preserve"> NSO values of the Middle East oils………………………………</w:t>
      </w:r>
      <w:r w:rsidR="00A40406">
        <w:rPr>
          <w:rFonts w:ascii="Times New Roman" w:hAnsi="Times New Roman"/>
        </w:rPr>
        <w:t>.</w:t>
      </w:r>
      <w:r w:rsidR="002039E5">
        <w:rPr>
          <w:rFonts w:ascii="Times New Roman" w:hAnsi="Times New Roman"/>
        </w:rPr>
        <w:t>16</w:t>
      </w:r>
    </w:p>
    <w:p w:rsidR="00CB05DB" w:rsidRDefault="00CB05DB" w:rsidP="00CB05DB">
      <w:pPr>
        <w:pStyle w:val="TableofFigures"/>
        <w:tabs>
          <w:tab w:val="right" w:leader="dot" w:pos="8486"/>
        </w:tabs>
        <w:rPr>
          <w:rFonts w:ascii="Times New Roman" w:hAnsi="Times New Roman"/>
        </w:rPr>
      </w:pPr>
      <w:r>
        <w:rPr>
          <w:rFonts w:ascii="Times New Roman" w:hAnsi="Times New Roman"/>
        </w:rPr>
        <w:t xml:space="preserve">Figure 7. The </w:t>
      </w:r>
      <w:r w:rsidRPr="00BF7B4D">
        <w:rPr>
          <w:rFonts w:ascii="Times New Roman" w:hAnsi="Times New Roman"/>
        </w:rPr>
        <w:t>δ</w:t>
      </w:r>
      <w:r w:rsidRPr="00BF7B4D">
        <w:rPr>
          <w:rFonts w:ascii="Times New Roman" w:hAnsi="Times New Roman"/>
          <w:vertAlign w:val="superscript"/>
        </w:rPr>
        <w:t>15</w:t>
      </w:r>
      <w:r w:rsidRPr="00BF7B4D">
        <w:rPr>
          <w:rFonts w:ascii="Times New Roman" w:hAnsi="Times New Roman"/>
        </w:rPr>
        <w:t>N</w:t>
      </w:r>
      <w:r>
        <w:rPr>
          <w:rFonts w:ascii="Times New Roman" w:hAnsi="Times New Roman"/>
        </w:rPr>
        <w:t xml:space="preserve"> asphaltene values of </w:t>
      </w:r>
      <w:r w:rsidR="002039E5">
        <w:rPr>
          <w:rFonts w:ascii="Times New Roman" w:hAnsi="Times New Roman"/>
        </w:rPr>
        <w:t>the Middle East oils…………………………17</w:t>
      </w:r>
    </w:p>
    <w:p w:rsidR="00CB05DB" w:rsidRDefault="00CB05DB" w:rsidP="00CB05DB">
      <w:pPr>
        <w:pStyle w:val="TableofFigures"/>
        <w:tabs>
          <w:tab w:val="right" w:leader="dot" w:pos="8486"/>
        </w:tabs>
      </w:pPr>
      <w:r>
        <w:rPr>
          <w:rFonts w:ascii="Times New Roman" w:hAnsi="Times New Roman"/>
        </w:rPr>
        <w:t xml:space="preserve">Figure 8. </w:t>
      </w:r>
      <w:r w:rsidRPr="006E1CD3">
        <w:rPr>
          <w:rFonts w:ascii="Times New Roman" w:hAnsi="Times New Roman"/>
        </w:rPr>
        <w:t>The combined δ</w:t>
      </w:r>
      <w:r w:rsidRPr="006E1CD3">
        <w:rPr>
          <w:rFonts w:ascii="Times New Roman" w:hAnsi="Times New Roman"/>
          <w:vertAlign w:val="superscript"/>
        </w:rPr>
        <w:t>15</w:t>
      </w:r>
      <w:r>
        <w:rPr>
          <w:rFonts w:ascii="Times New Roman" w:hAnsi="Times New Roman"/>
        </w:rPr>
        <w:t>N NSO and asphaltene values</w:t>
      </w:r>
      <w:r w:rsidRPr="006E1CD3">
        <w:rPr>
          <w:rFonts w:ascii="Times New Roman" w:hAnsi="Times New Roman"/>
        </w:rPr>
        <w:t xml:space="preserve"> of the</w:t>
      </w:r>
      <w:r w:rsidR="00565343">
        <w:t xml:space="preserve"> Middle East oils……18</w:t>
      </w:r>
    </w:p>
    <w:p w:rsidR="00A40406" w:rsidRDefault="00A40406" w:rsidP="00A40406">
      <w:pPr>
        <w:pStyle w:val="TableofFigures"/>
        <w:tabs>
          <w:tab w:val="right" w:leader="dot" w:pos="8486"/>
        </w:tabs>
        <w:rPr>
          <w:rFonts w:ascii="Times New Roman" w:hAnsi="Times New Roman"/>
        </w:rPr>
      </w:pPr>
      <w:r>
        <w:t xml:space="preserve">Figure 9. The </w:t>
      </w:r>
      <w:r w:rsidRPr="00BF7B4D">
        <w:rPr>
          <w:rFonts w:ascii="Times New Roman" w:hAnsi="Times New Roman"/>
        </w:rPr>
        <w:t>δ</w:t>
      </w:r>
      <w:r w:rsidRPr="00BF7B4D">
        <w:rPr>
          <w:rFonts w:ascii="Times New Roman" w:hAnsi="Times New Roman"/>
          <w:vertAlign w:val="superscript"/>
        </w:rPr>
        <w:t>15</w:t>
      </w:r>
      <w:r w:rsidRPr="00BF7B4D">
        <w:rPr>
          <w:rFonts w:ascii="Times New Roman" w:hAnsi="Times New Roman"/>
        </w:rPr>
        <w:t>N</w:t>
      </w:r>
      <w:r>
        <w:rPr>
          <w:rFonts w:ascii="Times New Roman" w:hAnsi="Times New Roman"/>
        </w:rPr>
        <w:t xml:space="preserve"> NSO values of siliciclas</w:t>
      </w:r>
      <w:r w:rsidR="00535105">
        <w:rPr>
          <w:rFonts w:ascii="Times New Roman" w:hAnsi="Times New Roman"/>
        </w:rPr>
        <w:t>tic derived oils…………………………....19</w:t>
      </w:r>
    </w:p>
    <w:p w:rsidR="00A40406" w:rsidRDefault="00A40406" w:rsidP="00CB05DB">
      <w:pPr>
        <w:pStyle w:val="TableofFigures"/>
        <w:tabs>
          <w:tab w:val="right" w:leader="dot" w:pos="8486"/>
        </w:tabs>
      </w:pPr>
      <w:r>
        <w:rPr>
          <w:rFonts w:ascii="Times New Roman" w:hAnsi="Times New Roman"/>
        </w:rPr>
        <w:t xml:space="preserve">Figure 10. </w:t>
      </w:r>
      <w:r>
        <w:t xml:space="preserve">The </w:t>
      </w:r>
      <w:r w:rsidRPr="00BF7B4D">
        <w:rPr>
          <w:rFonts w:ascii="Times New Roman" w:hAnsi="Times New Roman"/>
        </w:rPr>
        <w:t>δ</w:t>
      </w:r>
      <w:r w:rsidRPr="00BF7B4D">
        <w:rPr>
          <w:rFonts w:ascii="Times New Roman" w:hAnsi="Times New Roman"/>
          <w:vertAlign w:val="superscript"/>
        </w:rPr>
        <w:t>15</w:t>
      </w:r>
      <w:r w:rsidRPr="00BF7B4D">
        <w:rPr>
          <w:rFonts w:ascii="Times New Roman" w:hAnsi="Times New Roman"/>
        </w:rPr>
        <w:t>N</w:t>
      </w:r>
      <w:r>
        <w:rPr>
          <w:rFonts w:ascii="Times New Roman" w:hAnsi="Times New Roman"/>
        </w:rPr>
        <w:t xml:space="preserve"> asphaltene values of siliciclastic derived oils</w:t>
      </w:r>
      <w:r w:rsidR="00535105">
        <w:t>…………………….20</w:t>
      </w:r>
    </w:p>
    <w:p w:rsidR="00A40406" w:rsidRDefault="00A40406" w:rsidP="00CB05DB">
      <w:pPr>
        <w:pStyle w:val="TableofFigures"/>
        <w:tabs>
          <w:tab w:val="right" w:leader="dot" w:pos="8486"/>
        </w:tabs>
      </w:pPr>
      <w:r>
        <w:t>Figure 11.</w:t>
      </w:r>
      <w:r w:rsidRPr="00A40406">
        <w:t xml:space="preserve"> </w:t>
      </w:r>
      <w:r>
        <w:t xml:space="preserve">The </w:t>
      </w:r>
      <w:r w:rsidRPr="00BF7B4D">
        <w:rPr>
          <w:rFonts w:ascii="Times New Roman" w:hAnsi="Times New Roman"/>
        </w:rPr>
        <w:t>δ</w:t>
      </w:r>
      <w:r w:rsidRPr="00BF7B4D">
        <w:rPr>
          <w:rFonts w:ascii="Times New Roman" w:hAnsi="Times New Roman"/>
          <w:vertAlign w:val="superscript"/>
        </w:rPr>
        <w:t>15</w:t>
      </w:r>
      <w:r w:rsidRPr="00BF7B4D">
        <w:rPr>
          <w:rFonts w:ascii="Times New Roman" w:hAnsi="Times New Roman"/>
        </w:rPr>
        <w:t>N</w:t>
      </w:r>
      <w:r>
        <w:rPr>
          <w:rFonts w:ascii="Times New Roman" w:hAnsi="Times New Roman"/>
        </w:rPr>
        <w:t xml:space="preserve"> NSO values of carbonate/marl derived oils</w:t>
      </w:r>
      <w:r w:rsidR="00535105">
        <w:t>………………………21</w:t>
      </w:r>
    </w:p>
    <w:p w:rsidR="00A40406" w:rsidRDefault="00A40406" w:rsidP="00A40406">
      <w:pPr>
        <w:pStyle w:val="TableofFigures"/>
        <w:tabs>
          <w:tab w:val="right" w:leader="dot" w:pos="8486"/>
        </w:tabs>
      </w:pPr>
      <w:r>
        <w:t xml:space="preserve">Figure 12. The </w:t>
      </w:r>
      <w:r w:rsidRPr="00BF7B4D">
        <w:rPr>
          <w:rFonts w:ascii="Times New Roman" w:hAnsi="Times New Roman"/>
        </w:rPr>
        <w:t>δ</w:t>
      </w:r>
      <w:r w:rsidRPr="00BF7B4D">
        <w:rPr>
          <w:rFonts w:ascii="Times New Roman" w:hAnsi="Times New Roman"/>
          <w:vertAlign w:val="superscript"/>
        </w:rPr>
        <w:t>15</w:t>
      </w:r>
      <w:r w:rsidRPr="00BF7B4D">
        <w:rPr>
          <w:rFonts w:ascii="Times New Roman" w:hAnsi="Times New Roman"/>
        </w:rPr>
        <w:t>N</w:t>
      </w:r>
      <w:r>
        <w:rPr>
          <w:rFonts w:ascii="Times New Roman" w:hAnsi="Times New Roman"/>
        </w:rPr>
        <w:t xml:space="preserve"> asphaltene values of carbonate/marl derived oils</w:t>
      </w:r>
      <w:r w:rsidR="00535105">
        <w:t>………………...21</w:t>
      </w:r>
    </w:p>
    <w:p w:rsidR="00B2061F" w:rsidRDefault="00A40406" w:rsidP="00A40406">
      <w:pPr>
        <w:pStyle w:val="TableofFigures"/>
        <w:tabs>
          <w:tab w:val="right" w:leader="dot" w:pos="8486"/>
        </w:tabs>
        <w:rPr>
          <w:rFonts w:ascii="Times New Roman" w:hAnsi="Times New Roman"/>
        </w:rPr>
      </w:pPr>
      <w:r>
        <w:t xml:space="preserve">Figure 13. </w:t>
      </w:r>
      <w:r w:rsidR="00B2061F">
        <w:rPr>
          <w:rFonts w:ascii="Times New Roman" w:hAnsi="Times New Roman"/>
        </w:rPr>
        <w:t>NSO and asphaltene values</w:t>
      </w:r>
      <w:r w:rsidR="00B2061F" w:rsidRPr="006E1CD3">
        <w:rPr>
          <w:rFonts w:ascii="Times New Roman" w:hAnsi="Times New Roman"/>
        </w:rPr>
        <w:t xml:space="preserve"> </w:t>
      </w:r>
      <w:r w:rsidR="00B2061F">
        <w:rPr>
          <w:rFonts w:ascii="Times New Roman" w:hAnsi="Times New Roman"/>
        </w:rPr>
        <w:t>of lacustrine/hypersaline</w:t>
      </w:r>
      <w:r w:rsidR="00BC1C3C">
        <w:rPr>
          <w:rFonts w:ascii="Times New Roman" w:hAnsi="Times New Roman"/>
        </w:rPr>
        <w:t xml:space="preserve"> derived oils……….</w:t>
      </w:r>
      <w:r w:rsidR="00535105">
        <w:rPr>
          <w:rFonts w:ascii="Times New Roman" w:hAnsi="Times New Roman"/>
        </w:rPr>
        <w:t>...22</w:t>
      </w:r>
    </w:p>
    <w:p w:rsidR="00B2061F" w:rsidRDefault="00B2061F" w:rsidP="00A40406">
      <w:pPr>
        <w:pStyle w:val="TableofFigures"/>
        <w:tabs>
          <w:tab w:val="right" w:leader="dot" w:pos="8486"/>
        </w:tabs>
        <w:rPr>
          <w:rFonts w:ascii="Times New Roman" w:hAnsi="Times New Roman"/>
        </w:rPr>
      </w:pPr>
      <w:r>
        <w:rPr>
          <w:rFonts w:ascii="Times New Roman" w:hAnsi="Times New Roman"/>
        </w:rPr>
        <w:t>Figure 14. The combined δ</w:t>
      </w:r>
      <w:r w:rsidRPr="006E1CD3">
        <w:rPr>
          <w:rFonts w:ascii="Times New Roman" w:hAnsi="Times New Roman"/>
          <w:vertAlign w:val="superscript"/>
        </w:rPr>
        <w:t>15</w:t>
      </w:r>
      <w:r>
        <w:rPr>
          <w:rFonts w:ascii="Times New Roman" w:hAnsi="Times New Roman"/>
        </w:rPr>
        <w:t>N NSO values fo</w:t>
      </w:r>
      <w:r w:rsidR="00535105">
        <w:rPr>
          <w:rFonts w:ascii="Times New Roman" w:hAnsi="Times New Roman"/>
        </w:rPr>
        <w:t>r all sixty-two oils…………………</w:t>
      </w:r>
      <w:proofErr w:type="gramStart"/>
      <w:r w:rsidR="00535105">
        <w:rPr>
          <w:rFonts w:ascii="Times New Roman" w:hAnsi="Times New Roman"/>
        </w:rPr>
        <w:t>…..</w:t>
      </w:r>
      <w:proofErr w:type="gramEnd"/>
      <w:r w:rsidR="00535105">
        <w:rPr>
          <w:rFonts w:ascii="Times New Roman" w:hAnsi="Times New Roman"/>
        </w:rPr>
        <w:t>23</w:t>
      </w:r>
    </w:p>
    <w:p w:rsidR="00B2061F" w:rsidRDefault="00B2061F" w:rsidP="00A40406">
      <w:pPr>
        <w:pStyle w:val="TableofFigures"/>
        <w:tabs>
          <w:tab w:val="right" w:leader="dot" w:pos="8486"/>
        </w:tabs>
      </w:pPr>
      <w:r>
        <w:rPr>
          <w:rFonts w:ascii="Times New Roman" w:hAnsi="Times New Roman"/>
        </w:rPr>
        <w:t>Figure 15. The combined δ</w:t>
      </w:r>
      <w:r w:rsidRPr="006E1CD3">
        <w:rPr>
          <w:rFonts w:ascii="Times New Roman" w:hAnsi="Times New Roman"/>
          <w:vertAlign w:val="superscript"/>
        </w:rPr>
        <w:t>15</w:t>
      </w:r>
      <w:r>
        <w:rPr>
          <w:rFonts w:ascii="Times New Roman" w:hAnsi="Times New Roman"/>
        </w:rPr>
        <w:t>N asphaltene values for all sixty-two oils</w:t>
      </w:r>
      <w:r w:rsidR="00535105">
        <w:t>……………</w:t>
      </w:r>
      <w:proofErr w:type="gramStart"/>
      <w:r w:rsidR="00535105">
        <w:t>…..</w:t>
      </w:r>
      <w:proofErr w:type="gramEnd"/>
      <w:r w:rsidR="00535105">
        <w:t>24</w:t>
      </w:r>
    </w:p>
    <w:p w:rsidR="00B2061F" w:rsidRDefault="00B2061F" w:rsidP="00A40406">
      <w:pPr>
        <w:pStyle w:val="TableofFigures"/>
        <w:tabs>
          <w:tab w:val="right" w:leader="dot" w:pos="8486"/>
        </w:tabs>
        <w:rPr>
          <w:rFonts w:ascii="Times New Roman" w:hAnsi="Times New Roman"/>
        </w:rPr>
      </w:pPr>
      <w:r>
        <w:t xml:space="preserve">Figure 16. </w:t>
      </w:r>
      <w:r w:rsidRPr="006E1CD3">
        <w:rPr>
          <w:rFonts w:ascii="Times New Roman" w:hAnsi="Times New Roman"/>
        </w:rPr>
        <w:t>The combined δ</w:t>
      </w:r>
      <w:r w:rsidRPr="006E1CD3">
        <w:rPr>
          <w:rFonts w:ascii="Times New Roman" w:hAnsi="Times New Roman"/>
          <w:vertAlign w:val="superscript"/>
        </w:rPr>
        <w:t>15</w:t>
      </w:r>
      <w:r>
        <w:rPr>
          <w:rFonts w:ascii="Times New Roman" w:hAnsi="Times New Roman"/>
        </w:rPr>
        <w:t>N NSO and asphaltene values</w:t>
      </w:r>
      <w:r w:rsidRPr="006E1CD3">
        <w:rPr>
          <w:rFonts w:ascii="Times New Roman" w:hAnsi="Times New Roman"/>
        </w:rPr>
        <w:t xml:space="preserve"> </w:t>
      </w:r>
      <w:r w:rsidR="00535105">
        <w:rPr>
          <w:rFonts w:ascii="Times New Roman" w:hAnsi="Times New Roman"/>
        </w:rPr>
        <w:t>for all sixty-two oils…</w:t>
      </w:r>
      <w:proofErr w:type="gramStart"/>
      <w:r w:rsidR="00535105">
        <w:rPr>
          <w:rFonts w:ascii="Times New Roman" w:hAnsi="Times New Roman"/>
        </w:rPr>
        <w:t>…..</w:t>
      </w:r>
      <w:proofErr w:type="gramEnd"/>
      <w:r w:rsidR="00535105">
        <w:rPr>
          <w:rFonts w:ascii="Times New Roman" w:hAnsi="Times New Roman"/>
        </w:rPr>
        <w:t>26</w:t>
      </w:r>
    </w:p>
    <w:p w:rsidR="00B2061F" w:rsidRDefault="00B2061F" w:rsidP="00B2061F">
      <w:r>
        <w:t>Figure 17. Chromatogram of</w:t>
      </w:r>
      <w:r w:rsidR="00535105">
        <w:t xml:space="preserve"> sample 22……………………………………………</w:t>
      </w:r>
      <w:proofErr w:type="gramStart"/>
      <w:r w:rsidR="00535105">
        <w:t>…..</w:t>
      </w:r>
      <w:proofErr w:type="gramEnd"/>
      <w:r w:rsidR="00535105">
        <w:t>29</w:t>
      </w:r>
    </w:p>
    <w:p w:rsidR="00B2061F" w:rsidRDefault="00B2061F" w:rsidP="00B2061F">
      <w:r>
        <w:t>Figure 18. Chromatogram of sample 33……………………………………………</w:t>
      </w:r>
      <w:proofErr w:type="gramStart"/>
      <w:r>
        <w:t>…..</w:t>
      </w:r>
      <w:proofErr w:type="gramEnd"/>
      <w:r w:rsidR="00535105">
        <w:t>30</w:t>
      </w:r>
    </w:p>
    <w:p w:rsidR="00B2061F" w:rsidRDefault="00B2061F" w:rsidP="00B2061F">
      <w:r>
        <w:t>Figure 19. Chromatogram of sample 31……………………………………………</w:t>
      </w:r>
      <w:proofErr w:type="gramStart"/>
      <w:r>
        <w:t>…..</w:t>
      </w:r>
      <w:proofErr w:type="gramEnd"/>
      <w:r w:rsidR="00535105">
        <w:t>30</w:t>
      </w:r>
    </w:p>
    <w:p w:rsidR="00B2061F" w:rsidRDefault="00B2061F" w:rsidP="00B2061F">
      <w:r>
        <w:t>Figure 20. Chromatogram of sample 32……………………………………………</w:t>
      </w:r>
      <w:proofErr w:type="gramStart"/>
      <w:r>
        <w:t>…..</w:t>
      </w:r>
      <w:proofErr w:type="gramEnd"/>
      <w:r w:rsidR="00535105">
        <w:t>30</w:t>
      </w:r>
    </w:p>
    <w:p w:rsidR="00B2061F" w:rsidRDefault="00B2061F" w:rsidP="00B2061F">
      <w:r>
        <w:t>Figure 21. Chromatogram of sample 30……………………………………………</w:t>
      </w:r>
      <w:proofErr w:type="gramStart"/>
      <w:r>
        <w:t>….</w:t>
      </w:r>
      <w:r w:rsidR="002B4B56">
        <w:t>.</w:t>
      </w:r>
      <w:proofErr w:type="gramEnd"/>
      <w:r w:rsidR="002B4B56">
        <w:t>30</w:t>
      </w:r>
    </w:p>
    <w:p w:rsidR="00B2061F" w:rsidRDefault="00B2061F" w:rsidP="00B2061F">
      <w:pPr>
        <w:rPr>
          <w:rFonts w:ascii="Times New Roman" w:hAnsi="Times New Roman"/>
        </w:rPr>
      </w:pPr>
      <w:r>
        <w:t>Fi</w:t>
      </w:r>
      <w:r w:rsidR="00BC1C3C">
        <w:t>gure 22.</w:t>
      </w:r>
      <w:r w:rsidR="00BC1C3C">
        <w:rPr>
          <w:rFonts w:ascii="Times New Roman" w:hAnsi="Times New Roman"/>
        </w:rPr>
        <w:t xml:space="preserve"> NSO and asphaltene values</w:t>
      </w:r>
      <w:r w:rsidR="00BC1C3C" w:rsidRPr="006E1CD3">
        <w:rPr>
          <w:rFonts w:ascii="Times New Roman" w:hAnsi="Times New Roman"/>
        </w:rPr>
        <w:t xml:space="preserve"> </w:t>
      </w:r>
      <w:r w:rsidR="00BC1C3C">
        <w:rPr>
          <w:rFonts w:ascii="Times New Roman" w:hAnsi="Times New Roman"/>
        </w:rPr>
        <w:t>for all sixty-t</w:t>
      </w:r>
      <w:r w:rsidR="009774C8">
        <w:rPr>
          <w:rFonts w:ascii="Times New Roman" w:hAnsi="Times New Roman"/>
        </w:rPr>
        <w:t>wo oils with kerogen values…….37</w:t>
      </w:r>
    </w:p>
    <w:p w:rsidR="00645CC7" w:rsidRPr="00B2061F" w:rsidRDefault="00A16B4B" w:rsidP="00B2061F">
      <w:r>
        <w:rPr>
          <w:rFonts w:ascii="Times New Roman" w:hAnsi="Times New Roman"/>
        </w:rPr>
        <w:lastRenderedPageBreak/>
        <w:t>Figure 23. High resolution of Upper Mississippian to Middle Triassic δ</w:t>
      </w:r>
      <w:r w:rsidRPr="00A16B4B">
        <w:rPr>
          <w:rFonts w:ascii="Times New Roman" w:hAnsi="Times New Roman"/>
          <w:vertAlign w:val="superscript"/>
        </w:rPr>
        <w:t>15</w:t>
      </w:r>
      <w:r>
        <w:rPr>
          <w:rFonts w:ascii="Times New Roman" w:hAnsi="Times New Roman"/>
        </w:rPr>
        <w:t>N values......</w:t>
      </w:r>
      <w:r w:rsidR="00645CC7">
        <w:rPr>
          <w:rFonts w:ascii="Times New Roman" w:hAnsi="Times New Roman"/>
        </w:rPr>
        <w:t xml:space="preserve">41 </w:t>
      </w:r>
    </w:p>
    <w:p w:rsidR="00DA1971" w:rsidRDefault="00DA1971" w:rsidP="00C16C66">
      <w:pPr>
        <w:pStyle w:val="Heading1"/>
      </w:pPr>
      <w:r>
        <w:br w:type="page"/>
      </w:r>
      <w:bookmarkStart w:id="6" w:name="_Toc310579467"/>
      <w:bookmarkStart w:id="7" w:name="_Toc315681361"/>
      <w:r>
        <w:lastRenderedPageBreak/>
        <w:t>Abstract</w:t>
      </w:r>
      <w:bookmarkEnd w:id="6"/>
      <w:bookmarkEnd w:id="7"/>
    </w:p>
    <w:p w:rsidR="008D4F69" w:rsidRPr="00712996" w:rsidRDefault="008D4F69" w:rsidP="008D4F69">
      <w:pPr>
        <w:ind w:firstLine="720"/>
        <w:rPr>
          <w:rFonts w:ascii="Times New Roman" w:hAnsi="Times New Roman"/>
        </w:rPr>
      </w:pPr>
      <w:r>
        <w:rPr>
          <w:rFonts w:ascii="Times New Roman" w:hAnsi="Times New Roman"/>
        </w:rPr>
        <w:t xml:space="preserve">Stable nitrogen isotopic compositions of asphaltene and NSO hydrocarbon fractions from sixty-two crude oils derived </w:t>
      </w:r>
      <w:r w:rsidRPr="00CC1A34">
        <w:rPr>
          <w:rFonts w:ascii="Times New Roman" w:hAnsi="Times New Roman"/>
        </w:rPr>
        <w:t>from siliciclastic, carbonate/marl, hypersaline and lacustrine source rocks of known geologic age ranging from the Precambrian/ Cambrian to the Neogene</w:t>
      </w:r>
      <w:r>
        <w:rPr>
          <w:rFonts w:ascii="Times New Roman" w:hAnsi="Times New Roman"/>
        </w:rPr>
        <w:t xml:space="preserve"> were analyzed to determine </w:t>
      </w:r>
      <w:r w:rsidRPr="00CC1A34">
        <w:rPr>
          <w:rFonts w:ascii="Times New Roman" w:hAnsi="Times New Roman"/>
        </w:rPr>
        <w:t>whether the stable nitrogen isotop</w:t>
      </w:r>
      <w:r>
        <w:rPr>
          <w:rFonts w:ascii="Times New Roman" w:hAnsi="Times New Roman"/>
        </w:rPr>
        <w:t>e composition of crude oils</w:t>
      </w:r>
      <w:r w:rsidRPr="00CC1A34">
        <w:rPr>
          <w:rFonts w:ascii="Times New Roman" w:hAnsi="Times New Roman"/>
        </w:rPr>
        <w:t xml:space="preserve"> record the secular change for δ</w:t>
      </w:r>
      <w:r w:rsidRPr="00CC1A34">
        <w:rPr>
          <w:rFonts w:ascii="Times New Roman" w:hAnsi="Times New Roman"/>
          <w:vertAlign w:val="superscript"/>
        </w:rPr>
        <w:t>15</w:t>
      </w:r>
      <w:r w:rsidRPr="00CC1A34">
        <w:rPr>
          <w:rFonts w:ascii="Times New Roman" w:hAnsi="Times New Roman"/>
        </w:rPr>
        <w:t>N that have been observed for kerogen and sedi</w:t>
      </w:r>
      <w:r>
        <w:rPr>
          <w:rFonts w:ascii="Times New Roman" w:hAnsi="Times New Roman"/>
        </w:rPr>
        <w:t>mentary organic matter (e.g. Stü</w:t>
      </w:r>
      <w:r w:rsidRPr="00CC1A34">
        <w:rPr>
          <w:rFonts w:ascii="Times New Roman" w:hAnsi="Times New Roman"/>
        </w:rPr>
        <w:t>eken et al., 2015 and references therein).</w:t>
      </w:r>
      <w:r>
        <w:rPr>
          <w:rFonts w:ascii="Times New Roman" w:hAnsi="Times New Roman"/>
        </w:rPr>
        <w:t xml:space="preserve"> The stable nitrogen </w:t>
      </w:r>
      <w:r w:rsidR="007E4EAE">
        <w:rPr>
          <w:rFonts w:ascii="Times New Roman" w:hAnsi="Times New Roman"/>
        </w:rPr>
        <w:t xml:space="preserve">isotope </w:t>
      </w:r>
      <w:r>
        <w:rPr>
          <w:rFonts w:ascii="Times New Roman" w:hAnsi="Times New Roman"/>
        </w:rPr>
        <w:t>composition</w:t>
      </w:r>
      <w:r w:rsidR="007E4EAE">
        <w:rPr>
          <w:rFonts w:ascii="Times New Roman" w:hAnsi="Times New Roman"/>
        </w:rPr>
        <w:t>s</w:t>
      </w:r>
      <w:r>
        <w:rPr>
          <w:rFonts w:ascii="Times New Roman" w:hAnsi="Times New Roman"/>
        </w:rPr>
        <w:t xml:space="preserve"> of the sixty-two crude oils appear to correlate well with the kerogen and sedimentary organic matter from the li</w:t>
      </w:r>
      <w:r w:rsidR="007E4EAE">
        <w:rPr>
          <w:rFonts w:ascii="Times New Roman" w:hAnsi="Times New Roman"/>
        </w:rPr>
        <w:t>terature. In addition, two trend</w:t>
      </w:r>
      <w:r>
        <w:rPr>
          <w:rFonts w:ascii="Times New Roman" w:hAnsi="Times New Roman"/>
        </w:rPr>
        <w:t xml:space="preserve">s in enrichments in </w:t>
      </w:r>
      <w:r w:rsidRPr="00B2119D">
        <w:rPr>
          <w:rFonts w:ascii="Times New Roman" w:hAnsi="Times New Roman"/>
          <w:vertAlign w:val="superscript"/>
        </w:rPr>
        <w:t>15</w:t>
      </w:r>
      <w:r w:rsidR="007E4EAE">
        <w:rPr>
          <w:rFonts w:ascii="Times New Roman" w:hAnsi="Times New Roman"/>
        </w:rPr>
        <w:t>N are observed for</w:t>
      </w:r>
      <w:r>
        <w:rPr>
          <w:rFonts w:ascii="Times New Roman" w:hAnsi="Times New Roman"/>
        </w:rPr>
        <w:t xml:space="preserve"> the Carboniferous/</w:t>
      </w:r>
      <w:r w:rsidR="007E4EAE">
        <w:rPr>
          <w:rFonts w:ascii="Times New Roman" w:hAnsi="Times New Roman"/>
        </w:rPr>
        <w:t>Permian</w:t>
      </w:r>
      <w:r>
        <w:rPr>
          <w:rFonts w:ascii="Times New Roman" w:hAnsi="Times New Roman"/>
        </w:rPr>
        <w:t xml:space="preserve"> and in the Miocene</w:t>
      </w:r>
      <w:r w:rsidR="007E4EAE">
        <w:rPr>
          <w:rFonts w:ascii="Times New Roman" w:hAnsi="Times New Roman"/>
        </w:rPr>
        <w:t>,</w:t>
      </w:r>
      <w:r>
        <w:rPr>
          <w:rFonts w:ascii="Times New Roman" w:hAnsi="Times New Roman"/>
        </w:rPr>
        <w:t xml:space="preserve"> resulting from incomplete denitrification. Three shifts in depletion in </w:t>
      </w:r>
      <w:r w:rsidRPr="00B2119D">
        <w:rPr>
          <w:rFonts w:ascii="Times New Roman" w:hAnsi="Times New Roman"/>
          <w:vertAlign w:val="superscript"/>
        </w:rPr>
        <w:t>15</w:t>
      </w:r>
      <w:r>
        <w:rPr>
          <w:rFonts w:ascii="Times New Roman" w:hAnsi="Times New Roman"/>
        </w:rPr>
        <w:t xml:space="preserve">N are also observed in the Cambrian/Ordovician, Silurian/Devonian, and the Triassic through the Paleogene. The Cambrian/Ordovician depletion is thought to result from more oxic ocean waters driving nitrification and assimilation. The Silurian/Devonian, and the Triassic through the Paleogene depletions are thought to derive from anoxic ocean waters driving nitrogen fixation. Enrichments and depletions in </w:t>
      </w:r>
      <w:r w:rsidRPr="003D2A51">
        <w:rPr>
          <w:rFonts w:ascii="Times New Roman" w:hAnsi="Times New Roman"/>
          <w:vertAlign w:val="superscript"/>
        </w:rPr>
        <w:t>15</w:t>
      </w:r>
      <w:r>
        <w:rPr>
          <w:rFonts w:ascii="Times New Roman" w:hAnsi="Times New Roman"/>
        </w:rPr>
        <w:t xml:space="preserve">N were independent of source rock type. Within the sixty-two crude oils, another study was conducted on 5 marine carbonate oils from Mexico and </w:t>
      </w:r>
      <w:r w:rsidR="00173030">
        <w:rPr>
          <w:rFonts w:ascii="Times New Roman" w:hAnsi="Times New Roman"/>
        </w:rPr>
        <w:t>4 marine carbonate oils from Middle East</w:t>
      </w:r>
      <w:r>
        <w:rPr>
          <w:rFonts w:ascii="Times New Roman" w:hAnsi="Times New Roman"/>
        </w:rPr>
        <w:t xml:space="preserve"> to determine</w:t>
      </w:r>
      <w:r w:rsidRPr="00CC1A34">
        <w:rPr>
          <w:rFonts w:ascii="Times New Roman" w:hAnsi="Times New Roman"/>
        </w:rPr>
        <w:t xml:space="preserve"> the effects of thermal maturity on the stable nitrogen isotope composition of these oils.</w:t>
      </w:r>
      <w:r>
        <w:rPr>
          <w:rFonts w:ascii="Times New Roman" w:hAnsi="Times New Roman"/>
        </w:rPr>
        <w:t xml:space="preserve"> There was no systematic increase in </w:t>
      </w:r>
      <w:r w:rsidRPr="00CC1A34">
        <w:rPr>
          <w:rFonts w:ascii="Times New Roman" w:hAnsi="Times New Roman"/>
        </w:rPr>
        <w:t>δ</w:t>
      </w:r>
      <w:r w:rsidRPr="00CC1A34">
        <w:rPr>
          <w:rFonts w:ascii="Times New Roman" w:hAnsi="Times New Roman"/>
          <w:vertAlign w:val="superscript"/>
        </w:rPr>
        <w:t>15</w:t>
      </w:r>
      <w:r w:rsidRPr="00CC1A34">
        <w:rPr>
          <w:rFonts w:ascii="Times New Roman" w:hAnsi="Times New Roman"/>
        </w:rPr>
        <w:t>N</w:t>
      </w:r>
      <w:r>
        <w:rPr>
          <w:rFonts w:ascii="Times New Roman" w:hAnsi="Times New Roman"/>
        </w:rPr>
        <w:t xml:space="preserve"> values with increasing thermal maturity observed. </w:t>
      </w:r>
    </w:p>
    <w:p w:rsidR="00DA1971" w:rsidRDefault="00DA1971" w:rsidP="00DA1971">
      <w:pPr>
        <w:sectPr w:rsidR="00DA1971" w:rsidSect="00775701">
          <w:footerReference w:type="default" r:id="rId8"/>
          <w:pgSz w:w="12240" w:h="15840" w:code="1"/>
          <w:pgMar w:top="1440" w:right="1440" w:bottom="1440" w:left="2304" w:header="720" w:footer="720" w:gutter="0"/>
          <w:pgNumType w:fmt="lowerRoman" w:start="4"/>
          <w:cols w:space="720"/>
          <w:docGrid w:linePitch="360"/>
        </w:sectPr>
      </w:pPr>
    </w:p>
    <w:p w:rsidR="00DA1971" w:rsidRDefault="00DA1971" w:rsidP="000F56FF">
      <w:pPr>
        <w:pStyle w:val="Heading1"/>
      </w:pPr>
      <w:bookmarkStart w:id="8" w:name="_Toc310579468"/>
      <w:bookmarkStart w:id="9" w:name="_Toc315681362"/>
      <w:r w:rsidRPr="000F56FF">
        <w:lastRenderedPageBreak/>
        <w:t>Introduction</w:t>
      </w:r>
      <w:bookmarkEnd w:id="8"/>
      <w:bookmarkEnd w:id="9"/>
    </w:p>
    <w:p w:rsidR="008D4F69" w:rsidRPr="00CC1A34" w:rsidRDefault="008D4F69" w:rsidP="008D4F69">
      <w:pPr>
        <w:ind w:firstLine="720"/>
        <w:rPr>
          <w:rFonts w:ascii="Times New Roman" w:hAnsi="Times New Roman"/>
        </w:rPr>
      </w:pPr>
      <w:r w:rsidRPr="00CC1A34">
        <w:rPr>
          <w:rFonts w:ascii="Times New Roman" w:hAnsi="Times New Roman"/>
        </w:rPr>
        <w:t>Nitrogen is essential for life, and is present in proteins and amino acids, purines and pyrimidines. Nitrogen is the fourth most abundant element in the biomass (Ca</w:t>
      </w:r>
      <w:r w:rsidR="00A16B4B">
        <w:rPr>
          <w:rFonts w:ascii="Times New Roman" w:hAnsi="Times New Roman"/>
        </w:rPr>
        <w:t>nfield et al., 2010; Godfrey &amp; G</w:t>
      </w:r>
      <w:r w:rsidRPr="00CC1A34">
        <w:rPr>
          <w:rFonts w:ascii="Times New Roman" w:hAnsi="Times New Roman"/>
        </w:rPr>
        <w:t xml:space="preserve">lass, 2011; Galbraith et al, 2013; Stüeken et al., 2015). Nitrogen is a central component in marine ecosystems and limits the growth of marine life throughout most of the oceans (Francis et al., 2005; Canfield et al., 2010; Tesdal et al., 2013). Therefore, nitrogen is representative of the biochemical processes in the world’s oceans, past and present (Sigman &amp; </w:t>
      </w:r>
      <w:proofErr w:type="spellStart"/>
      <w:r w:rsidRPr="00CC1A34">
        <w:rPr>
          <w:rFonts w:ascii="Times New Roman" w:hAnsi="Times New Roman"/>
        </w:rPr>
        <w:t>Casciott</w:t>
      </w:r>
      <w:r w:rsidR="00A16B4B">
        <w:rPr>
          <w:rFonts w:ascii="Times New Roman" w:hAnsi="Times New Roman"/>
        </w:rPr>
        <w:t>i</w:t>
      </w:r>
      <w:proofErr w:type="spellEnd"/>
      <w:r w:rsidRPr="00CC1A34">
        <w:rPr>
          <w:rFonts w:ascii="Times New Roman" w:hAnsi="Times New Roman"/>
        </w:rPr>
        <w:t>, 2001).</w:t>
      </w:r>
    </w:p>
    <w:p w:rsidR="008D4F69" w:rsidRPr="00CC1A34" w:rsidRDefault="008D4F69" w:rsidP="008D4F69">
      <w:pPr>
        <w:ind w:firstLine="720"/>
        <w:rPr>
          <w:rFonts w:ascii="Times New Roman" w:hAnsi="Times New Roman"/>
        </w:rPr>
      </w:pPr>
      <w:r w:rsidRPr="00CC1A34">
        <w:rPr>
          <w:rFonts w:ascii="Times New Roman" w:hAnsi="Times New Roman"/>
        </w:rPr>
        <w:t xml:space="preserve">Nitrogen has two stable isotopes, </w:t>
      </w:r>
      <w:r w:rsidRPr="00CC1A34">
        <w:rPr>
          <w:rFonts w:ascii="Times New Roman" w:hAnsi="Times New Roman"/>
          <w:vertAlign w:val="superscript"/>
        </w:rPr>
        <w:t>14</w:t>
      </w:r>
      <w:r w:rsidRPr="00CC1A34">
        <w:rPr>
          <w:rFonts w:ascii="Times New Roman" w:hAnsi="Times New Roman"/>
        </w:rPr>
        <w:t xml:space="preserve">N (99.64%) and </w:t>
      </w:r>
      <w:r w:rsidRPr="00CC1A34">
        <w:rPr>
          <w:rFonts w:ascii="Times New Roman" w:hAnsi="Times New Roman"/>
          <w:vertAlign w:val="superscript"/>
        </w:rPr>
        <w:t>15</w:t>
      </w:r>
      <w:r w:rsidRPr="00CC1A34">
        <w:rPr>
          <w:rFonts w:ascii="Times New Roman" w:hAnsi="Times New Roman"/>
        </w:rPr>
        <w:t>N (0.36%), with molecular nitrogen (N</w:t>
      </w:r>
      <w:r>
        <w:rPr>
          <w:rFonts w:ascii="Times New Roman" w:hAnsi="Times New Roman"/>
          <w:vertAlign w:val="subscript"/>
        </w:rPr>
        <w:t>2</w:t>
      </w:r>
      <w:r>
        <w:rPr>
          <w:rFonts w:ascii="Times New Roman" w:hAnsi="Times New Roman"/>
        </w:rPr>
        <w:t>)</w:t>
      </w:r>
      <w:r w:rsidRPr="00CC1A34">
        <w:rPr>
          <w:rFonts w:ascii="Times New Roman" w:hAnsi="Times New Roman"/>
        </w:rPr>
        <w:t xml:space="preserve"> in the Earth’s atmosphere and oceans accounting for over 99% of the total nitrogen on Earth (e.g. Hoefs, 2015). Fractionation between these two isotopes is caused by physical, chemical and biological mechanisms (Sigman &amp; </w:t>
      </w:r>
      <w:proofErr w:type="spellStart"/>
      <w:r w:rsidRPr="00A16B4B">
        <w:rPr>
          <w:rFonts w:ascii="Times New Roman" w:hAnsi="Times New Roman"/>
        </w:rPr>
        <w:t>Casciott</w:t>
      </w:r>
      <w:r w:rsidR="00A16B4B" w:rsidRPr="00A16B4B">
        <w:rPr>
          <w:rFonts w:ascii="Times New Roman" w:hAnsi="Times New Roman"/>
        </w:rPr>
        <w:t>i</w:t>
      </w:r>
      <w:proofErr w:type="spellEnd"/>
      <w:r w:rsidRPr="00CC1A34">
        <w:rPr>
          <w:rFonts w:ascii="Times New Roman" w:hAnsi="Times New Roman"/>
        </w:rPr>
        <w:t>, 2001). Nitrogen isotope fractionation can be preserved in kerogen throughout geologic time (e.g. Macko &amp; Quick, 1986; Altabet &amp; Francois, 1994; Quan et al., 2013; Stüeken et al., 2015). Previous studies have shown that crude oils generally preserve the stable carbon isotope compositions of the kerogens from which they were derived (e.g. Andrusevich et al., 1998 and references therein).  Similarly, preliminary results indicate that the stable sulfur isotope compositions of crude oils also reflect that of the kerogens from which they were derived (e.g. Engel and Zumberge, 2007 and references therein).  It is hypothesized that the δ</w:t>
      </w:r>
      <w:r w:rsidRPr="00CC1A34">
        <w:rPr>
          <w:rFonts w:ascii="Times New Roman" w:hAnsi="Times New Roman"/>
          <w:vertAlign w:val="superscript"/>
        </w:rPr>
        <w:t>15</w:t>
      </w:r>
      <w:r w:rsidRPr="00CC1A34">
        <w:rPr>
          <w:rFonts w:ascii="Times New Roman" w:hAnsi="Times New Roman"/>
        </w:rPr>
        <w:t xml:space="preserve">N value of crude oils will also reflect that of the kerogens from which the crude oils are derived, which in turn will reflect the stable nitrogen isotope composition of the biomass from which the kerogens were derived.  </w:t>
      </w:r>
    </w:p>
    <w:p w:rsidR="008D4F69" w:rsidRPr="00CC1A34" w:rsidRDefault="008D4F69" w:rsidP="008D4F69">
      <w:pPr>
        <w:ind w:firstLine="720"/>
        <w:rPr>
          <w:rFonts w:ascii="Times New Roman" w:hAnsi="Times New Roman"/>
        </w:rPr>
      </w:pPr>
      <w:r w:rsidRPr="00CC1A34">
        <w:rPr>
          <w:rFonts w:ascii="Times New Roman" w:hAnsi="Times New Roman"/>
        </w:rPr>
        <w:lastRenderedPageBreak/>
        <w:t>The marine nitrogen cycle</w:t>
      </w:r>
      <w:r>
        <w:rPr>
          <w:rFonts w:ascii="Times New Roman" w:hAnsi="Times New Roman"/>
        </w:rPr>
        <w:t xml:space="preserve"> (Figure 1)</w:t>
      </w:r>
      <w:r w:rsidRPr="00CC1A34">
        <w:rPr>
          <w:rFonts w:ascii="Times New Roman" w:hAnsi="Times New Roman"/>
        </w:rPr>
        <w:t xml:space="preserve"> consists of several steps, the most important being nitrogen fixation, nitrification and denitrification/anammox reactions that are biologically mediated and convert nitrogen between a wide range of redox states (Sigman &amp; </w:t>
      </w:r>
      <w:proofErr w:type="spellStart"/>
      <w:r w:rsidRPr="00A16B4B">
        <w:rPr>
          <w:rFonts w:ascii="Times New Roman" w:hAnsi="Times New Roman"/>
        </w:rPr>
        <w:t>Cascio</w:t>
      </w:r>
      <w:r w:rsidRPr="002A4CD5">
        <w:rPr>
          <w:rFonts w:ascii="Times New Roman" w:hAnsi="Times New Roman"/>
        </w:rPr>
        <w:t>tt</w:t>
      </w:r>
      <w:r w:rsidR="00A16B4B" w:rsidRPr="002A4CD5">
        <w:rPr>
          <w:rFonts w:ascii="Times New Roman" w:hAnsi="Times New Roman"/>
        </w:rPr>
        <w:t>i</w:t>
      </w:r>
      <w:proofErr w:type="spellEnd"/>
      <w:r w:rsidRPr="00CC1A34">
        <w:rPr>
          <w:rFonts w:ascii="Times New Roman" w:hAnsi="Times New Roman"/>
        </w:rPr>
        <w:t>, 2001; Altabet, 2005; Quan et al., 2013).  Molecular nitrogen enters the ocean by diffusion from the atmosphere, microbial N</w:t>
      </w:r>
      <w:r w:rsidRPr="00CC1A34">
        <w:rPr>
          <w:rFonts w:ascii="Times New Roman" w:hAnsi="Times New Roman"/>
          <w:vertAlign w:val="subscript"/>
        </w:rPr>
        <w:t xml:space="preserve">2 </w:t>
      </w:r>
      <w:r w:rsidRPr="00CC1A34">
        <w:rPr>
          <w:rFonts w:ascii="Times New Roman" w:hAnsi="Times New Roman"/>
        </w:rPr>
        <w:t xml:space="preserve">fixation, and from weathering of the continents (Sigman &amp; </w:t>
      </w:r>
      <w:proofErr w:type="spellStart"/>
      <w:r w:rsidRPr="00A16B4B">
        <w:rPr>
          <w:rFonts w:ascii="Times New Roman" w:hAnsi="Times New Roman"/>
        </w:rPr>
        <w:t>Casciott</w:t>
      </w:r>
      <w:r w:rsidR="00A16B4B">
        <w:rPr>
          <w:rFonts w:ascii="Times New Roman" w:hAnsi="Times New Roman"/>
        </w:rPr>
        <w:t>i</w:t>
      </w:r>
      <w:proofErr w:type="spellEnd"/>
      <w:r w:rsidRPr="00CC1A34">
        <w:rPr>
          <w:rFonts w:ascii="Times New Roman" w:hAnsi="Times New Roman"/>
        </w:rPr>
        <w:t>, 2001; Meckler et al., 2011). Oceanic sink processes are denitrification and anamm</w:t>
      </w:r>
      <w:r w:rsidR="00451067">
        <w:rPr>
          <w:rFonts w:ascii="Times New Roman" w:hAnsi="Times New Roman"/>
        </w:rPr>
        <w:t>ox (</w:t>
      </w:r>
      <w:proofErr w:type="spellStart"/>
      <w:r w:rsidR="00451067">
        <w:rPr>
          <w:rFonts w:ascii="Times New Roman" w:hAnsi="Times New Roman"/>
        </w:rPr>
        <w:t>Junium</w:t>
      </w:r>
      <w:proofErr w:type="spellEnd"/>
      <w:r w:rsidR="00451067">
        <w:rPr>
          <w:rFonts w:ascii="Times New Roman" w:hAnsi="Times New Roman"/>
        </w:rPr>
        <w:t xml:space="preserve"> and Arthur, 2007</w:t>
      </w:r>
      <w:r w:rsidRPr="00CC1A34">
        <w:rPr>
          <w:rFonts w:ascii="Times New Roman" w:hAnsi="Times New Roman"/>
        </w:rPr>
        <w:t>; Meckler, et al.,</w:t>
      </w:r>
      <w:r w:rsidR="00451067">
        <w:rPr>
          <w:rFonts w:ascii="Times New Roman" w:hAnsi="Times New Roman"/>
        </w:rPr>
        <w:t xml:space="preserve"> </w:t>
      </w:r>
      <w:r w:rsidRPr="00CC1A34">
        <w:rPr>
          <w:rFonts w:ascii="Times New Roman" w:hAnsi="Times New Roman"/>
        </w:rPr>
        <w:t xml:space="preserve">2011 Galbraith et al., 2013).  </w:t>
      </w:r>
    </w:p>
    <w:p w:rsidR="008D4F69" w:rsidRDefault="008D4F69" w:rsidP="008D4F69">
      <w:pPr>
        <w:ind w:firstLine="720"/>
        <w:rPr>
          <w:noProof/>
        </w:rPr>
      </w:pPr>
      <w:r w:rsidRPr="00CC1A34">
        <w:rPr>
          <w:rFonts w:ascii="Times New Roman" w:hAnsi="Times New Roman"/>
        </w:rPr>
        <w:t xml:space="preserve">During the nitrogen cycle in the ocean, most organisms, although readily accessible, cannot directly use molecular nitrogen. As molecular nitrogen enters the ocean, nitrogen fixing bacteria with the help of an enzyme, </w:t>
      </w:r>
      <w:proofErr w:type="spellStart"/>
      <w:r w:rsidRPr="00CC1A34">
        <w:rPr>
          <w:rFonts w:ascii="Times New Roman" w:hAnsi="Times New Roman"/>
        </w:rPr>
        <w:t>Nitrogenase</w:t>
      </w:r>
      <w:proofErr w:type="spellEnd"/>
      <w:r w:rsidRPr="00CC1A34">
        <w:rPr>
          <w:rFonts w:ascii="Times New Roman" w:hAnsi="Times New Roman"/>
        </w:rPr>
        <w:t>, convert N</w:t>
      </w:r>
      <w:r w:rsidRPr="00CC1A34">
        <w:rPr>
          <w:rFonts w:ascii="Times New Roman" w:hAnsi="Times New Roman"/>
          <w:vertAlign w:val="subscript"/>
        </w:rPr>
        <w:t xml:space="preserve">2 </w:t>
      </w:r>
      <w:r w:rsidRPr="00CC1A34">
        <w:rPr>
          <w:rFonts w:ascii="Times New Roman" w:hAnsi="Times New Roman"/>
        </w:rPr>
        <w:t xml:space="preserve">into nitrate, an essential nutrient for marine phytoplankton. A series of </w:t>
      </w:r>
      <w:r w:rsidR="00407C66" w:rsidRPr="00CC1A34">
        <w:rPr>
          <w:rFonts w:ascii="Times New Roman" w:hAnsi="Times New Roman"/>
        </w:rPr>
        <w:t>microbial</w:t>
      </w:r>
      <w:r w:rsidRPr="00CC1A34">
        <w:rPr>
          <w:rFonts w:ascii="Times New Roman" w:hAnsi="Times New Roman"/>
        </w:rPr>
        <w:t xml:space="preserve"> mediated steps are involved in the conversion of organic nitrogen back to nitrite and nitrate, some of which is cycled back into biomass via photosynthesis. When oxygen falls to less than 5 </w:t>
      </w:r>
      <w:proofErr w:type="spellStart"/>
      <w:r w:rsidRPr="00CC1A34">
        <w:rPr>
          <w:rFonts w:ascii="Times New Roman" w:hAnsi="Times New Roman"/>
        </w:rPr>
        <w:t>micromolar</w:t>
      </w:r>
      <w:proofErr w:type="spellEnd"/>
      <w:r w:rsidRPr="00CC1A34">
        <w:rPr>
          <w:rFonts w:ascii="Times New Roman" w:hAnsi="Times New Roman"/>
        </w:rPr>
        <w:t xml:space="preserve"> (µM), many bacteria find it more efficient to convert organic nitrogen back to N</w:t>
      </w:r>
      <w:r w:rsidRPr="00CC1A34">
        <w:rPr>
          <w:rFonts w:ascii="Times New Roman" w:hAnsi="Times New Roman"/>
          <w:vertAlign w:val="subscript"/>
        </w:rPr>
        <w:t>2</w:t>
      </w:r>
      <w:r w:rsidRPr="00CC1A34">
        <w:rPr>
          <w:rFonts w:ascii="Times New Roman" w:hAnsi="Times New Roman"/>
        </w:rPr>
        <w:t xml:space="preserve"> by denitrification which respires organic matter with nitrate (NO</w:t>
      </w:r>
      <w:r w:rsidRPr="00CC1A34">
        <w:rPr>
          <w:rFonts w:ascii="Times New Roman" w:hAnsi="Times New Roman"/>
          <w:vertAlign w:val="subscript"/>
        </w:rPr>
        <w:t>3</w:t>
      </w:r>
      <w:r w:rsidRPr="00CC1A34">
        <w:rPr>
          <w:rFonts w:ascii="Times New Roman" w:hAnsi="Times New Roman"/>
          <w:vertAlign w:val="superscript"/>
        </w:rPr>
        <w:t>-</w:t>
      </w:r>
      <w:r w:rsidRPr="00CC1A34">
        <w:rPr>
          <w:rFonts w:ascii="Times New Roman" w:hAnsi="Times New Roman"/>
        </w:rPr>
        <w:t>)</w:t>
      </w:r>
      <w:r w:rsidRPr="00CC1A34">
        <w:rPr>
          <w:rFonts w:ascii="Times New Roman" w:hAnsi="Times New Roman"/>
          <w:vertAlign w:val="superscript"/>
        </w:rPr>
        <w:t xml:space="preserve"> </w:t>
      </w:r>
      <w:r w:rsidRPr="00CC1A34">
        <w:rPr>
          <w:rFonts w:ascii="Times New Roman" w:hAnsi="Times New Roman"/>
        </w:rPr>
        <w:t xml:space="preserve">as an electron acceptor. (e.g., Sigman &amp; </w:t>
      </w:r>
      <w:proofErr w:type="spellStart"/>
      <w:r w:rsidRPr="00CC1A34">
        <w:rPr>
          <w:rFonts w:ascii="Times New Roman" w:hAnsi="Times New Roman"/>
        </w:rPr>
        <w:t>Casciott</w:t>
      </w:r>
      <w:r w:rsidR="00A16B4B">
        <w:rPr>
          <w:rFonts w:ascii="Times New Roman" w:hAnsi="Times New Roman"/>
        </w:rPr>
        <w:t>i</w:t>
      </w:r>
      <w:proofErr w:type="spellEnd"/>
      <w:r w:rsidRPr="00CC1A34">
        <w:rPr>
          <w:rFonts w:ascii="Times New Roman" w:hAnsi="Times New Roman"/>
        </w:rPr>
        <w:t>, 2001; Altabet, 2005; Godfrey &amp; Glass, 2011; Meckler et al., 2011). Anammox, like denitrification, is present in the water column at low oxygen concentrations and converts organic nitrogen back to N</w:t>
      </w:r>
      <w:r w:rsidRPr="00CC1A34">
        <w:rPr>
          <w:rFonts w:ascii="Times New Roman" w:hAnsi="Times New Roman"/>
          <w:vertAlign w:val="subscript"/>
        </w:rPr>
        <w:t>2</w:t>
      </w:r>
      <w:r w:rsidRPr="00CC1A34">
        <w:rPr>
          <w:rFonts w:ascii="Times New Roman" w:hAnsi="Times New Roman"/>
        </w:rPr>
        <w:t xml:space="preserve"> through the reaction between ammonium (NH</w:t>
      </w:r>
      <w:r w:rsidRPr="00CC1A34">
        <w:rPr>
          <w:rFonts w:ascii="Times New Roman" w:hAnsi="Times New Roman"/>
          <w:vertAlign w:val="subscript"/>
        </w:rPr>
        <w:t>4</w:t>
      </w:r>
      <w:r w:rsidRPr="00CC1A34">
        <w:rPr>
          <w:rFonts w:ascii="Times New Roman" w:hAnsi="Times New Roman"/>
        </w:rPr>
        <w:t>) and nitrite (NO</w:t>
      </w:r>
      <w:r w:rsidRPr="00CC1A34">
        <w:rPr>
          <w:rFonts w:ascii="Times New Roman" w:hAnsi="Times New Roman"/>
          <w:vertAlign w:val="subscript"/>
        </w:rPr>
        <w:t>2</w:t>
      </w:r>
      <w:r w:rsidRPr="00CC1A34">
        <w:rPr>
          <w:rFonts w:ascii="Times New Roman" w:hAnsi="Times New Roman"/>
        </w:rPr>
        <w:t>) to produce N</w:t>
      </w:r>
      <w:r w:rsidRPr="00CC1A34">
        <w:rPr>
          <w:rFonts w:ascii="Times New Roman" w:hAnsi="Times New Roman"/>
          <w:vertAlign w:val="subscript"/>
        </w:rPr>
        <w:t>2</w:t>
      </w:r>
      <w:r w:rsidRPr="00CC1A34">
        <w:rPr>
          <w:rFonts w:ascii="Times New Roman" w:hAnsi="Times New Roman"/>
        </w:rPr>
        <w:t xml:space="preserve"> and water (</w:t>
      </w:r>
      <w:proofErr w:type="spellStart"/>
      <w:r w:rsidRPr="00B66EE3">
        <w:rPr>
          <w:rFonts w:ascii="Times New Roman" w:hAnsi="Times New Roman"/>
        </w:rPr>
        <w:t>D</w:t>
      </w:r>
      <w:r>
        <w:rPr>
          <w:rFonts w:ascii="Times New Roman" w:hAnsi="Times New Roman"/>
        </w:rPr>
        <w:t>evol</w:t>
      </w:r>
      <w:proofErr w:type="spellEnd"/>
      <w:r>
        <w:rPr>
          <w:rFonts w:ascii="Times New Roman" w:hAnsi="Times New Roman"/>
        </w:rPr>
        <w:t>, 2008 and references therein</w:t>
      </w:r>
      <w:r w:rsidRPr="00CC1A34">
        <w:rPr>
          <w:rFonts w:ascii="Times New Roman" w:hAnsi="Times New Roman"/>
        </w:rPr>
        <w:t>).</w:t>
      </w:r>
      <w:r w:rsidRPr="002111C2">
        <w:rPr>
          <w:noProof/>
        </w:rPr>
        <w:t xml:space="preserve"> </w:t>
      </w:r>
    </w:p>
    <w:p w:rsidR="008D4F69" w:rsidRDefault="008D4F69" w:rsidP="008D4F69">
      <w:pPr>
        <w:keepNext/>
        <w:spacing w:line="240" w:lineRule="auto"/>
      </w:pPr>
      <w:r>
        <w:rPr>
          <w:noProof/>
          <w:lang w:bidi="ar-SA"/>
        </w:rPr>
        <w:lastRenderedPageBreak/>
        <w:drawing>
          <wp:inline distT="0" distB="0" distL="0" distR="0" wp14:anchorId="7EFE66F5" wp14:editId="00C0B879">
            <wp:extent cx="5599349" cy="3230108"/>
            <wp:effectExtent l="0" t="0" r="1905"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itrogen cycle.jpg"/>
                    <pic:cNvPicPr/>
                  </pic:nvPicPr>
                  <pic:blipFill rotWithShape="1">
                    <a:blip r:embed="rId9">
                      <a:extLst>
                        <a:ext uri="{28A0092B-C50C-407E-A947-70E740481C1C}">
                          <a14:useLocalDpi xmlns:a14="http://schemas.microsoft.com/office/drawing/2010/main" val="0"/>
                        </a:ext>
                      </a:extLst>
                    </a:blip>
                    <a:srcRect l="4396" t="1954"/>
                    <a:stretch/>
                  </pic:blipFill>
                  <pic:spPr bwMode="auto">
                    <a:xfrm>
                      <a:off x="0" y="0"/>
                      <a:ext cx="5643775" cy="3255736"/>
                    </a:xfrm>
                    <a:prstGeom prst="rect">
                      <a:avLst/>
                    </a:prstGeom>
                    <a:ln>
                      <a:noFill/>
                    </a:ln>
                    <a:extLst>
                      <a:ext uri="{53640926-AAD7-44D8-BBD7-CCE9431645EC}">
                        <a14:shadowObscured xmlns:a14="http://schemas.microsoft.com/office/drawing/2010/main"/>
                      </a:ext>
                    </a:extLst>
                  </pic:spPr>
                </pic:pic>
              </a:graphicData>
            </a:graphic>
          </wp:inline>
        </w:drawing>
      </w:r>
    </w:p>
    <w:p w:rsidR="008D4F69" w:rsidRDefault="008D4F69" w:rsidP="008D4F69">
      <w:pPr>
        <w:pStyle w:val="Caption"/>
        <w:rPr>
          <w:rFonts w:ascii="Times New Roman" w:hAnsi="Times New Roman"/>
          <w:szCs w:val="24"/>
        </w:rPr>
      </w:pPr>
      <w:r w:rsidRPr="00F63DC3">
        <w:rPr>
          <w:rFonts w:ascii="Times New Roman" w:hAnsi="Times New Roman"/>
          <w:szCs w:val="24"/>
        </w:rPr>
        <w:t>Figure 1</w:t>
      </w:r>
      <w:r w:rsidRPr="00F75CE1">
        <w:rPr>
          <w:rFonts w:ascii="Times New Roman" w:hAnsi="Times New Roman"/>
          <w:szCs w:val="24"/>
        </w:rPr>
        <w:t>.</w:t>
      </w:r>
      <w:r>
        <w:rPr>
          <w:rFonts w:ascii="Times New Roman" w:hAnsi="Times New Roman"/>
          <w:szCs w:val="24"/>
        </w:rPr>
        <w:t xml:space="preserve"> </w:t>
      </w:r>
      <w:r w:rsidRPr="0055541E">
        <w:rPr>
          <w:rFonts w:ascii="Times New Roman" w:hAnsi="Times New Roman"/>
          <w:b w:val="0"/>
          <w:szCs w:val="24"/>
        </w:rPr>
        <w:t>Nitrogen cycle in the open ocean. Molecular nitrogen is sourced to the ocean through the atmosphere, microbial N</w:t>
      </w:r>
      <w:r w:rsidRPr="0055541E">
        <w:rPr>
          <w:rFonts w:ascii="Times New Roman" w:hAnsi="Times New Roman"/>
          <w:b w:val="0"/>
          <w:szCs w:val="24"/>
          <w:vertAlign w:val="subscript"/>
        </w:rPr>
        <w:t xml:space="preserve">2 </w:t>
      </w:r>
      <w:r w:rsidRPr="0055541E">
        <w:rPr>
          <w:rFonts w:ascii="Times New Roman" w:hAnsi="Times New Roman"/>
          <w:b w:val="0"/>
          <w:szCs w:val="24"/>
        </w:rPr>
        <w:t>fixation, and from weathering of the continents. Oceanic sinks include denitrification and anammox process that convert organic nitrogen back to N</w:t>
      </w:r>
      <w:r w:rsidRPr="0055541E">
        <w:rPr>
          <w:rFonts w:ascii="Times New Roman" w:hAnsi="Times New Roman"/>
          <w:b w:val="0"/>
          <w:szCs w:val="24"/>
          <w:vertAlign w:val="subscript"/>
        </w:rPr>
        <w:t>2</w:t>
      </w:r>
      <w:r w:rsidRPr="0055541E">
        <w:rPr>
          <w:rFonts w:ascii="Times New Roman" w:hAnsi="Times New Roman"/>
          <w:b w:val="0"/>
          <w:szCs w:val="24"/>
        </w:rPr>
        <w:t>. Modified after Lam et al., 2009.</w:t>
      </w:r>
      <w:r>
        <w:rPr>
          <w:rFonts w:ascii="Times New Roman" w:hAnsi="Times New Roman"/>
          <w:szCs w:val="24"/>
        </w:rPr>
        <w:t xml:space="preserve">  </w:t>
      </w:r>
    </w:p>
    <w:p w:rsidR="0055541E" w:rsidRDefault="0055541E" w:rsidP="0055541E">
      <w:pPr>
        <w:ind w:firstLine="720"/>
      </w:pPr>
    </w:p>
    <w:p w:rsidR="008D4F69" w:rsidRDefault="008D4F69" w:rsidP="0055541E">
      <w:pPr>
        <w:ind w:firstLine="720"/>
        <w:rPr>
          <w:rFonts w:ascii="Times New Roman" w:hAnsi="Times New Roman"/>
        </w:rPr>
      </w:pPr>
      <w:r w:rsidRPr="00CC1A34">
        <w:rPr>
          <w:rFonts w:ascii="Times New Roman" w:hAnsi="Times New Roman"/>
        </w:rPr>
        <w:t xml:space="preserve">Several processes in the nitrogen cycle can preferentially remove or take up </w:t>
      </w:r>
      <w:r w:rsidRPr="00CC1A34">
        <w:rPr>
          <w:rFonts w:ascii="Times New Roman" w:hAnsi="Times New Roman"/>
          <w:vertAlign w:val="superscript"/>
        </w:rPr>
        <w:t>15</w:t>
      </w:r>
      <w:r w:rsidRPr="00CC1A34">
        <w:rPr>
          <w:rFonts w:ascii="Times New Roman" w:hAnsi="Times New Roman"/>
        </w:rPr>
        <w:t xml:space="preserve">N or </w:t>
      </w:r>
      <w:r w:rsidRPr="00CC1A34">
        <w:rPr>
          <w:rFonts w:ascii="Times New Roman" w:hAnsi="Times New Roman"/>
          <w:vertAlign w:val="superscript"/>
        </w:rPr>
        <w:t>14</w:t>
      </w:r>
      <w:r w:rsidRPr="00CC1A34">
        <w:rPr>
          <w:rFonts w:ascii="Times New Roman" w:hAnsi="Times New Roman"/>
        </w:rPr>
        <w:t xml:space="preserve">N, changing the </w:t>
      </w:r>
      <w:r w:rsidRPr="00CC1A34">
        <w:rPr>
          <w:rFonts w:ascii="Times New Roman" w:hAnsi="Times New Roman"/>
          <w:vertAlign w:val="superscript"/>
        </w:rPr>
        <w:t>15</w:t>
      </w:r>
      <w:r w:rsidRPr="00CC1A34">
        <w:rPr>
          <w:rFonts w:ascii="Times New Roman" w:hAnsi="Times New Roman"/>
        </w:rPr>
        <w:t>N/</w:t>
      </w:r>
      <w:r w:rsidRPr="00CC1A34">
        <w:rPr>
          <w:rFonts w:ascii="Times New Roman" w:hAnsi="Times New Roman"/>
          <w:vertAlign w:val="superscript"/>
        </w:rPr>
        <w:t>14</w:t>
      </w:r>
      <w:r w:rsidRPr="00CC1A34">
        <w:rPr>
          <w:rFonts w:ascii="Times New Roman" w:hAnsi="Times New Roman"/>
        </w:rPr>
        <w:t xml:space="preserve">N ratios (e.g., Sigman &amp; </w:t>
      </w:r>
      <w:proofErr w:type="spellStart"/>
      <w:r w:rsidRPr="00CC1A34">
        <w:rPr>
          <w:rFonts w:ascii="Times New Roman" w:hAnsi="Times New Roman"/>
        </w:rPr>
        <w:t>Casciott</w:t>
      </w:r>
      <w:r w:rsidR="00A16B4B">
        <w:rPr>
          <w:rFonts w:ascii="Times New Roman" w:hAnsi="Times New Roman"/>
        </w:rPr>
        <w:t>i</w:t>
      </w:r>
      <w:proofErr w:type="spellEnd"/>
      <w:r w:rsidRPr="00CC1A34">
        <w:rPr>
          <w:rFonts w:ascii="Times New Roman" w:hAnsi="Times New Roman"/>
        </w:rPr>
        <w:t>, 2001; Godfrey &amp; Glass, 2011).  During the microbial process of N</w:t>
      </w:r>
      <w:r w:rsidRPr="00CC1A34">
        <w:rPr>
          <w:rFonts w:ascii="Times New Roman" w:hAnsi="Times New Roman"/>
          <w:vertAlign w:val="subscript"/>
        </w:rPr>
        <w:t>2</w:t>
      </w:r>
      <w:r w:rsidRPr="00CC1A34">
        <w:rPr>
          <w:rFonts w:ascii="Times New Roman" w:hAnsi="Times New Roman"/>
        </w:rPr>
        <w:t>-fixation, little fractionation is observed, resulting in δ</w:t>
      </w:r>
      <w:r w:rsidRPr="00CC1A34">
        <w:rPr>
          <w:rFonts w:ascii="Times New Roman" w:hAnsi="Times New Roman"/>
          <w:vertAlign w:val="superscript"/>
        </w:rPr>
        <w:t>15</w:t>
      </w:r>
      <w:r w:rsidRPr="00CC1A34">
        <w:rPr>
          <w:rFonts w:ascii="Times New Roman" w:hAnsi="Times New Roman"/>
        </w:rPr>
        <w:t>N</w:t>
      </w:r>
      <w:r>
        <w:rPr>
          <w:rFonts w:ascii="Times New Roman" w:hAnsi="Times New Roman"/>
        </w:rPr>
        <w:t xml:space="preserve"> values</w:t>
      </w:r>
      <w:r w:rsidRPr="00CC1A34">
        <w:rPr>
          <w:rFonts w:ascii="Times New Roman" w:hAnsi="Times New Roman"/>
        </w:rPr>
        <w:t xml:space="preserve"> of newly fixed nitrogen of -2 to 0‰, close to the observed value of 0.0‰ for molecular nitrogen in the Earth’s past and present-day atm</w:t>
      </w:r>
      <w:r>
        <w:rPr>
          <w:rFonts w:ascii="Times New Roman" w:hAnsi="Times New Roman"/>
        </w:rPr>
        <w:t>osphere (</w:t>
      </w:r>
      <w:r w:rsidRPr="00CC1A34">
        <w:rPr>
          <w:rFonts w:ascii="Times New Roman" w:hAnsi="Times New Roman"/>
        </w:rPr>
        <w:t>Meckler et al., 2011;</w:t>
      </w:r>
      <w:r>
        <w:rPr>
          <w:rFonts w:ascii="Times New Roman" w:hAnsi="Times New Roman"/>
        </w:rPr>
        <w:t xml:space="preserve"> </w:t>
      </w:r>
      <w:proofErr w:type="spellStart"/>
      <w:r>
        <w:rPr>
          <w:rFonts w:ascii="Times New Roman" w:hAnsi="Times New Roman"/>
        </w:rPr>
        <w:t>Kritee</w:t>
      </w:r>
      <w:proofErr w:type="spellEnd"/>
      <w:r>
        <w:rPr>
          <w:rFonts w:ascii="Times New Roman" w:hAnsi="Times New Roman"/>
        </w:rPr>
        <w:t xml:space="preserve"> et al.</w:t>
      </w:r>
      <w:r w:rsidR="00A16B4B">
        <w:rPr>
          <w:rFonts w:ascii="Times New Roman" w:hAnsi="Times New Roman"/>
        </w:rPr>
        <w:t>, 2012 and references therein</w:t>
      </w:r>
      <w:r>
        <w:rPr>
          <w:rFonts w:ascii="Times New Roman" w:hAnsi="Times New Roman"/>
        </w:rPr>
        <w:t>;</w:t>
      </w:r>
      <w:r w:rsidRPr="00CC1A34">
        <w:rPr>
          <w:rFonts w:ascii="Times New Roman" w:hAnsi="Times New Roman"/>
        </w:rPr>
        <w:t xml:space="preserve"> Marty et al., 2013). With denitrification, a strong, negat</w:t>
      </w:r>
      <w:r>
        <w:rPr>
          <w:rFonts w:ascii="Times New Roman" w:hAnsi="Times New Roman"/>
        </w:rPr>
        <w:t>ive isotope fractionation of -20 to -30</w:t>
      </w:r>
      <w:r w:rsidRPr="00CC1A34">
        <w:rPr>
          <w:rFonts w:ascii="Times New Roman" w:hAnsi="Times New Roman"/>
        </w:rPr>
        <w:t>‰</w:t>
      </w:r>
      <w:r w:rsidR="00A16B4B">
        <w:rPr>
          <w:rFonts w:ascii="Times New Roman" w:hAnsi="Times New Roman"/>
        </w:rPr>
        <w:t xml:space="preserve"> is generally observed</w:t>
      </w:r>
      <w:r w:rsidRPr="00CC1A34">
        <w:rPr>
          <w:rFonts w:ascii="Times New Roman" w:hAnsi="Times New Roman"/>
        </w:rPr>
        <w:t xml:space="preserve"> for N</w:t>
      </w:r>
      <w:r w:rsidRPr="00CC1A34">
        <w:rPr>
          <w:rFonts w:ascii="Times New Roman" w:hAnsi="Times New Roman"/>
          <w:vertAlign w:val="subscript"/>
        </w:rPr>
        <w:t>2</w:t>
      </w:r>
      <w:r>
        <w:rPr>
          <w:rFonts w:ascii="Times New Roman" w:hAnsi="Times New Roman"/>
        </w:rPr>
        <w:t xml:space="preserve"> (Sigman &amp; </w:t>
      </w:r>
      <w:proofErr w:type="spellStart"/>
      <w:r>
        <w:rPr>
          <w:rFonts w:ascii="Times New Roman" w:hAnsi="Times New Roman"/>
        </w:rPr>
        <w:t>Casciott</w:t>
      </w:r>
      <w:r w:rsidR="00A16B4B">
        <w:rPr>
          <w:rFonts w:ascii="Times New Roman" w:hAnsi="Times New Roman"/>
        </w:rPr>
        <w:t>i</w:t>
      </w:r>
      <w:proofErr w:type="spellEnd"/>
      <w:r>
        <w:rPr>
          <w:rFonts w:ascii="Times New Roman" w:hAnsi="Times New Roman"/>
        </w:rPr>
        <w:t>, 2001; Altabet, 2005</w:t>
      </w:r>
      <w:r w:rsidRPr="00CC1A34">
        <w:rPr>
          <w:rFonts w:ascii="Times New Roman" w:hAnsi="Times New Roman"/>
        </w:rPr>
        <w:t xml:space="preserve">), as denitrification preferentially removes the </w:t>
      </w:r>
      <w:r w:rsidRPr="00CC1A34">
        <w:rPr>
          <w:rFonts w:ascii="Times New Roman" w:hAnsi="Times New Roman"/>
          <w:vertAlign w:val="superscript"/>
        </w:rPr>
        <w:t>14</w:t>
      </w:r>
      <w:r w:rsidRPr="00CC1A34">
        <w:rPr>
          <w:rFonts w:ascii="Times New Roman" w:hAnsi="Times New Roman"/>
        </w:rPr>
        <w:t xml:space="preserve">N isotope, leaving the heavy </w:t>
      </w:r>
      <w:r w:rsidRPr="00CC1A34">
        <w:rPr>
          <w:rFonts w:ascii="Times New Roman" w:hAnsi="Times New Roman"/>
          <w:vertAlign w:val="superscript"/>
        </w:rPr>
        <w:t>15</w:t>
      </w:r>
      <w:r w:rsidRPr="00CC1A34">
        <w:rPr>
          <w:rFonts w:ascii="Times New Roman" w:hAnsi="Times New Roman"/>
        </w:rPr>
        <w:t>N isotope behind</w:t>
      </w:r>
      <w:r w:rsidR="00A16B4B">
        <w:rPr>
          <w:rFonts w:ascii="Times New Roman" w:hAnsi="Times New Roman"/>
        </w:rPr>
        <w:t>,</w:t>
      </w:r>
      <w:r w:rsidRPr="00CC1A34">
        <w:rPr>
          <w:rFonts w:ascii="Times New Roman" w:hAnsi="Times New Roman"/>
        </w:rPr>
        <w:t xml:space="preserve"> enriching the residual nitrate (Altabet, 2005; Meckler et al., 2011)</w:t>
      </w:r>
      <w:r>
        <w:rPr>
          <w:rFonts w:ascii="Times New Roman" w:hAnsi="Times New Roman"/>
        </w:rPr>
        <w:t xml:space="preserve">. Based on recent culture experiments by </w:t>
      </w:r>
      <w:proofErr w:type="spellStart"/>
      <w:r>
        <w:rPr>
          <w:rFonts w:ascii="Times New Roman" w:hAnsi="Times New Roman"/>
        </w:rPr>
        <w:t>Kritee</w:t>
      </w:r>
      <w:proofErr w:type="spellEnd"/>
      <w:r>
        <w:rPr>
          <w:rFonts w:ascii="Times New Roman" w:hAnsi="Times New Roman"/>
        </w:rPr>
        <w:t xml:space="preserve"> et al. (2012), a range of</w:t>
      </w:r>
      <w:r w:rsidRPr="007B139D">
        <w:rPr>
          <w:rFonts w:ascii="Times New Roman" w:hAnsi="Times New Roman"/>
        </w:rPr>
        <w:t xml:space="preserve"> </w:t>
      </w:r>
      <w:r>
        <w:rPr>
          <w:rFonts w:ascii="Times New Roman" w:hAnsi="Times New Roman"/>
        </w:rPr>
        <w:t>δ</w:t>
      </w:r>
      <w:r w:rsidRPr="0040177A">
        <w:rPr>
          <w:rFonts w:ascii="Times New Roman" w:hAnsi="Times New Roman"/>
          <w:vertAlign w:val="superscript"/>
        </w:rPr>
        <w:t>15</w:t>
      </w:r>
      <w:r>
        <w:rPr>
          <w:rFonts w:ascii="Times New Roman" w:hAnsi="Times New Roman"/>
        </w:rPr>
        <w:t>N values from -10 to -15</w:t>
      </w:r>
      <w:r w:rsidRPr="00CC1A34">
        <w:rPr>
          <w:rFonts w:ascii="Times New Roman" w:hAnsi="Times New Roman"/>
        </w:rPr>
        <w:t>‰</w:t>
      </w:r>
      <w:r>
        <w:rPr>
          <w:rFonts w:ascii="Times New Roman" w:hAnsi="Times New Roman"/>
        </w:rPr>
        <w:t xml:space="preserve"> may be </w:t>
      </w:r>
      <w:r>
        <w:rPr>
          <w:rFonts w:ascii="Times New Roman" w:hAnsi="Times New Roman"/>
        </w:rPr>
        <w:lastRenderedPageBreak/>
        <w:t>more representative of the environment in the ocean. However, a range</w:t>
      </w:r>
      <w:r w:rsidR="007E4EAE">
        <w:rPr>
          <w:rFonts w:ascii="Times New Roman" w:hAnsi="Times New Roman"/>
        </w:rPr>
        <w:t xml:space="preserve"> of</w:t>
      </w:r>
      <w:r>
        <w:rPr>
          <w:rFonts w:ascii="Times New Roman" w:hAnsi="Times New Roman"/>
        </w:rPr>
        <w:t xml:space="preserve"> -25 to -30</w:t>
      </w:r>
      <w:r w:rsidRPr="00CC1A34">
        <w:rPr>
          <w:rFonts w:ascii="Times New Roman" w:hAnsi="Times New Roman"/>
        </w:rPr>
        <w:t>‰</w:t>
      </w:r>
      <w:r>
        <w:rPr>
          <w:rFonts w:ascii="Times New Roman" w:hAnsi="Times New Roman"/>
        </w:rPr>
        <w:t xml:space="preserve"> is what has actually been measured in the field (Kern et al</w:t>
      </w:r>
      <w:r w:rsidRPr="00CC1A34">
        <w:rPr>
          <w:rFonts w:ascii="Times New Roman" w:hAnsi="Times New Roman"/>
        </w:rPr>
        <w:t>.</w:t>
      </w:r>
      <w:r>
        <w:rPr>
          <w:rFonts w:ascii="Times New Roman" w:hAnsi="Times New Roman"/>
        </w:rPr>
        <w:t>, 2016).</w:t>
      </w:r>
      <w:r w:rsidRPr="00CC1A34">
        <w:rPr>
          <w:rFonts w:ascii="Times New Roman" w:hAnsi="Times New Roman"/>
        </w:rPr>
        <w:t xml:space="preserve"> Anammox is still a relatively </w:t>
      </w:r>
      <w:r w:rsidRPr="00467218">
        <w:rPr>
          <w:rFonts w:ascii="Times New Roman" w:hAnsi="Times New Roman"/>
        </w:rPr>
        <w:t>recent</w:t>
      </w:r>
      <w:r>
        <w:rPr>
          <w:rFonts w:ascii="Times New Roman" w:hAnsi="Times New Roman"/>
        </w:rPr>
        <w:t>ly</w:t>
      </w:r>
      <w:r w:rsidRPr="00CC1A34">
        <w:rPr>
          <w:rFonts w:ascii="Times New Roman" w:hAnsi="Times New Roman"/>
        </w:rPr>
        <w:t xml:space="preserve"> </w:t>
      </w:r>
      <w:r>
        <w:rPr>
          <w:rFonts w:ascii="Times New Roman" w:hAnsi="Times New Roman"/>
        </w:rPr>
        <w:t xml:space="preserve">(Mulder et al., 1995) </w:t>
      </w:r>
      <w:r w:rsidRPr="00CC1A34">
        <w:rPr>
          <w:rFonts w:ascii="Times New Roman" w:hAnsi="Times New Roman"/>
        </w:rPr>
        <w:t xml:space="preserve">discovered microbial pathway (Godfrey &amp; Glass, 2011) and its potential impact on the stable nitrogen isotope cycle in ocean waters over geologic time is not known. </w:t>
      </w:r>
      <w:r w:rsidRPr="001A2D21">
        <w:rPr>
          <w:rFonts w:ascii="Times New Roman" w:hAnsi="Times New Roman"/>
        </w:rPr>
        <w:t>However, recent batch culture experiments report a wide range of nitrogen isotope effects caused by anammox bacteria under varied growth conditions which appear to be similar to denitrification (Brunner et al., 2013), yet these nitrogen isotope effects are still uncertain in the natural world (</w:t>
      </w:r>
      <w:proofErr w:type="spellStart"/>
      <w:r w:rsidRPr="001A2D21">
        <w:rPr>
          <w:rFonts w:ascii="Times New Roman" w:hAnsi="Times New Roman"/>
        </w:rPr>
        <w:t>Wenk</w:t>
      </w:r>
      <w:proofErr w:type="spellEnd"/>
      <w:r w:rsidRPr="001A2D21">
        <w:rPr>
          <w:rFonts w:ascii="Times New Roman" w:hAnsi="Times New Roman"/>
        </w:rPr>
        <w:t>, 2013). Anammox processes are</w:t>
      </w:r>
      <w:r>
        <w:rPr>
          <w:rFonts w:ascii="Times New Roman" w:hAnsi="Times New Roman"/>
        </w:rPr>
        <w:t>,</w:t>
      </w:r>
      <w:r w:rsidRPr="001A2D21">
        <w:rPr>
          <w:rFonts w:ascii="Times New Roman" w:hAnsi="Times New Roman"/>
        </w:rPr>
        <w:t xml:space="preserve"> therefore</w:t>
      </w:r>
      <w:r>
        <w:rPr>
          <w:rFonts w:ascii="Times New Roman" w:hAnsi="Times New Roman"/>
        </w:rPr>
        <w:t>,</w:t>
      </w:r>
      <w:r w:rsidRPr="001A2D21">
        <w:rPr>
          <w:rFonts w:ascii="Times New Roman" w:hAnsi="Times New Roman"/>
        </w:rPr>
        <w:t xml:space="preserve"> commonly included under denitrification</w:t>
      </w:r>
      <w:r>
        <w:rPr>
          <w:rFonts w:ascii="Times New Roman" w:hAnsi="Times New Roman"/>
        </w:rPr>
        <w:t xml:space="preserve"> (Rivera et al., 2015). </w:t>
      </w:r>
    </w:p>
    <w:p w:rsidR="008D4F69" w:rsidRDefault="008D4F69" w:rsidP="008D4F69">
      <w:pPr>
        <w:ind w:firstLine="720"/>
        <w:rPr>
          <w:rFonts w:ascii="Times New Roman" w:hAnsi="Times New Roman"/>
        </w:rPr>
      </w:pPr>
      <w:r>
        <w:rPr>
          <w:rFonts w:ascii="Times New Roman" w:hAnsi="Times New Roman"/>
        </w:rPr>
        <w:t xml:space="preserve">Denitrification is the main process in suboxic conditions where there is enough oxygen in the water column to support the production of nitrate, </w:t>
      </w:r>
      <w:r w:rsidRPr="00A419B5">
        <w:rPr>
          <w:rFonts w:ascii="Times New Roman" w:hAnsi="Times New Roman"/>
        </w:rPr>
        <w:t>but the oxygen concentration cannot be too high or the enzymes need</w:t>
      </w:r>
      <w:r>
        <w:rPr>
          <w:rFonts w:ascii="Times New Roman" w:hAnsi="Times New Roman"/>
        </w:rPr>
        <w:t>ed</w:t>
      </w:r>
      <w:r w:rsidRPr="00A419B5">
        <w:rPr>
          <w:rFonts w:ascii="Times New Roman" w:hAnsi="Times New Roman"/>
        </w:rPr>
        <w:t xml:space="preserve"> to convert nitrate to N</w:t>
      </w:r>
      <w:r w:rsidRPr="00A419B5">
        <w:rPr>
          <w:rFonts w:ascii="Times New Roman" w:hAnsi="Times New Roman"/>
          <w:vertAlign w:val="subscript"/>
        </w:rPr>
        <w:t xml:space="preserve">2 </w:t>
      </w:r>
      <w:r w:rsidRPr="00A419B5">
        <w:rPr>
          <w:rFonts w:ascii="Times New Roman" w:hAnsi="Times New Roman"/>
        </w:rPr>
        <w:t>are inhibited.</w:t>
      </w:r>
      <w:r>
        <w:rPr>
          <w:rFonts w:ascii="Times New Roman" w:hAnsi="Times New Roman"/>
        </w:rPr>
        <w:t xml:space="preserve"> The denitrification reaction is generally characterized by higher</w:t>
      </w:r>
      <w:r w:rsidRPr="00C64129">
        <w:rPr>
          <w:rFonts w:ascii="Times New Roman" w:hAnsi="Times New Roman"/>
        </w:rPr>
        <w:t xml:space="preserve"> </w:t>
      </w:r>
      <w:r w:rsidRPr="009D4444">
        <w:rPr>
          <w:rFonts w:ascii="Times New Roman" w:hAnsi="Times New Roman"/>
        </w:rPr>
        <w:t>δ</w:t>
      </w:r>
      <w:r w:rsidRPr="009D4444">
        <w:rPr>
          <w:rFonts w:ascii="Times New Roman" w:hAnsi="Times New Roman"/>
          <w:vertAlign w:val="superscript"/>
        </w:rPr>
        <w:t>15</w:t>
      </w:r>
      <w:r w:rsidRPr="009D4444">
        <w:rPr>
          <w:rFonts w:ascii="Times New Roman" w:hAnsi="Times New Roman"/>
        </w:rPr>
        <w:t>N value</w:t>
      </w:r>
      <w:r>
        <w:rPr>
          <w:rFonts w:ascii="Times New Roman" w:hAnsi="Times New Roman"/>
        </w:rPr>
        <w:t>s. When conditions are fully anoxic, nitrate is unstable. The denitrification reaction goes to completion and no measurable isotopic fractionation is preserved. Both denitrification and nitrification are less dominant processes in anoxic environments</w:t>
      </w:r>
      <w:r w:rsidRPr="006B5220">
        <w:rPr>
          <w:rFonts w:ascii="Times New Roman" w:hAnsi="Times New Roman"/>
        </w:rPr>
        <w:t xml:space="preserve"> </w:t>
      </w:r>
      <w:r>
        <w:rPr>
          <w:rFonts w:ascii="Times New Roman" w:hAnsi="Times New Roman"/>
        </w:rPr>
        <w:t>than the nitrogen fixation process (Quan et al., 2013). Therefore, a decrease in</w:t>
      </w:r>
      <w:r w:rsidRPr="00C64129">
        <w:rPr>
          <w:rFonts w:ascii="Times New Roman" w:hAnsi="Times New Roman"/>
        </w:rPr>
        <w:t xml:space="preserve"> </w:t>
      </w:r>
      <w:r w:rsidRPr="009D4444">
        <w:rPr>
          <w:rFonts w:ascii="Times New Roman" w:hAnsi="Times New Roman"/>
        </w:rPr>
        <w:t>δ</w:t>
      </w:r>
      <w:r w:rsidRPr="009D4444">
        <w:rPr>
          <w:rFonts w:ascii="Times New Roman" w:hAnsi="Times New Roman"/>
          <w:vertAlign w:val="superscript"/>
        </w:rPr>
        <w:t>15</w:t>
      </w:r>
      <w:r w:rsidRPr="009D4444">
        <w:rPr>
          <w:rFonts w:ascii="Times New Roman" w:hAnsi="Times New Roman"/>
        </w:rPr>
        <w:t>N value</w:t>
      </w:r>
      <w:r>
        <w:rPr>
          <w:rFonts w:ascii="Times New Roman" w:hAnsi="Times New Roman"/>
        </w:rPr>
        <w:t xml:space="preserve">s from a suboxic to anoxic environment is observed due to small isotope fractionation associated with nitrogen fixation (Figure 2). Fully oxic conditions also inhibit denitrification. Fully oxic water column conditions are dominated by nitrification and nitrogen uptake processes. As with nitrogen fixation, nitrification has a small isotope </w:t>
      </w:r>
      <w:r>
        <w:rPr>
          <w:rFonts w:ascii="Times New Roman" w:hAnsi="Times New Roman"/>
        </w:rPr>
        <w:lastRenderedPageBreak/>
        <w:t xml:space="preserve">fractionation factor and again a decrease in </w:t>
      </w:r>
      <w:r w:rsidRPr="009D4444">
        <w:rPr>
          <w:rFonts w:ascii="Times New Roman" w:hAnsi="Times New Roman"/>
        </w:rPr>
        <w:t>δ</w:t>
      </w:r>
      <w:r w:rsidRPr="009D4444">
        <w:rPr>
          <w:rFonts w:ascii="Times New Roman" w:hAnsi="Times New Roman"/>
          <w:vertAlign w:val="superscript"/>
        </w:rPr>
        <w:t>15</w:t>
      </w:r>
      <w:r w:rsidRPr="009D4444">
        <w:rPr>
          <w:rFonts w:ascii="Times New Roman" w:hAnsi="Times New Roman"/>
        </w:rPr>
        <w:t>N value</w:t>
      </w:r>
      <w:r>
        <w:rPr>
          <w:rFonts w:ascii="Times New Roman" w:hAnsi="Times New Roman"/>
        </w:rPr>
        <w:t xml:space="preserve">s from suboxic to oxic environments is observed (Figure 2); (Quan et al., 2013; Rivera et al., 2015). </w:t>
      </w:r>
    </w:p>
    <w:p w:rsidR="008D4F69" w:rsidRDefault="008D4F69" w:rsidP="008D4F69">
      <w:pPr>
        <w:ind w:firstLine="720"/>
        <w:rPr>
          <w:rFonts w:ascii="Times New Roman" w:hAnsi="Times New Roman"/>
        </w:rPr>
      </w:pPr>
    </w:p>
    <w:p w:rsidR="008D4F69" w:rsidRDefault="008D4F69" w:rsidP="008D4F69">
      <w:pPr>
        <w:keepNext/>
        <w:spacing w:line="240" w:lineRule="auto"/>
      </w:pPr>
      <w:r>
        <w:rPr>
          <w:noProof/>
          <w:lang w:bidi="ar-SA"/>
        </w:rPr>
        <w:drawing>
          <wp:inline distT="0" distB="0" distL="0" distR="0" wp14:anchorId="7C71A9FC" wp14:editId="2F9312F3">
            <wp:extent cx="5943600" cy="25527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redox nitrogen .jpg"/>
                    <pic:cNvPicPr/>
                  </pic:nvPicPr>
                  <pic:blipFill rotWithShape="1">
                    <a:blip r:embed="rId10">
                      <a:extLst>
                        <a:ext uri="{28A0092B-C50C-407E-A947-70E740481C1C}">
                          <a14:useLocalDpi xmlns:a14="http://schemas.microsoft.com/office/drawing/2010/main" val="0"/>
                        </a:ext>
                      </a:extLst>
                    </a:blip>
                    <a:srcRect t="23647"/>
                    <a:stretch/>
                  </pic:blipFill>
                  <pic:spPr bwMode="auto">
                    <a:xfrm>
                      <a:off x="0" y="0"/>
                      <a:ext cx="5943600" cy="2552700"/>
                    </a:xfrm>
                    <a:prstGeom prst="rect">
                      <a:avLst/>
                    </a:prstGeom>
                    <a:ln>
                      <a:noFill/>
                    </a:ln>
                    <a:extLst>
                      <a:ext uri="{53640926-AAD7-44D8-BBD7-CCE9431645EC}">
                        <a14:shadowObscured xmlns:a14="http://schemas.microsoft.com/office/drawing/2010/main"/>
                      </a:ext>
                    </a:extLst>
                  </pic:spPr>
                </pic:pic>
              </a:graphicData>
            </a:graphic>
          </wp:inline>
        </w:drawing>
      </w:r>
    </w:p>
    <w:p w:rsidR="008D4F69" w:rsidRDefault="008D4F69" w:rsidP="008D4F69">
      <w:pPr>
        <w:pStyle w:val="Caption"/>
        <w:rPr>
          <w:rFonts w:ascii="Times New Roman" w:hAnsi="Times New Roman"/>
          <w:i/>
          <w:szCs w:val="24"/>
        </w:rPr>
      </w:pPr>
      <w:r w:rsidRPr="00430DC0">
        <w:rPr>
          <w:rFonts w:ascii="Times New Roman" w:hAnsi="Times New Roman"/>
          <w:szCs w:val="24"/>
        </w:rPr>
        <w:t>Figure 2.</w:t>
      </w:r>
      <w:r>
        <w:rPr>
          <w:rFonts w:ascii="Times New Roman" w:hAnsi="Times New Roman"/>
          <w:szCs w:val="24"/>
        </w:rPr>
        <w:t xml:space="preserve"> </w:t>
      </w:r>
      <w:r w:rsidRPr="0055541E">
        <w:rPr>
          <w:rFonts w:ascii="Times New Roman" w:hAnsi="Times New Roman"/>
          <w:b w:val="0"/>
          <w:szCs w:val="24"/>
        </w:rPr>
        <w:t>Graphical representation of bulk sediment δ</w:t>
      </w:r>
      <w:r w:rsidRPr="0055541E">
        <w:rPr>
          <w:rFonts w:ascii="Times New Roman" w:hAnsi="Times New Roman"/>
          <w:b w:val="0"/>
          <w:szCs w:val="24"/>
          <w:vertAlign w:val="superscript"/>
        </w:rPr>
        <w:t>15</w:t>
      </w:r>
      <w:r w:rsidRPr="0055541E">
        <w:rPr>
          <w:rFonts w:ascii="Times New Roman" w:hAnsi="Times New Roman"/>
          <w:b w:val="0"/>
          <w:szCs w:val="24"/>
        </w:rPr>
        <w:t xml:space="preserve">N values and water oxygen concentrations. </w:t>
      </w:r>
      <w:r w:rsidR="00B218C6">
        <w:rPr>
          <w:rFonts w:ascii="Times New Roman" w:hAnsi="Times New Roman"/>
          <w:b w:val="0"/>
          <w:szCs w:val="24"/>
        </w:rPr>
        <w:t xml:space="preserve">The </w:t>
      </w:r>
      <w:r w:rsidRPr="0055541E">
        <w:rPr>
          <w:rFonts w:ascii="Times New Roman" w:hAnsi="Times New Roman"/>
          <w:b w:val="0"/>
          <w:szCs w:val="24"/>
        </w:rPr>
        <w:t>δ</w:t>
      </w:r>
      <w:r w:rsidRPr="0055541E">
        <w:rPr>
          <w:rFonts w:ascii="Times New Roman" w:hAnsi="Times New Roman"/>
          <w:b w:val="0"/>
          <w:szCs w:val="24"/>
          <w:vertAlign w:val="superscript"/>
        </w:rPr>
        <w:t>15</w:t>
      </w:r>
      <w:r w:rsidRPr="0055541E">
        <w:rPr>
          <w:rFonts w:ascii="Times New Roman" w:hAnsi="Times New Roman"/>
          <w:b w:val="0"/>
          <w:szCs w:val="24"/>
        </w:rPr>
        <w:t>N values are highest in the suboxic zone where incomplete denitrification is the dominate nitrogen process and is associated with large isotope fractionation that enriches the substrate by 20-30‰ (Altabet, 2005). A move to more anoxic waters lowers δ</w:t>
      </w:r>
      <w:r w:rsidRPr="0055541E">
        <w:rPr>
          <w:rFonts w:ascii="Times New Roman" w:hAnsi="Times New Roman"/>
          <w:b w:val="0"/>
          <w:szCs w:val="24"/>
          <w:vertAlign w:val="superscript"/>
        </w:rPr>
        <w:t>15</w:t>
      </w:r>
      <w:r w:rsidRPr="0055541E">
        <w:rPr>
          <w:rFonts w:ascii="Times New Roman" w:hAnsi="Times New Roman"/>
          <w:b w:val="0"/>
          <w:szCs w:val="24"/>
        </w:rPr>
        <w:t>N values as nitrogen fixation becomes the primary process and is associated with little isotope fractionation. A move to more oxic water will again lower the δ</w:t>
      </w:r>
      <w:r w:rsidRPr="0055541E">
        <w:rPr>
          <w:rFonts w:ascii="Times New Roman" w:hAnsi="Times New Roman"/>
          <w:b w:val="0"/>
          <w:szCs w:val="24"/>
          <w:vertAlign w:val="superscript"/>
        </w:rPr>
        <w:t>15</w:t>
      </w:r>
      <w:r w:rsidRPr="0055541E">
        <w:rPr>
          <w:rFonts w:ascii="Times New Roman" w:hAnsi="Times New Roman"/>
          <w:b w:val="0"/>
          <w:szCs w:val="24"/>
        </w:rPr>
        <w:t>N value from the suboxic zone</w:t>
      </w:r>
      <w:r w:rsidR="00B218C6">
        <w:rPr>
          <w:rFonts w:ascii="Times New Roman" w:hAnsi="Times New Roman"/>
          <w:b w:val="0"/>
          <w:szCs w:val="24"/>
        </w:rPr>
        <w:t>,</w:t>
      </w:r>
      <w:r w:rsidRPr="0055541E">
        <w:rPr>
          <w:rFonts w:ascii="Times New Roman" w:hAnsi="Times New Roman"/>
          <w:b w:val="0"/>
          <w:szCs w:val="24"/>
        </w:rPr>
        <w:t xml:space="preserve"> as nitrification is the primary nitrogen process and like nitrogen fixation has a small </w:t>
      </w:r>
      <w:r w:rsidR="00B218C6">
        <w:rPr>
          <w:rFonts w:ascii="Times New Roman" w:hAnsi="Times New Roman"/>
          <w:b w:val="0"/>
          <w:szCs w:val="24"/>
        </w:rPr>
        <w:t>isotope fractionation factor.</w:t>
      </w:r>
      <w:r w:rsidRPr="0055541E">
        <w:rPr>
          <w:rFonts w:ascii="Times New Roman" w:hAnsi="Times New Roman"/>
          <w:b w:val="0"/>
          <w:szCs w:val="24"/>
        </w:rPr>
        <w:t xml:space="preserve"> Modified after Rivera et al., 2015.</w:t>
      </w:r>
      <w:r>
        <w:rPr>
          <w:rFonts w:ascii="Times New Roman" w:hAnsi="Times New Roman"/>
          <w:szCs w:val="24"/>
        </w:rPr>
        <w:t xml:space="preserve">  </w:t>
      </w:r>
    </w:p>
    <w:p w:rsidR="0055541E" w:rsidRDefault="0055541E" w:rsidP="0055541E">
      <w:pPr>
        <w:ind w:firstLine="720"/>
      </w:pPr>
    </w:p>
    <w:p w:rsidR="008D4F69" w:rsidRPr="00CC1A34" w:rsidRDefault="008D4F69" w:rsidP="0055541E">
      <w:pPr>
        <w:ind w:firstLine="720"/>
        <w:rPr>
          <w:rFonts w:ascii="Times New Roman" w:hAnsi="Times New Roman"/>
        </w:rPr>
      </w:pPr>
      <w:r w:rsidRPr="00CC1A34">
        <w:rPr>
          <w:rFonts w:ascii="Times New Roman" w:hAnsi="Times New Roman"/>
        </w:rPr>
        <w:t>The signal of nitrogen isotopes in sedimentary organic matter can improve our understanding of the past nitrogen cycle (</w:t>
      </w:r>
      <w:proofErr w:type="spellStart"/>
      <w:r w:rsidRPr="00CC1A34">
        <w:rPr>
          <w:rFonts w:ascii="Times New Roman" w:hAnsi="Times New Roman"/>
        </w:rPr>
        <w:t>Junium</w:t>
      </w:r>
      <w:proofErr w:type="spellEnd"/>
      <w:r w:rsidR="00451067">
        <w:rPr>
          <w:rFonts w:ascii="Times New Roman" w:hAnsi="Times New Roman"/>
        </w:rPr>
        <w:t xml:space="preserve"> and Arthur, 20</w:t>
      </w:r>
      <w:r w:rsidRPr="00CC1A34">
        <w:rPr>
          <w:rFonts w:ascii="Times New Roman" w:hAnsi="Times New Roman"/>
        </w:rPr>
        <w:t>0</w:t>
      </w:r>
      <w:r w:rsidR="00451067">
        <w:rPr>
          <w:rFonts w:ascii="Times New Roman" w:hAnsi="Times New Roman"/>
        </w:rPr>
        <w:t>7</w:t>
      </w:r>
      <w:r w:rsidR="00A16B4B">
        <w:rPr>
          <w:rFonts w:ascii="Times New Roman" w:hAnsi="Times New Roman"/>
        </w:rPr>
        <w:t>; Godfrey &amp; G</w:t>
      </w:r>
      <w:r w:rsidRPr="00CC1A34">
        <w:rPr>
          <w:rFonts w:ascii="Times New Roman" w:hAnsi="Times New Roman"/>
        </w:rPr>
        <w:t xml:space="preserve">lass, 2011; Tesdal et al., 2013; </w:t>
      </w:r>
      <w:proofErr w:type="spellStart"/>
      <w:r w:rsidRPr="00CC1A34">
        <w:rPr>
          <w:rFonts w:ascii="Times New Roman" w:hAnsi="Times New Roman"/>
        </w:rPr>
        <w:t>Saitoh</w:t>
      </w:r>
      <w:proofErr w:type="spellEnd"/>
      <w:r w:rsidRPr="00CC1A34">
        <w:rPr>
          <w:rFonts w:ascii="Times New Roman" w:hAnsi="Times New Roman"/>
        </w:rPr>
        <w:t xml:space="preserve"> et al., 2014)</w:t>
      </w:r>
      <w:r w:rsidRPr="00CC1A34">
        <w:rPr>
          <w:rFonts w:ascii="Times New Roman" w:hAnsi="Times New Roman"/>
          <w:b/>
        </w:rPr>
        <w:t xml:space="preserve"> </w:t>
      </w:r>
      <w:r w:rsidRPr="00CC1A34">
        <w:rPr>
          <w:rFonts w:ascii="Times New Roman" w:hAnsi="Times New Roman"/>
        </w:rPr>
        <w:t>and be used to determine past biochemical cycling in the paleo-oceanographic record</w:t>
      </w:r>
      <w:r w:rsidRPr="00CC1A34">
        <w:rPr>
          <w:rFonts w:ascii="Times New Roman" w:hAnsi="Times New Roman"/>
          <w:b/>
        </w:rPr>
        <w:t xml:space="preserve"> </w:t>
      </w:r>
      <w:r w:rsidRPr="00CC1A34">
        <w:rPr>
          <w:rFonts w:ascii="Times New Roman" w:hAnsi="Times New Roman"/>
        </w:rPr>
        <w:t>(Altabet &amp; Francois, 1994; Lehmann et al., 2002; Robinson et al., 2012</w:t>
      </w:r>
      <w:r>
        <w:rPr>
          <w:rFonts w:ascii="Times New Roman" w:hAnsi="Times New Roman"/>
        </w:rPr>
        <w:t>; Galbraith et al., 2013). Stable nitrogen isotope values</w:t>
      </w:r>
      <w:r w:rsidRPr="00CC1A34">
        <w:rPr>
          <w:rFonts w:ascii="Times New Roman" w:hAnsi="Times New Roman"/>
        </w:rPr>
        <w:t xml:space="preserve"> can also be used to help distinguish crude oils derived from different source rocks and to differentiate types of organic matter (Macko &amp; Quick, 1986; Williams et al., 1995; </w:t>
      </w:r>
      <w:proofErr w:type="spellStart"/>
      <w:r w:rsidRPr="00CC1A34">
        <w:rPr>
          <w:rFonts w:ascii="Times New Roman" w:hAnsi="Times New Roman"/>
        </w:rPr>
        <w:t>Marcano</w:t>
      </w:r>
      <w:proofErr w:type="spellEnd"/>
      <w:r w:rsidRPr="00CC1A34">
        <w:rPr>
          <w:rFonts w:ascii="Times New Roman" w:hAnsi="Times New Roman"/>
        </w:rPr>
        <w:t xml:space="preserve"> et al., 2013). Finally, because the reactions responsible for the conversion </w:t>
      </w:r>
      <w:r w:rsidRPr="00CC1A34">
        <w:rPr>
          <w:rFonts w:ascii="Times New Roman" w:hAnsi="Times New Roman"/>
        </w:rPr>
        <w:lastRenderedPageBreak/>
        <w:t>between different nitrogen forms are strongly influenced by the redox state of the water column, nitrogen isotopes can be used to characterize depositional environments (Rivera</w:t>
      </w:r>
      <w:r>
        <w:rPr>
          <w:rFonts w:ascii="Times New Roman" w:hAnsi="Times New Roman"/>
        </w:rPr>
        <w:t xml:space="preserve"> et al., 2015 and references therein</w:t>
      </w:r>
      <w:r w:rsidRPr="00CC1A34">
        <w:rPr>
          <w:rFonts w:ascii="Times New Roman" w:hAnsi="Times New Roman"/>
        </w:rPr>
        <w:t>).</w:t>
      </w:r>
    </w:p>
    <w:p w:rsidR="008D4F69" w:rsidRPr="00CC1A34" w:rsidRDefault="008D4F69" w:rsidP="008D4F69">
      <w:pPr>
        <w:ind w:firstLine="720"/>
        <w:rPr>
          <w:rFonts w:ascii="Times New Roman" w:hAnsi="Times New Roman"/>
        </w:rPr>
      </w:pPr>
      <w:r w:rsidRPr="00CC1A34">
        <w:rPr>
          <w:rFonts w:ascii="Times New Roman" w:hAnsi="Times New Roman"/>
        </w:rPr>
        <w:t xml:space="preserve">The use of stable nitrogen isotopes to reconstruct paleo-environments relies on the preservation of the primary nitrogen isotopic signal (Godfrey &amp; </w:t>
      </w:r>
      <w:r>
        <w:rPr>
          <w:rFonts w:ascii="Times New Roman" w:hAnsi="Times New Roman"/>
        </w:rPr>
        <w:t>Glass, 2011; Quan et al., 2013</w:t>
      </w:r>
      <w:r w:rsidRPr="00CC1A34">
        <w:rPr>
          <w:rFonts w:ascii="Times New Roman" w:hAnsi="Times New Roman"/>
        </w:rPr>
        <w:t xml:space="preserve">). However, these primary signals may, to some extent, be altered during burial, diagenesis (Robinson et al., 2012; Tesdal et al., 2013; Rivera et al., 2015), </w:t>
      </w:r>
      <w:proofErr w:type="spellStart"/>
      <w:r w:rsidRPr="00CC1A34">
        <w:rPr>
          <w:rFonts w:ascii="Times New Roman" w:hAnsi="Times New Roman"/>
        </w:rPr>
        <w:t>catagenesis</w:t>
      </w:r>
      <w:proofErr w:type="spellEnd"/>
      <w:r w:rsidRPr="00CC1A34">
        <w:rPr>
          <w:rFonts w:ascii="Times New Roman" w:hAnsi="Times New Roman"/>
        </w:rPr>
        <w:t>, thermal maturity, and fluid heat flow (Quan et al., 2013; Rivera et al., 2015).</w:t>
      </w:r>
    </w:p>
    <w:p w:rsidR="008D4F69" w:rsidRDefault="008D4F69" w:rsidP="008D4F69">
      <w:pPr>
        <w:ind w:firstLine="720"/>
        <w:rPr>
          <w:rFonts w:ascii="Times New Roman" w:hAnsi="Times New Roman"/>
        </w:rPr>
      </w:pPr>
      <w:r w:rsidRPr="00CC1A34">
        <w:rPr>
          <w:rFonts w:ascii="Times New Roman" w:hAnsi="Times New Roman"/>
        </w:rPr>
        <w:t xml:space="preserve">This study further investigates secular change in the ocean water nitrogen cycle using the stable nitrogen isotope composition of crude oils. Previous studies have documented that the stable isotope compositions of crude oils reflect that of the source rocks from which they were derived, </w:t>
      </w:r>
      <w:proofErr w:type="gramStart"/>
      <w:r w:rsidRPr="00CC1A34">
        <w:rPr>
          <w:rFonts w:ascii="Times New Roman" w:hAnsi="Times New Roman"/>
        </w:rPr>
        <w:t>in particular for</w:t>
      </w:r>
      <w:proofErr w:type="gramEnd"/>
      <w:r w:rsidRPr="00CC1A34">
        <w:rPr>
          <w:rFonts w:ascii="Times New Roman" w:hAnsi="Times New Roman"/>
        </w:rPr>
        <w:t xml:space="preserve"> carbon (e.g. Andrusevich et al., 1998) and sulfur (e.g. Engel and Zumberge, 2007). In the present study, it will be determined whether the stable nitrogen isotope composition of crude oils also record the secular change for δ</w:t>
      </w:r>
      <w:r w:rsidRPr="00CC1A34">
        <w:rPr>
          <w:rFonts w:ascii="Times New Roman" w:hAnsi="Times New Roman"/>
          <w:vertAlign w:val="superscript"/>
        </w:rPr>
        <w:t>15</w:t>
      </w:r>
      <w:r w:rsidRPr="00CC1A34">
        <w:rPr>
          <w:rFonts w:ascii="Times New Roman" w:hAnsi="Times New Roman"/>
        </w:rPr>
        <w:t>N that have been observed for kerogen and sedi</w:t>
      </w:r>
      <w:r>
        <w:rPr>
          <w:rFonts w:ascii="Times New Roman" w:hAnsi="Times New Roman"/>
        </w:rPr>
        <w:t>mentary organic matter (e.g. Stü</w:t>
      </w:r>
      <w:r w:rsidRPr="00CC1A34">
        <w:rPr>
          <w:rFonts w:ascii="Times New Roman" w:hAnsi="Times New Roman"/>
        </w:rPr>
        <w:t xml:space="preserve">eken et al., 2015 and references therein).  </w:t>
      </w:r>
    </w:p>
    <w:p w:rsidR="008D4F69" w:rsidRDefault="008D4F69" w:rsidP="008D4F69"/>
    <w:p w:rsidR="006F7CD0" w:rsidRPr="006F7CD0" w:rsidRDefault="008D4F69" w:rsidP="006F7CD0">
      <w:pPr>
        <w:spacing w:line="240" w:lineRule="auto"/>
      </w:pPr>
      <w:r>
        <w:br w:type="page"/>
      </w:r>
    </w:p>
    <w:p w:rsidR="008D4F69" w:rsidRPr="006F7CD0" w:rsidRDefault="008D4F69" w:rsidP="008D4F69">
      <w:pPr>
        <w:jc w:val="center"/>
        <w:rPr>
          <w:rFonts w:ascii="Times New Roman" w:hAnsi="Times New Roman"/>
          <w:b/>
          <w:sz w:val="28"/>
          <w:szCs w:val="28"/>
        </w:rPr>
      </w:pPr>
      <w:r w:rsidRPr="006F7CD0">
        <w:rPr>
          <w:rFonts w:ascii="Times New Roman" w:hAnsi="Times New Roman"/>
          <w:b/>
          <w:sz w:val="28"/>
          <w:szCs w:val="28"/>
        </w:rPr>
        <w:lastRenderedPageBreak/>
        <w:t>Sample Selection</w:t>
      </w:r>
    </w:p>
    <w:p w:rsidR="008D4F69" w:rsidRPr="00CC1A34" w:rsidRDefault="008D4F69" w:rsidP="008D4F69">
      <w:pPr>
        <w:rPr>
          <w:rFonts w:ascii="Times New Roman" w:hAnsi="Times New Roman"/>
        </w:rPr>
      </w:pPr>
      <w:r w:rsidRPr="00CC1A34">
        <w:rPr>
          <w:rFonts w:ascii="Times New Roman" w:hAnsi="Times New Roman"/>
        </w:rPr>
        <w:tab/>
        <w:t>Sixty-two crude oils derived from siliciclastic, carbonate/marl, hypersaline and lacustrine source rocks of known geologic age ranging from the Precambrian/ Cambrian to the Neogene were obtained from the sample collection of GeoMark Research, Inc., Houston</w:t>
      </w:r>
      <w:r w:rsidR="000F3931">
        <w:rPr>
          <w:rFonts w:ascii="Times New Roman" w:hAnsi="Times New Roman"/>
        </w:rPr>
        <w:t>, TX</w:t>
      </w:r>
      <w:r w:rsidRPr="00CC1A34">
        <w:rPr>
          <w:rFonts w:ascii="Times New Roman" w:hAnsi="Times New Roman"/>
        </w:rPr>
        <w:t xml:space="preserve"> (Appendix 1). The geologic ages of the source rocks of these oils were previously determined using biomarker analyses. Differences in the depositional environment were used to determine effects on the biomass and whether the fluctuation in the nitrogen isotope signal is global or specific to certain environments.</w:t>
      </w:r>
      <w:r>
        <w:rPr>
          <w:rFonts w:ascii="Times New Roman" w:hAnsi="Times New Roman"/>
        </w:rPr>
        <w:t xml:space="preserve"> The numbers used in the text, tables, and figures correspond to the oil identification numbers listed in Appendix 1.</w:t>
      </w:r>
      <w:r w:rsidRPr="00CC1A34">
        <w:rPr>
          <w:rFonts w:ascii="Times New Roman" w:hAnsi="Times New Roman"/>
        </w:rPr>
        <w:t xml:space="preserve"> </w:t>
      </w:r>
    </w:p>
    <w:p w:rsidR="008D4F69" w:rsidRPr="00CC1A34" w:rsidRDefault="008D4F69" w:rsidP="008D4F69">
      <w:pPr>
        <w:ind w:firstLine="720"/>
        <w:rPr>
          <w:rFonts w:ascii="Times New Roman" w:hAnsi="Times New Roman"/>
        </w:rPr>
      </w:pPr>
      <w:r w:rsidRPr="00CC1A34">
        <w:rPr>
          <w:rFonts w:ascii="Times New Roman" w:hAnsi="Times New Roman"/>
        </w:rPr>
        <w:t xml:space="preserve"> Within the </w:t>
      </w:r>
      <w:r w:rsidR="00565343" w:rsidRPr="00CC1A34">
        <w:rPr>
          <w:rFonts w:ascii="Times New Roman" w:hAnsi="Times New Roman"/>
        </w:rPr>
        <w:t>sixty-two-crude</w:t>
      </w:r>
      <w:r w:rsidRPr="00CC1A34">
        <w:rPr>
          <w:rFonts w:ascii="Times New Roman" w:hAnsi="Times New Roman"/>
        </w:rPr>
        <w:t xml:space="preserve"> oil set, five oils (22, 33, 31, 32, and 30) were selected from the Sureste Basin and Tampico Basin in Mexico (Table 1) and four oils (21, 27, 26, and 25) were selected from the Central Arabian Province Basin in the Middle East (Table 2) to determine the effects of thermal maturity on the stable nitrogen isotope composition of these oils. The oils selected from Mexico are of increasing API gravity, ranging from 12.8 to 32.6, and based on </w:t>
      </w:r>
      <w:proofErr w:type="spellStart"/>
      <w:r w:rsidRPr="00CC1A34">
        <w:rPr>
          <w:rFonts w:ascii="Times New Roman" w:hAnsi="Times New Roman"/>
        </w:rPr>
        <w:t>Ts</w:t>
      </w:r>
      <w:proofErr w:type="spellEnd"/>
      <w:r w:rsidRPr="00CC1A34">
        <w:rPr>
          <w:rFonts w:ascii="Times New Roman" w:hAnsi="Times New Roman"/>
        </w:rPr>
        <w:t>/Tm values were of increasing maturity (Table 1). The oils selected from the Middle East are also of increasing API gravity, ranging from 27.0 to 33.2 and were also of increasing maturity (Table 2).</w:t>
      </w:r>
    </w:p>
    <w:p w:rsidR="00AA30BB" w:rsidRDefault="00AA30BB" w:rsidP="008D4F69">
      <w:pPr>
        <w:pStyle w:val="Caption"/>
        <w:keepNext/>
        <w:rPr>
          <w:rFonts w:ascii="Times New Roman" w:hAnsi="Times New Roman"/>
        </w:rPr>
      </w:pPr>
    </w:p>
    <w:p w:rsidR="00AA30BB" w:rsidRDefault="00AA30BB" w:rsidP="008D4F69">
      <w:pPr>
        <w:pStyle w:val="Caption"/>
        <w:keepNext/>
        <w:rPr>
          <w:rFonts w:ascii="Times New Roman" w:hAnsi="Times New Roman"/>
        </w:rPr>
      </w:pPr>
    </w:p>
    <w:p w:rsidR="00AA30BB" w:rsidRDefault="00AA30BB" w:rsidP="008D4F69">
      <w:pPr>
        <w:pStyle w:val="Caption"/>
        <w:keepNext/>
        <w:rPr>
          <w:rFonts w:ascii="Times New Roman" w:hAnsi="Times New Roman"/>
        </w:rPr>
      </w:pPr>
    </w:p>
    <w:p w:rsidR="00AA30BB" w:rsidRDefault="00AA30BB" w:rsidP="008D4F69">
      <w:pPr>
        <w:pStyle w:val="Caption"/>
        <w:keepNext/>
        <w:rPr>
          <w:rFonts w:ascii="Times New Roman" w:hAnsi="Times New Roman"/>
        </w:rPr>
      </w:pPr>
    </w:p>
    <w:p w:rsidR="00AA30BB" w:rsidRDefault="00AA30BB" w:rsidP="008D4F69">
      <w:pPr>
        <w:pStyle w:val="Caption"/>
        <w:keepNext/>
        <w:rPr>
          <w:rFonts w:ascii="Times New Roman" w:hAnsi="Times New Roman"/>
        </w:rPr>
      </w:pPr>
    </w:p>
    <w:p w:rsidR="00AA30BB" w:rsidRDefault="00AA30BB" w:rsidP="008D4F69">
      <w:pPr>
        <w:pStyle w:val="Caption"/>
        <w:keepNext/>
        <w:rPr>
          <w:rFonts w:ascii="Times New Roman" w:hAnsi="Times New Roman"/>
        </w:rPr>
      </w:pPr>
    </w:p>
    <w:p w:rsidR="00AA30BB" w:rsidRDefault="00AA30BB" w:rsidP="008D4F69">
      <w:pPr>
        <w:pStyle w:val="Caption"/>
        <w:keepNext/>
        <w:rPr>
          <w:rFonts w:ascii="Times New Roman" w:hAnsi="Times New Roman"/>
        </w:rPr>
      </w:pPr>
    </w:p>
    <w:p w:rsidR="00AA30BB" w:rsidRPr="00AA30BB" w:rsidRDefault="00AA30BB" w:rsidP="00AA30BB"/>
    <w:p w:rsidR="008D4F69" w:rsidRPr="00CC1A34" w:rsidRDefault="008D4F69" w:rsidP="008D4F69">
      <w:pPr>
        <w:pStyle w:val="Caption"/>
        <w:keepNext/>
        <w:rPr>
          <w:rFonts w:ascii="Times New Roman" w:hAnsi="Times New Roman"/>
          <w:i/>
        </w:rPr>
      </w:pPr>
      <w:r w:rsidRPr="00CC1A34">
        <w:rPr>
          <w:rFonts w:ascii="Times New Roman" w:hAnsi="Times New Roman"/>
        </w:rPr>
        <w:lastRenderedPageBreak/>
        <w:t>Table 1</w:t>
      </w:r>
    </w:p>
    <w:p w:rsidR="008D4F69" w:rsidRPr="00AA30BB" w:rsidRDefault="008D4F69" w:rsidP="008D4F69">
      <w:pPr>
        <w:pStyle w:val="Caption"/>
        <w:keepNext/>
        <w:rPr>
          <w:rFonts w:ascii="Times New Roman" w:hAnsi="Times New Roman"/>
          <w:b w:val="0"/>
          <w:i/>
        </w:rPr>
      </w:pPr>
      <w:r w:rsidRPr="00AA30BB">
        <w:rPr>
          <w:rFonts w:ascii="Times New Roman" w:hAnsi="Times New Roman"/>
          <w:b w:val="0"/>
        </w:rPr>
        <w:t xml:space="preserve">Mexican oils of increasing maturity </w:t>
      </w:r>
    </w:p>
    <w:tbl>
      <w:tblPr>
        <w:tblStyle w:val="Style1"/>
        <w:tblW w:w="0" w:type="auto"/>
        <w:tblLook w:val="04A0" w:firstRow="1" w:lastRow="0" w:firstColumn="1" w:lastColumn="0" w:noHBand="0" w:noVBand="1"/>
      </w:tblPr>
      <w:tblGrid>
        <w:gridCol w:w="1738"/>
        <w:gridCol w:w="1593"/>
        <w:gridCol w:w="1743"/>
        <w:gridCol w:w="1711"/>
        <w:gridCol w:w="1711"/>
      </w:tblGrid>
      <w:tr w:rsidR="008D4F69" w:rsidRPr="00CC1A34" w:rsidTr="0008061A">
        <w:tc>
          <w:tcPr>
            <w:tcW w:w="1915" w:type="dxa"/>
            <w:tcBorders>
              <w:top w:val="single" w:sz="4" w:space="0" w:color="auto"/>
              <w:bottom w:val="single" w:sz="4" w:space="0" w:color="auto"/>
            </w:tcBorders>
          </w:tcPr>
          <w:p w:rsidR="008D4F69" w:rsidRPr="00CC1A34" w:rsidRDefault="008D4F69" w:rsidP="0008061A">
            <w:pPr>
              <w:rPr>
                <w:rFonts w:ascii="Times New Roman" w:hAnsi="Times New Roman" w:cs="Times New Roman"/>
                <w:sz w:val="18"/>
                <w:szCs w:val="18"/>
              </w:rPr>
            </w:pPr>
            <w:r w:rsidRPr="00CC1A34">
              <w:rPr>
                <w:rFonts w:ascii="Times New Roman" w:hAnsi="Times New Roman" w:cs="Times New Roman"/>
                <w:sz w:val="18"/>
                <w:szCs w:val="18"/>
              </w:rPr>
              <w:t>Sample ID</w:t>
            </w:r>
          </w:p>
        </w:tc>
        <w:tc>
          <w:tcPr>
            <w:tcW w:w="1726" w:type="dxa"/>
            <w:tcBorders>
              <w:top w:val="single" w:sz="4" w:space="0" w:color="auto"/>
              <w:bottom w:val="single" w:sz="4" w:space="0" w:color="auto"/>
            </w:tcBorders>
          </w:tcPr>
          <w:p w:rsidR="008D4F69" w:rsidRPr="00CC1A34" w:rsidRDefault="008D4F69" w:rsidP="0008061A">
            <w:pPr>
              <w:rPr>
                <w:rFonts w:ascii="Times New Roman" w:hAnsi="Times New Roman" w:cs="Times New Roman"/>
                <w:sz w:val="18"/>
                <w:szCs w:val="18"/>
              </w:rPr>
            </w:pPr>
            <w:r w:rsidRPr="00CC1A34">
              <w:rPr>
                <w:rFonts w:ascii="Times New Roman" w:hAnsi="Times New Roman" w:cs="Times New Roman"/>
                <w:sz w:val="18"/>
                <w:szCs w:val="18"/>
              </w:rPr>
              <w:t>Basin</w:t>
            </w:r>
          </w:p>
        </w:tc>
        <w:tc>
          <w:tcPr>
            <w:tcW w:w="1919" w:type="dxa"/>
            <w:tcBorders>
              <w:top w:val="single" w:sz="4" w:space="0" w:color="auto"/>
              <w:bottom w:val="single" w:sz="4" w:space="0" w:color="auto"/>
            </w:tcBorders>
          </w:tcPr>
          <w:p w:rsidR="008D4F69" w:rsidRPr="00CC1A34" w:rsidRDefault="008D4F69" w:rsidP="0008061A">
            <w:pPr>
              <w:rPr>
                <w:rFonts w:ascii="Times New Roman" w:hAnsi="Times New Roman" w:cs="Times New Roman"/>
                <w:sz w:val="18"/>
                <w:szCs w:val="18"/>
              </w:rPr>
            </w:pPr>
            <w:r w:rsidRPr="00CC1A34">
              <w:rPr>
                <w:rFonts w:ascii="Times New Roman" w:hAnsi="Times New Roman" w:cs="Times New Roman"/>
                <w:sz w:val="18"/>
                <w:szCs w:val="18"/>
              </w:rPr>
              <w:t>API Gravity</w:t>
            </w:r>
          </w:p>
        </w:tc>
        <w:tc>
          <w:tcPr>
            <w:tcW w:w="1895" w:type="dxa"/>
            <w:tcBorders>
              <w:top w:val="single" w:sz="4" w:space="0" w:color="auto"/>
              <w:bottom w:val="single" w:sz="4" w:space="0" w:color="auto"/>
            </w:tcBorders>
          </w:tcPr>
          <w:p w:rsidR="008D4F69" w:rsidRPr="00CC1A34" w:rsidRDefault="008D4F69" w:rsidP="0008061A">
            <w:pPr>
              <w:rPr>
                <w:rFonts w:ascii="Times New Roman" w:hAnsi="Times New Roman" w:cs="Times New Roman"/>
                <w:sz w:val="18"/>
                <w:szCs w:val="18"/>
              </w:rPr>
            </w:pPr>
            <w:r w:rsidRPr="00CC1A34">
              <w:rPr>
                <w:rFonts w:ascii="Times New Roman" w:hAnsi="Times New Roman" w:cs="Times New Roman"/>
                <w:sz w:val="18"/>
                <w:szCs w:val="18"/>
              </w:rPr>
              <w:t>C27</w:t>
            </w:r>
          </w:p>
          <w:p w:rsidR="008D4F69" w:rsidRPr="00CC1A34" w:rsidRDefault="008D4F69" w:rsidP="0008061A">
            <w:pPr>
              <w:rPr>
                <w:rFonts w:ascii="Times New Roman" w:hAnsi="Times New Roman" w:cs="Times New Roman"/>
                <w:sz w:val="18"/>
                <w:szCs w:val="18"/>
              </w:rPr>
            </w:pPr>
            <w:proofErr w:type="spellStart"/>
            <w:r w:rsidRPr="00CC1A34">
              <w:rPr>
                <w:rFonts w:ascii="Times New Roman" w:hAnsi="Times New Roman" w:cs="Times New Roman"/>
                <w:sz w:val="18"/>
                <w:szCs w:val="18"/>
              </w:rPr>
              <w:t>Ts</w:t>
            </w:r>
            <w:proofErr w:type="spellEnd"/>
            <w:r w:rsidRPr="00CC1A34">
              <w:rPr>
                <w:rFonts w:ascii="Times New Roman" w:hAnsi="Times New Roman" w:cs="Times New Roman"/>
                <w:sz w:val="18"/>
                <w:szCs w:val="18"/>
              </w:rPr>
              <w:t>/Tm</w:t>
            </w:r>
          </w:p>
        </w:tc>
        <w:tc>
          <w:tcPr>
            <w:tcW w:w="1895" w:type="dxa"/>
            <w:tcBorders>
              <w:top w:val="single" w:sz="4" w:space="0" w:color="auto"/>
              <w:bottom w:val="single" w:sz="4" w:space="0" w:color="auto"/>
            </w:tcBorders>
          </w:tcPr>
          <w:p w:rsidR="008D4F69" w:rsidRPr="00CC1A34" w:rsidRDefault="008D4F69" w:rsidP="0008061A">
            <w:pPr>
              <w:rPr>
                <w:rFonts w:ascii="Times New Roman" w:hAnsi="Times New Roman" w:cs="Times New Roman"/>
                <w:sz w:val="18"/>
                <w:szCs w:val="18"/>
              </w:rPr>
            </w:pPr>
            <w:r w:rsidRPr="00CC1A34">
              <w:rPr>
                <w:rFonts w:ascii="Times New Roman" w:hAnsi="Times New Roman" w:cs="Times New Roman"/>
                <w:sz w:val="18"/>
                <w:szCs w:val="18"/>
              </w:rPr>
              <w:t>C29</w:t>
            </w:r>
          </w:p>
          <w:p w:rsidR="008D4F69" w:rsidRPr="00CC1A34" w:rsidRDefault="008D4F69" w:rsidP="0008061A">
            <w:pPr>
              <w:rPr>
                <w:rFonts w:ascii="Times New Roman" w:hAnsi="Times New Roman" w:cs="Times New Roman"/>
                <w:sz w:val="18"/>
                <w:szCs w:val="18"/>
              </w:rPr>
            </w:pPr>
            <w:proofErr w:type="spellStart"/>
            <w:r w:rsidRPr="00CC1A34">
              <w:rPr>
                <w:rFonts w:ascii="Times New Roman" w:hAnsi="Times New Roman" w:cs="Times New Roman"/>
                <w:sz w:val="18"/>
                <w:szCs w:val="18"/>
              </w:rPr>
              <w:t>Ts</w:t>
            </w:r>
            <w:proofErr w:type="spellEnd"/>
            <w:r w:rsidRPr="00CC1A34">
              <w:rPr>
                <w:rFonts w:ascii="Times New Roman" w:hAnsi="Times New Roman" w:cs="Times New Roman"/>
                <w:sz w:val="18"/>
                <w:szCs w:val="18"/>
              </w:rPr>
              <w:t>/Tm</w:t>
            </w:r>
          </w:p>
        </w:tc>
      </w:tr>
      <w:tr w:rsidR="008D4F69" w:rsidRPr="00CC1A34" w:rsidTr="0008061A">
        <w:tc>
          <w:tcPr>
            <w:tcW w:w="1915" w:type="dxa"/>
            <w:tcBorders>
              <w:top w:val="single" w:sz="4" w:space="0" w:color="auto"/>
            </w:tcBorders>
          </w:tcPr>
          <w:p w:rsidR="008D4F69" w:rsidRPr="00CC1A34" w:rsidRDefault="008D4F69" w:rsidP="0008061A">
            <w:pPr>
              <w:rPr>
                <w:rFonts w:ascii="Times New Roman" w:hAnsi="Times New Roman" w:cs="Times New Roman"/>
                <w:sz w:val="18"/>
                <w:szCs w:val="18"/>
              </w:rPr>
            </w:pPr>
            <w:r w:rsidRPr="00CC1A34">
              <w:rPr>
                <w:rFonts w:ascii="Times New Roman" w:hAnsi="Times New Roman" w:cs="Times New Roman"/>
                <w:sz w:val="18"/>
                <w:szCs w:val="18"/>
              </w:rPr>
              <w:t>22</w:t>
            </w:r>
          </w:p>
        </w:tc>
        <w:tc>
          <w:tcPr>
            <w:tcW w:w="1726" w:type="dxa"/>
            <w:tcBorders>
              <w:top w:val="single" w:sz="4" w:space="0" w:color="auto"/>
            </w:tcBorders>
          </w:tcPr>
          <w:p w:rsidR="008D4F69" w:rsidRPr="00CC1A34" w:rsidRDefault="008D4F69" w:rsidP="0008061A">
            <w:pPr>
              <w:rPr>
                <w:rFonts w:ascii="Times New Roman" w:hAnsi="Times New Roman" w:cs="Times New Roman"/>
                <w:sz w:val="18"/>
                <w:szCs w:val="18"/>
              </w:rPr>
            </w:pPr>
            <w:r w:rsidRPr="00CC1A34">
              <w:rPr>
                <w:rFonts w:ascii="Times New Roman" w:hAnsi="Times New Roman" w:cs="Times New Roman"/>
                <w:sz w:val="18"/>
                <w:szCs w:val="18"/>
              </w:rPr>
              <w:t>Tampico</w:t>
            </w:r>
          </w:p>
        </w:tc>
        <w:tc>
          <w:tcPr>
            <w:tcW w:w="1919" w:type="dxa"/>
            <w:tcBorders>
              <w:top w:val="single" w:sz="4" w:space="0" w:color="auto"/>
            </w:tcBorders>
          </w:tcPr>
          <w:p w:rsidR="008D4F69" w:rsidRPr="00CC1A34" w:rsidRDefault="008D4F69" w:rsidP="0008061A">
            <w:pPr>
              <w:rPr>
                <w:rFonts w:ascii="Times New Roman" w:hAnsi="Times New Roman" w:cs="Times New Roman"/>
                <w:sz w:val="18"/>
                <w:szCs w:val="18"/>
              </w:rPr>
            </w:pPr>
            <w:r w:rsidRPr="00CC1A34">
              <w:rPr>
                <w:rFonts w:ascii="Times New Roman" w:hAnsi="Times New Roman" w:cs="Times New Roman"/>
                <w:sz w:val="18"/>
                <w:szCs w:val="18"/>
              </w:rPr>
              <w:t>12.8</w:t>
            </w:r>
          </w:p>
        </w:tc>
        <w:tc>
          <w:tcPr>
            <w:tcW w:w="1895" w:type="dxa"/>
            <w:tcBorders>
              <w:top w:val="single" w:sz="4" w:space="0" w:color="auto"/>
            </w:tcBorders>
          </w:tcPr>
          <w:p w:rsidR="008D4F69" w:rsidRPr="00CC1A34" w:rsidRDefault="008D4F69" w:rsidP="0008061A">
            <w:pPr>
              <w:rPr>
                <w:rFonts w:ascii="Times New Roman" w:hAnsi="Times New Roman" w:cs="Times New Roman"/>
                <w:sz w:val="18"/>
                <w:szCs w:val="18"/>
              </w:rPr>
            </w:pPr>
            <w:r w:rsidRPr="00CC1A34">
              <w:rPr>
                <w:rFonts w:ascii="Times New Roman" w:hAnsi="Times New Roman" w:cs="Times New Roman"/>
                <w:sz w:val="18"/>
                <w:szCs w:val="18"/>
              </w:rPr>
              <w:t>0.37</w:t>
            </w:r>
          </w:p>
        </w:tc>
        <w:tc>
          <w:tcPr>
            <w:tcW w:w="1895" w:type="dxa"/>
            <w:tcBorders>
              <w:top w:val="single" w:sz="4" w:space="0" w:color="auto"/>
            </w:tcBorders>
          </w:tcPr>
          <w:p w:rsidR="008D4F69" w:rsidRPr="00CC1A34" w:rsidRDefault="008D4F69" w:rsidP="0008061A">
            <w:pPr>
              <w:rPr>
                <w:rFonts w:ascii="Times New Roman" w:hAnsi="Times New Roman" w:cs="Times New Roman"/>
                <w:sz w:val="18"/>
                <w:szCs w:val="18"/>
              </w:rPr>
            </w:pPr>
            <w:r w:rsidRPr="00CC1A34">
              <w:rPr>
                <w:rFonts w:ascii="Times New Roman" w:hAnsi="Times New Roman" w:cs="Times New Roman"/>
                <w:sz w:val="18"/>
                <w:szCs w:val="18"/>
              </w:rPr>
              <w:t>0.12</w:t>
            </w:r>
          </w:p>
        </w:tc>
      </w:tr>
      <w:tr w:rsidR="008D4F69" w:rsidRPr="00CC1A34" w:rsidTr="0008061A">
        <w:tc>
          <w:tcPr>
            <w:tcW w:w="1915" w:type="dxa"/>
          </w:tcPr>
          <w:p w:rsidR="008D4F69" w:rsidRPr="00CC1A34" w:rsidRDefault="008D4F69" w:rsidP="0008061A">
            <w:pPr>
              <w:rPr>
                <w:rFonts w:ascii="Times New Roman" w:hAnsi="Times New Roman" w:cs="Times New Roman"/>
                <w:sz w:val="18"/>
                <w:szCs w:val="18"/>
              </w:rPr>
            </w:pPr>
            <w:r w:rsidRPr="00CC1A34">
              <w:rPr>
                <w:rFonts w:ascii="Times New Roman" w:hAnsi="Times New Roman" w:cs="Times New Roman"/>
                <w:sz w:val="18"/>
                <w:szCs w:val="18"/>
              </w:rPr>
              <w:t>33</w:t>
            </w:r>
          </w:p>
        </w:tc>
        <w:tc>
          <w:tcPr>
            <w:tcW w:w="1726" w:type="dxa"/>
          </w:tcPr>
          <w:p w:rsidR="008D4F69" w:rsidRPr="00CC1A34" w:rsidRDefault="008D4F69" w:rsidP="0008061A">
            <w:pPr>
              <w:rPr>
                <w:rFonts w:ascii="Times New Roman" w:hAnsi="Times New Roman" w:cs="Times New Roman"/>
                <w:sz w:val="18"/>
                <w:szCs w:val="18"/>
              </w:rPr>
            </w:pPr>
            <w:r w:rsidRPr="00CC1A34">
              <w:rPr>
                <w:rFonts w:ascii="Times New Roman" w:hAnsi="Times New Roman" w:cs="Times New Roman"/>
                <w:sz w:val="18"/>
                <w:szCs w:val="18"/>
              </w:rPr>
              <w:t>Sureste</w:t>
            </w:r>
          </w:p>
        </w:tc>
        <w:tc>
          <w:tcPr>
            <w:tcW w:w="1919" w:type="dxa"/>
          </w:tcPr>
          <w:p w:rsidR="008D4F69" w:rsidRPr="00CC1A34" w:rsidRDefault="008D4F69" w:rsidP="0008061A">
            <w:pPr>
              <w:rPr>
                <w:rFonts w:ascii="Times New Roman" w:hAnsi="Times New Roman" w:cs="Times New Roman"/>
                <w:sz w:val="18"/>
                <w:szCs w:val="18"/>
              </w:rPr>
            </w:pPr>
            <w:r w:rsidRPr="00CC1A34">
              <w:rPr>
                <w:rFonts w:ascii="Times New Roman" w:hAnsi="Times New Roman" w:cs="Times New Roman"/>
                <w:sz w:val="18"/>
                <w:szCs w:val="18"/>
              </w:rPr>
              <w:t>15.0</w:t>
            </w:r>
          </w:p>
        </w:tc>
        <w:tc>
          <w:tcPr>
            <w:tcW w:w="1895" w:type="dxa"/>
          </w:tcPr>
          <w:p w:rsidR="008D4F69" w:rsidRPr="00CC1A34" w:rsidRDefault="008D4F69" w:rsidP="0008061A">
            <w:pPr>
              <w:rPr>
                <w:rFonts w:ascii="Times New Roman" w:hAnsi="Times New Roman" w:cs="Times New Roman"/>
                <w:sz w:val="18"/>
                <w:szCs w:val="18"/>
              </w:rPr>
            </w:pPr>
            <w:r w:rsidRPr="00CC1A34">
              <w:rPr>
                <w:rFonts w:ascii="Times New Roman" w:hAnsi="Times New Roman" w:cs="Times New Roman"/>
                <w:sz w:val="18"/>
                <w:szCs w:val="18"/>
              </w:rPr>
              <w:t>0.30</w:t>
            </w:r>
          </w:p>
        </w:tc>
        <w:tc>
          <w:tcPr>
            <w:tcW w:w="1895" w:type="dxa"/>
          </w:tcPr>
          <w:p w:rsidR="008D4F69" w:rsidRPr="00CC1A34" w:rsidRDefault="008D4F69" w:rsidP="0008061A">
            <w:pPr>
              <w:rPr>
                <w:rFonts w:ascii="Times New Roman" w:hAnsi="Times New Roman" w:cs="Times New Roman"/>
                <w:sz w:val="18"/>
                <w:szCs w:val="18"/>
              </w:rPr>
            </w:pPr>
            <w:r w:rsidRPr="00CC1A34">
              <w:rPr>
                <w:rFonts w:ascii="Times New Roman" w:hAnsi="Times New Roman" w:cs="Times New Roman"/>
                <w:sz w:val="18"/>
                <w:szCs w:val="18"/>
              </w:rPr>
              <w:t>0.09</w:t>
            </w:r>
          </w:p>
        </w:tc>
      </w:tr>
      <w:tr w:rsidR="008D4F69" w:rsidRPr="00CC1A34" w:rsidTr="0008061A">
        <w:tc>
          <w:tcPr>
            <w:tcW w:w="1915" w:type="dxa"/>
          </w:tcPr>
          <w:p w:rsidR="008D4F69" w:rsidRPr="00CC1A34" w:rsidRDefault="008D4F69" w:rsidP="0008061A">
            <w:pPr>
              <w:rPr>
                <w:rFonts w:ascii="Times New Roman" w:hAnsi="Times New Roman" w:cs="Times New Roman"/>
                <w:sz w:val="18"/>
                <w:szCs w:val="18"/>
              </w:rPr>
            </w:pPr>
            <w:r w:rsidRPr="00CC1A34">
              <w:rPr>
                <w:rFonts w:ascii="Times New Roman" w:hAnsi="Times New Roman" w:cs="Times New Roman"/>
                <w:sz w:val="18"/>
                <w:szCs w:val="18"/>
              </w:rPr>
              <w:t>31</w:t>
            </w:r>
          </w:p>
        </w:tc>
        <w:tc>
          <w:tcPr>
            <w:tcW w:w="1726" w:type="dxa"/>
          </w:tcPr>
          <w:p w:rsidR="008D4F69" w:rsidRPr="00CC1A34" w:rsidRDefault="008D4F69" w:rsidP="0008061A">
            <w:pPr>
              <w:rPr>
                <w:rFonts w:ascii="Times New Roman" w:hAnsi="Times New Roman" w:cs="Times New Roman"/>
                <w:sz w:val="18"/>
                <w:szCs w:val="18"/>
              </w:rPr>
            </w:pPr>
            <w:r w:rsidRPr="00CC1A34">
              <w:rPr>
                <w:rFonts w:ascii="Times New Roman" w:hAnsi="Times New Roman" w:cs="Times New Roman"/>
                <w:sz w:val="18"/>
                <w:szCs w:val="18"/>
              </w:rPr>
              <w:t>Sureste</w:t>
            </w:r>
          </w:p>
        </w:tc>
        <w:tc>
          <w:tcPr>
            <w:tcW w:w="1919" w:type="dxa"/>
          </w:tcPr>
          <w:p w:rsidR="008D4F69" w:rsidRPr="00CC1A34" w:rsidRDefault="008D4F69" w:rsidP="0008061A">
            <w:pPr>
              <w:rPr>
                <w:rFonts w:ascii="Times New Roman" w:hAnsi="Times New Roman" w:cs="Times New Roman"/>
                <w:sz w:val="18"/>
                <w:szCs w:val="18"/>
              </w:rPr>
            </w:pPr>
            <w:r w:rsidRPr="00CC1A34">
              <w:rPr>
                <w:rFonts w:ascii="Times New Roman" w:hAnsi="Times New Roman" w:cs="Times New Roman"/>
                <w:sz w:val="18"/>
                <w:szCs w:val="18"/>
              </w:rPr>
              <w:t>18.1</w:t>
            </w:r>
          </w:p>
        </w:tc>
        <w:tc>
          <w:tcPr>
            <w:tcW w:w="1895" w:type="dxa"/>
          </w:tcPr>
          <w:p w:rsidR="008D4F69" w:rsidRPr="00CC1A34" w:rsidRDefault="008D4F69" w:rsidP="0008061A">
            <w:pPr>
              <w:rPr>
                <w:rFonts w:ascii="Times New Roman" w:hAnsi="Times New Roman" w:cs="Times New Roman"/>
                <w:sz w:val="18"/>
                <w:szCs w:val="18"/>
              </w:rPr>
            </w:pPr>
            <w:r w:rsidRPr="00CC1A34">
              <w:rPr>
                <w:rFonts w:ascii="Times New Roman" w:hAnsi="Times New Roman" w:cs="Times New Roman"/>
                <w:sz w:val="18"/>
                <w:szCs w:val="18"/>
              </w:rPr>
              <w:t>0.74</w:t>
            </w:r>
          </w:p>
        </w:tc>
        <w:tc>
          <w:tcPr>
            <w:tcW w:w="1895" w:type="dxa"/>
          </w:tcPr>
          <w:p w:rsidR="008D4F69" w:rsidRPr="00CC1A34" w:rsidRDefault="008D4F69" w:rsidP="0008061A">
            <w:pPr>
              <w:rPr>
                <w:rFonts w:ascii="Times New Roman" w:hAnsi="Times New Roman" w:cs="Times New Roman"/>
                <w:sz w:val="18"/>
                <w:szCs w:val="18"/>
              </w:rPr>
            </w:pPr>
            <w:r w:rsidRPr="00CC1A34">
              <w:rPr>
                <w:rFonts w:ascii="Times New Roman" w:hAnsi="Times New Roman" w:cs="Times New Roman"/>
                <w:sz w:val="18"/>
                <w:szCs w:val="18"/>
              </w:rPr>
              <w:t>0.20</w:t>
            </w:r>
          </w:p>
        </w:tc>
      </w:tr>
      <w:tr w:rsidR="008D4F69" w:rsidRPr="00CC1A34" w:rsidTr="0008061A">
        <w:tc>
          <w:tcPr>
            <w:tcW w:w="1915" w:type="dxa"/>
          </w:tcPr>
          <w:p w:rsidR="008D4F69" w:rsidRPr="00CC1A34" w:rsidRDefault="008D4F69" w:rsidP="0008061A">
            <w:pPr>
              <w:rPr>
                <w:rFonts w:ascii="Times New Roman" w:hAnsi="Times New Roman" w:cs="Times New Roman"/>
                <w:sz w:val="18"/>
                <w:szCs w:val="18"/>
              </w:rPr>
            </w:pPr>
            <w:r w:rsidRPr="00CC1A34">
              <w:rPr>
                <w:rFonts w:ascii="Times New Roman" w:hAnsi="Times New Roman" w:cs="Times New Roman"/>
                <w:sz w:val="18"/>
                <w:szCs w:val="18"/>
              </w:rPr>
              <w:t>32</w:t>
            </w:r>
          </w:p>
        </w:tc>
        <w:tc>
          <w:tcPr>
            <w:tcW w:w="1726" w:type="dxa"/>
          </w:tcPr>
          <w:p w:rsidR="008D4F69" w:rsidRPr="00CC1A34" w:rsidRDefault="008D4F69" w:rsidP="0008061A">
            <w:pPr>
              <w:rPr>
                <w:rFonts w:ascii="Times New Roman" w:hAnsi="Times New Roman" w:cs="Times New Roman"/>
                <w:sz w:val="18"/>
                <w:szCs w:val="18"/>
              </w:rPr>
            </w:pPr>
            <w:r w:rsidRPr="00CC1A34">
              <w:rPr>
                <w:rFonts w:ascii="Times New Roman" w:hAnsi="Times New Roman" w:cs="Times New Roman"/>
                <w:sz w:val="18"/>
                <w:szCs w:val="18"/>
              </w:rPr>
              <w:t>Sureste</w:t>
            </w:r>
          </w:p>
        </w:tc>
        <w:tc>
          <w:tcPr>
            <w:tcW w:w="1919" w:type="dxa"/>
          </w:tcPr>
          <w:p w:rsidR="008D4F69" w:rsidRPr="00CC1A34" w:rsidRDefault="008D4F69" w:rsidP="0008061A">
            <w:pPr>
              <w:rPr>
                <w:rFonts w:ascii="Times New Roman" w:hAnsi="Times New Roman" w:cs="Times New Roman"/>
                <w:sz w:val="18"/>
                <w:szCs w:val="18"/>
              </w:rPr>
            </w:pPr>
            <w:r w:rsidRPr="00CC1A34">
              <w:rPr>
                <w:rFonts w:ascii="Times New Roman" w:hAnsi="Times New Roman" w:cs="Times New Roman"/>
                <w:sz w:val="18"/>
                <w:szCs w:val="18"/>
              </w:rPr>
              <w:t>31.9</w:t>
            </w:r>
          </w:p>
        </w:tc>
        <w:tc>
          <w:tcPr>
            <w:tcW w:w="1895" w:type="dxa"/>
          </w:tcPr>
          <w:p w:rsidR="008D4F69" w:rsidRPr="00CC1A34" w:rsidRDefault="008D4F69" w:rsidP="0008061A">
            <w:pPr>
              <w:rPr>
                <w:rFonts w:ascii="Times New Roman" w:hAnsi="Times New Roman" w:cs="Times New Roman"/>
                <w:sz w:val="18"/>
                <w:szCs w:val="18"/>
              </w:rPr>
            </w:pPr>
            <w:r w:rsidRPr="00CC1A34">
              <w:rPr>
                <w:rFonts w:ascii="Times New Roman" w:hAnsi="Times New Roman" w:cs="Times New Roman"/>
                <w:sz w:val="18"/>
                <w:szCs w:val="18"/>
              </w:rPr>
              <w:t>0.81</w:t>
            </w:r>
          </w:p>
        </w:tc>
        <w:tc>
          <w:tcPr>
            <w:tcW w:w="1895" w:type="dxa"/>
          </w:tcPr>
          <w:p w:rsidR="008D4F69" w:rsidRPr="00CC1A34" w:rsidRDefault="008D4F69" w:rsidP="0008061A">
            <w:pPr>
              <w:rPr>
                <w:rFonts w:ascii="Times New Roman" w:hAnsi="Times New Roman" w:cs="Times New Roman"/>
                <w:sz w:val="18"/>
                <w:szCs w:val="18"/>
              </w:rPr>
            </w:pPr>
            <w:r w:rsidRPr="00CC1A34">
              <w:rPr>
                <w:rFonts w:ascii="Times New Roman" w:hAnsi="Times New Roman" w:cs="Times New Roman"/>
                <w:sz w:val="18"/>
                <w:szCs w:val="18"/>
              </w:rPr>
              <w:t>0.24</w:t>
            </w:r>
          </w:p>
        </w:tc>
      </w:tr>
      <w:tr w:rsidR="008D4F69" w:rsidRPr="00CC1A34" w:rsidTr="0008061A">
        <w:tc>
          <w:tcPr>
            <w:tcW w:w="1915" w:type="dxa"/>
            <w:tcBorders>
              <w:bottom w:val="single" w:sz="4" w:space="0" w:color="auto"/>
            </w:tcBorders>
          </w:tcPr>
          <w:p w:rsidR="008D4F69" w:rsidRPr="00CC1A34" w:rsidRDefault="008D4F69" w:rsidP="0008061A">
            <w:pPr>
              <w:rPr>
                <w:rFonts w:ascii="Times New Roman" w:hAnsi="Times New Roman" w:cs="Times New Roman"/>
                <w:sz w:val="18"/>
                <w:szCs w:val="18"/>
              </w:rPr>
            </w:pPr>
            <w:r w:rsidRPr="00CC1A34">
              <w:rPr>
                <w:rFonts w:ascii="Times New Roman" w:hAnsi="Times New Roman" w:cs="Times New Roman"/>
                <w:sz w:val="18"/>
                <w:szCs w:val="18"/>
              </w:rPr>
              <w:t>30</w:t>
            </w:r>
          </w:p>
        </w:tc>
        <w:tc>
          <w:tcPr>
            <w:tcW w:w="1726" w:type="dxa"/>
            <w:tcBorders>
              <w:bottom w:val="single" w:sz="4" w:space="0" w:color="auto"/>
            </w:tcBorders>
          </w:tcPr>
          <w:p w:rsidR="008D4F69" w:rsidRPr="00CC1A34" w:rsidRDefault="008D4F69" w:rsidP="0008061A">
            <w:pPr>
              <w:rPr>
                <w:rFonts w:ascii="Times New Roman" w:hAnsi="Times New Roman" w:cs="Times New Roman"/>
                <w:sz w:val="18"/>
                <w:szCs w:val="18"/>
              </w:rPr>
            </w:pPr>
            <w:r w:rsidRPr="00CC1A34">
              <w:rPr>
                <w:rFonts w:ascii="Times New Roman" w:hAnsi="Times New Roman" w:cs="Times New Roman"/>
                <w:sz w:val="18"/>
                <w:szCs w:val="18"/>
              </w:rPr>
              <w:t>Sureste</w:t>
            </w:r>
          </w:p>
        </w:tc>
        <w:tc>
          <w:tcPr>
            <w:tcW w:w="1919" w:type="dxa"/>
            <w:tcBorders>
              <w:bottom w:val="single" w:sz="4" w:space="0" w:color="auto"/>
            </w:tcBorders>
          </w:tcPr>
          <w:p w:rsidR="008D4F69" w:rsidRPr="00CC1A34" w:rsidRDefault="008D4F69" w:rsidP="0008061A">
            <w:pPr>
              <w:rPr>
                <w:rFonts w:ascii="Times New Roman" w:hAnsi="Times New Roman" w:cs="Times New Roman"/>
                <w:sz w:val="18"/>
                <w:szCs w:val="18"/>
              </w:rPr>
            </w:pPr>
            <w:r w:rsidRPr="00CC1A34">
              <w:rPr>
                <w:rFonts w:ascii="Times New Roman" w:hAnsi="Times New Roman" w:cs="Times New Roman"/>
                <w:sz w:val="18"/>
                <w:szCs w:val="18"/>
              </w:rPr>
              <w:t>32.6</w:t>
            </w:r>
          </w:p>
        </w:tc>
        <w:tc>
          <w:tcPr>
            <w:tcW w:w="1895" w:type="dxa"/>
            <w:tcBorders>
              <w:bottom w:val="single" w:sz="4" w:space="0" w:color="auto"/>
            </w:tcBorders>
          </w:tcPr>
          <w:p w:rsidR="008D4F69" w:rsidRPr="00CC1A34" w:rsidRDefault="008D4F69" w:rsidP="0008061A">
            <w:pPr>
              <w:rPr>
                <w:rFonts w:ascii="Times New Roman" w:hAnsi="Times New Roman" w:cs="Times New Roman"/>
                <w:sz w:val="18"/>
                <w:szCs w:val="18"/>
              </w:rPr>
            </w:pPr>
            <w:r w:rsidRPr="00CC1A34">
              <w:rPr>
                <w:rFonts w:ascii="Times New Roman" w:hAnsi="Times New Roman" w:cs="Times New Roman"/>
                <w:sz w:val="18"/>
                <w:szCs w:val="18"/>
              </w:rPr>
              <w:t>1.04</w:t>
            </w:r>
          </w:p>
        </w:tc>
        <w:tc>
          <w:tcPr>
            <w:tcW w:w="1895" w:type="dxa"/>
            <w:tcBorders>
              <w:bottom w:val="single" w:sz="4" w:space="0" w:color="auto"/>
            </w:tcBorders>
          </w:tcPr>
          <w:p w:rsidR="008D4F69" w:rsidRPr="00CC1A34" w:rsidRDefault="008D4F69" w:rsidP="0008061A">
            <w:pPr>
              <w:rPr>
                <w:rFonts w:ascii="Times New Roman" w:hAnsi="Times New Roman" w:cs="Times New Roman"/>
                <w:sz w:val="18"/>
                <w:szCs w:val="18"/>
              </w:rPr>
            </w:pPr>
            <w:r w:rsidRPr="00CC1A34">
              <w:rPr>
                <w:rFonts w:ascii="Times New Roman" w:hAnsi="Times New Roman" w:cs="Times New Roman"/>
                <w:sz w:val="18"/>
                <w:szCs w:val="18"/>
              </w:rPr>
              <w:t>0.28</w:t>
            </w:r>
          </w:p>
        </w:tc>
      </w:tr>
    </w:tbl>
    <w:p w:rsidR="009210B2" w:rsidRDefault="009210B2" w:rsidP="008D4F69">
      <w:pPr>
        <w:pStyle w:val="Caption"/>
        <w:keepNext/>
        <w:rPr>
          <w:rFonts w:ascii="Times New Roman" w:hAnsi="Times New Roman"/>
        </w:rPr>
      </w:pPr>
    </w:p>
    <w:p w:rsidR="009210B2" w:rsidRDefault="009210B2" w:rsidP="008D4F69">
      <w:pPr>
        <w:pStyle w:val="Caption"/>
        <w:keepNext/>
        <w:rPr>
          <w:rFonts w:ascii="Times New Roman" w:hAnsi="Times New Roman"/>
        </w:rPr>
      </w:pPr>
    </w:p>
    <w:p w:rsidR="008D4F69" w:rsidRPr="00CC1A34" w:rsidRDefault="008D4F69" w:rsidP="008D4F69">
      <w:pPr>
        <w:pStyle w:val="Caption"/>
        <w:keepNext/>
        <w:rPr>
          <w:rFonts w:ascii="Times New Roman" w:hAnsi="Times New Roman"/>
          <w:i/>
        </w:rPr>
      </w:pPr>
      <w:r w:rsidRPr="00CC1A34">
        <w:rPr>
          <w:rFonts w:ascii="Times New Roman" w:hAnsi="Times New Roman"/>
        </w:rPr>
        <w:t xml:space="preserve">Table 2 </w:t>
      </w:r>
    </w:p>
    <w:p w:rsidR="008D4F69" w:rsidRPr="00AA30BB" w:rsidRDefault="008D4F69" w:rsidP="008D4F69">
      <w:pPr>
        <w:pStyle w:val="Caption"/>
        <w:keepNext/>
        <w:rPr>
          <w:rFonts w:ascii="Times New Roman" w:hAnsi="Times New Roman"/>
          <w:b w:val="0"/>
          <w:i/>
        </w:rPr>
      </w:pPr>
      <w:r w:rsidRPr="00AA30BB">
        <w:rPr>
          <w:rFonts w:ascii="Times New Roman" w:hAnsi="Times New Roman"/>
          <w:b w:val="0"/>
        </w:rPr>
        <w:t xml:space="preserve">Middle East oils of increasing maturity </w:t>
      </w:r>
    </w:p>
    <w:tbl>
      <w:tblPr>
        <w:tblStyle w:val="Style1"/>
        <w:tblW w:w="8460" w:type="dxa"/>
        <w:tblLook w:val="04A0" w:firstRow="1" w:lastRow="0" w:firstColumn="1" w:lastColumn="0" w:noHBand="0" w:noVBand="1"/>
      </w:tblPr>
      <w:tblGrid>
        <w:gridCol w:w="1460"/>
        <w:gridCol w:w="2506"/>
        <w:gridCol w:w="1839"/>
        <w:gridCol w:w="1839"/>
        <w:gridCol w:w="816"/>
      </w:tblGrid>
      <w:tr w:rsidR="008D4F69" w:rsidRPr="00CC1A34" w:rsidTr="00887DB7">
        <w:trPr>
          <w:trHeight w:val="453"/>
        </w:trPr>
        <w:tc>
          <w:tcPr>
            <w:tcW w:w="1460" w:type="dxa"/>
            <w:tcBorders>
              <w:top w:val="single" w:sz="4" w:space="0" w:color="auto"/>
              <w:bottom w:val="single" w:sz="4" w:space="0" w:color="auto"/>
            </w:tcBorders>
          </w:tcPr>
          <w:p w:rsidR="008D4F69" w:rsidRPr="00CC1A34" w:rsidRDefault="008D4F69" w:rsidP="0008061A">
            <w:pPr>
              <w:rPr>
                <w:rFonts w:ascii="Times New Roman" w:hAnsi="Times New Roman" w:cs="Times New Roman"/>
                <w:sz w:val="18"/>
                <w:szCs w:val="18"/>
              </w:rPr>
            </w:pPr>
            <w:r w:rsidRPr="00CC1A34">
              <w:rPr>
                <w:rFonts w:ascii="Times New Roman" w:hAnsi="Times New Roman" w:cs="Times New Roman"/>
                <w:sz w:val="18"/>
                <w:szCs w:val="18"/>
              </w:rPr>
              <w:t xml:space="preserve">Sample ID </w:t>
            </w:r>
          </w:p>
        </w:tc>
        <w:tc>
          <w:tcPr>
            <w:tcW w:w="2506" w:type="dxa"/>
            <w:tcBorders>
              <w:top w:val="single" w:sz="4" w:space="0" w:color="auto"/>
              <w:bottom w:val="single" w:sz="4" w:space="0" w:color="auto"/>
            </w:tcBorders>
          </w:tcPr>
          <w:p w:rsidR="008D4F69" w:rsidRPr="00CC1A34" w:rsidRDefault="008D4F69" w:rsidP="0008061A">
            <w:pPr>
              <w:rPr>
                <w:rFonts w:ascii="Times New Roman" w:hAnsi="Times New Roman" w:cs="Times New Roman"/>
                <w:sz w:val="18"/>
                <w:szCs w:val="18"/>
              </w:rPr>
            </w:pPr>
            <w:r w:rsidRPr="00CC1A34">
              <w:rPr>
                <w:rFonts w:ascii="Times New Roman" w:hAnsi="Times New Roman" w:cs="Times New Roman"/>
                <w:sz w:val="18"/>
                <w:szCs w:val="18"/>
              </w:rPr>
              <w:t xml:space="preserve">Basin </w:t>
            </w:r>
          </w:p>
        </w:tc>
        <w:tc>
          <w:tcPr>
            <w:tcW w:w="1839" w:type="dxa"/>
            <w:tcBorders>
              <w:top w:val="single" w:sz="4" w:space="0" w:color="auto"/>
              <w:bottom w:val="single" w:sz="4" w:space="0" w:color="auto"/>
            </w:tcBorders>
          </w:tcPr>
          <w:p w:rsidR="008D4F69" w:rsidRPr="00CC1A34" w:rsidRDefault="008D4F69" w:rsidP="0008061A">
            <w:pPr>
              <w:rPr>
                <w:rFonts w:ascii="Times New Roman" w:hAnsi="Times New Roman" w:cs="Times New Roman"/>
                <w:sz w:val="18"/>
                <w:szCs w:val="18"/>
              </w:rPr>
            </w:pPr>
            <w:r w:rsidRPr="00CC1A34">
              <w:rPr>
                <w:rFonts w:ascii="Times New Roman" w:hAnsi="Times New Roman" w:cs="Times New Roman"/>
                <w:sz w:val="18"/>
                <w:szCs w:val="18"/>
              </w:rPr>
              <w:t>API Gravity</w:t>
            </w:r>
          </w:p>
        </w:tc>
        <w:tc>
          <w:tcPr>
            <w:tcW w:w="1839" w:type="dxa"/>
            <w:tcBorders>
              <w:top w:val="single" w:sz="4" w:space="0" w:color="auto"/>
              <w:bottom w:val="single" w:sz="4" w:space="0" w:color="auto"/>
            </w:tcBorders>
          </w:tcPr>
          <w:p w:rsidR="008D4F69" w:rsidRPr="00CC1A34" w:rsidRDefault="008D4F69" w:rsidP="0008061A">
            <w:pPr>
              <w:rPr>
                <w:rFonts w:ascii="Times New Roman" w:hAnsi="Times New Roman" w:cs="Times New Roman"/>
                <w:sz w:val="18"/>
                <w:szCs w:val="18"/>
              </w:rPr>
            </w:pPr>
            <w:r w:rsidRPr="00CC1A34">
              <w:rPr>
                <w:rFonts w:ascii="Times New Roman" w:hAnsi="Times New Roman" w:cs="Times New Roman"/>
                <w:sz w:val="18"/>
                <w:szCs w:val="18"/>
              </w:rPr>
              <w:t>C27</w:t>
            </w:r>
          </w:p>
          <w:p w:rsidR="008D4F69" w:rsidRPr="00CC1A34" w:rsidRDefault="008D4F69" w:rsidP="0008061A">
            <w:pPr>
              <w:rPr>
                <w:rFonts w:ascii="Times New Roman" w:hAnsi="Times New Roman" w:cs="Times New Roman"/>
                <w:sz w:val="18"/>
                <w:szCs w:val="18"/>
              </w:rPr>
            </w:pPr>
            <w:proofErr w:type="spellStart"/>
            <w:r w:rsidRPr="00CC1A34">
              <w:rPr>
                <w:rFonts w:ascii="Times New Roman" w:hAnsi="Times New Roman" w:cs="Times New Roman"/>
                <w:sz w:val="18"/>
                <w:szCs w:val="18"/>
              </w:rPr>
              <w:t>Ts</w:t>
            </w:r>
            <w:proofErr w:type="spellEnd"/>
            <w:r w:rsidRPr="00CC1A34">
              <w:rPr>
                <w:rFonts w:ascii="Times New Roman" w:hAnsi="Times New Roman" w:cs="Times New Roman"/>
                <w:sz w:val="18"/>
                <w:szCs w:val="18"/>
              </w:rPr>
              <w:t>/Tm</w:t>
            </w:r>
          </w:p>
        </w:tc>
        <w:tc>
          <w:tcPr>
            <w:tcW w:w="816" w:type="dxa"/>
            <w:tcBorders>
              <w:top w:val="single" w:sz="4" w:space="0" w:color="auto"/>
              <w:bottom w:val="single" w:sz="4" w:space="0" w:color="auto"/>
            </w:tcBorders>
          </w:tcPr>
          <w:p w:rsidR="008D4F69" w:rsidRPr="00CC1A34" w:rsidRDefault="008D4F69" w:rsidP="0008061A">
            <w:pPr>
              <w:rPr>
                <w:rFonts w:ascii="Times New Roman" w:hAnsi="Times New Roman" w:cs="Times New Roman"/>
                <w:sz w:val="18"/>
                <w:szCs w:val="18"/>
              </w:rPr>
            </w:pPr>
            <w:r w:rsidRPr="00CC1A34">
              <w:rPr>
                <w:rFonts w:ascii="Times New Roman" w:hAnsi="Times New Roman" w:cs="Times New Roman"/>
                <w:sz w:val="18"/>
                <w:szCs w:val="18"/>
              </w:rPr>
              <w:t>C29</w:t>
            </w:r>
          </w:p>
          <w:p w:rsidR="008D4F69" w:rsidRPr="00CC1A34" w:rsidRDefault="008D4F69" w:rsidP="0008061A">
            <w:pPr>
              <w:rPr>
                <w:rFonts w:ascii="Times New Roman" w:hAnsi="Times New Roman" w:cs="Times New Roman"/>
                <w:sz w:val="18"/>
                <w:szCs w:val="18"/>
              </w:rPr>
            </w:pPr>
            <w:proofErr w:type="spellStart"/>
            <w:r w:rsidRPr="00CC1A34">
              <w:rPr>
                <w:rFonts w:ascii="Times New Roman" w:hAnsi="Times New Roman" w:cs="Times New Roman"/>
                <w:sz w:val="18"/>
                <w:szCs w:val="18"/>
              </w:rPr>
              <w:t>Ts</w:t>
            </w:r>
            <w:proofErr w:type="spellEnd"/>
            <w:r w:rsidRPr="00CC1A34">
              <w:rPr>
                <w:rFonts w:ascii="Times New Roman" w:hAnsi="Times New Roman" w:cs="Times New Roman"/>
                <w:sz w:val="18"/>
                <w:szCs w:val="18"/>
              </w:rPr>
              <w:t>/Tm</w:t>
            </w:r>
          </w:p>
        </w:tc>
      </w:tr>
      <w:tr w:rsidR="008D4F69" w:rsidRPr="00CC1A34" w:rsidTr="00887DB7">
        <w:trPr>
          <w:trHeight w:val="234"/>
        </w:trPr>
        <w:tc>
          <w:tcPr>
            <w:tcW w:w="1460" w:type="dxa"/>
            <w:tcBorders>
              <w:top w:val="single" w:sz="4" w:space="0" w:color="auto"/>
            </w:tcBorders>
          </w:tcPr>
          <w:p w:rsidR="008D4F69" w:rsidRPr="00CC1A34" w:rsidRDefault="008D4F69" w:rsidP="0008061A">
            <w:pPr>
              <w:rPr>
                <w:rFonts w:ascii="Times New Roman" w:hAnsi="Times New Roman" w:cs="Times New Roman"/>
                <w:sz w:val="18"/>
                <w:szCs w:val="18"/>
              </w:rPr>
            </w:pPr>
            <w:r w:rsidRPr="00CC1A34">
              <w:rPr>
                <w:rFonts w:ascii="Times New Roman" w:hAnsi="Times New Roman" w:cs="Times New Roman"/>
                <w:sz w:val="18"/>
                <w:szCs w:val="18"/>
              </w:rPr>
              <w:t>21</w:t>
            </w:r>
          </w:p>
        </w:tc>
        <w:tc>
          <w:tcPr>
            <w:tcW w:w="2506" w:type="dxa"/>
            <w:tcBorders>
              <w:top w:val="single" w:sz="4" w:space="0" w:color="auto"/>
            </w:tcBorders>
          </w:tcPr>
          <w:p w:rsidR="008D4F69" w:rsidRPr="00CC1A34" w:rsidRDefault="008D4F69" w:rsidP="0008061A">
            <w:pPr>
              <w:rPr>
                <w:rFonts w:ascii="Times New Roman" w:hAnsi="Times New Roman" w:cs="Times New Roman"/>
                <w:sz w:val="18"/>
                <w:szCs w:val="18"/>
              </w:rPr>
            </w:pPr>
            <w:r w:rsidRPr="00CC1A34">
              <w:rPr>
                <w:rFonts w:ascii="Times New Roman" w:hAnsi="Times New Roman" w:cs="Times New Roman"/>
                <w:sz w:val="18"/>
                <w:szCs w:val="18"/>
              </w:rPr>
              <w:t>Central Arabian Province</w:t>
            </w:r>
          </w:p>
        </w:tc>
        <w:tc>
          <w:tcPr>
            <w:tcW w:w="1839" w:type="dxa"/>
            <w:tcBorders>
              <w:top w:val="single" w:sz="4" w:space="0" w:color="auto"/>
            </w:tcBorders>
          </w:tcPr>
          <w:p w:rsidR="008D4F69" w:rsidRPr="00CC1A34" w:rsidRDefault="008D4F69" w:rsidP="0008061A">
            <w:pPr>
              <w:rPr>
                <w:rFonts w:ascii="Times New Roman" w:hAnsi="Times New Roman" w:cs="Times New Roman"/>
                <w:sz w:val="18"/>
                <w:szCs w:val="18"/>
              </w:rPr>
            </w:pPr>
            <w:r w:rsidRPr="00CC1A34">
              <w:rPr>
                <w:rFonts w:ascii="Times New Roman" w:hAnsi="Times New Roman" w:cs="Times New Roman"/>
                <w:sz w:val="18"/>
                <w:szCs w:val="18"/>
              </w:rPr>
              <w:t>27.0</w:t>
            </w:r>
          </w:p>
        </w:tc>
        <w:tc>
          <w:tcPr>
            <w:tcW w:w="1839" w:type="dxa"/>
            <w:tcBorders>
              <w:top w:val="single" w:sz="4" w:space="0" w:color="auto"/>
            </w:tcBorders>
          </w:tcPr>
          <w:p w:rsidR="008D4F69" w:rsidRPr="00CC1A34" w:rsidRDefault="008D4F69" w:rsidP="0008061A">
            <w:pPr>
              <w:rPr>
                <w:rFonts w:ascii="Times New Roman" w:hAnsi="Times New Roman" w:cs="Times New Roman"/>
                <w:sz w:val="18"/>
                <w:szCs w:val="18"/>
              </w:rPr>
            </w:pPr>
            <w:r w:rsidRPr="00CC1A34">
              <w:rPr>
                <w:rFonts w:ascii="Times New Roman" w:hAnsi="Times New Roman" w:cs="Times New Roman"/>
                <w:sz w:val="18"/>
                <w:szCs w:val="18"/>
              </w:rPr>
              <w:t>0.50</w:t>
            </w:r>
          </w:p>
        </w:tc>
        <w:tc>
          <w:tcPr>
            <w:tcW w:w="816" w:type="dxa"/>
            <w:tcBorders>
              <w:top w:val="single" w:sz="4" w:space="0" w:color="auto"/>
            </w:tcBorders>
          </w:tcPr>
          <w:p w:rsidR="008D4F69" w:rsidRPr="00CC1A34" w:rsidRDefault="008D4F69" w:rsidP="0008061A">
            <w:pPr>
              <w:rPr>
                <w:rFonts w:ascii="Times New Roman" w:hAnsi="Times New Roman" w:cs="Times New Roman"/>
                <w:sz w:val="18"/>
                <w:szCs w:val="18"/>
              </w:rPr>
            </w:pPr>
            <w:r w:rsidRPr="00CC1A34">
              <w:rPr>
                <w:rFonts w:ascii="Times New Roman" w:hAnsi="Times New Roman" w:cs="Times New Roman"/>
                <w:sz w:val="18"/>
                <w:szCs w:val="18"/>
              </w:rPr>
              <w:t>0.17</w:t>
            </w:r>
          </w:p>
        </w:tc>
      </w:tr>
      <w:tr w:rsidR="008D4F69" w:rsidRPr="00CC1A34" w:rsidTr="00887DB7">
        <w:trPr>
          <w:trHeight w:val="234"/>
        </w:trPr>
        <w:tc>
          <w:tcPr>
            <w:tcW w:w="1460" w:type="dxa"/>
          </w:tcPr>
          <w:p w:rsidR="008D4F69" w:rsidRPr="00CC1A34" w:rsidRDefault="008D4F69" w:rsidP="0008061A">
            <w:pPr>
              <w:rPr>
                <w:rFonts w:ascii="Times New Roman" w:hAnsi="Times New Roman" w:cs="Times New Roman"/>
                <w:sz w:val="18"/>
                <w:szCs w:val="18"/>
              </w:rPr>
            </w:pPr>
            <w:r w:rsidRPr="00CC1A34">
              <w:rPr>
                <w:rFonts w:ascii="Times New Roman" w:hAnsi="Times New Roman" w:cs="Times New Roman"/>
                <w:sz w:val="18"/>
                <w:szCs w:val="18"/>
              </w:rPr>
              <w:t>27</w:t>
            </w:r>
          </w:p>
        </w:tc>
        <w:tc>
          <w:tcPr>
            <w:tcW w:w="2506" w:type="dxa"/>
          </w:tcPr>
          <w:p w:rsidR="008D4F69" w:rsidRPr="00CC1A34" w:rsidRDefault="008D4F69" w:rsidP="0008061A">
            <w:pPr>
              <w:rPr>
                <w:rFonts w:ascii="Times New Roman" w:hAnsi="Times New Roman" w:cs="Times New Roman"/>
                <w:sz w:val="18"/>
                <w:szCs w:val="18"/>
              </w:rPr>
            </w:pPr>
            <w:r w:rsidRPr="00CC1A34">
              <w:rPr>
                <w:rFonts w:ascii="Times New Roman" w:hAnsi="Times New Roman" w:cs="Times New Roman"/>
                <w:sz w:val="18"/>
                <w:szCs w:val="18"/>
              </w:rPr>
              <w:t>Central Arabian Province</w:t>
            </w:r>
          </w:p>
        </w:tc>
        <w:tc>
          <w:tcPr>
            <w:tcW w:w="1839" w:type="dxa"/>
          </w:tcPr>
          <w:p w:rsidR="008D4F69" w:rsidRPr="00CC1A34" w:rsidRDefault="008D4F69" w:rsidP="0008061A">
            <w:pPr>
              <w:rPr>
                <w:rFonts w:ascii="Times New Roman" w:hAnsi="Times New Roman" w:cs="Times New Roman"/>
                <w:sz w:val="18"/>
                <w:szCs w:val="18"/>
              </w:rPr>
            </w:pPr>
            <w:r w:rsidRPr="00CC1A34">
              <w:rPr>
                <w:rFonts w:ascii="Times New Roman" w:hAnsi="Times New Roman" w:cs="Times New Roman"/>
                <w:sz w:val="18"/>
                <w:szCs w:val="18"/>
              </w:rPr>
              <w:t>31.7</w:t>
            </w:r>
          </w:p>
        </w:tc>
        <w:tc>
          <w:tcPr>
            <w:tcW w:w="1839" w:type="dxa"/>
          </w:tcPr>
          <w:p w:rsidR="008D4F69" w:rsidRPr="00CC1A34" w:rsidRDefault="008D4F69" w:rsidP="0008061A">
            <w:pPr>
              <w:rPr>
                <w:rFonts w:ascii="Times New Roman" w:hAnsi="Times New Roman" w:cs="Times New Roman"/>
                <w:sz w:val="18"/>
                <w:szCs w:val="18"/>
              </w:rPr>
            </w:pPr>
            <w:r w:rsidRPr="00CC1A34">
              <w:rPr>
                <w:rFonts w:ascii="Times New Roman" w:hAnsi="Times New Roman" w:cs="Times New Roman"/>
                <w:sz w:val="18"/>
                <w:szCs w:val="18"/>
              </w:rPr>
              <w:t>1.38</w:t>
            </w:r>
          </w:p>
        </w:tc>
        <w:tc>
          <w:tcPr>
            <w:tcW w:w="816" w:type="dxa"/>
          </w:tcPr>
          <w:p w:rsidR="008D4F69" w:rsidRPr="00CC1A34" w:rsidRDefault="008D4F69" w:rsidP="0008061A">
            <w:pPr>
              <w:rPr>
                <w:rFonts w:ascii="Times New Roman" w:hAnsi="Times New Roman" w:cs="Times New Roman"/>
                <w:sz w:val="18"/>
                <w:szCs w:val="18"/>
              </w:rPr>
            </w:pPr>
            <w:r w:rsidRPr="00CC1A34">
              <w:rPr>
                <w:rFonts w:ascii="Times New Roman" w:hAnsi="Times New Roman" w:cs="Times New Roman"/>
                <w:sz w:val="18"/>
                <w:szCs w:val="18"/>
              </w:rPr>
              <w:t>0.28</w:t>
            </w:r>
          </w:p>
        </w:tc>
      </w:tr>
      <w:tr w:rsidR="008D4F69" w:rsidRPr="00CC1A34" w:rsidTr="00887DB7">
        <w:trPr>
          <w:trHeight w:val="218"/>
        </w:trPr>
        <w:tc>
          <w:tcPr>
            <w:tcW w:w="1460" w:type="dxa"/>
          </w:tcPr>
          <w:p w:rsidR="008D4F69" w:rsidRPr="00CC1A34" w:rsidRDefault="008D4F69" w:rsidP="0008061A">
            <w:pPr>
              <w:rPr>
                <w:rFonts w:ascii="Times New Roman" w:hAnsi="Times New Roman" w:cs="Times New Roman"/>
                <w:sz w:val="18"/>
                <w:szCs w:val="18"/>
              </w:rPr>
            </w:pPr>
            <w:r w:rsidRPr="00CC1A34">
              <w:rPr>
                <w:rFonts w:ascii="Times New Roman" w:hAnsi="Times New Roman" w:cs="Times New Roman"/>
                <w:sz w:val="18"/>
                <w:szCs w:val="18"/>
              </w:rPr>
              <w:t>26</w:t>
            </w:r>
          </w:p>
        </w:tc>
        <w:tc>
          <w:tcPr>
            <w:tcW w:w="2506" w:type="dxa"/>
          </w:tcPr>
          <w:p w:rsidR="008D4F69" w:rsidRPr="00CC1A34" w:rsidRDefault="008D4F69" w:rsidP="0008061A">
            <w:pPr>
              <w:rPr>
                <w:rFonts w:ascii="Times New Roman" w:hAnsi="Times New Roman" w:cs="Times New Roman"/>
                <w:sz w:val="18"/>
                <w:szCs w:val="18"/>
              </w:rPr>
            </w:pPr>
            <w:r w:rsidRPr="00CC1A34">
              <w:rPr>
                <w:rFonts w:ascii="Times New Roman" w:hAnsi="Times New Roman" w:cs="Times New Roman"/>
                <w:sz w:val="18"/>
                <w:szCs w:val="18"/>
              </w:rPr>
              <w:t>Central Arabian Province</w:t>
            </w:r>
          </w:p>
        </w:tc>
        <w:tc>
          <w:tcPr>
            <w:tcW w:w="1839" w:type="dxa"/>
          </w:tcPr>
          <w:p w:rsidR="008D4F69" w:rsidRPr="00CC1A34" w:rsidRDefault="008D4F69" w:rsidP="0008061A">
            <w:pPr>
              <w:rPr>
                <w:rFonts w:ascii="Times New Roman" w:hAnsi="Times New Roman" w:cs="Times New Roman"/>
                <w:sz w:val="18"/>
                <w:szCs w:val="18"/>
              </w:rPr>
            </w:pPr>
            <w:r w:rsidRPr="00CC1A34">
              <w:rPr>
                <w:rFonts w:ascii="Times New Roman" w:hAnsi="Times New Roman" w:cs="Times New Roman"/>
                <w:sz w:val="18"/>
                <w:szCs w:val="18"/>
              </w:rPr>
              <w:t>32.9</w:t>
            </w:r>
          </w:p>
        </w:tc>
        <w:tc>
          <w:tcPr>
            <w:tcW w:w="1839" w:type="dxa"/>
          </w:tcPr>
          <w:p w:rsidR="008D4F69" w:rsidRPr="00CC1A34" w:rsidRDefault="008D4F69" w:rsidP="0008061A">
            <w:pPr>
              <w:rPr>
                <w:rFonts w:ascii="Times New Roman" w:hAnsi="Times New Roman" w:cs="Times New Roman"/>
                <w:sz w:val="18"/>
                <w:szCs w:val="18"/>
              </w:rPr>
            </w:pPr>
            <w:r w:rsidRPr="00CC1A34">
              <w:rPr>
                <w:rFonts w:ascii="Times New Roman" w:hAnsi="Times New Roman" w:cs="Times New Roman"/>
                <w:sz w:val="18"/>
                <w:szCs w:val="18"/>
              </w:rPr>
              <w:t>1.20</w:t>
            </w:r>
          </w:p>
        </w:tc>
        <w:tc>
          <w:tcPr>
            <w:tcW w:w="816" w:type="dxa"/>
          </w:tcPr>
          <w:p w:rsidR="008D4F69" w:rsidRPr="00CC1A34" w:rsidRDefault="008D4F69" w:rsidP="0008061A">
            <w:pPr>
              <w:rPr>
                <w:rFonts w:ascii="Times New Roman" w:hAnsi="Times New Roman" w:cs="Times New Roman"/>
                <w:sz w:val="18"/>
                <w:szCs w:val="18"/>
              </w:rPr>
            </w:pPr>
            <w:r w:rsidRPr="00CC1A34">
              <w:rPr>
                <w:rFonts w:ascii="Times New Roman" w:hAnsi="Times New Roman" w:cs="Times New Roman"/>
                <w:sz w:val="18"/>
                <w:szCs w:val="18"/>
              </w:rPr>
              <w:t>0.23</w:t>
            </w:r>
          </w:p>
        </w:tc>
      </w:tr>
      <w:tr w:rsidR="008D4F69" w:rsidRPr="00CC1A34" w:rsidTr="00887DB7">
        <w:trPr>
          <w:trHeight w:val="432"/>
        </w:trPr>
        <w:tc>
          <w:tcPr>
            <w:tcW w:w="1460" w:type="dxa"/>
            <w:tcBorders>
              <w:bottom w:val="single" w:sz="4" w:space="0" w:color="auto"/>
            </w:tcBorders>
          </w:tcPr>
          <w:p w:rsidR="008D4F69" w:rsidRPr="00CC1A34" w:rsidRDefault="008D4F69" w:rsidP="0008061A">
            <w:pPr>
              <w:rPr>
                <w:rFonts w:ascii="Times New Roman" w:hAnsi="Times New Roman" w:cs="Times New Roman"/>
                <w:sz w:val="18"/>
                <w:szCs w:val="18"/>
              </w:rPr>
            </w:pPr>
            <w:r w:rsidRPr="00CC1A34">
              <w:rPr>
                <w:rFonts w:ascii="Times New Roman" w:hAnsi="Times New Roman" w:cs="Times New Roman"/>
                <w:sz w:val="18"/>
                <w:szCs w:val="18"/>
              </w:rPr>
              <w:t>25</w:t>
            </w:r>
          </w:p>
        </w:tc>
        <w:tc>
          <w:tcPr>
            <w:tcW w:w="2506" w:type="dxa"/>
            <w:tcBorders>
              <w:bottom w:val="single" w:sz="4" w:space="0" w:color="auto"/>
            </w:tcBorders>
          </w:tcPr>
          <w:p w:rsidR="008D4F69" w:rsidRPr="00CC1A34" w:rsidRDefault="008D4F69" w:rsidP="0008061A">
            <w:pPr>
              <w:rPr>
                <w:rFonts w:ascii="Times New Roman" w:hAnsi="Times New Roman" w:cs="Times New Roman"/>
                <w:sz w:val="18"/>
                <w:szCs w:val="18"/>
              </w:rPr>
            </w:pPr>
            <w:r w:rsidRPr="00CC1A34">
              <w:rPr>
                <w:rFonts w:ascii="Times New Roman" w:hAnsi="Times New Roman" w:cs="Times New Roman"/>
                <w:sz w:val="18"/>
                <w:szCs w:val="18"/>
              </w:rPr>
              <w:t>Central Arabian Province</w:t>
            </w:r>
          </w:p>
        </w:tc>
        <w:tc>
          <w:tcPr>
            <w:tcW w:w="1839" w:type="dxa"/>
            <w:tcBorders>
              <w:bottom w:val="single" w:sz="4" w:space="0" w:color="auto"/>
            </w:tcBorders>
          </w:tcPr>
          <w:p w:rsidR="008D4F69" w:rsidRPr="00CC1A34" w:rsidRDefault="008D4F69" w:rsidP="0008061A">
            <w:pPr>
              <w:rPr>
                <w:rFonts w:ascii="Times New Roman" w:hAnsi="Times New Roman" w:cs="Times New Roman"/>
                <w:sz w:val="18"/>
                <w:szCs w:val="18"/>
              </w:rPr>
            </w:pPr>
            <w:r w:rsidRPr="00CC1A34">
              <w:rPr>
                <w:rFonts w:ascii="Times New Roman" w:hAnsi="Times New Roman" w:cs="Times New Roman"/>
                <w:sz w:val="18"/>
                <w:szCs w:val="18"/>
              </w:rPr>
              <w:t>33.2</w:t>
            </w:r>
          </w:p>
        </w:tc>
        <w:tc>
          <w:tcPr>
            <w:tcW w:w="1839" w:type="dxa"/>
            <w:tcBorders>
              <w:bottom w:val="single" w:sz="4" w:space="0" w:color="auto"/>
            </w:tcBorders>
          </w:tcPr>
          <w:p w:rsidR="008D4F69" w:rsidRPr="00CC1A34" w:rsidRDefault="008D4F69" w:rsidP="0008061A">
            <w:pPr>
              <w:rPr>
                <w:rFonts w:ascii="Times New Roman" w:hAnsi="Times New Roman" w:cs="Times New Roman"/>
                <w:sz w:val="18"/>
                <w:szCs w:val="18"/>
              </w:rPr>
            </w:pPr>
            <w:r w:rsidRPr="00CC1A34">
              <w:rPr>
                <w:rFonts w:ascii="Times New Roman" w:hAnsi="Times New Roman" w:cs="Times New Roman"/>
                <w:sz w:val="18"/>
                <w:szCs w:val="18"/>
              </w:rPr>
              <w:t>2.84</w:t>
            </w:r>
          </w:p>
        </w:tc>
        <w:tc>
          <w:tcPr>
            <w:tcW w:w="816" w:type="dxa"/>
            <w:tcBorders>
              <w:bottom w:val="single" w:sz="4" w:space="0" w:color="auto"/>
            </w:tcBorders>
          </w:tcPr>
          <w:p w:rsidR="008D4F69" w:rsidRPr="00CC1A34" w:rsidRDefault="008D4F69" w:rsidP="0008061A">
            <w:pPr>
              <w:rPr>
                <w:rFonts w:ascii="Times New Roman" w:hAnsi="Times New Roman" w:cs="Times New Roman"/>
                <w:sz w:val="18"/>
                <w:szCs w:val="18"/>
              </w:rPr>
            </w:pPr>
            <w:r w:rsidRPr="00CC1A34">
              <w:rPr>
                <w:rFonts w:ascii="Times New Roman" w:hAnsi="Times New Roman" w:cs="Times New Roman"/>
                <w:sz w:val="18"/>
                <w:szCs w:val="18"/>
              </w:rPr>
              <w:t>0.41</w:t>
            </w:r>
          </w:p>
        </w:tc>
      </w:tr>
    </w:tbl>
    <w:p w:rsidR="008D4F69" w:rsidRDefault="008D4F69" w:rsidP="008D4F69"/>
    <w:p w:rsidR="00E90675" w:rsidRDefault="008D4F69">
      <w:pPr>
        <w:spacing w:line="240" w:lineRule="auto"/>
      </w:pPr>
      <w:r>
        <w:br w:type="page"/>
      </w:r>
    </w:p>
    <w:p w:rsidR="00E90675" w:rsidRPr="00E90675" w:rsidRDefault="00E90675" w:rsidP="00E90675">
      <w:pPr>
        <w:ind w:firstLine="720"/>
        <w:jc w:val="center"/>
        <w:rPr>
          <w:rFonts w:ascii="Times New Roman" w:hAnsi="Times New Roman"/>
          <w:b/>
          <w:sz w:val="28"/>
          <w:szCs w:val="28"/>
        </w:rPr>
      </w:pPr>
      <w:r w:rsidRPr="00E90675">
        <w:rPr>
          <w:rFonts w:ascii="Times New Roman" w:hAnsi="Times New Roman"/>
          <w:b/>
          <w:sz w:val="28"/>
          <w:szCs w:val="28"/>
        </w:rPr>
        <w:lastRenderedPageBreak/>
        <w:t>Experimental Methods</w:t>
      </w:r>
    </w:p>
    <w:p w:rsidR="00E90675" w:rsidRPr="00CC1A34" w:rsidRDefault="00E90675" w:rsidP="00E90675">
      <w:pPr>
        <w:rPr>
          <w:rFonts w:ascii="Times New Roman" w:hAnsi="Times New Roman"/>
          <w:i/>
        </w:rPr>
      </w:pPr>
      <w:r w:rsidRPr="00CC1A34">
        <w:rPr>
          <w:rFonts w:ascii="Times New Roman" w:hAnsi="Times New Roman"/>
          <w:i/>
        </w:rPr>
        <w:t>Sample Preparation</w:t>
      </w:r>
    </w:p>
    <w:p w:rsidR="00E90675" w:rsidRPr="00CC1A34" w:rsidRDefault="00E90675" w:rsidP="00E90675">
      <w:pPr>
        <w:rPr>
          <w:rFonts w:ascii="Times New Roman" w:hAnsi="Times New Roman"/>
        </w:rPr>
      </w:pPr>
      <w:r w:rsidRPr="00CC1A34">
        <w:rPr>
          <w:rFonts w:ascii="Times New Roman" w:hAnsi="Times New Roman"/>
        </w:rPr>
        <w:tab/>
        <w:t xml:space="preserve">Because of the small abundance of nitrogen in crude oils, nitrogen isotope analysis focused on the asphaltene and NSO fractions of each crude oil that were recovered by deasphalting the crude oil and column chromatography of the remaining maltene fractions. Approximately 100 mg of each whole crude oil was placed in a </w:t>
      </w:r>
      <w:r w:rsidR="00407C66" w:rsidRPr="00CC1A34">
        <w:rPr>
          <w:rFonts w:ascii="Times New Roman" w:hAnsi="Times New Roman"/>
        </w:rPr>
        <w:t>35-ml</w:t>
      </w:r>
      <w:r w:rsidRPr="00CC1A34">
        <w:rPr>
          <w:rFonts w:ascii="Times New Roman" w:hAnsi="Times New Roman"/>
        </w:rPr>
        <w:t xml:space="preserve"> vial and weighed. Each oil was then topped under N</w:t>
      </w:r>
      <w:r w:rsidRPr="00CC1A34">
        <w:rPr>
          <w:rFonts w:ascii="Times New Roman" w:hAnsi="Times New Roman"/>
          <w:vertAlign w:val="subscript"/>
        </w:rPr>
        <w:t>2</w:t>
      </w:r>
      <w:r w:rsidRPr="00CC1A34">
        <w:rPr>
          <w:rFonts w:ascii="Times New Roman" w:hAnsi="Times New Roman"/>
        </w:rPr>
        <w:t xml:space="preserve"> in a heating block at approximately 80°C for 45 minutes. The vials were then re-weighed to determine the percent of volatiles. The samples were then deasphalted in approximately 30 ml of hexane at room temperature and left overnight. The samples were then centrifuged to isolate the asphaltenes.  Because of low nitrogen abundance, deasphalting was preformed two or more times for each oil sample and the asphaltene fractions for each oil were combined. The remaining maltene fraction was pipetted out of the </w:t>
      </w:r>
      <w:r w:rsidR="00407C66" w:rsidRPr="00CC1A34">
        <w:rPr>
          <w:rFonts w:ascii="Times New Roman" w:hAnsi="Times New Roman"/>
        </w:rPr>
        <w:t>35-ml</w:t>
      </w:r>
      <w:r w:rsidRPr="00CC1A34">
        <w:rPr>
          <w:rFonts w:ascii="Times New Roman" w:hAnsi="Times New Roman"/>
        </w:rPr>
        <w:t xml:space="preserve"> vial and evaporated under N</w:t>
      </w:r>
      <w:r w:rsidRPr="00CC1A34">
        <w:rPr>
          <w:rFonts w:ascii="Times New Roman" w:hAnsi="Times New Roman"/>
          <w:vertAlign w:val="subscript"/>
        </w:rPr>
        <w:t>2</w:t>
      </w:r>
      <w:r w:rsidRPr="00CC1A34">
        <w:rPr>
          <w:rFonts w:ascii="Times New Roman" w:hAnsi="Times New Roman"/>
        </w:rPr>
        <w:t>, and re-dissolved in approximately 1 ml of hexane in a new 35</w:t>
      </w:r>
      <w:r w:rsidR="00407C66">
        <w:rPr>
          <w:rFonts w:ascii="Times New Roman" w:hAnsi="Times New Roman"/>
        </w:rPr>
        <w:t>-</w:t>
      </w:r>
      <w:r w:rsidRPr="00CC1A34">
        <w:rPr>
          <w:rFonts w:ascii="Times New Roman" w:hAnsi="Times New Roman"/>
        </w:rPr>
        <w:t xml:space="preserve">ml vial.   </w:t>
      </w:r>
    </w:p>
    <w:p w:rsidR="00E90675" w:rsidRPr="00CC1A34" w:rsidRDefault="00E90675" w:rsidP="00E90675">
      <w:pPr>
        <w:rPr>
          <w:rFonts w:ascii="Times New Roman" w:hAnsi="Times New Roman"/>
          <w:i/>
        </w:rPr>
      </w:pPr>
      <w:r w:rsidRPr="00CC1A34">
        <w:rPr>
          <w:rFonts w:ascii="Times New Roman" w:hAnsi="Times New Roman"/>
          <w:i/>
        </w:rPr>
        <w:t xml:space="preserve">Column Chromatography </w:t>
      </w:r>
    </w:p>
    <w:p w:rsidR="00E90675" w:rsidRPr="009D4444" w:rsidRDefault="00E90675" w:rsidP="00E90675">
      <w:pPr>
        <w:rPr>
          <w:rFonts w:ascii="Times New Roman" w:hAnsi="Times New Roman"/>
        </w:rPr>
      </w:pPr>
      <w:r w:rsidRPr="009D4444">
        <w:rPr>
          <w:rFonts w:ascii="Times New Roman" w:hAnsi="Times New Roman"/>
        </w:rPr>
        <w:tab/>
        <w:t>The maltene fractions were separated on chromatographic columns with dimensions of 50 cm long, 11 mm inner diameter, and</w:t>
      </w:r>
      <w:r>
        <w:rPr>
          <w:rFonts w:ascii="Times New Roman" w:hAnsi="Times New Roman"/>
        </w:rPr>
        <w:t xml:space="preserve"> had</w:t>
      </w:r>
      <w:r w:rsidRPr="009D4444">
        <w:rPr>
          <w:rFonts w:ascii="Times New Roman" w:hAnsi="Times New Roman"/>
        </w:rPr>
        <w:t xml:space="preserve"> a 250-ml reservoir. The chromatographic columns were first plugged with glass wool and sand and then slurry packed with 15 grams of silica gel</w:t>
      </w:r>
      <w:r>
        <w:rPr>
          <w:rFonts w:ascii="Times New Roman" w:hAnsi="Times New Roman"/>
        </w:rPr>
        <w:t xml:space="preserve"> in hexane. Prior to column packing, the silica gel was pre-heated to 300</w:t>
      </w:r>
      <w:r w:rsidRPr="009D4444">
        <w:rPr>
          <w:rFonts w:ascii="Times New Roman" w:hAnsi="Times New Roman"/>
        </w:rPr>
        <w:t>°C</w:t>
      </w:r>
      <w:r>
        <w:rPr>
          <w:rFonts w:ascii="Times New Roman" w:hAnsi="Times New Roman"/>
        </w:rPr>
        <w:t>.</w:t>
      </w:r>
      <w:r w:rsidRPr="009D4444">
        <w:rPr>
          <w:rFonts w:ascii="Times New Roman" w:hAnsi="Times New Roman"/>
        </w:rPr>
        <w:t xml:space="preserve"> The saturate, aromatic and NSO fractions were recovered from the column with 50 ml</w:t>
      </w:r>
      <w:r>
        <w:rPr>
          <w:rFonts w:ascii="Times New Roman" w:hAnsi="Times New Roman"/>
        </w:rPr>
        <w:t xml:space="preserve"> each</w:t>
      </w:r>
      <w:r w:rsidRPr="009D4444">
        <w:rPr>
          <w:rFonts w:ascii="Times New Roman" w:hAnsi="Times New Roman"/>
        </w:rPr>
        <w:t xml:space="preserve"> of hexane, dichloromethane, and dichloromethane/ methanol (1:1 ratio), respectively. The fractions were then concentrated under N</w:t>
      </w:r>
      <w:r w:rsidRPr="009D4444">
        <w:rPr>
          <w:rFonts w:ascii="Times New Roman" w:hAnsi="Times New Roman"/>
          <w:vertAlign w:val="subscript"/>
        </w:rPr>
        <w:t>2</w:t>
      </w:r>
      <w:r w:rsidRPr="009D4444">
        <w:rPr>
          <w:rFonts w:ascii="Times New Roman" w:hAnsi="Times New Roman"/>
        </w:rPr>
        <w:t xml:space="preserve"> or by </w:t>
      </w:r>
      <w:proofErr w:type="spellStart"/>
      <w:r w:rsidRPr="009D4444">
        <w:rPr>
          <w:rFonts w:ascii="Times New Roman" w:hAnsi="Times New Roman"/>
        </w:rPr>
        <w:lastRenderedPageBreak/>
        <w:t>rotoevaporation</w:t>
      </w:r>
      <w:proofErr w:type="spellEnd"/>
      <w:r w:rsidRPr="009D4444">
        <w:rPr>
          <w:rFonts w:ascii="Times New Roman" w:hAnsi="Times New Roman"/>
        </w:rPr>
        <w:t>. Because of low nitrogen abundance, column chromatog</w:t>
      </w:r>
      <w:r w:rsidR="00A16B4B">
        <w:rPr>
          <w:rFonts w:ascii="Times New Roman" w:hAnsi="Times New Roman"/>
        </w:rPr>
        <w:t>raphy was performed</w:t>
      </w:r>
      <w:r w:rsidRPr="009D4444">
        <w:rPr>
          <w:rFonts w:ascii="Times New Roman" w:hAnsi="Times New Roman"/>
        </w:rPr>
        <w:t xml:space="preserve"> two or more times on the same sample and the NSO fractions for each oil were combined</w:t>
      </w:r>
      <w:r w:rsidR="007E4EAE">
        <w:rPr>
          <w:rFonts w:ascii="Times New Roman" w:hAnsi="Times New Roman"/>
        </w:rPr>
        <w:t xml:space="preserve"> (Andrusevich et al., 1998)</w:t>
      </w:r>
    </w:p>
    <w:p w:rsidR="00E90675" w:rsidRPr="009D4444" w:rsidRDefault="00E90675" w:rsidP="00E90675">
      <w:pPr>
        <w:rPr>
          <w:rFonts w:ascii="Times New Roman" w:hAnsi="Times New Roman"/>
          <w:i/>
        </w:rPr>
      </w:pPr>
      <w:r w:rsidRPr="009D4444">
        <w:rPr>
          <w:rFonts w:ascii="Times New Roman" w:hAnsi="Times New Roman"/>
          <w:i/>
        </w:rPr>
        <w:t>Nitrogen Isotope Analysis</w:t>
      </w:r>
    </w:p>
    <w:p w:rsidR="00E90675" w:rsidRPr="009D4444" w:rsidRDefault="00E90675" w:rsidP="00E90675">
      <w:pPr>
        <w:rPr>
          <w:rFonts w:ascii="Times New Roman" w:hAnsi="Times New Roman"/>
        </w:rPr>
      </w:pPr>
      <w:r w:rsidRPr="009D4444">
        <w:rPr>
          <w:rFonts w:ascii="Times New Roman" w:hAnsi="Times New Roman"/>
          <w:i/>
        </w:rPr>
        <w:tab/>
        <w:t xml:space="preserve"> </w:t>
      </w:r>
      <w:r w:rsidRPr="009D4444">
        <w:rPr>
          <w:rFonts w:ascii="Times New Roman" w:hAnsi="Times New Roman"/>
        </w:rPr>
        <w:t>Approximately 1-2 mg of each NSO and Asphaltene sample was weighed</w:t>
      </w:r>
      <w:r>
        <w:rPr>
          <w:rFonts w:ascii="Times New Roman" w:hAnsi="Times New Roman"/>
        </w:rPr>
        <w:t xml:space="preserve"> on a micro-balance</w:t>
      </w:r>
      <w:r w:rsidRPr="009D4444">
        <w:rPr>
          <w:rFonts w:ascii="Times New Roman" w:hAnsi="Times New Roman"/>
        </w:rPr>
        <w:t xml:space="preserve"> and wrapped in tin capsules. The tin capsules were then placed in a </w:t>
      </w:r>
      <w:proofErr w:type="spellStart"/>
      <w:r w:rsidRPr="009D4444">
        <w:rPr>
          <w:rFonts w:ascii="Times New Roman" w:hAnsi="Times New Roman"/>
        </w:rPr>
        <w:t>Costech</w:t>
      </w:r>
      <w:proofErr w:type="spellEnd"/>
      <w:r w:rsidRPr="009D4444">
        <w:rPr>
          <w:rFonts w:ascii="Times New Roman" w:hAnsi="Times New Roman"/>
        </w:rPr>
        <w:t xml:space="preserve"> zero blank </w:t>
      </w:r>
      <w:proofErr w:type="spellStart"/>
      <w:r w:rsidRPr="009D4444">
        <w:rPr>
          <w:rFonts w:ascii="Times New Roman" w:hAnsi="Times New Roman"/>
        </w:rPr>
        <w:t>autosampler</w:t>
      </w:r>
      <w:proofErr w:type="spellEnd"/>
      <w:r w:rsidRPr="009D4444">
        <w:rPr>
          <w:rFonts w:ascii="Times New Roman" w:hAnsi="Times New Roman"/>
        </w:rPr>
        <w:t xml:space="preserve">, which is mounted on a </w:t>
      </w:r>
      <w:proofErr w:type="spellStart"/>
      <w:r w:rsidRPr="009D4444">
        <w:rPr>
          <w:rFonts w:ascii="Times New Roman" w:hAnsi="Times New Roman"/>
        </w:rPr>
        <w:t>Costech</w:t>
      </w:r>
      <w:proofErr w:type="spellEnd"/>
      <w:r w:rsidRPr="009D4444">
        <w:rPr>
          <w:rFonts w:ascii="Times New Roman" w:hAnsi="Times New Roman"/>
        </w:rPr>
        <w:t xml:space="preserve"> 4010 elemental analyzer. The samples are purged with high purity helium to remove air and then analyzed by flash combustion. Flash combustion was achieved by injecting a large pulse of oxygen gas at the exact time of the sample drop. The resulting peak was carried by a helium stream at a flow rate of 100 ml/min to a </w:t>
      </w:r>
      <w:proofErr w:type="spellStart"/>
      <w:r w:rsidRPr="009D4444">
        <w:rPr>
          <w:rFonts w:ascii="Times New Roman" w:hAnsi="Times New Roman"/>
        </w:rPr>
        <w:t>Thermo</w:t>
      </w:r>
      <w:proofErr w:type="spellEnd"/>
      <w:r w:rsidRPr="009D4444">
        <w:rPr>
          <w:rFonts w:ascii="Times New Roman" w:hAnsi="Times New Roman"/>
        </w:rPr>
        <w:t xml:space="preserve"> </w:t>
      </w:r>
      <w:proofErr w:type="spellStart"/>
      <w:r w:rsidRPr="009D4444">
        <w:rPr>
          <w:rFonts w:ascii="Times New Roman" w:hAnsi="Times New Roman"/>
        </w:rPr>
        <w:t>Conflo</w:t>
      </w:r>
      <w:proofErr w:type="spellEnd"/>
      <w:r w:rsidRPr="009D4444">
        <w:rPr>
          <w:rFonts w:ascii="Times New Roman" w:hAnsi="Times New Roman"/>
        </w:rPr>
        <w:t xml:space="preserve"> III interface, which was connected to the ion source of a </w:t>
      </w:r>
      <w:proofErr w:type="spellStart"/>
      <w:r w:rsidRPr="009D4444">
        <w:rPr>
          <w:rFonts w:ascii="Times New Roman" w:hAnsi="Times New Roman"/>
        </w:rPr>
        <w:t>Thermo</w:t>
      </w:r>
      <w:proofErr w:type="spellEnd"/>
      <w:r w:rsidRPr="009D4444">
        <w:rPr>
          <w:rFonts w:ascii="Times New Roman" w:hAnsi="Times New Roman"/>
        </w:rPr>
        <w:t xml:space="preserve"> Delta V Plus isotope ratio mass spectrometer. The temperature of the</w:t>
      </w:r>
      <w:r>
        <w:rPr>
          <w:rFonts w:ascii="Times New Roman" w:hAnsi="Times New Roman"/>
        </w:rPr>
        <w:t xml:space="preserve"> quartz combustion column was</w:t>
      </w:r>
      <w:r w:rsidRPr="009D4444">
        <w:rPr>
          <w:rFonts w:ascii="Times New Roman" w:hAnsi="Times New Roman"/>
        </w:rPr>
        <w:t xml:space="preserve"> 1,000°C, th</w:t>
      </w:r>
      <w:r>
        <w:rPr>
          <w:rFonts w:ascii="Times New Roman" w:hAnsi="Times New Roman"/>
        </w:rPr>
        <w:t>e copper reduction column was</w:t>
      </w:r>
      <w:r w:rsidRPr="009D4444">
        <w:rPr>
          <w:rFonts w:ascii="Times New Roman" w:hAnsi="Times New Roman"/>
        </w:rPr>
        <w:t xml:space="preserve"> 650°C, and the gas chromatography (GC)</w:t>
      </w:r>
      <w:r>
        <w:rPr>
          <w:rFonts w:ascii="Times New Roman" w:hAnsi="Times New Roman"/>
        </w:rPr>
        <w:t xml:space="preserve"> column oven was</w:t>
      </w:r>
      <w:r w:rsidRPr="009D4444">
        <w:rPr>
          <w:rFonts w:ascii="Times New Roman" w:hAnsi="Times New Roman"/>
        </w:rPr>
        <w:t xml:space="preserve"> 55°C. A large CO</w:t>
      </w:r>
      <w:r w:rsidRPr="009D4444">
        <w:rPr>
          <w:rFonts w:ascii="Times New Roman" w:hAnsi="Times New Roman"/>
          <w:vertAlign w:val="subscript"/>
        </w:rPr>
        <w:t>2</w:t>
      </w:r>
      <w:r w:rsidRPr="009D4444">
        <w:rPr>
          <w:rFonts w:ascii="Times New Roman" w:hAnsi="Times New Roman"/>
        </w:rPr>
        <w:t xml:space="preserve"> absorbent trap was inserted in-between the water trap and the GC column to prevent</w:t>
      </w:r>
      <w:r>
        <w:rPr>
          <w:rFonts w:ascii="Times New Roman" w:hAnsi="Times New Roman"/>
        </w:rPr>
        <w:t xml:space="preserve"> interference from</w:t>
      </w:r>
      <w:r w:rsidRPr="009D4444">
        <w:rPr>
          <w:rFonts w:ascii="Times New Roman" w:hAnsi="Times New Roman"/>
        </w:rPr>
        <w:t xml:space="preserve"> CO in the ion source. The signal peak</w:t>
      </w:r>
      <w:r>
        <w:rPr>
          <w:rFonts w:ascii="Times New Roman" w:hAnsi="Times New Roman"/>
        </w:rPr>
        <w:t>,</w:t>
      </w:r>
      <w:r w:rsidRPr="009D4444">
        <w:rPr>
          <w:rFonts w:ascii="Times New Roman" w:hAnsi="Times New Roman"/>
        </w:rPr>
        <w:t xml:space="preserve"> therefore</w:t>
      </w:r>
      <w:r>
        <w:rPr>
          <w:rFonts w:ascii="Times New Roman" w:hAnsi="Times New Roman"/>
        </w:rPr>
        <w:t>,</w:t>
      </w:r>
      <w:r w:rsidRPr="009D4444">
        <w:rPr>
          <w:rFonts w:ascii="Times New Roman" w:hAnsi="Times New Roman"/>
        </w:rPr>
        <w:t xml:space="preserve"> only consist</w:t>
      </w:r>
      <w:r>
        <w:rPr>
          <w:rFonts w:ascii="Times New Roman" w:hAnsi="Times New Roman"/>
        </w:rPr>
        <w:t>s</w:t>
      </w:r>
      <w:r w:rsidRPr="009D4444">
        <w:rPr>
          <w:rFonts w:ascii="Times New Roman" w:hAnsi="Times New Roman"/>
        </w:rPr>
        <w:t xml:space="preserve"> of N</w:t>
      </w:r>
      <w:r w:rsidRPr="009D4444">
        <w:rPr>
          <w:rFonts w:ascii="Times New Roman" w:hAnsi="Times New Roman"/>
          <w:vertAlign w:val="subscript"/>
        </w:rPr>
        <w:t>2.</w:t>
      </w:r>
      <w:r w:rsidRPr="009D4444">
        <w:rPr>
          <w:rFonts w:ascii="Times New Roman" w:hAnsi="Times New Roman"/>
        </w:rPr>
        <w:t xml:space="preserve"> Samples were run multiple times to ensure that the δ</w:t>
      </w:r>
      <w:r w:rsidRPr="009D4444">
        <w:rPr>
          <w:rFonts w:ascii="Times New Roman" w:hAnsi="Times New Roman"/>
          <w:vertAlign w:val="superscript"/>
        </w:rPr>
        <w:t>15</w:t>
      </w:r>
      <w:r w:rsidRPr="009D4444">
        <w:rPr>
          <w:rFonts w:ascii="Times New Roman" w:hAnsi="Times New Roman"/>
        </w:rPr>
        <w:t xml:space="preserve">N value for each oil was within an acceptable </w:t>
      </w:r>
      <w:r>
        <w:rPr>
          <w:rFonts w:ascii="Times New Roman" w:hAnsi="Times New Roman"/>
        </w:rPr>
        <w:t>error of approximately ± 0.5</w:t>
      </w:r>
      <w:r w:rsidRPr="009D4444">
        <w:rPr>
          <w:rFonts w:ascii="Times New Roman" w:hAnsi="Times New Roman"/>
        </w:rPr>
        <w:t>‰</w:t>
      </w:r>
      <w:r>
        <w:rPr>
          <w:rFonts w:ascii="Times New Roman" w:hAnsi="Times New Roman"/>
        </w:rPr>
        <w:t xml:space="preserve">. </w:t>
      </w:r>
    </w:p>
    <w:p w:rsidR="00E90675" w:rsidRDefault="00E90675" w:rsidP="00E90675">
      <w:pPr>
        <w:rPr>
          <w:rFonts w:ascii="Times New Roman" w:hAnsi="Times New Roman"/>
          <w:i/>
        </w:rPr>
      </w:pPr>
    </w:p>
    <w:p w:rsidR="00E90675" w:rsidRPr="009D4444" w:rsidRDefault="00E90675" w:rsidP="00E90675">
      <w:pPr>
        <w:rPr>
          <w:rFonts w:ascii="Times New Roman" w:hAnsi="Times New Roman"/>
          <w:i/>
        </w:rPr>
      </w:pPr>
      <w:r w:rsidRPr="009D4444">
        <w:rPr>
          <w:rFonts w:ascii="Times New Roman" w:hAnsi="Times New Roman"/>
          <w:i/>
        </w:rPr>
        <w:t>Calculation of Delta</w:t>
      </w:r>
    </w:p>
    <w:p w:rsidR="00E90675" w:rsidRPr="009D4444" w:rsidRDefault="00E90675" w:rsidP="00E90675">
      <w:pPr>
        <w:rPr>
          <w:rFonts w:ascii="Times New Roman" w:hAnsi="Times New Roman"/>
        </w:rPr>
      </w:pPr>
      <w:r w:rsidRPr="009D4444">
        <w:rPr>
          <w:rFonts w:ascii="Times New Roman" w:hAnsi="Times New Roman"/>
        </w:rPr>
        <w:tab/>
        <w:t>The δ</w:t>
      </w:r>
      <w:r w:rsidRPr="009D4444">
        <w:rPr>
          <w:rFonts w:ascii="Times New Roman" w:hAnsi="Times New Roman"/>
          <w:vertAlign w:val="superscript"/>
        </w:rPr>
        <w:t>15</w:t>
      </w:r>
      <w:r w:rsidRPr="009D4444">
        <w:rPr>
          <w:rFonts w:ascii="Times New Roman" w:hAnsi="Times New Roman"/>
        </w:rPr>
        <w:t>N value of each sample was determined relative to atmospheric AIR as:</w:t>
      </w:r>
    </w:p>
    <w:p w:rsidR="00E90675" w:rsidRPr="009D4444" w:rsidRDefault="00E90675" w:rsidP="00E90675">
      <w:pPr>
        <w:jc w:val="center"/>
        <w:rPr>
          <w:rFonts w:ascii="Times New Roman" w:hAnsi="Times New Roman"/>
        </w:rPr>
      </w:pPr>
      <w:r w:rsidRPr="009D4444">
        <w:rPr>
          <w:rFonts w:ascii="Times New Roman" w:hAnsi="Times New Roman"/>
        </w:rPr>
        <w:t>δ</w:t>
      </w:r>
      <w:r w:rsidRPr="009D4444">
        <w:rPr>
          <w:rFonts w:ascii="Times New Roman" w:hAnsi="Times New Roman"/>
          <w:vertAlign w:val="superscript"/>
        </w:rPr>
        <w:t>15</w:t>
      </w:r>
      <w:r w:rsidRPr="009D4444">
        <w:rPr>
          <w:rFonts w:ascii="Times New Roman" w:hAnsi="Times New Roman"/>
        </w:rPr>
        <w:t>N =</w:t>
      </w:r>
      <w:r>
        <w:rPr>
          <w:rFonts w:ascii="Times New Roman" w:hAnsi="Times New Roman"/>
        </w:rPr>
        <w:t xml:space="preserve"> (</w:t>
      </w:r>
      <w:r w:rsidRPr="009D4444">
        <w:rPr>
          <w:rFonts w:ascii="Times New Roman" w:hAnsi="Times New Roman"/>
        </w:rPr>
        <w:t>[R (</w:t>
      </w:r>
      <w:r w:rsidRPr="009D4444">
        <w:rPr>
          <w:rFonts w:ascii="Times New Roman" w:hAnsi="Times New Roman"/>
          <w:vertAlign w:val="superscript"/>
        </w:rPr>
        <w:t>15</w:t>
      </w:r>
      <w:r w:rsidRPr="009D4444">
        <w:rPr>
          <w:rFonts w:ascii="Times New Roman" w:hAnsi="Times New Roman"/>
        </w:rPr>
        <w:t>N/</w:t>
      </w:r>
      <w:r w:rsidRPr="009D4444">
        <w:rPr>
          <w:rFonts w:ascii="Times New Roman" w:hAnsi="Times New Roman"/>
          <w:vertAlign w:val="superscript"/>
        </w:rPr>
        <w:t>14</w:t>
      </w:r>
      <w:r w:rsidRPr="009D4444">
        <w:rPr>
          <w:rFonts w:ascii="Times New Roman" w:hAnsi="Times New Roman"/>
        </w:rPr>
        <w:t>N)</w:t>
      </w:r>
      <w:r w:rsidRPr="009D4444">
        <w:rPr>
          <w:rFonts w:ascii="Times New Roman" w:hAnsi="Times New Roman"/>
          <w:vertAlign w:val="subscript"/>
        </w:rPr>
        <w:t xml:space="preserve"> P</w:t>
      </w:r>
      <w:r w:rsidRPr="009D4444">
        <w:rPr>
          <w:rFonts w:ascii="Times New Roman" w:hAnsi="Times New Roman"/>
        </w:rPr>
        <w:t>/ R (</w:t>
      </w:r>
      <w:r w:rsidRPr="009D4444">
        <w:rPr>
          <w:rFonts w:ascii="Times New Roman" w:hAnsi="Times New Roman"/>
          <w:vertAlign w:val="superscript"/>
        </w:rPr>
        <w:t>15</w:t>
      </w:r>
      <w:r w:rsidRPr="009D4444">
        <w:rPr>
          <w:rFonts w:ascii="Times New Roman" w:hAnsi="Times New Roman"/>
        </w:rPr>
        <w:t>N/</w:t>
      </w:r>
      <w:r w:rsidRPr="009D4444">
        <w:rPr>
          <w:rFonts w:ascii="Times New Roman" w:hAnsi="Times New Roman"/>
          <w:vertAlign w:val="superscript"/>
        </w:rPr>
        <w:t>14</w:t>
      </w:r>
      <w:r w:rsidRPr="009D4444">
        <w:rPr>
          <w:rFonts w:ascii="Times New Roman" w:hAnsi="Times New Roman"/>
        </w:rPr>
        <w:t>N)</w:t>
      </w:r>
      <w:r w:rsidRPr="009D4444">
        <w:rPr>
          <w:rFonts w:ascii="Times New Roman" w:hAnsi="Times New Roman"/>
          <w:vertAlign w:val="subscript"/>
        </w:rPr>
        <w:t xml:space="preserve"> STD</w:t>
      </w:r>
      <w:r w:rsidRPr="009D4444">
        <w:rPr>
          <w:rFonts w:ascii="Times New Roman" w:hAnsi="Times New Roman"/>
        </w:rPr>
        <w:t xml:space="preserve">] </w:t>
      </w:r>
      <w:r>
        <w:rPr>
          <w:rFonts w:ascii="Times New Roman" w:hAnsi="Times New Roman"/>
        </w:rPr>
        <w:t>–</w:t>
      </w:r>
      <w:r w:rsidRPr="009D4444">
        <w:rPr>
          <w:rFonts w:ascii="Times New Roman" w:hAnsi="Times New Roman"/>
        </w:rPr>
        <w:t xml:space="preserve"> 1</w:t>
      </w:r>
      <w:r>
        <w:rPr>
          <w:rFonts w:ascii="Times New Roman" w:hAnsi="Times New Roman"/>
        </w:rPr>
        <w:t xml:space="preserve">) </w:t>
      </w:r>
      <w:r w:rsidRPr="00CB70C8">
        <w:rPr>
          <w:rFonts w:ascii="Times New Roman" w:hAnsi="Times New Roman"/>
        </w:rPr>
        <w:t>*1000</w:t>
      </w:r>
    </w:p>
    <w:p w:rsidR="00E90675" w:rsidRPr="009D4444" w:rsidRDefault="00E90675" w:rsidP="00E90675">
      <w:pPr>
        <w:rPr>
          <w:rFonts w:ascii="Times New Roman" w:hAnsi="Times New Roman"/>
        </w:rPr>
      </w:pPr>
      <w:r w:rsidRPr="009D4444">
        <w:rPr>
          <w:rFonts w:ascii="Times New Roman" w:hAnsi="Times New Roman"/>
        </w:rPr>
        <w:lastRenderedPageBreak/>
        <w:t>where R(</w:t>
      </w:r>
      <w:r w:rsidRPr="009D4444">
        <w:rPr>
          <w:rFonts w:ascii="Times New Roman" w:hAnsi="Times New Roman"/>
          <w:vertAlign w:val="superscript"/>
        </w:rPr>
        <w:t>15</w:t>
      </w:r>
      <w:r w:rsidRPr="009D4444">
        <w:rPr>
          <w:rFonts w:ascii="Times New Roman" w:hAnsi="Times New Roman"/>
        </w:rPr>
        <w:t>N/</w:t>
      </w:r>
      <w:r w:rsidRPr="009D4444">
        <w:rPr>
          <w:rFonts w:ascii="Times New Roman" w:hAnsi="Times New Roman"/>
          <w:vertAlign w:val="superscript"/>
        </w:rPr>
        <w:t>14</w:t>
      </w:r>
      <w:proofErr w:type="gramStart"/>
      <w:r w:rsidRPr="009D4444">
        <w:rPr>
          <w:rFonts w:ascii="Times New Roman" w:hAnsi="Times New Roman"/>
        </w:rPr>
        <w:t>N)</w:t>
      </w:r>
      <w:r w:rsidRPr="009D4444">
        <w:rPr>
          <w:rFonts w:ascii="Times New Roman" w:hAnsi="Times New Roman"/>
          <w:vertAlign w:val="subscript"/>
        </w:rPr>
        <w:t>P</w:t>
      </w:r>
      <w:proofErr w:type="gramEnd"/>
      <w:r w:rsidRPr="009D4444">
        <w:rPr>
          <w:rFonts w:ascii="Times New Roman" w:hAnsi="Times New Roman"/>
        </w:rPr>
        <w:t xml:space="preserve"> = N(</w:t>
      </w:r>
      <w:r w:rsidRPr="009D4444">
        <w:rPr>
          <w:rFonts w:ascii="Times New Roman" w:hAnsi="Times New Roman"/>
          <w:vertAlign w:val="superscript"/>
        </w:rPr>
        <w:t>15</w:t>
      </w:r>
      <w:r w:rsidRPr="009D4444">
        <w:rPr>
          <w:rFonts w:ascii="Times New Roman" w:hAnsi="Times New Roman"/>
        </w:rPr>
        <w:t>N)</w:t>
      </w:r>
      <w:r w:rsidRPr="009D4444">
        <w:rPr>
          <w:rFonts w:ascii="Times New Roman" w:hAnsi="Times New Roman"/>
          <w:vertAlign w:val="subscript"/>
        </w:rPr>
        <w:t>P</w:t>
      </w:r>
      <w:r w:rsidRPr="009D4444">
        <w:rPr>
          <w:rFonts w:ascii="Times New Roman" w:hAnsi="Times New Roman"/>
        </w:rPr>
        <w:t xml:space="preserve"> / N (</w:t>
      </w:r>
      <w:r w:rsidRPr="009D4444">
        <w:rPr>
          <w:rFonts w:ascii="Times New Roman" w:hAnsi="Times New Roman"/>
          <w:vertAlign w:val="superscript"/>
        </w:rPr>
        <w:t>14</w:t>
      </w:r>
      <w:r w:rsidRPr="009D4444">
        <w:rPr>
          <w:rFonts w:ascii="Times New Roman" w:hAnsi="Times New Roman"/>
        </w:rPr>
        <w:t>N)</w:t>
      </w:r>
      <w:r w:rsidRPr="009D4444">
        <w:rPr>
          <w:rFonts w:ascii="Times New Roman" w:hAnsi="Times New Roman"/>
          <w:vertAlign w:val="subscript"/>
        </w:rPr>
        <w:t>P</w:t>
      </w:r>
      <w:r w:rsidRPr="009D4444">
        <w:rPr>
          <w:rFonts w:ascii="Times New Roman" w:hAnsi="Times New Roman"/>
        </w:rPr>
        <w:t xml:space="preserve"> which is the ratio of the number of </w:t>
      </w:r>
      <w:r w:rsidRPr="009D4444">
        <w:rPr>
          <w:rFonts w:ascii="Times New Roman" w:hAnsi="Times New Roman"/>
          <w:vertAlign w:val="superscript"/>
        </w:rPr>
        <w:t>15</w:t>
      </w:r>
      <w:r w:rsidRPr="009D4444">
        <w:rPr>
          <w:rFonts w:ascii="Times New Roman" w:hAnsi="Times New Roman"/>
        </w:rPr>
        <w:t xml:space="preserve">N atoms to the number of </w:t>
      </w:r>
      <w:r w:rsidRPr="009D4444">
        <w:rPr>
          <w:rFonts w:ascii="Times New Roman" w:hAnsi="Times New Roman"/>
          <w:vertAlign w:val="superscript"/>
        </w:rPr>
        <w:t>14</w:t>
      </w:r>
      <w:r w:rsidRPr="009D4444">
        <w:rPr>
          <w:rFonts w:ascii="Times New Roman" w:hAnsi="Times New Roman"/>
        </w:rPr>
        <w:t>N atoms in sample P and equivalent parameters apply for the AIR standard (</w:t>
      </w:r>
      <w:proofErr w:type="spellStart"/>
      <w:r w:rsidRPr="009D4444">
        <w:rPr>
          <w:rFonts w:ascii="Times New Roman" w:hAnsi="Times New Roman"/>
        </w:rPr>
        <w:t>Coplen</w:t>
      </w:r>
      <w:proofErr w:type="spellEnd"/>
      <w:r w:rsidRPr="009D4444">
        <w:rPr>
          <w:rFonts w:ascii="Times New Roman" w:hAnsi="Times New Roman"/>
        </w:rPr>
        <w:t>, 2011). The raw δ</w:t>
      </w:r>
      <w:r w:rsidRPr="009D4444">
        <w:rPr>
          <w:rFonts w:ascii="Times New Roman" w:hAnsi="Times New Roman"/>
          <w:vertAlign w:val="superscript"/>
        </w:rPr>
        <w:t>15</w:t>
      </w:r>
      <w:r w:rsidRPr="009D4444">
        <w:rPr>
          <w:rFonts w:ascii="Times New Roman" w:hAnsi="Times New Roman"/>
        </w:rPr>
        <w:t>N values of the samples were then processed by 2-point linear normalization (Paul et al</w:t>
      </w:r>
      <w:r>
        <w:rPr>
          <w:rFonts w:ascii="Times New Roman" w:hAnsi="Times New Roman"/>
        </w:rPr>
        <w:t>.</w:t>
      </w:r>
      <w:r w:rsidRPr="009D4444">
        <w:rPr>
          <w:rFonts w:ascii="Times New Roman" w:hAnsi="Times New Roman"/>
        </w:rPr>
        <w:t>, 2007) using the standards USGS-40 (δ</w:t>
      </w:r>
      <w:r w:rsidRPr="009D4444">
        <w:rPr>
          <w:rFonts w:ascii="Times New Roman" w:hAnsi="Times New Roman"/>
          <w:vertAlign w:val="superscript"/>
        </w:rPr>
        <w:t>15</w:t>
      </w:r>
      <w:r w:rsidRPr="009D4444">
        <w:rPr>
          <w:rFonts w:ascii="Times New Roman" w:hAnsi="Times New Roman"/>
        </w:rPr>
        <w:t>N = -4.52‰) and USGS-41 (δ</w:t>
      </w:r>
      <w:r w:rsidRPr="009D4444">
        <w:rPr>
          <w:rFonts w:ascii="Times New Roman" w:hAnsi="Times New Roman"/>
          <w:vertAlign w:val="superscript"/>
        </w:rPr>
        <w:t>15</w:t>
      </w:r>
      <w:r w:rsidRPr="009D4444">
        <w:rPr>
          <w:rFonts w:ascii="Times New Roman" w:hAnsi="Times New Roman"/>
        </w:rPr>
        <w:t>N</w:t>
      </w:r>
      <w:r w:rsidRPr="009D4444">
        <w:rPr>
          <w:rFonts w:ascii="Times New Roman" w:hAnsi="Times New Roman"/>
          <w:vertAlign w:val="superscript"/>
        </w:rPr>
        <w:t xml:space="preserve"> </w:t>
      </w:r>
      <w:r w:rsidRPr="009D4444">
        <w:rPr>
          <w:rFonts w:ascii="Times New Roman" w:hAnsi="Times New Roman"/>
        </w:rPr>
        <w:t xml:space="preserve">= + 47.57‰), (Qi et al., 2003).  </w:t>
      </w:r>
    </w:p>
    <w:p w:rsidR="00E90675" w:rsidRDefault="00E90675">
      <w:pPr>
        <w:spacing w:line="240" w:lineRule="auto"/>
      </w:pPr>
    </w:p>
    <w:p w:rsidR="00E90675" w:rsidRDefault="00E90675">
      <w:pPr>
        <w:spacing w:line="240" w:lineRule="auto"/>
      </w:pPr>
    </w:p>
    <w:p w:rsidR="00E90675" w:rsidRDefault="00E90675">
      <w:pPr>
        <w:spacing w:line="240" w:lineRule="auto"/>
      </w:pPr>
    </w:p>
    <w:p w:rsidR="00E90675" w:rsidRDefault="00E90675">
      <w:pPr>
        <w:spacing w:line="240" w:lineRule="auto"/>
      </w:pPr>
    </w:p>
    <w:p w:rsidR="00E90675" w:rsidRDefault="00E90675">
      <w:pPr>
        <w:spacing w:line="240" w:lineRule="auto"/>
      </w:pPr>
    </w:p>
    <w:p w:rsidR="00E90675" w:rsidRDefault="00E90675">
      <w:pPr>
        <w:spacing w:line="240" w:lineRule="auto"/>
      </w:pPr>
    </w:p>
    <w:p w:rsidR="00E90675" w:rsidRDefault="00E90675">
      <w:pPr>
        <w:spacing w:line="240" w:lineRule="auto"/>
      </w:pPr>
    </w:p>
    <w:p w:rsidR="00E90675" w:rsidRDefault="00E90675">
      <w:pPr>
        <w:spacing w:line="240" w:lineRule="auto"/>
      </w:pPr>
    </w:p>
    <w:p w:rsidR="00E90675" w:rsidRDefault="00E90675">
      <w:pPr>
        <w:spacing w:line="240" w:lineRule="auto"/>
      </w:pPr>
    </w:p>
    <w:p w:rsidR="00E90675" w:rsidRDefault="00E90675">
      <w:pPr>
        <w:spacing w:line="240" w:lineRule="auto"/>
      </w:pPr>
    </w:p>
    <w:p w:rsidR="00E90675" w:rsidRDefault="00E90675">
      <w:pPr>
        <w:spacing w:line="240" w:lineRule="auto"/>
      </w:pPr>
    </w:p>
    <w:p w:rsidR="00E90675" w:rsidRDefault="00E90675">
      <w:pPr>
        <w:spacing w:line="240" w:lineRule="auto"/>
      </w:pPr>
    </w:p>
    <w:p w:rsidR="00E90675" w:rsidRDefault="00E90675">
      <w:pPr>
        <w:spacing w:line="240" w:lineRule="auto"/>
      </w:pPr>
    </w:p>
    <w:p w:rsidR="00E90675" w:rsidRDefault="00E90675">
      <w:pPr>
        <w:spacing w:line="240" w:lineRule="auto"/>
      </w:pPr>
    </w:p>
    <w:p w:rsidR="00E90675" w:rsidRDefault="00E90675">
      <w:pPr>
        <w:spacing w:line="240" w:lineRule="auto"/>
      </w:pPr>
    </w:p>
    <w:p w:rsidR="00E90675" w:rsidRDefault="00E90675">
      <w:pPr>
        <w:spacing w:line="240" w:lineRule="auto"/>
      </w:pPr>
    </w:p>
    <w:p w:rsidR="00E90675" w:rsidRDefault="00E90675">
      <w:pPr>
        <w:spacing w:line="240" w:lineRule="auto"/>
      </w:pPr>
    </w:p>
    <w:p w:rsidR="00E90675" w:rsidRDefault="00E90675">
      <w:pPr>
        <w:spacing w:line="240" w:lineRule="auto"/>
      </w:pPr>
    </w:p>
    <w:p w:rsidR="00E90675" w:rsidRDefault="00E90675">
      <w:pPr>
        <w:spacing w:line="240" w:lineRule="auto"/>
      </w:pPr>
    </w:p>
    <w:p w:rsidR="00E90675" w:rsidRDefault="00E90675">
      <w:pPr>
        <w:spacing w:line="240" w:lineRule="auto"/>
      </w:pPr>
    </w:p>
    <w:p w:rsidR="00E90675" w:rsidRDefault="00E90675">
      <w:pPr>
        <w:spacing w:line="240" w:lineRule="auto"/>
      </w:pPr>
    </w:p>
    <w:p w:rsidR="00E90675" w:rsidRDefault="00E90675">
      <w:pPr>
        <w:spacing w:line="240" w:lineRule="auto"/>
      </w:pPr>
    </w:p>
    <w:p w:rsidR="00E90675" w:rsidRDefault="00E90675">
      <w:pPr>
        <w:spacing w:line="240" w:lineRule="auto"/>
      </w:pPr>
    </w:p>
    <w:p w:rsidR="00E90675" w:rsidRDefault="00E90675">
      <w:pPr>
        <w:spacing w:line="240" w:lineRule="auto"/>
      </w:pPr>
    </w:p>
    <w:p w:rsidR="00E90675" w:rsidRDefault="00E90675">
      <w:pPr>
        <w:spacing w:line="240" w:lineRule="auto"/>
      </w:pPr>
    </w:p>
    <w:p w:rsidR="00E90675" w:rsidRDefault="00E90675">
      <w:pPr>
        <w:spacing w:line="240" w:lineRule="auto"/>
      </w:pPr>
    </w:p>
    <w:p w:rsidR="00E90675" w:rsidRDefault="00E90675">
      <w:pPr>
        <w:spacing w:line="240" w:lineRule="auto"/>
      </w:pPr>
    </w:p>
    <w:p w:rsidR="00E90675" w:rsidRDefault="00E90675">
      <w:pPr>
        <w:spacing w:line="240" w:lineRule="auto"/>
      </w:pPr>
    </w:p>
    <w:p w:rsidR="00E90675" w:rsidRDefault="00E90675">
      <w:pPr>
        <w:spacing w:line="240" w:lineRule="auto"/>
      </w:pPr>
    </w:p>
    <w:p w:rsidR="00E90675" w:rsidRDefault="00E90675">
      <w:pPr>
        <w:spacing w:line="240" w:lineRule="auto"/>
      </w:pPr>
    </w:p>
    <w:p w:rsidR="00E90675" w:rsidRDefault="00E90675">
      <w:pPr>
        <w:spacing w:line="240" w:lineRule="auto"/>
      </w:pPr>
    </w:p>
    <w:p w:rsidR="00E90675" w:rsidRDefault="00E90675">
      <w:pPr>
        <w:spacing w:line="240" w:lineRule="auto"/>
      </w:pPr>
    </w:p>
    <w:p w:rsidR="00E90675" w:rsidRDefault="00E90675">
      <w:pPr>
        <w:spacing w:line="240" w:lineRule="auto"/>
      </w:pPr>
    </w:p>
    <w:p w:rsidR="00E90675" w:rsidRDefault="00E90675">
      <w:pPr>
        <w:spacing w:line="240" w:lineRule="auto"/>
      </w:pPr>
    </w:p>
    <w:p w:rsidR="00E90675" w:rsidRDefault="00E90675">
      <w:pPr>
        <w:spacing w:line="240" w:lineRule="auto"/>
      </w:pPr>
    </w:p>
    <w:p w:rsidR="00E90675" w:rsidRDefault="00E90675">
      <w:pPr>
        <w:spacing w:line="240" w:lineRule="auto"/>
      </w:pPr>
    </w:p>
    <w:p w:rsidR="00AA30BB" w:rsidRPr="006F7CD0" w:rsidRDefault="00AA30BB" w:rsidP="00AA30BB">
      <w:pPr>
        <w:jc w:val="center"/>
        <w:rPr>
          <w:rFonts w:ascii="Times New Roman" w:hAnsi="Times New Roman"/>
          <w:b/>
          <w:sz w:val="28"/>
          <w:szCs w:val="28"/>
        </w:rPr>
      </w:pPr>
      <w:r w:rsidRPr="006F7CD0">
        <w:rPr>
          <w:rFonts w:ascii="Times New Roman" w:hAnsi="Times New Roman"/>
          <w:b/>
          <w:sz w:val="28"/>
          <w:szCs w:val="28"/>
        </w:rPr>
        <w:lastRenderedPageBreak/>
        <w:t>Results</w:t>
      </w:r>
    </w:p>
    <w:p w:rsidR="00AA30BB" w:rsidRDefault="00AA30BB" w:rsidP="00AA30BB">
      <w:pPr>
        <w:rPr>
          <w:rFonts w:ascii="Times New Roman" w:hAnsi="Times New Roman"/>
          <w:i/>
        </w:rPr>
      </w:pPr>
      <w:r>
        <w:rPr>
          <w:rFonts w:ascii="Times New Roman" w:hAnsi="Times New Roman"/>
          <w:i/>
        </w:rPr>
        <w:t>The Stable Nitrogen Isotopic Analysis of the Mexican Oils</w:t>
      </w:r>
    </w:p>
    <w:p w:rsidR="00AA30BB" w:rsidRPr="00633387" w:rsidRDefault="00AA30BB" w:rsidP="00AA30BB">
      <w:pPr>
        <w:ind w:firstLine="720"/>
        <w:rPr>
          <w:rFonts w:ascii="Times New Roman" w:hAnsi="Times New Roman"/>
          <w:b/>
        </w:rPr>
      </w:pPr>
      <w:r>
        <w:rPr>
          <w:rFonts w:ascii="Times New Roman" w:hAnsi="Times New Roman"/>
        </w:rPr>
        <w:t xml:space="preserve">The </w:t>
      </w:r>
      <w:r w:rsidRPr="00BF7B4D">
        <w:rPr>
          <w:rFonts w:ascii="Times New Roman" w:hAnsi="Times New Roman"/>
        </w:rPr>
        <w:t>δ</w:t>
      </w:r>
      <w:r w:rsidRPr="00BF7B4D">
        <w:rPr>
          <w:rFonts w:ascii="Times New Roman" w:hAnsi="Times New Roman"/>
          <w:vertAlign w:val="superscript"/>
        </w:rPr>
        <w:t>15</w:t>
      </w:r>
      <w:r>
        <w:rPr>
          <w:rFonts w:ascii="Times New Roman" w:hAnsi="Times New Roman"/>
        </w:rPr>
        <w:t>N values for the NSO fractions and the asphaltene (Asp) fractions of the thermal maturity study of the Mexican oils and Middle Eastern oils are summarized in Tables 3 and 4, respectively</w:t>
      </w:r>
      <w:r w:rsidRPr="00BF7B4D">
        <w:rPr>
          <w:rFonts w:ascii="Times New Roman" w:hAnsi="Times New Roman"/>
        </w:rPr>
        <w:t>.</w:t>
      </w:r>
      <w:r>
        <w:rPr>
          <w:rFonts w:ascii="Times New Roman" w:hAnsi="Times New Roman"/>
        </w:rPr>
        <w:t xml:space="preserve"> Graphical representations of the Mexican and Middle East oil compositions are also shown in below.  </w:t>
      </w:r>
      <w:r w:rsidRPr="00BF7B4D">
        <w:rPr>
          <w:rFonts w:ascii="Times New Roman" w:hAnsi="Times New Roman"/>
        </w:rPr>
        <w:t xml:space="preserve"> </w:t>
      </w:r>
    </w:p>
    <w:p w:rsidR="00AA30BB" w:rsidRPr="00AA30BB" w:rsidRDefault="00AA30BB" w:rsidP="00AA30BB">
      <w:pPr>
        <w:spacing w:line="240" w:lineRule="auto"/>
        <w:rPr>
          <w:b/>
        </w:rPr>
      </w:pPr>
      <w:r w:rsidRPr="00AA30BB">
        <w:rPr>
          <w:rFonts w:ascii="Times New Roman" w:hAnsi="Times New Roman"/>
          <w:b/>
        </w:rPr>
        <w:t xml:space="preserve">Table 3 </w:t>
      </w:r>
    </w:p>
    <w:p w:rsidR="00AA30BB" w:rsidRPr="00AA30BB" w:rsidRDefault="00AA30BB" w:rsidP="00AA30BB">
      <w:pPr>
        <w:pStyle w:val="Caption"/>
        <w:keepNext/>
        <w:rPr>
          <w:rFonts w:ascii="Times New Roman" w:hAnsi="Times New Roman"/>
          <w:b w:val="0"/>
          <w:i/>
        </w:rPr>
      </w:pPr>
      <w:r w:rsidRPr="00AA30BB">
        <w:rPr>
          <w:rFonts w:ascii="Times New Roman" w:hAnsi="Times New Roman"/>
          <w:b w:val="0"/>
        </w:rPr>
        <w:t>Maturity parameters and δ</w:t>
      </w:r>
      <w:r w:rsidRPr="00AA30BB">
        <w:rPr>
          <w:rFonts w:ascii="Times New Roman" w:hAnsi="Times New Roman"/>
          <w:b w:val="0"/>
          <w:vertAlign w:val="superscript"/>
        </w:rPr>
        <w:t>15</w:t>
      </w:r>
      <w:r w:rsidRPr="00AA30BB">
        <w:rPr>
          <w:rFonts w:ascii="Times New Roman" w:hAnsi="Times New Roman"/>
          <w:b w:val="0"/>
        </w:rPr>
        <w:t>N values for the Mexican oils</w:t>
      </w:r>
    </w:p>
    <w:tbl>
      <w:tblPr>
        <w:tblStyle w:val="Style1"/>
        <w:tblpPr w:leftFromText="180" w:rightFromText="180" w:vertAnchor="text" w:horzAnchor="margin" w:tblpY="30"/>
        <w:tblW w:w="0" w:type="auto"/>
        <w:tblLook w:val="04A0" w:firstRow="1" w:lastRow="0" w:firstColumn="1" w:lastColumn="0" w:noHBand="0" w:noVBand="1"/>
      </w:tblPr>
      <w:tblGrid>
        <w:gridCol w:w="1083"/>
        <w:gridCol w:w="1093"/>
        <w:gridCol w:w="1031"/>
        <w:gridCol w:w="931"/>
        <w:gridCol w:w="1105"/>
        <w:gridCol w:w="1197"/>
        <w:gridCol w:w="959"/>
        <w:gridCol w:w="1097"/>
      </w:tblGrid>
      <w:tr w:rsidR="00AA30BB" w:rsidRPr="00466FAB" w:rsidTr="0008061A">
        <w:trPr>
          <w:trHeight w:val="533"/>
        </w:trPr>
        <w:tc>
          <w:tcPr>
            <w:tcW w:w="1237" w:type="dxa"/>
            <w:tcBorders>
              <w:top w:val="single" w:sz="4" w:space="0" w:color="auto"/>
              <w:bottom w:val="single" w:sz="4" w:space="0" w:color="auto"/>
            </w:tcBorders>
          </w:tcPr>
          <w:p w:rsidR="00AA30BB" w:rsidRPr="000B53BF" w:rsidRDefault="00AA30BB" w:rsidP="0008061A">
            <w:pPr>
              <w:rPr>
                <w:rFonts w:ascii="Times New Roman" w:hAnsi="Times New Roman" w:cs="Times New Roman"/>
                <w:sz w:val="18"/>
                <w:szCs w:val="18"/>
              </w:rPr>
            </w:pPr>
            <w:r w:rsidRPr="000B53BF">
              <w:rPr>
                <w:rFonts w:ascii="Times New Roman" w:hAnsi="Times New Roman" w:cs="Times New Roman"/>
                <w:sz w:val="18"/>
                <w:szCs w:val="18"/>
              </w:rPr>
              <w:t>Sample ID</w:t>
            </w:r>
          </w:p>
        </w:tc>
        <w:tc>
          <w:tcPr>
            <w:tcW w:w="1246" w:type="dxa"/>
            <w:tcBorders>
              <w:top w:val="single" w:sz="4" w:space="0" w:color="auto"/>
              <w:bottom w:val="single" w:sz="4" w:space="0" w:color="auto"/>
            </w:tcBorders>
          </w:tcPr>
          <w:p w:rsidR="00AA30BB" w:rsidRPr="000B53BF" w:rsidRDefault="00AA30BB" w:rsidP="0008061A">
            <w:pPr>
              <w:rPr>
                <w:rFonts w:ascii="Times New Roman" w:hAnsi="Times New Roman" w:cs="Times New Roman"/>
                <w:sz w:val="18"/>
                <w:szCs w:val="18"/>
              </w:rPr>
            </w:pPr>
            <w:r w:rsidRPr="000B53BF">
              <w:rPr>
                <w:rFonts w:ascii="Times New Roman" w:hAnsi="Times New Roman" w:cs="Times New Roman"/>
                <w:sz w:val="18"/>
                <w:szCs w:val="18"/>
              </w:rPr>
              <w:t>API Gravity</w:t>
            </w:r>
          </w:p>
        </w:tc>
        <w:tc>
          <w:tcPr>
            <w:tcW w:w="1188" w:type="dxa"/>
            <w:tcBorders>
              <w:top w:val="single" w:sz="4" w:space="0" w:color="auto"/>
              <w:bottom w:val="single" w:sz="4" w:space="0" w:color="auto"/>
            </w:tcBorders>
          </w:tcPr>
          <w:p w:rsidR="00AA30BB" w:rsidRPr="000B53BF" w:rsidRDefault="00AA30BB" w:rsidP="0008061A">
            <w:pPr>
              <w:rPr>
                <w:rFonts w:ascii="Times New Roman" w:hAnsi="Times New Roman" w:cs="Times New Roman"/>
                <w:sz w:val="18"/>
                <w:szCs w:val="18"/>
              </w:rPr>
            </w:pPr>
            <w:r w:rsidRPr="000B53BF">
              <w:rPr>
                <w:rFonts w:ascii="Times New Roman" w:hAnsi="Times New Roman" w:cs="Times New Roman"/>
                <w:sz w:val="18"/>
                <w:szCs w:val="18"/>
              </w:rPr>
              <w:t>C27</w:t>
            </w:r>
          </w:p>
          <w:p w:rsidR="00AA30BB" w:rsidRPr="000B53BF" w:rsidRDefault="00AA30BB" w:rsidP="0008061A">
            <w:pPr>
              <w:rPr>
                <w:rFonts w:ascii="Times New Roman" w:hAnsi="Times New Roman" w:cs="Times New Roman"/>
                <w:sz w:val="18"/>
                <w:szCs w:val="18"/>
              </w:rPr>
            </w:pPr>
            <w:proofErr w:type="spellStart"/>
            <w:r w:rsidRPr="000B53BF">
              <w:rPr>
                <w:rFonts w:ascii="Times New Roman" w:hAnsi="Times New Roman" w:cs="Times New Roman"/>
                <w:sz w:val="18"/>
                <w:szCs w:val="18"/>
              </w:rPr>
              <w:t>Ts</w:t>
            </w:r>
            <w:proofErr w:type="spellEnd"/>
            <w:r w:rsidRPr="000B53BF">
              <w:rPr>
                <w:rFonts w:ascii="Times New Roman" w:hAnsi="Times New Roman" w:cs="Times New Roman"/>
                <w:sz w:val="18"/>
                <w:szCs w:val="18"/>
              </w:rPr>
              <w:t>/Tm</w:t>
            </w:r>
          </w:p>
        </w:tc>
        <w:tc>
          <w:tcPr>
            <w:tcW w:w="1041" w:type="dxa"/>
            <w:tcBorders>
              <w:top w:val="single" w:sz="4" w:space="0" w:color="auto"/>
              <w:bottom w:val="single" w:sz="4" w:space="0" w:color="auto"/>
            </w:tcBorders>
          </w:tcPr>
          <w:p w:rsidR="00AA30BB" w:rsidRPr="000B53BF" w:rsidRDefault="00AA30BB" w:rsidP="0008061A">
            <w:pPr>
              <w:rPr>
                <w:rFonts w:ascii="Times New Roman" w:hAnsi="Times New Roman" w:cs="Times New Roman"/>
                <w:sz w:val="18"/>
                <w:szCs w:val="18"/>
              </w:rPr>
            </w:pPr>
            <w:r w:rsidRPr="000B53BF">
              <w:rPr>
                <w:rFonts w:ascii="Times New Roman" w:hAnsi="Times New Roman" w:cs="Times New Roman"/>
                <w:sz w:val="18"/>
                <w:szCs w:val="18"/>
              </w:rPr>
              <w:t>C29</w:t>
            </w:r>
          </w:p>
          <w:p w:rsidR="00AA30BB" w:rsidRPr="000B53BF" w:rsidRDefault="00AA30BB" w:rsidP="0008061A">
            <w:pPr>
              <w:rPr>
                <w:rFonts w:ascii="Times New Roman" w:hAnsi="Times New Roman" w:cs="Times New Roman"/>
                <w:sz w:val="18"/>
                <w:szCs w:val="18"/>
              </w:rPr>
            </w:pPr>
            <w:proofErr w:type="spellStart"/>
            <w:r w:rsidRPr="000B53BF">
              <w:rPr>
                <w:rFonts w:ascii="Times New Roman" w:hAnsi="Times New Roman" w:cs="Times New Roman"/>
                <w:sz w:val="18"/>
                <w:szCs w:val="18"/>
              </w:rPr>
              <w:t>Ts</w:t>
            </w:r>
            <w:proofErr w:type="spellEnd"/>
            <w:r w:rsidRPr="000B53BF">
              <w:rPr>
                <w:rFonts w:ascii="Times New Roman" w:hAnsi="Times New Roman" w:cs="Times New Roman"/>
                <w:sz w:val="18"/>
                <w:szCs w:val="18"/>
              </w:rPr>
              <w:t>/Tm</w:t>
            </w:r>
          </w:p>
        </w:tc>
        <w:tc>
          <w:tcPr>
            <w:tcW w:w="1189" w:type="dxa"/>
            <w:tcBorders>
              <w:top w:val="single" w:sz="4" w:space="0" w:color="auto"/>
              <w:bottom w:val="single" w:sz="4" w:space="0" w:color="auto"/>
            </w:tcBorders>
          </w:tcPr>
          <w:p w:rsidR="00AA30BB" w:rsidRDefault="00AA30BB" w:rsidP="0008061A">
            <w:pPr>
              <w:jc w:val="center"/>
              <w:rPr>
                <w:rFonts w:ascii="Times New Roman" w:hAnsi="Times New Roman" w:cs="Times New Roman"/>
                <w:sz w:val="18"/>
                <w:szCs w:val="18"/>
              </w:rPr>
            </w:pPr>
            <w:r>
              <w:rPr>
                <w:rFonts w:ascii="Times New Roman" w:hAnsi="Times New Roman" w:cs="Times New Roman"/>
                <w:sz w:val="18"/>
                <w:szCs w:val="18"/>
              </w:rPr>
              <w:t>Number of Times Measured</w:t>
            </w:r>
          </w:p>
        </w:tc>
        <w:tc>
          <w:tcPr>
            <w:tcW w:w="1315" w:type="dxa"/>
            <w:tcBorders>
              <w:top w:val="single" w:sz="4" w:space="0" w:color="auto"/>
              <w:bottom w:val="single" w:sz="4" w:space="0" w:color="auto"/>
            </w:tcBorders>
          </w:tcPr>
          <w:p w:rsidR="00AA30BB" w:rsidRDefault="00AA30BB" w:rsidP="0008061A">
            <w:pPr>
              <w:rPr>
                <w:rFonts w:ascii="Times New Roman" w:hAnsi="Times New Roman" w:cs="Times New Roman"/>
                <w:sz w:val="18"/>
                <w:szCs w:val="18"/>
              </w:rPr>
            </w:pPr>
            <w:r>
              <w:rPr>
                <w:rFonts w:ascii="Times New Roman" w:hAnsi="Times New Roman" w:cs="Times New Roman"/>
                <w:sz w:val="18"/>
                <w:szCs w:val="18"/>
              </w:rPr>
              <w:t>δ</w:t>
            </w:r>
            <w:r w:rsidRPr="00D97383">
              <w:rPr>
                <w:rFonts w:ascii="Times New Roman" w:hAnsi="Times New Roman" w:cs="Times New Roman"/>
                <w:sz w:val="18"/>
                <w:szCs w:val="18"/>
                <w:vertAlign w:val="superscript"/>
              </w:rPr>
              <w:t>15</w:t>
            </w:r>
            <w:r>
              <w:rPr>
                <w:rFonts w:ascii="Times New Roman" w:hAnsi="Times New Roman" w:cs="Times New Roman"/>
                <w:sz w:val="18"/>
                <w:szCs w:val="18"/>
              </w:rPr>
              <w:t>N</w:t>
            </w:r>
            <w:r w:rsidRPr="00D97383">
              <w:rPr>
                <w:rFonts w:ascii="Times New Roman" w:hAnsi="Times New Roman" w:cs="Times New Roman"/>
                <w:sz w:val="18"/>
                <w:szCs w:val="18"/>
              </w:rPr>
              <w:t xml:space="preserve"> ‰</w:t>
            </w:r>
            <w:r>
              <w:rPr>
                <w:rFonts w:ascii="Times New Roman" w:hAnsi="Times New Roman" w:cs="Times New Roman"/>
                <w:sz w:val="18"/>
                <w:szCs w:val="18"/>
              </w:rPr>
              <w:t xml:space="preserve"> </w:t>
            </w:r>
          </w:p>
          <w:p w:rsidR="00AA30BB" w:rsidRPr="000B53BF" w:rsidRDefault="00AA30BB" w:rsidP="0008061A">
            <w:pPr>
              <w:rPr>
                <w:rFonts w:ascii="Times New Roman" w:hAnsi="Times New Roman" w:cs="Times New Roman"/>
                <w:sz w:val="18"/>
                <w:szCs w:val="18"/>
              </w:rPr>
            </w:pPr>
            <w:r>
              <w:rPr>
                <w:rFonts w:ascii="Times New Roman" w:hAnsi="Times New Roman" w:cs="Times New Roman"/>
                <w:sz w:val="18"/>
                <w:szCs w:val="18"/>
              </w:rPr>
              <w:t>(NSO)</w:t>
            </w:r>
          </w:p>
        </w:tc>
        <w:tc>
          <w:tcPr>
            <w:tcW w:w="975" w:type="dxa"/>
            <w:tcBorders>
              <w:top w:val="single" w:sz="4" w:space="0" w:color="auto"/>
              <w:bottom w:val="single" w:sz="4" w:space="0" w:color="auto"/>
            </w:tcBorders>
          </w:tcPr>
          <w:p w:rsidR="00AA30BB" w:rsidRDefault="00AA30BB" w:rsidP="0008061A">
            <w:pPr>
              <w:jc w:val="center"/>
              <w:rPr>
                <w:rFonts w:ascii="Times New Roman" w:hAnsi="Times New Roman" w:cs="Times New Roman"/>
                <w:sz w:val="18"/>
                <w:szCs w:val="18"/>
              </w:rPr>
            </w:pPr>
            <w:r>
              <w:rPr>
                <w:rFonts w:ascii="Times New Roman" w:hAnsi="Times New Roman" w:cs="Times New Roman"/>
                <w:sz w:val="18"/>
                <w:szCs w:val="18"/>
              </w:rPr>
              <w:t>Number of Times Measured</w:t>
            </w:r>
          </w:p>
        </w:tc>
        <w:tc>
          <w:tcPr>
            <w:tcW w:w="1169" w:type="dxa"/>
            <w:tcBorders>
              <w:top w:val="single" w:sz="4" w:space="0" w:color="auto"/>
              <w:bottom w:val="single" w:sz="4" w:space="0" w:color="auto"/>
            </w:tcBorders>
          </w:tcPr>
          <w:p w:rsidR="00AA30BB" w:rsidRDefault="00AA30BB" w:rsidP="0008061A">
            <w:pPr>
              <w:rPr>
                <w:rFonts w:ascii="Times New Roman" w:hAnsi="Times New Roman" w:cs="Times New Roman"/>
                <w:sz w:val="18"/>
                <w:szCs w:val="18"/>
              </w:rPr>
            </w:pPr>
            <w:r>
              <w:rPr>
                <w:rFonts w:ascii="Times New Roman" w:hAnsi="Times New Roman" w:cs="Times New Roman"/>
                <w:sz w:val="18"/>
                <w:szCs w:val="18"/>
              </w:rPr>
              <w:t>δ</w:t>
            </w:r>
            <w:r w:rsidRPr="00D97383">
              <w:rPr>
                <w:rFonts w:ascii="Times New Roman" w:hAnsi="Times New Roman" w:cs="Times New Roman"/>
                <w:sz w:val="18"/>
                <w:szCs w:val="18"/>
                <w:vertAlign w:val="superscript"/>
              </w:rPr>
              <w:t>15</w:t>
            </w:r>
            <w:r>
              <w:rPr>
                <w:rFonts w:ascii="Times New Roman" w:hAnsi="Times New Roman" w:cs="Times New Roman"/>
                <w:sz w:val="18"/>
                <w:szCs w:val="18"/>
              </w:rPr>
              <w:t xml:space="preserve">N </w:t>
            </w:r>
            <w:r w:rsidRPr="00D97383">
              <w:rPr>
                <w:rFonts w:ascii="Times New Roman" w:hAnsi="Times New Roman" w:cs="Times New Roman"/>
                <w:sz w:val="18"/>
                <w:szCs w:val="18"/>
              </w:rPr>
              <w:t>‰</w:t>
            </w:r>
            <w:r>
              <w:rPr>
                <w:rFonts w:ascii="Times New Roman" w:hAnsi="Times New Roman" w:cs="Times New Roman"/>
                <w:sz w:val="18"/>
                <w:szCs w:val="18"/>
              </w:rPr>
              <w:t xml:space="preserve"> </w:t>
            </w:r>
          </w:p>
          <w:p w:rsidR="00AA30BB" w:rsidRPr="000B53BF" w:rsidRDefault="00AA30BB" w:rsidP="0008061A">
            <w:pPr>
              <w:rPr>
                <w:rFonts w:ascii="Times New Roman" w:hAnsi="Times New Roman" w:cs="Times New Roman"/>
                <w:sz w:val="18"/>
                <w:szCs w:val="18"/>
              </w:rPr>
            </w:pPr>
            <w:r>
              <w:rPr>
                <w:rFonts w:ascii="Times New Roman" w:hAnsi="Times New Roman" w:cs="Times New Roman"/>
                <w:sz w:val="18"/>
                <w:szCs w:val="18"/>
              </w:rPr>
              <w:t>(Asp)</w:t>
            </w:r>
          </w:p>
        </w:tc>
      </w:tr>
      <w:tr w:rsidR="00AA30BB" w:rsidRPr="00466FAB" w:rsidTr="0008061A">
        <w:trPr>
          <w:trHeight w:val="327"/>
        </w:trPr>
        <w:tc>
          <w:tcPr>
            <w:tcW w:w="1237" w:type="dxa"/>
            <w:tcBorders>
              <w:top w:val="single" w:sz="4" w:space="0" w:color="auto"/>
            </w:tcBorders>
          </w:tcPr>
          <w:p w:rsidR="00AA30BB" w:rsidRPr="000B53BF" w:rsidRDefault="00AA30BB" w:rsidP="0008061A">
            <w:pPr>
              <w:rPr>
                <w:rFonts w:ascii="Times New Roman" w:hAnsi="Times New Roman" w:cs="Times New Roman"/>
                <w:sz w:val="18"/>
                <w:szCs w:val="18"/>
              </w:rPr>
            </w:pPr>
            <w:r>
              <w:rPr>
                <w:rFonts w:ascii="Times New Roman" w:hAnsi="Times New Roman" w:cs="Times New Roman"/>
                <w:sz w:val="18"/>
                <w:szCs w:val="18"/>
              </w:rPr>
              <w:t>22</w:t>
            </w:r>
          </w:p>
        </w:tc>
        <w:tc>
          <w:tcPr>
            <w:tcW w:w="1246" w:type="dxa"/>
            <w:tcBorders>
              <w:top w:val="single" w:sz="4" w:space="0" w:color="auto"/>
            </w:tcBorders>
          </w:tcPr>
          <w:p w:rsidR="00AA30BB" w:rsidRPr="000B53BF" w:rsidRDefault="00AA30BB" w:rsidP="0008061A">
            <w:pPr>
              <w:rPr>
                <w:rFonts w:ascii="Times New Roman" w:hAnsi="Times New Roman" w:cs="Times New Roman"/>
                <w:sz w:val="18"/>
                <w:szCs w:val="18"/>
              </w:rPr>
            </w:pPr>
            <w:r w:rsidRPr="000B53BF">
              <w:rPr>
                <w:rFonts w:ascii="Times New Roman" w:hAnsi="Times New Roman" w:cs="Times New Roman"/>
                <w:sz w:val="18"/>
                <w:szCs w:val="18"/>
              </w:rPr>
              <w:t>12.8</w:t>
            </w:r>
          </w:p>
        </w:tc>
        <w:tc>
          <w:tcPr>
            <w:tcW w:w="1188" w:type="dxa"/>
            <w:tcBorders>
              <w:top w:val="single" w:sz="4" w:space="0" w:color="auto"/>
            </w:tcBorders>
          </w:tcPr>
          <w:p w:rsidR="00AA30BB" w:rsidRPr="000B53BF" w:rsidRDefault="00AA30BB" w:rsidP="0008061A">
            <w:pPr>
              <w:rPr>
                <w:rFonts w:ascii="Times New Roman" w:hAnsi="Times New Roman" w:cs="Times New Roman"/>
                <w:sz w:val="18"/>
                <w:szCs w:val="18"/>
              </w:rPr>
            </w:pPr>
            <w:r w:rsidRPr="000B53BF">
              <w:rPr>
                <w:rFonts w:ascii="Times New Roman" w:hAnsi="Times New Roman" w:cs="Times New Roman"/>
                <w:sz w:val="18"/>
                <w:szCs w:val="18"/>
              </w:rPr>
              <w:t>0.37</w:t>
            </w:r>
          </w:p>
        </w:tc>
        <w:tc>
          <w:tcPr>
            <w:tcW w:w="1041" w:type="dxa"/>
            <w:tcBorders>
              <w:top w:val="single" w:sz="4" w:space="0" w:color="auto"/>
            </w:tcBorders>
          </w:tcPr>
          <w:p w:rsidR="00AA30BB" w:rsidRPr="000B53BF" w:rsidRDefault="00AA30BB" w:rsidP="0008061A">
            <w:pPr>
              <w:rPr>
                <w:rFonts w:ascii="Times New Roman" w:hAnsi="Times New Roman" w:cs="Times New Roman"/>
                <w:sz w:val="18"/>
                <w:szCs w:val="18"/>
              </w:rPr>
            </w:pPr>
            <w:r w:rsidRPr="000B53BF">
              <w:rPr>
                <w:rFonts w:ascii="Times New Roman" w:hAnsi="Times New Roman" w:cs="Times New Roman"/>
                <w:sz w:val="18"/>
                <w:szCs w:val="18"/>
              </w:rPr>
              <w:t>0.12</w:t>
            </w:r>
          </w:p>
        </w:tc>
        <w:tc>
          <w:tcPr>
            <w:tcW w:w="1189" w:type="dxa"/>
            <w:tcBorders>
              <w:top w:val="single" w:sz="4" w:space="0" w:color="auto"/>
            </w:tcBorders>
          </w:tcPr>
          <w:p w:rsidR="00AA30BB" w:rsidRDefault="00AA30BB" w:rsidP="0008061A">
            <w:pPr>
              <w:jc w:val="center"/>
              <w:rPr>
                <w:rFonts w:ascii="Times New Roman" w:hAnsi="Times New Roman" w:cs="Times New Roman"/>
                <w:sz w:val="18"/>
                <w:szCs w:val="18"/>
              </w:rPr>
            </w:pPr>
            <w:r>
              <w:rPr>
                <w:rFonts w:ascii="Times New Roman" w:hAnsi="Times New Roman" w:cs="Times New Roman"/>
                <w:sz w:val="18"/>
                <w:szCs w:val="18"/>
              </w:rPr>
              <w:t>4</w:t>
            </w:r>
          </w:p>
        </w:tc>
        <w:tc>
          <w:tcPr>
            <w:tcW w:w="1315" w:type="dxa"/>
            <w:tcBorders>
              <w:top w:val="single" w:sz="4" w:space="0" w:color="auto"/>
            </w:tcBorders>
          </w:tcPr>
          <w:p w:rsidR="00AA30BB" w:rsidRPr="000B53BF" w:rsidRDefault="00AA30BB" w:rsidP="0008061A">
            <w:pPr>
              <w:rPr>
                <w:rFonts w:ascii="Times New Roman" w:hAnsi="Times New Roman" w:cs="Times New Roman"/>
                <w:sz w:val="18"/>
                <w:szCs w:val="18"/>
              </w:rPr>
            </w:pPr>
            <w:r>
              <w:rPr>
                <w:rFonts w:ascii="Times New Roman" w:hAnsi="Times New Roman" w:cs="Times New Roman"/>
                <w:sz w:val="18"/>
                <w:szCs w:val="18"/>
              </w:rPr>
              <w:t>0.20 ±0.19</w:t>
            </w:r>
          </w:p>
        </w:tc>
        <w:tc>
          <w:tcPr>
            <w:tcW w:w="975" w:type="dxa"/>
            <w:tcBorders>
              <w:top w:val="single" w:sz="4" w:space="0" w:color="auto"/>
            </w:tcBorders>
          </w:tcPr>
          <w:p w:rsidR="00AA30BB" w:rsidRDefault="00AA30BB" w:rsidP="0008061A">
            <w:pPr>
              <w:jc w:val="center"/>
              <w:rPr>
                <w:rFonts w:ascii="Times New Roman" w:hAnsi="Times New Roman" w:cs="Times New Roman"/>
                <w:sz w:val="18"/>
                <w:szCs w:val="18"/>
              </w:rPr>
            </w:pPr>
            <w:r>
              <w:rPr>
                <w:rFonts w:ascii="Times New Roman" w:hAnsi="Times New Roman" w:cs="Times New Roman"/>
                <w:sz w:val="18"/>
                <w:szCs w:val="18"/>
              </w:rPr>
              <w:t>5</w:t>
            </w:r>
          </w:p>
        </w:tc>
        <w:tc>
          <w:tcPr>
            <w:tcW w:w="1169" w:type="dxa"/>
            <w:tcBorders>
              <w:top w:val="single" w:sz="4" w:space="0" w:color="auto"/>
            </w:tcBorders>
          </w:tcPr>
          <w:p w:rsidR="00AA30BB" w:rsidRPr="000B53BF" w:rsidRDefault="00AA30BB" w:rsidP="0008061A">
            <w:pPr>
              <w:rPr>
                <w:rFonts w:ascii="Times New Roman" w:hAnsi="Times New Roman" w:cs="Times New Roman"/>
                <w:sz w:val="18"/>
                <w:szCs w:val="18"/>
              </w:rPr>
            </w:pPr>
            <w:r>
              <w:rPr>
                <w:rFonts w:ascii="Times New Roman" w:hAnsi="Times New Roman" w:cs="Times New Roman"/>
                <w:sz w:val="18"/>
                <w:szCs w:val="18"/>
              </w:rPr>
              <w:t>-0.80±0.23</w:t>
            </w:r>
          </w:p>
        </w:tc>
      </w:tr>
      <w:tr w:rsidR="00AA30BB" w:rsidRPr="00466FAB" w:rsidTr="0008061A">
        <w:trPr>
          <w:trHeight w:val="327"/>
        </w:trPr>
        <w:tc>
          <w:tcPr>
            <w:tcW w:w="1237" w:type="dxa"/>
          </w:tcPr>
          <w:p w:rsidR="00AA30BB" w:rsidRPr="000B53BF" w:rsidRDefault="00AA30BB" w:rsidP="0008061A">
            <w:pPr>
              <w:rPr>
                <w:rFonts w:ascii="Times New Roman" w:hAnsi="Times New Roman" w:cs="Times New Roman"/>
                <w:sz w:val="18"/>
                <w:szCs w:val="18"/>
              </w:rPr>
            </w:pPr>
            <w:r>
              <w:rPr>
                <w:rFonts w:ascii="Times New Roman" w:hAnsi="Times New Roman" w:cs="Times New Roman"/>
                <w:sz w:val="18"/>
                <w:szCs w:val="18"/>
              </w:rPr>
              <w:t>33</w:t>
            </w:r>
          </w:p>
        </w:tc>
        <w:tc>
          <w:tcPr>
            <w:tcW w:w="1246" w:type="dxa"/>
          </w:tcPr>
          <w:p w:rsidR="00AA30BB" w:rsidRPr="000B53BF" w:rsidRDefault="00AA30BB" w:rsidP="0008061A">
            <w:pPr>
              <w:rPr>
                <w:rFonts w:ascii="Times New Roman" w:hAnsi="Times New Roman" w:cs="Times New Roman"/>
                <w:sz w:val="18"/>
                <w:szCs w:val="18"/>
              </w:rPr>
            </w:pPr>
            <w:r w:rsidRPr="000B53BF">
              <w:rPr>
                <w:rFonts w:ascii="Times New Roman" w:hAnsi="Times New Roman" w:cs="Times New Roman"/>
                <w:sz w:val="18"/>
                <w:szCs w:val="18"/>
              </w:rPr>
              <w:t>15.0</w:t>
            </w:r>
          </w:p>
        </w:tc>
        <w:tc>
          <w:tcPr>
            <w:tcW w:w="1188" w:type="dxa"/>
          </w:tcPr>
          <w:p w:rsidR="00AA30BB" w:rsidRPr="000B53BF" w:rsidRDefault="00AA30BB" w:rsidP="0008061A">
            <w:pPr>
              <w:rPr>
                <w:rFonts w:ascii="Times New Roman" w:hAnsi="Times New Roman" w:cs="Times New Roman"/>
                <w:sz w:val="18"/>
                <w:szCs w:val="18"/>
              </w:rPr>
            </w:pPr>
            <w:r w:rsidRPr="000B53BF">
              <w:rPr>
                <w:rFonts w:ascii="Times New Roman" w:hAnsi="Times New Roman" w:cs="Times New Roman"/>
                <w:sz w:val="18"/>
                <w:szCs w:val="18"/>
              </w:rPr>
              <w:t>0.30</w:t>
            </w:r>
          </w:p>
        </w:tc>
        <w:tc>
          <w:tcPr>
            <w:tcW w:w="1041" w:type="dxa"/>
          </w:tcPr>
          <w:p w:rsidR="00AA30BB" w:rsidRPr="000B53BF" w:rsidRDefault="00AA30BB" w:rsidP="0008061A">
            <w:pPr>
              <w:rPr>
                <w:rFonts w:ascii="Times New Roman" w:hAnsi="Times New Roman" w:cs="Times New Roman"/>
                <w:sz w:val="18"/>
                <w:szCs w:val="18"/>
              </w:rPr>
            </w:pPr>
            <w:r w:rsidRPr="000B53BF">
              <w:rPr>
                <w:rFonts w:ascii="Times New Roman" w:hAnsi="Times New Roman" w:cs="Times New Roman"/>
                <w:sz w:val="18"/>
                <w:szCs w:val="18"/>
              </w:rPr>
              <w:t>0.09</w:t>
            </w:r>
          </w:p>
        </w:tc>
        <w:tc>
          <w:tcPr>
            <w:tcW w:w="1189" w:type="dxa"/>
          </w:tcPr>
          <w:p w:rsidR="00AA30BB" w:rsidRDefault="00AA30BB" w:rsidP="0008061A">
            <w:pPr>
              <w:jc w:val="center"/>
              <w:rPr>
                <w:rFonts w:ascii="Times New Roman" w:hAnsi="Times New Roman" w:cs="Times New Roman"/>
                <w:sz w:val="18"/>
                <w:szCs w:val="18"/>
              </w:rPr>
            </w:pPr>
            <w:r>
              <w:rPr>
                <w:rFonts w:ascii="Times New Roman" w:hAnsi="Times New Roman" w:cs="Times New Roman"/>
                <w:sz w:val="18"/>
                <w:szCs w:val="18"/>
              </w:rPr>
              <w:t>6</w:t>
            </w:r>
          </w:p>
        </w:tc>
        <w:tc>
          <w:tcPr>
            <w:tcW w:w="1315" w:type="dxa"/>
          </w:tcPr>
          <w:p w:rsidR="00AA30BB" w:rsidRPr="000B53BF" w:rsidRDefault="00AA30BB" w:rsidP="0008061A">
            <w:pPr>
              <w:rPr>
                <w:rFonts w:ascii="Times New Roman" w:hAnsi="Times New Roman" w:cs="Times New Roman"/>
                <w:sz w:val="18"/>
                <w:szCs w:val="18"/>
              </w:rPr>
            </w:pPr>
            <w:r>
              <w:rPr>
                <w:rFonts w:ascii="Times New Roman" w:hAnsi="Times New Roman" w:cs="Times New Roman"/>
                <w:sz w:val="18"/>
                <w:szCs w:val="18"/>
              </w:rPr>
              <w:t>-0.87±0.60</w:t>
            </w:r>
          </w:p>
        </w:tc>
        <w:tc>
          <w:tcPr>
            <w:tcW w:w="975" w:type="dxa"/>
          </w:tcPr>
          <w:p w:rsidR="00AA30BB" w:rsidRDefault="00AA30BB" w:rsidP="0008061A">
            <w:pPr>
              <w:jc w:val="center"/>
              <w:rPr>
                <w:rFonts w:ascii="Times New Roman" w:hAnsi="Times New Roman" w:cs="Times New Roman"/>
                <w:sz w:val="18"/>
                <w:szCs w:val="18"/>
              </w:rPr>
            </w:pPr>
            <w:r>
              <w:rPr>
                <w:rFonts w:ascii="Times New Roman" w:hAnsi="Times New Roman" w:cs="Times New Roman"/>
                <w:sz w:val="18"/>
                <w:szCs w:val="18"/>
              </w:rPr>
              <w:t>6</w:t>
            </w:r>
          </w:p>
        </w:tc>
        <w:tc>
          <w:tcPr>
            <w:tcW w:w="1169" w:type="dxa"/>
          </w:tcPr>
          <w:p w:rsidR="00AA30BB" w:rsidRPr="000B53BF" w:rsidRDefault="00AA30BB" w:rsidP="0008061A">
            <w:pPr>
              <w:rPr>
                <w:rFonts w:ascii="Times New Roman" w:hAnsi="Times New Roman" w:cs="Times New Roman"/>
                <w:sz w:val="18"/>
                <w:szCs w:val="18"/>
              </w:rPr>
            </w:pPr>
            <w:r>
              <w:rPr>
                <w:rFonts w:ascii="Times New Roman" w:hAnsi="Times New Roman" w:cs="Times New Roman"/>
                <w:sz w:val="18"/>
                <w:szCs w:val="18"/>
              </w:rPr>
              <w:t>-0.92±0.42</w:t>
            </w:r>
          </w:p>
        </w:tc>
      </w:tr>
      <w:tr w:rsidR="00AA30BB" w:rsidRPr="00466FAB" w:rsidTr="0008061A">
        <w:trPr>
          <w:trHeight w:val="304"/>
        </w:trPr>
        <w:tc>
          <w:tcPr>
            <w:tcW w:w="1237" w:type="dxa"/>
          </w:tcPr>
          <w:p w:rsidR="00AA30BB" w:rsidRPr="000B53BF" w:rsidRDefault="00AA30BB" w:rsidP="0008061A">
            <w:pPr>
              <w:rPr>
                <w:rFonts w:ascii="Times New Roman" w:hAnsi="Times New Roman" w:cs="Times New Roman"/>
                <w:sz w:val="18"/>
                <w:szCs w:val="18"/>
              </w:rPr>
            </w:pPr>
            <w:r>
              <w:rPr>
                <w:rFonts w:ascii="Times New Roman" w:hAnsi="Times New Roman" w:cs="Times New Roman"/>
                <w:sz w:val="18"/>
                <w:szCs w:val="18"/>
              </w:rPr>
              <w:t>31</w:t>
            </w:r>
          </w:p>
        </w:tc>
        <w:tc>
          <w:tcPr>
            <w:tcW w:w="1246" w:type="dxa"/>
          </w:tcPr>
          <w:p w:rsidR="00AA30BB" w:rsidRPr="000B53BF" w:rsidRDefault="00AA30BB" w:rsidP="0008061A">
            <w:pPr>
              <w:rPr>
                <w:rFonts w:ascii="Times New Roman" w:hAnsi="Times New Roman" w:cs="Times New Roman"/>
                <w:sz w:val="18"/>
                <w:szCs w:val="18"/>
              </w:rPr>
            </w:pPr>
            <w:r w:rsidRPr="000B53BF">
              <w:rPr>
                <w:rFonts w:ascii="Times New Roman" w:hAnsi="Times New Roman" w:cs="Times New Roman"/>
                <w:sz w:val="18"/>
                <w:szCs w:val="18"/>
              </w:rPr>
              <w:t>18.1</w:t>
            </w:r>
          </w:p>
        </w:tc>
        <w:tc>
          <w:tcPr>
            <w:tcW w:w="1188" w:type="dxa"/>
          </w:tcPr>
          <w:p w:rsidR="00AA30BB" w:rsidRPr="000B53BF" w:rsidRDefault="00AA30BB" w:rsidP="0008061A">
            <w:pPr>
              <w:rPr>
                <w:rFonts w:ascii="Times New Roman" w:hAnsi="Times New Roman" w:cs="Times New Roman"/>
                <w:sz w:val="18"/>
                <w:szCs w:val="18"/>
              </w:rPr>
            </w:pPr>
            <w:r w:rsidRPr="000B53BF">
              <w:rPr>
                <w:rFonts w:ascii="Times New Roman" w:hAnsi="Times New Roman" w:cs="Times New Roman"/>
                <w:sz w:val="18"/>
                <w:szCs w:val="18"/>
              </w:rPr>
              <w:t>0.74</w:t>
            </w:r>
          </w:p>
        </w:tc>
        <w:tc>
          <w:tcPr>
            <w:tcW w:w="1041" w:type="dxa"/>
          </w:tcPr>
          <w:p w:rsidR="00AA30BB" w:rsidRPr="000B53BF" w:rsidRDefault="00AA30BB" w:rsidP="0008061A">
            <w:pPr>
              <w:rPr>
                <w:rFonts w:ascii="Times New Roman" w:hAnsi="Times New Roman" w:cs="Times New Roman"/>
                <w:sz w:val="18"/>
                <w:szCs w:val="18"/>
              </w:rPr>
            </w:pPr>
            <w:r w:rsidRPr="000B53BF">
              <w:rPr>
                <w:rFonts w:ascii="Times New Roman" w:hAnsi="Times New Roman" w:cs="Times New Roman"/>
                <w:sz w:val="18"/>
                <w:szCs w:val="18"/>
              </w:rPr>
              <w:t>0.20</w:t>
            </w:r>
          </w:p>
        </w:tc>
        <w:tc>
          <w:tcPr>
            <w:tcW w:w="1189" w:type="dxa"/>
          </w:tcPr>
          <w:p w:rsidR="00AA30BB" w:rsidRDefault="00AA30BB" w:rsidP="0008061A">
            <w:pPr>
              <w:jc w:val="center"/>
              <w:rPr>
                <w:rFonts w:ascii="Times New Roman" w:hAnsi="Times New Roman" w:cs="Times New Roman"/>
                <w:sz w:val="18"/>
                <w:szCs w:val="18"/>
              </w:rPr>
            </w:pPr>
            <w:r>
              <w:rPr>
                <w:rFonts w:ascii="Times New Roman" w:hAnsi="Times New Roman" w:cs="Times New Roman"/>
                <w:sz w:val="18"/>
                <w:szCs w:val="18"/>
              </w:rPr>
              <w:t>3</w:t>
            </w:r>
          </w:p>
        </w:tc>
        <w:tc>
          <w:tcPr>
            <w:tcW w:w="1315" w:type="dxa"/>
          </w:tcPr>
          <w:p w:rsidR="00AA30BB" w:rsidRPr="000B53BF" w:rsidRDefault="00AA30BB" w:rsidP="0008061A">
            <w:pPr>
              <w:rPr>
                <w:rFonts w:ascii="Times New Roman" w:hAnsi="Times New Roman" w:cs="Times New Roman"/>
                <w:sz w:val="18"/>
                <w:szCs w:val="18"/>
              </w:rPr>
            </w:pPr>
            <w:r>
              <w:rPr>
                <w:rFonts w:ascii="Times New Roman" w:hAnsi="Times New Roman" w:cs="Times New Roman"/>
                <w:sz w:val="18"/>
                <w:szCs w:val="18"/>
              </w:rPr>
              <w:t>0.65±0.97</w:t>
            </w:r>
          </w:p>
        </w:tc>
        <w:tc>
          <w:tcPr>
            <w:tcW w:w="975" w:type="dxa"/>
          </w:tcPr>
          <w:p w:rsidR="00AA30BB" w:rsidRDefault="00AA30BB" w:rsidP="0008061A">
            <w:pPr>
              <w:jc w:val="center"/>
              <w:rPr>
                <w:rFonts w:ascii="Times New Roman" w:hAnsi="Times New Roman" w:cs="Times New Roman"/>
                <w:sz w:val="18"/>
                <w:szCs w:val="18"/>
              </w:rPr>
            </w:pPr>
            <w:r>
              <w:rPr>
                <w:rFonts w:ascii="Times New Roman" w:hAnsi="Times New Roman" w:cs="Times New Roman"/>
                <w:sz w:val="18"/>
                <w:szCs w:val="18"/>
              </w:rPr>
              <w:t>3</w:t>
            </w:r>
          </w:p>
        </w:tc>
        <w:tc>
          <w:tcPr>
            <w:tcW w:w="1169" w:type="dxa"/>
          </w:tcPr>
          <w:p w:rsidR="00AA30BB" w:rsidRPr="000B53BF" w:rsidRDefault="00AA30BB" w:rsidP="0008061A">
            <w:pPr>
              <w:rPr>
                <w:rFonts w:ascii="Times New Roman" w:hAnsi="Times New Roman" w:cs="Times New Roman"/>
                <w:sz w:val="18"/>
                <w:szCs w:val="18"/>
              </w:rPr>
            </w:pPr>
            <w:r>
              <w:rPr>
                <w:rFonts w:ascii="Times New Roman" w:hAnsi="Times New Roman" w:cs="Times New Roman"/>
                <w:sz w:val="18"/>
                <w:szCs w:val="18"/>
              </w:rPr>
              <w:t>-0.34±0.21</w:t>
            </w:r>
          </w:p>
        </w:tc>
      </w:tr>
      <w:tr w:rsidR="00AA30BB" w:rsidRPr="00466FAB" w:rsidTr="0008061A">
        <w:trPr>
          <w:trHeight w:val="327"/>
        </w:trPr>
        <w:tc>
          <w:tcPr>
            <w:tcW w:w="1237" w:type="dxa"/>
          </w:tcPr>
          <w:p w:rsidR="00AA30BB" w:rsidRPr="000B53BF" w:rsidRDefault="00AA30BB" w:rsidP="0008061A">
            <w:pPr>
              <w:rPr>
                <w:rFonts w:ascii="Times New Roman" w:hAnsi="Times New Roman" w:cs="Times New Roman"/>
                <w:sz w:val="18"/>
                <w:szCs w:val="18"/>
              </w:rPr>
            </w:pPr>
            <w:r>
              <w:rPr>
                <w:rFonts w:ascii="Times New Roman" w:hAnsi="Times New Roman" w:cs="Times New Roman"/>
                <w:sz w:val="18"/>
                <w:szCs w:val="18"/>
              </w:rPr>
              <w:t>32</w:t>
            </w:r>
          </w:p>
        </w:tc>
        <w:tc>
          <w:tcPr>
            <w:tcW w:w="1246" w:type="dxa"/>
          </w:tcPr>
          <w:p w:rsidR="00AA30BB" w:rsidRPr="000B53BF" w:rsidRDefault="00AA30BB" w:rsidP="0008061A">
            <w:pPr>
              <w:rPr>
                <w:rFonts w:ascii="Times New Roman" w:hAnsi="Times New Roman" w:cs="Times New Roman"/>
                <w:sz w:val="18"/>
                <w:szCs w:val="18"/>
              </w:rPr>
            </w:pPr>
            <w:r w:rsidRPr="000B53BF">
              <w:rPr>
                <w:rFonts w:ascii="Times New Roman" w:hAnsi="Times New Roman" w:cs="Times New Roman"/>
                <w:sz w:val="18"/>
                <w:szCs w:val="18"/>
              </w:rPr>
              <w:t>31.9</w:t>
            </w:r>
          </w:p>
        </w:tc>
        <w:tc>
          <w:tcPr>
            <w:tcW w:w="1188" w:type="dxa"/>
          </w:tcPr>
          <w:p w:rsidR="00AA30BB" w:rsidRPr="000B53BF" w:rsidRDefault="00AA30BB" w:rsidP="0008061A">
            <w:pPr>
              <w:rPr>
                <w:rFonts w:ascii="Times New Roman" w:hAnsi="Times New Roman" w:cs="Times New Roman"/>
                <w:sz w:val="18"/>
                <w:szCs w:val="18"/>
              </w:rPr>
            </w:pPr>
            <w:r w:rsidRPr="000B53BF">
              <w:rPr>
                <w:rFonts w:ascii="Times New Roman" w:hAnsi="Times New Roman" w:cs="Times New Roman"/>
                <w:sz w:val="18"/>
                <w:szCs w:val="18"/>
              </w:rPr>
              <w:t>0.81</w:t>
            </w:r>
          </w:p>
        </w:tc>
        <w:tc>
          <w:tcPr>
            <w:tcW w:w="1041" w:type="dxa"/>
          </w:tcPr>
          <w:p w:rsidR="00AA30BB" w:rsidRPr="000B53BF" w:rsidRDefault="00AA30BB" w:rsidP="0008061A">
            <w:pPr>
              <w:rPr>
                <w:rFonts w:ascii="Times New Roman" w:hAnsi="Times New Roman" w:cs="Times New Roman"/>
                <w:sz w:val="18"/>
                <w:szCs w:val="18"/>
              </w:rPr>
            </w:pPr>
            <w:r w:rsidRPr="000B53BF">
              <w:rPr>
                <w:rFonts w:ascii="Times New Roman" w:hAnsi="Times New Roman" w:cs="Times New Roman"/>
                <w:sz w:val="18"/>
                <w:szCs w:val="18"/>
              </w:rPr>
              <w:t>0.24</w:t>
            </w:r>
          </w:p>
        </w:tc>
        <w:tc>
          <w:tcPr>
            <w:tcW w:w="1189" w:type="dxa"/>
          </w:tcPr>
          <w:p w:rsidR="00AA30BB" w:rsidRDefault="00AA30BB" w:rsidP="0008061A">
            <w:pPr>
              <w:jc w:val="center"/>
              <w:rPr>
                <w:rFonts w:ascii="Times New Roman" w:hAnsi="Times New Roman" w:cs="Times New Roman"/>
                <w:sz w:val="18"/>
                <w:szCs w:val="18"/>
              </w:rPr>
            </w:pPr>
            <w:r>
              <w:rPr>
                <w:rFonts w:ascii="Times New Roman" w:hAnsi="Times New Roman" w:cs="Times New Roman"/>
                <w:sz w:val="18"/>
                <w:szCs w:val="18"/>
              </w:rPr>
              <w:t>5</w:t>
            </w:r>
          </w:p>
        </w:tc>
        <w:tc>
          <w:tcPr>
            <w:tcW w:w="1315" w:type="dxa"/>
          </w:tcPr>
          <w:p w:rsidR="00AA30BB" w:rsidRPr="000B53BF" w:rsidRDefault="00AA30BB" w:rsidP="0008061A">
            <w:pPr>
              <w:rPr>
                <w:rFonts w:ascii="Times New Roman" w:hAnsi="Times New Roman" w:cs="Times New Roman"/>
                <w:sz w:val="18"/>
                <w:szCs w:val="18"/>
              </w:rPr>
            </w:pPr>
            <w:r>
              <w:rPr>
                <w:rFonts w:ascii="Times New Roman" w:hAnsi="Times New Roman" w:cs="Times New Roman"/>
                <w:sz w:val="18"/>
                <w:szCs w:val="18"/>
              </w:rPr>
              <w:t>0.70±0.81</w:t>
            </w:r>
          </w:p>
        </w:tc>
        <w:tc>
          <w:tcPr>
            <w:tcW w:w="975" w:type="dxa"/>
          </w:tcPr>
          <w:p w:rsidR="00AA30BB" w:rsidRDefault="00AA30BB" w:rsidP="0008061A">
            <w:pPr>
              <w:jc w:val="center"/>
              <w:rPr>
                <w:rFonts w:ascii="Times New Roman" w:hAnsi="Times New Roman" w:cs="Times New Roman"/>
                <w:sz w:val="18"/>
                <w:szCs w:val="18"/>
              </w:rPr>
            </w:pPr>
            <w:r>
              <w:rPr>
                <w:rFonts w:ascii="Times New Roman" w:hAnsi="Times New Roman" w:cs="Times New Roman"/>
                <w:sz w:val="18"/>
                <w:szCs w:val="18"/>
              </w:rPr>
              <w:t>5</w:t>
            </w:r>
          </w:p>
        </w:tc>
        <w:tc>
          <w:tcPr>
            <w:tcW w:w="1169" w:type="dxa"/>
          </w:tcPr>
          <w:p w:rsidR="00AA30BB" w:rsidRPr="000B53BF" w:rsidRDefault="00AA30BB" w:rsidP="0008061A">
            <w:pPr>
              <w:rPr>
                <w:rFonts w:ascii="Times New Roman" w:hAnsi="Times New Roman" w:cs="Times New Roman"/>
                <w:sz w:val="18"/>
                <w:szCs w:val="18"/>
              </w:rPr>
            </w:pPr>
            <w:r>
              <w:rPr>
                <w:rFonts w:ascii="Times New Roman" w:hAnsi="Times New Roman" w:cs="Times New Roman"/>
                <w:sz w:val="18"/>
                <w:szCs w:val="18"/>
              </w:rPr>
              <w:t>0.17±0.32</w:t>
            </w:r>
          </w:p>
        </w:tc>
      </w:tr>
      <w:tr w:rsidR="00AA30BB" w:rsidRPr="00466FAB" w:rsidTr="0008061A">
        <w:trPr>
          <w:trHeight w:val="327"/>
        </w:trPr>
        <w:tc>
          <w:tcPr>
            <w:tcW w:w="1237" w:type="dxa"/>
            <w:tcBorders>
              <w:bottom w:val="single" w:sz="4" w:space="0" w:color="auto"/>
            </w:tcBorders>
          </w:tcPr>
          <w:p w:rsidR="00AA30BB" w:rsidRPr="000B53BF" w:rsidRDefault="00AA30BB" w:rsidP="0008061A">
            <w:pPr>
              <w:rPr>
                <w:rFonts w:ascii="Times New Roman" w:hAnsi="Times New Roman" w:cs="Times New Roman"/>
                <w:sz w:val="18"/>
                <w:szCs w:val="18"/>
              </w:rPr>
            </w:pPr>
            <w:r>
              <w:rPr>
                <w:rFonts w:ascii="Times New Roman" w:hAnsi="Times New Roman" w:cs="Times New Roman"/>
                <w:sz w:val="18"/>
                <w:szCs w:val="18"/>
              </w:rPr>
              <w:t>30</w:t>
            </w:r>
          </w:p>
        </w:tc>
        <w:tc>
          <w:tcPr>
            <w:tcW w:w="1246" w:type="dxa"/>
            <w:tcBorders>
              <w:bottom w:val="single" w:sz="4" w:space="0" w:color="auto"/>
            </w:tcBorders>
          </w:tcPr>
          <w:p w:rsidR="00AA30BB" w:rsidRPr="000B53BF" w:rsidRDefault="00AA30BB" w:rsidP="0008061A">
            <w:pPr>
              <w:rPr>
                <w:rFonts w:ascii="Times New Roman" w:hAnsi="Times New Roman" w:cs="Times New Roman"/>
                <w:sz w:val="18"/>
                <w:szCs w:val="18"/>
              </w:rPr>
            </w:pPr>
            <w:r w:rsidRPr="000B53BF">
              <w:rPr>
                <w:rFonts w:ascii="Times New Roman" w:hAnsi="Times New Roman" w:cs="Times New Roman"/>
                <w:sz w:val="18"/>
                <w:szCs w:val="18"/>
              </w:rPr>
              <w:t>32.6</w:t>
            </w:r>
          </w:p>
        </w:tc>
        <w:tc>
          <w:tcPr>
            <w:tcW w:w="1188" w:type="dxa"/>
            <w:tcBorders>
              <w:bottom w:val="single" w:sz="4" w:space="0" w:color="auto"/>
            </w:tcBorders>
          </w:tcPr>
          <w:p w:rsidR="00AA30BB" w:rsidRPr="000B53BF" w:rsidRDefault="00AA30BB" w:rsidP="0008061A">
            <w:pPr>
              <w:rPr>
                <w:rFonts w:ascii="Times New Roman" w:hAnsi="Times New Roman" w:cs="Times New Roman"/>
                <w:sz w:val="18"/>
                <w:szCs w:val="18"/>
              </w:rPr>
            </w:pPr>
            <w:r w:rsidRPr="000B53BF">
              <w:rPr>
                <w:rFonts w:ascii="Times New Roman" w:hAnsi="Times New Roman" w:cs="Times New Roman"/>
                <w:sz w:val="18"/>
                <w:szCs w:val="18"/>
              </w:rPr>
              <w:t>1.04</w:t>
            </w:r>
          </w:p>
        </w:tc>
        <w:tc>
          <w:tcPr>
            <w:tcW w:w="1041" w:type="dxa"/>
            <w:tcBorders>
              <w:bottom w:val="single" w:sz="4" w:space="0" w:color="auto"/>
            </w:tcBorders>
          </w:tcPr>
          <w:p w:rsidR="00AA30BB" w:rsidRPr="000B53BF" w:rsidRDefault="00AA30BB" w:rsidP="0008061A">
            <w:pPr>
              <w:rPr>
                <w:rFonts w:ascii="Times New Roman" w:hAnsi="Times New Roman" w:cs="Times New Roman"/>
                <w:sz w:val="18"/>
                <w:szCs w:val="18"/>
              </w:rPr>
            </w:pPr>
            <w:r w:rsidRPr="000B53BF">
              <w:rPr>
                <w:rFonts w:ascii="Times New Roman" w:hAnsi="Times New Roman" w:cs="Times New Roman"/>
                <w:sz w:val="18"/>
                <w:szCs w:val="18"/>
              </w:rPr>
              <w:t>0.28</w:t>
            </w:r>
          </w:p>
        </w:tc>
        <w:tc>
          <w:tcPr>
            <w:tcW w:w="1189" w:type="dxa"/>
            <w:tcBorders>
              <w:bottom w:val="single" w:sz="4" w:space="0" w:color="auto"/>
            </w:tcBorders>
          </w:tcPr>
          <w:p w:rsidR="00AA30BB" w:rsidRDefault="00AA30BB" w:rsidP="0008061A">
            <w:pPr>
              <w:jc w:val="center"/>
              <w:rPr>
                <w:rFonts w:ascii="Times New Roman" w:hAnsi="Times New Roman" w:cs="Times New Roman"/>
                <w:sz w:val="18"/>
                <w:szCs w:val="18"/>
              </w:rPr>
            </w:pPr>
            <w:r>
              <w:rPr>
                <w:rFonts w:ascii="Times New Roman" w:hAnsi="Times New Roman" w:cs="Times New Roman"/>
                <w:sz w:val="18"/>
                <w:szCs w:val="18"/>
              </w:rPr>
              <w:t>2</w:t>
            </w:r>
          </w:p>
        </w:tc>
        <w:tc>
          <w:tcPr>
            <w:tcW w:w="1315" w:type="dxa"/>
            <w:tcBorders>
              <w:bottom w:val="single" w:sz="4" w:space="0" w:color="auto"/>
            </w:tcBorders>
          </w:tcPr>
          <w:p w:rsidR="00AA30BB" w:rsidRPr="000B53BF" w:rsidRDefault="00AA30BB" w:rsidP="0008061A">
            <w:pPr>
              <w:rPr>
                <w:rFonts w:ascii="Times New Roman" w:hAnsi="Times New Roman" w:cs="Times New Roman"/>
                <w:sz w:val="18"/>
                <w:szCs w:val="18"/>
              </w:rPr>
            </w:pPr>
            <w:r>
              <w:rPr>
                <w:rFonts w:ascii="Times New Roman" w:hAnsi="Times New Roman" w:cs="Times New Roman"/>
                <w:sz w:val="18"/>
                <w:szCs w:val="18"/>
              </w:rPr>
              <w:t>1.24±0.87</w:t>
            </w:r>
          </w:p>
        </w:tc>
        <w:tc>
          <w:tcPr>
            <w:tcW w:w="975" w:type="dxa"/>
            <w:tcBorders>
              <w:bottom w:val="single" w:sz="4" w:space="0" w:color="auto"/>
            </w:tcBorders>
          </w:tcPr>
          <w:p w:rsidR="00AA30BB" w:rsidRDefault="00AA30BB" w:rsidP="0008061A">
            <w:pPr>
              <w:jc w:val="center"/>
              <w:rPr>
                <w:rFonts w:ascii="Times New Roman" w:hAnsi="Times New Roman" w:cs="Times New Roman"/>
                <w:sz w:val="18"/>
                <w:szCs w:val="18"/>
              </w:rPr>
            </w:pPr>
            <w:r>
              <w:rPr>
                <w:rFonts w:ascii="Times New Roman" w:hAnsi="Times New Roman" w:cs="Times New Roman"/>
                <w:sz w:val="18"/>
                <w:szCs w:val="18"/>
              </w:rPr>
              <w:t>2</w:t>
            </w:r>
          </w:p>
        </w:tc>
        <w:tc>
          <w:tcPr>
            <w:tcW w:w="1169" w:type="dxa"/>
            <w:tcBorders>
              <w:bottom w:val="single" w:sz="4" w:space="0" w:color="auto"/>
            </w:tcBorders>
          </w:tcPr>
          <w:p w:rsidR="00AA30BB" w:rsidRPr="000B53BF" w:rsidRDefault="00AA30BB" w:rsidP="0008061A">
            <w:pPr>
              <w:rPr>
                <w:rFonts w:ascii="Times New Roman" w:hAnsi="Times New Roman" w:cs="Times New Roman"/>
                <w:sz w:val="18"/>
                <w:szCs w:val="18"/>
              </w:rPr>
            </w:pPr>
            <w:r>
              <w:rPr>
                <w:rFonts w:ascii="Times New Roman" w:hAnsi="Times New Roman" w:cs="Times New Roman"/>
                <w:sz w:val="18"/>
                <w:szCs w:val="18"/>
              </w:rPr>
              <w:t>-0.70±0.61</w:t>
            </w:r>
          </w:p>
        </w:tc>
      </w:tr>
    </w:tbl>
    <w:p w:rsidR="00AA30BB" w:rsidRPr="00D97383" w:rsidRDefault="00AA30BB" w:rsidP="00AA30BB"/>
    <w:p w:rsidR="00AA30BB" w:rsidRPr="000352F3" w:rsidRDefault="00AA30BB" w:rsidP="00AA30BB">
      <w:pPr>
        <w:pStyle w:val="Caption"/>
        <w:keepNext/>
        <w:rPr>
          <w:rFonts w:ascii="Times New Roman" w:hAnsi="Times New Roman"/>
          <w:i/>
        </w:rPr>
      </w:pPr>
      <w:r w:rsidRPr="000352F3">
        <w:rPr>
          <w:rFonts w:ascii="Times New Roman" w:hAnsi="Times New Roman"/>
        </w:rPr>
        <w:t xml:space="preserve">Table 4  </w:t>
      </w:r>
    </w:p>
    <w:p w:rsidR="00AA30BB" w:rsidRPr="00AA30BB" w:rsidRDefault="00AA30BB" w:rsidP="00AA30BB">
      <w:pPr>
        <w:pStyle w:val="Caption"/>
        <w:keepNext/>
        <w:rPr>
          <w:rFonts w:ascii="Times New Roman" w:hAnsi="Times New Roman"/>
          <w:b w:val="0"/>
          <w:i/>
        </w:rPr>
      </w:pPr>
      <w:r w:rsidRPr="00AA30BB">
        <w:rPr>
          <w:rFonts w:ascii="Times New Roman" w:hAnsi="Times New Roman"/>
          <w:b w:val="0"/>
        </w:rPr>
        <w:t>Maturity parameters and δ</w:t>
      </w:r>
      <w:r w:rsidRPr="00AA30BB">
        <w:rPr>
          <w:rFonts w:ascii="Times New Roman" w:hAnsi="Times New Roman"/>
          <w:b w:val="0"/>
          <w:vertAlign w:val="superscript"/>
        </w:rPr>
        <w:t>15</w:t>
      </w:r>
      <w:r w:rsidRPr="00AA30BB">
        <w:rPr>
          <w:rFonts w:ascii="Times New Roman" w:hAnsi="Times New Roman"/>
          <w:b w:val="0"/>
        </w:rPr>
        <w:t xml:space="preserve">N values for the Middle East oils </w:t>
      </w:r>
    </w:p>
    <w:tbl>
      <w:tblPr>
        <w:tblStyle w:val="Style1"/>
        <w:tblW w:w="0" w:type="auto"/>
        <w:tblLook w:val="04A0" w:firstRow="1" w:lastRow="0" w:firstColumn="1" w:lastColumn="0" w:noHBand="0" w:noVBand="1"/>
      </w:tblPr>
      <w:tblGrid>
        <w:gridCol w:w="1037"/>
        <w:gridCol w:w="1177"/>
        <w:gridCol w:w="1128"/>
        <w:gridCol w:w="886"/>
        <w:gridCol w:w="1030"/>
        <w:gridCol w:w="1127"/>
        <w:gridCol w:w="984"/>
        <w:gridCol w:w="1127"/>
      </w:tblGrid>
      <w:tr w:rsidR="00AA30BB" w:rsidTr="0008061A">
        <w:trPr>
          <w:trHeight w:val="575"/>
        </w:trPr>
        <w:tc>
          <w:tcPr>
            <w:tcW w:w="1170" w:type="dxa"/>
            <w:tcBorders>
              <w:top w:val="single" w:sz="4" w:space="0" w:color="auto"/>
              <w:bottom w:val="single" w:sz="4" w:space="0" w:color="auto"/>
            </w:tcBorders>
          </w:tcPr>
          <w:p w:rsidR="00AA30BB" w:rsidRPr="002364A6" w:rsidRDefault="00AA30BB" w:rsidP="0008061A">
            <w:pPr>
              <w:rPr>
                <w:rFonts w:ascii="Times New Roman" w:hAnsi="Times New Roman" w:cs="Times New Roman"/>
                <w:sz w:val="18"/>
                <w:szCs w:val="18"/>
              </w:rPr>
            </w:pPr>
            <w:r w:rsidRPr="002364A6">
              <w:rPr>
                <w:rFonts w:ascii="Times New Roman" w:hAnsi="Times New Roman" w:cs="Times New Roman"/>
                <w:sz w:val="18"/>
                <w:szCs w:val="18"/>
              </w:rPr>
              <w:t xml:space="preserve">Sample ID </w:t>
            </w:r>
          </w:p>
        </w:tc>
        <w:tc>
          <w:tcPr>
            <w:tcW w:w="1370" w:type="dxa"/>
            <w:tcBorders>
              <w:top w:val="single" w:sz="4" w:space="0" w:color="auto"/>
              <w:bottom w:val="single" w:sz="4" w:space="0" w:color="auto"/>
            </w:tcBorders>
          </w:tcPr>
          <w:p w:rsidR="00AA30BB" w:rsidRPr="002364A6" w:rsidRDefault="00AA30BB" w:rsidP="0008061A">
            <w:pPr>
              <w:rPr>
                <w:rFonts w:ascii="Times New Roman" w:hAnsi="Times New Roman" w:cs="Times New Roman"/>
                <w:sz w:val="18"/>
                <w:szCs w:val="18"/>
              </w:rPr>
            </w:pPr>
            <w:r w:rsidRPr="002364A6">
              <w:rPr>
                <w:rFonts w:ascii="Times New Roman" w:hAnsi="Times New Roman" w:cs="Times New Roman"/>
                <w:sz w:val="18"/>
                <w:szCs w:val="18"/>
              </w:rPr>
              <w:t>API Gravity</w:t>
            </w:r>
          </w:p>
        </w:tc>
        <w:tc>
          <w:tcPr>
            <w:tcW w:w="1331" w:type="dxa"/>
            <w:tcBorders>
              <w:top w:val="single" w:sz="4" w:space="0" w:color="auto"/>
              <w:bottom w:val="single" w:sz="4" w:space="0" w:color="auto"/>
            </w:tcBorders>
          </w:tcPr>
          <w:p w:rsidR="00AA30BB" w:rsidRPr="002364A6" w:rsidRDefault="00AA30BB" w:rsidP="0008061A">
            <w:pPr>
              <w:rPr>
                <w:rFonts w:ascii="Times New Roman" w:hAnsi="Times New Roman" w:cs="Times New Roman"/>
                <w:sz w:val="18"/>
                <w:szCs w:val="18"/>
              </w:rPr>
            </w:pPr>
            <w:r w:rsidRPr="002364A6">
              <w:rPr>
                <w:rFonts w:ascii="Times New Roman" w:hAnsi="Times New Roman" w:cs="Times New Roman"/>
                <w:sz w:val="18"/>
                <w:szCs w:val="18"/>
              </w:rPr>
              <w:t>C27</w:t>
            </w:r>
          </w:p>
          <w:p w:rsidR="00AA30BB" w:rsidRPr="002364A6" w:rsidRDefault="00AA30BB" w:rsidP="0008061A">
            <w:pPr>
              <w:rPr>
                <w:rFonts w:ascii="Times New Roman" w:hAnsi="Times New Roman" w:cs="Times New Roman"/>
                <w:sz w:val="18"/>
                <w:szCs w:val="18"/>
              </w:rPr>
            </w:pPr>
            <w:proofErr w:type="spellStart"/>
            <w:r w:rsidRPr="002364A6">
              <w:rPr>
                <w:rFonts w:ascii="Times New Roman" w:hAnsi="Times New Roman" w:cs="Times New Roman"/>
                <w:sz w:val="18"/>
                <w:szCs w:val="18"/>
              </w:rPr>
              <w:t>Ts</w:t>
            </w:r>
            <w:proofErr w:type="spellEnd"/>
            <w:r w:rsidRPr="002364A6">
              <w:rPr>
                <w:rFonts w:ascii="Times New Roman" w:hAnsi="Times New Roman" w:cs="Times New Roman"/>
                <w:sz w:val="18"/>
                <w:szCs w:val="18"/>
              </w:rPr>
              <w:t>/Tm</w:t>
            </w:r>
          </w:p>
        </w:tc>
        <w:tc>
          <w:tcPr>
            <w:tcW w:w="975" w:type="dxa"/>
            <w:tcBorders>
              <w:top w:val="single" w:sz="4" w:space="0" w:color="auto"/>
              <w:bottom w:val="single" w:sz="4" w:space="0" w:color="auto"/>
            </w:tcBorders>
          </w:tcPr>
          <w:p w:rsidR="00AA30BB" w:rsidRPr="002364A6" w:rsidRDefault="00AA30BB" w:rsidP="0008061A">
            <w:pPr>
              <w:rPr>
                <w:rFonts w:ascii="Times New Roman" w:hAnsi="Times New Roman" w:cs="Times New Roman"/>
                <w:sz w:val="18"/>
                <w:szCs w:val="18"/>
              </w:rPr>
            </w:pPr>
            <w:r w:rsidRPr="002364A6">
              <w:rPr>
                <w:rFonts w:ascii="Times New Roman" w:hAnsi="Times New Roman" w:cs="Times New Roman"/>
                <w:sz w:val="18"/>
                <w:szCs w:val="18"/>
              </w:rPr>
              <w:t>C29</w:t>
            </w:r>
          </w:p>
          <w:p w:rsidR="00AA30BB" w:rsidRPr="002364A6" w:rsidRDefault="00AA30BB" w:rsidP="0008061A">
            <w:pPr>
              <w:rPr>
                <w:rFonts w:ascii="Times New Roman" w:hAnsi="Times New Roman" w:cs="Times New Roman"/>
                <w:sz w:val="18"/>
                <w:szCs w:val="18"/>
              </w:rPr>
            </w:pPr>
            <w:proofErr w:type="spellStart"/>
            <w:r w:rsidRPr="002364A6">
              <w:rPr>
                <w:rFonts w:ascii="Times New Roman" w:hAnsi="Times New Roman" w:cs="Times New Roman"/>
                <w:sz w:val="18"/>
                <w:szCs w:val="18"/>
              </w:rPr>
              <w:t>Ts</w:t>
            </w:r>
            <w:proofErr w:type="spellEnd"/>
            <w:r w:rsidRPr="002364A6">
              <w:rPr>
                <w:rFonts w:ascii="Times New Roman" w:hAnsi="Times New Roman" w:cs="Times New Roman"/>
                <w:sz w:val="18"/>
                <w:szCs w:val="18"/>
              </w:rPr>
              <w:t>/Tm</w:t>
            </w:r>
          </w:p>
        </w:tc>
        <w:tc>
          <w:tcPr>
            <w:tcW w:w="1079" w:type="dxa"/>
            <w:tcBorders>
              <w:top w:val="single" w:sz="4" w:space="0" w:color="auto"/>
              <w:bottom w:val="single" w:sz="4" w:space="0" w:color="auto"/>
            </w:tcBorders>
          </w:tcPr>
          <w:p w:rsidR="00AA30BB" w:rsidRDefault="00AA30BB" w:rsidP="0008061A">
            <w:pPr>
              <w:jc w:val="center"/>
              <w:rPr>
                <w:rFonts w:ascii="Times New Roman" w:hAnsi="Times New Roman" w:cs="Times New Roman"/>
                <w:sz w:val="18"/>
                <w:szCs w:val="18"/>
              </w:rPr>
            </w:pPr>
            <w:r>
              <w:rPr>
                <w:rFonts w:ascii="Times New Roman" w:hAnsi="Times New Roman" w:cs="Times New Roman"/>
                <w:sz w:val="18"/>
                <w:szCs w:val="18"/>
              </w:rPr>
              <w:t>Number of Times Measured</w:t>
            </w:r>
          </w:p>
        </w:tc>
        <w:tc>
          <w:tcPr>
            <w:tcW w:w="1212" w:type="dxa"/>
            <w:tcBorders>
              <w:top w:val="single" w:sz="4" w:space="0" w:color="auto"/>
              <w:bottom w:val="single" w:sz="4" w:space="0" w:color="auto"/>
            </w:tcBorders>
          </w:tcPr>
          <w:p w:rsidR="00AA30BB" w:rsidRDefault="00AA30BB" w:rsidP="0008061A">
            <w:pPr>
              <w:rPr>
                <w:rFonts w:ascii="Times New Roman" w:hAnsi="Times New Roman" w:cs="Times New Roman"/>
                <w:sz w:val="18"/>
                <w:szCs w:val="18"/>
              </w:rPr>
            </w:pPr>
            <w:r>
              <w:rPr>
                <w:rFonts w:ascii="Times New Roman" w:hAnsi="Times New Roman" w:cs="Times New Roman"/>
                <w:sz w:val="18"/>
                <w:szCs w:val="18"/>
              </w:rPr>
              <w:t>δ</w:t>
            </w:r>
            <w:r w:rsidRPr="00D97383">
              <w:rPr>
                <w:rFonts w:ascii="Times New Roman" w:hAnsi="Times New Roman" w:cs="Times New Roman"/>
                <w:sz w:val="18"/>
                <w:szCs w:val="18"/>
                <w:vertAlign w:val="superscript"/>
              </w:rPr>
              <w:t>15</w:t>
            </w:r>
            <w:r>
              <w:rPr>
                <w:rFonts w:ascii="Times New Roman" w:hAnsi="Times New Roman" w:cs="Times New Roman"/>
                <w:sz w:val="18"/>
                <w:szCs w:val="18"/>
              </w:rPr>
              <w:t>N</w:t>
            </w:r>
            <w:r w:rsidRPr="00D97383">
              <w:rPr>
                <w:rFonts w:ascii="Times New Roman" w:hAnsi="Times New Roman" w:cs="Times New Roman"/>
                <w:sz w:val="18"/>
                <w:szCs w:val="18"/>
              </w:rPr>
              <w:t xml:space="preserve"> ‰</w:t>
            </w:r>
          </w:p>
          <w:p w:rsidR="00AA30BB" w:rsidRPr="002364A6" w:rsidRDefault="00AA30BB" w:rsidP="0008061A">
            <w:pPr>
              <w:rPr>
                <w:rFonts w:ascii="Times New Roman" w:hAnsi="Times New Roman" w:cs="Times New Roman"/>
                <w:sz w:val="18"/>
                <w:szCs w:val="18"/>
              </w:rPr>
            </w:pPr>
            <w:r>
              <w:rPr>
                <w:rFonts w:ascii="Times New Roman" w:hAnsi="Times New Roman" w:cs="Times New Roman"/>
                <w:sz w:val="18"/>
                <w:szCs w:val="18"/>
              </w:rPr>
              <w:t xml:space="preserve"> (NSO)</w:t>
            </w:r>
          </w:p>
        </w:tc>
        <w:tc>
          <w:tcPr>
            <w:tcW w:w="1011" w:type="dxa"/>
            <w:tcBorders>
              <w:top w:val="single" w:sz="4" w:space="0" w:color="auto"/>
              <w:bottom w:val="single" w:sz="4" w:space="0" w:color="auto"/>
            </w:tcBorders>
          </w:tcPr>
          <w:p w:rsidR="00AA30BB" w:rsidRDefault="00AA30BB" w:rsidP="0008061A">
            <w:pPr>
              <w:jc w:val="center"/>
              <w:rPr>
                <w:rFonts w:ascii="Times New Roman" w:hAnsi="Times New Roman" w:cs="Times New Roman"/>
                <w:sz w:val="18"/>
                <w:szCs w:val="18"/>
              </w:rPr>
            </w:pPr>
            <w:r>
              <w:rPr>
                <w:rFonts w:ascii="Times New Roman" w:hAnsi="Times New Roman" w:cs="Times New Roman"/>
                <w:sz w:val="18"/>
                <w:szCs w:val="18"/>
              </w:rPr>
              <w:t>Number of Times Measured</w:t>
            </w:r>
          </w:p>
        </w:tc>
        <w:tc>
          <w:tcPr>
            <w:tcW w:w="1212" w:type="dxa"/>
            <w:tcBorders>
              <w:top w:val="single" w:sz="4" w:space="0" w:color="auto"/>
              <w:bottom w:val="single" w:sz="4" w:space="0" w:color="auto"/>
            </w:tcBorders>
          </w:tcPr>
          <w:p w:rsidR="00AA30BB" w:rsidRDefault="00AA30BB" w:rsidP="0008061A">
            <w:pPr>
              <w:rPr>
                <w:rFonts w:ascii="Times New Roman" w:hAnsi="Times New Roman" w:cs="Times New Roman"/>
                <w:sz w:val="18"/>
                <w:szCs w:val="18"/>
              </w:rPr>
            </w:pPr>
            <w:r>
              <w:rPr>
                <w:rFonts w:ascii="Times New Roman" w:hAnsi="Times New Roman" w:cs="Times New Roman"/>
                <w:sz w:val="18"/>
                <w:szCs w:val="18"/>
              </w:rPr>
              <w:t>δ</w:t>
            </w:r>
            <w:r w:rsidRPr="00D97383">
              <w:rPr>
                <w:rFonts w:ascii="Times New Roman" w:hAnsi="Times New Roman" w:cs="Times New Roman"/>
                <w:sz w:val="18"/>
                <w:szCs w:val="18"/>
                <w:vertAlign w:val="superscript"/>
              </w:rPr>
              <w:t>15</w:t>
            </w:r>
            <w:r>
              <w:rPr>
                <w:rFonts w:ascii="Times New Roman" w:hAnsi="Times New Roman" w:cs="Times New Roman"/>
                <w:sz w:val="18"/>
                <w:szCs w:val="18"/>
              </w:rPr>
              <w:t xml:space="preserve">N </w:t>
            </w:r>
            <w:r w:rsidRPr="00D97383">
              <w:rPr>
                <w:rFonts w:ascii="Times New Roman" w:hAnsi="Times New Roman" w:cs="Times New Roman"/>
                <w:sz w:val="18"/>
                <w:szCs w:val="18"/>
              </w:rPr>
              <w:t>‰</w:t>
            </w:r>
          </w:p>
          <w:p w:rsidR="00AA30BB" w:rsidRPr="002364A6" w:rsidRDefault="00AA30BB" w:rsidP="0008061A">
            <w:pPr>
              <w:rPr>
                <w:rFonts w:ascii="Times New Roman" w:hAnsi="Times New Roman" w:cs="Times New Roman"/>
                <w:sz w:val="18"/>
                <w:szCs w:val="18"/>
              </w:rPr>
            </w:pPr>
            <w:r>
              <w:rPr>
                <w:rFonts w:ascii="Times New Roman" w:hAnsi="Times New Roman" w:cs="Times New Roman"/>
                <w:sz w:val="18"/>
                <w:szCs w:val="18"/>
              </w:rPr>
              <w:t xml:space="preserve"> (Asp)</w:t>
            </w:r>
          </w:p>
        </w:tc>
      </w:tr>
      <w:tr w:rsidR="00AA30BB" w:rsidTr="0008061A">
        <w:trPr>
          <w:trHeight w:val="397"/>
        </w:trPr>
        <w:tc>
          <w:tcPr>
            <w:tcW w:w="1170" w:type="dxa"/>
            <w:tcBorders>
              <w:top w:val="single" w:sz="4" w:space="0" w:color="auto"/>
            </w:tcBorders>
          </w:tcPr>
          <w:p w:rsidR="00AA30BB" w:rsidRPr="002364A6" w:rsidRDefault="00AA30BB" w:rsidP="0008061A">
            <w:pPr>
              <w:rPr>
                <w:rFonts w:ascii="Times New Roman" w:hAnsi="Times New Roman" w:cs="Times New Roman"/>
                <w:sz w:val="18"/>
                <w:szCs w:val="18"/>
              </w:rPr>
            </w:pPr>
            <w:r>
              <w:rPr>
                <w:rFonts w:ascii="Times New Roman" w:hAnsi="Times New Roman" w:cs="Times New Roman"/>
                <w:sz w:val="18"/>
                <w:szCs w:val="18"/>
              </w:rPr>
              <w:t>21</w:t>
            </w:r>
          </w:p>
        </w:tc>
        <w:tc>
          <w:tcPr>
            <w:tcW w:w="1370" w:type="dxa"/>
            <w:tcBorders>
              <w:top w:val="single" w:sz="4" w:space="0" w:color="auto"/>
            </w:tcBorders>
          </w:tcPr>
          <w:p w:rsidR="00AA30BB" w:rsidRPr="002364A6" w:rsidRDefault="00AA30BB" w:rsidP="0008061A">
            <w:pPr>
              <w:rPr>
                <w:rFonts w:ascii="Times New Roman" w:hAnsi="Times New Roman" w:cs="Times New Roman"/>
                <w:sz w:val="18"/>
                <w:szCs w:val="18"/>
              </w:rPr>
            </w:pPr>
            <w:r w:rsidRPr="002364A6">
              <w:rPr>
                <w:rFonts w:ascii="Times New Roman" w:hAnsi="Times New Roman" w:cs="Times New Roman"/>
                <w:sz w:val="18"/>
                <w:szCs w:val="18"/>
              </w:rPr>
              <w:t>27</w:t>
            </w:r>
            <w:r>
              <w:rPr>
                <w:rFonts w:ascii="Times New Roman" w:hAnsi="Times New Roman" w:cs="Times New Roman"/>
                <w:sz w:val="18"/>
                <w:szCs w:val="18"/>
              </w:rPr>
              <w:t>.0</w:t>
            </w:r>
          </w:p>
        </w:tc>
        <w:tc>
          <w:tcPr>
            <w:tcW w:w="1331" w:type="dxa"/>
            <w:tcBorders>
              <w:top w:val="single" w:sz="4" w:space="0" w:color="auto"/>
            </w:tcBorders>
          </w:tcPr>
          <w:p w:rsidR="00AA30BB" w:rsidRPr="002364A6" w:rsidRDefault="00AA30BB" w:rsidP="0008061A">
            <w:pPr>
              <w:rPr>
                <w:rFonts w:ascii="Times New Roman" w:hAnsi="Times New Roman" w:cs="Times New Roman"/>
                <w:sz w:val="18"/>
                <w:szCs w:val="18"/>
              </w:rPr>
            </w:pPr>
            <w:r w:rsidRPr="002364A6">
              <w:rPr>
                <w:rFonts w:ascii="Times New Roman" w:hAnsi="Times New Roman" w:cs="Times New Roman"/>
                <w:sz w:val="18"/>
                <w:szCs w:val="18"/>
              </w:rPr>
              <w:t>0.50</w:t>
            </w:r>
          </w:p>
        </w:tc>
        <w:tc>
          <w:tcPr>
            <w:tcW w:w="975" w:type="dxa"/>
            <w:tcBorders>
              <w:top w:val="single" w:sz="4" w:space="0" w:color="auto"/>
            </w:tcBorders>
          </w:tcPr>
          <w:p w:rsidR="00AA30BB" w:rsidRPr="002364A6" w:rsidRDefault="00AA30BB" w:rsidP="0008061A">
            <w:pPr>
              <w:rPr>
                <w:rFonts w:ascii="Times New Roman" w:hAnsi="Times New Roman" w:cs="Times New Roman"/>
                <w:sz w:val="18"/>
                <w:szCs w:val="18"/>
              </w:rPr>
            </w:pPr>
            <w:r w:rsidRPr="002364A6">
              <w:rPr>
                <w:rFonts w:ascii="Times New Roman" w:hAnsi="Times New Roman" w:cs="Times New Roman"/>
                <w:sz w:val="18"/>
                <w:szCs w:val="18"/>
              </w:rPr>
              <w:t>0.17</w:t>
            </w:r>
          </w:p>
        </w:tc>
        <w:tc>
          <w:tcPr>
            <w:tcW w:w="1079" w:type="dxa"/>
            <w:tcBorders>
              <w:top w:val="single" w:sz="4" w:space="0" w:color="auto"/>
            </w:tcBorders>
          </w:tcPr>
          <w:p w:rsidR="00AA30BB" w:rsidRDefault="00AA30BB" w:rsidP="0008061A">
            <w:pPr>
              <w:jc w:val="center"/>
              <w:rPr>
                <w:rFonts w:ascii="Times New Roman" w:hAnsi="Times New Roman" w:cs="Times New Roman"/>
                <w:sz w:val="18"/>
                <w:szCs w:val="18"/>
              </w:rPr>
            </w:pPr>
            <w:r>
              <w:rPr>
                <w:rFonts w:ascii="Times New Roman" w:hAnsi="Times New Roman" w:cs="Times New Roman"/>
                <w:sz w:val="18"/>
                <w:szCs w:val="18"/>
              </w:rPr>
              <w:t>4</w:t>
            </w:r>
          </w:p>
        </w:tc>
        <w:tc>
          <w:tcPr>
            <w:tcW w:w="1212" w:type="dxa"/>
            <w:tcBorders>
              <w:top w:val="single" w:sz="4" w:space="0" w:color="auto"/>
            </w:tcBorders>
          </w:tcPr>
          <w:p w:rsidR="00AA30BB" w:rsidRPr="002364A6" w:rsidRDefault="00AA30BB" w:rsidP="0008061A">
            <w:pPr>
              <w:rPr>
                <w:rFonts w:ascii="Times New Roman" w:hAnsi="Times New Roman" w:cs="Times New Roman"/>
                <w:sz w:val="18"/>
                <w:szCs w:val="18"/>
              </w:rPr>
            </w:pPr>
            <w:r>
              <w:rPr>
                <w:rFonts w:ascii="Times New Roman" w:hAnsi="Times New Roman" w:cs="Times New Roman"/>
                <w:sz w:val="18"/>
                <w:szCs w:val="18"/>
              </w:rPr>
              <w:t>0.59±1.13</w:t>
            </w:r>
          </w:p>
        </w:tc>
        <w:tc>
          <w:tcPr>
            <w:tcW w:w="1011" w:type="dxa"/>
            <w:tcBorders>
              <w:top w:val="single" w:sz="4" w:space="0" w:color="auto"/>
            </w:tcBorders>
          </w:tcPr>
          <w:p w:rsidR="00AA30BB" w:rsidRDefault="00AA30BB" w:rsidP="0008061A">
            <w:pPr>
              <w:jc w:val="center"/>
              <w:rPr>
                <w:rFonts w:ascii="Times New Roman" w:hAnsi="Times New Roman" w:cs="Times New Roman"/>
                <w:sz w:val="18"/>
                <w:szCs w:val="18"/>
              </w:rPr>
            </w:pPr>
            <w:r>
              <w:rPr>
                <w:rFonts w:ascii="Times New Roman" w:hAnsi="Times New Roman" w:cs="Times New Roman"/>
                <w:sz w:val="18"/>
                <w:szCs w:val="18"/>
              </w:rPr>
              <w:t>4</w:t>
            </w:r>
          </w:p>
        </w:tc>
        <w:tc>
          <w:tcPr>
            <w:tcW w:w="1212" w:type="dxa"/>
            <w:tcBorders>
              <w:top w:val="single" w:sz="4" w:space="0" w:color="auto"/>
            </w:tcBorders>
          </w:tcPr>
          <w:p w:rsidR="00AA30BB" w:rsidRPr="002364A6" w:rsidRDefault="00AA30BB" w:rsidP="0008061A">
            <w:pPr>
              <w:rPr>
                <w:rFonts w:ascii="Times New Roman" w:hAnsi="Times New Roman" w:cs="Times New Roman"/>
                <w:sz w:val="18"/>
                <w:szCs w:val="18"/>
              </w:rPr>
            </w:pPr>
            <w:r>
              <w:rPr>
                <w:rFonts w:ascii="Times New Roman" w:hAnsi="Times New Roman" w:cs="Times New Roman"/>
                <w:sz w:val="18"/>
                <w:szCs w:val="18"/>
              </w:rPr>
              <w:t>0.51±0.82</w:t>
            </w:r>
          </w:p>
        </w:tc>
      </w:tr>
      <w:tr w:rsidR="00AA30BB" w:rsidTr="0008061A">
        <w:trPr>
          <w:trHeight w:val="397"/>
        </w:trPr>
        <w:tc>
          <w:tcPr>
            <w:tcW w:w="1170" w:type="dxa"/>
          </w:tcPr>
          <w:p w:rsidR="00AA30BB" w:rsidRPr="002364A6" w:rsidRDefault="00AA30BB" w:rsidP="0008061A">
            <w:pPr>
              <w:rPr>
                <w:rFonts w:ascii="Times New Roman" w:hAnsi="Times New Roman" w:cs="Times New Roman"/>
                <w:sz w:val="18"/>
                <w:szCs w:val="18"/>
              </w:rPr>
            </w:pPr>
            <w:r>
              <w:rPr>
                <w:rFonts w:ascii="Times New Roman" w:hAnsi="Times New Roman" w:cs="Times New Roman"/>
                <w:sz w:val="18"/>
                <w:szCs w:val="18"/>
              </w:rPr>
              <w:t>27</w:t>
            </w:r>
          </w:p>
        </w:tc>
        <w:tc>
          <w:tcPr>
            <w:tcW w:w="1370" w:type="dxa"/>
          </w:tcPr>
          <w:p w:rsidR="00AA30BB" w:rsidRPr="002364A6" w:rsidRDefault="00AA30BB" w:rsidP="0008061A">
            <w:pPr>
              <w:rPr>
                <w:rFonts w:ascii="Times New Roman" w:hAnsi="Times New Roman" w:cs="Times New Roman"/>
                <w:sz w:val="18"/>
                <w:szCs w:val="18"/>
              </w:rPr>
            </w:pPr>
            <w:r w:rsidRPr="002364A6">
              <w:rPr>
                <w:rFonts w:ascii="Times New Roman" w:hAnsi="Times New Roman" w:cs="Times New Roman"/>
                <w:sz w:val="18"/>
                <w:szCs w:val="18"/>
              </w:rPr>
              <w:t>31.7</w:t>
            </w:r>
          </w:p>
        </w:tc>
        <w:tc>
          <w:tcPr>
            <w:tcW w:w="1331" w:type="dxa"/>
          </w:tcPr>
          <w:p w:rsidR="00AA30BB" w:rsidRPr="002364A6" w:rsidRDefault="00AA30BB" w:rsidP="0008061A">
            <w:pPr>
              <w:rPr>
                <w:rFonts w:ascii="Times New Roman" w:hAnsi="Times New Roman" w:cs="Times New Roman"/>
                <w:sz w:val="18"/>
                <w:szCs w:val="18"/>
              </w:rPr>
            </w:pPr>
            <w:r w:rsidRPr="002364A6">
              <w:rPr>
                <w:rFonts w:ascii="Times New Roman" w:hAnsi="Times New Roman" w:cs="Times New Roman"/>
                <w:sz w:val="18"/>
                <w:szCs w:val="18"/>
              </w:rPr>
              <w:t>1.38</w:t>
            </w:r>
          </w:p>
        </w:tc>
        <w:tc>
          <w:tcPr>
            <w:tcW w:w="975" w:type="dxa"/>
          </w:tcPr>
          <w:p w:rsidR="00AA30BB" w:rsidRPr="002364A6" w:rsidRDefault="00AA30BB" w:rsidP="0008061A">
            <w:pPr>
              <w:rPr>
                <w:rFonts w:ascii="Times New Roman" w:hAnsi="Times New Roman" w:cs="Times New Roman"/>
                <w:sz w:val="18"/>
                <w:szCs w:val="18"/>
              </w:rPr>
            </w:pPr>
            <w:r w:rsidRPr="002364A6">
              <w:rPr>
                <w:rFonts w:ascii="Times New Roman" w:hAnsi="Times New Roman" w:cs="Times New Roman"/>
                <w:sz w:val="18"/>
                <w:szCs w:val="18"/>
              </w:rPr>
              <w:t>0.28</w:t>
            </w:r>
          </w:p>
        </w:tc>
        <w:tc>
          <w:tcPr>
            <w:tcW w:w="1079" w:type="dxa"/>
          </w:tcPr>
          <w:p w:rsidR="00AA30BB" w:rsidRDefault="00AA30BB" w:rsidP="0008061A">
            <w:pPr>
              <w:jc w:val="center"/>
              <w:rPr>
                <w:rFonts w:ascii="Times New Roman" w:hAnsi="Times New Roman" w:cs="Times New Roman"/>
                <w:sz w:val="18"/>
                <w:szCs w:val="18"/>
              </w:rPr>
            </w:pPr>
            <w:r>
              <w:rPr>
                <w:rFonts w:ascii="Times New Roman" w:hAnsi="Times New Roman" w:cs="Times New Roman"/>
                <w:sz w:val="18"/>
                <w:szCs w:val="18"/>
              </w:rPr>
              <w:t>3</w:t>
            </w:r>
          </w:p>
        </w:tc>
        <w:tc>
          <w:tcPr>
            <w:tcW w:w="1212" w:type="dxa"/>
          </w:tcPr>
          <w:p w:rsidR="00AA30BB" w:rsidRPr="002364A6" w:rsidRDefault="00AA30BB" w:rsidP="0008061A">
            <w:pPr>
              <w:rPr>
                <w:rFonts w:ascii="Times New Roman" w:hAnsi="Times New Roman" w:cs="Times New Roman"/>
                <w:sz w:val="18"/>
                <w:szCs w:val="18"/>
              </w:rPr>
            </w:pPr>
            <w:r>
              <w:rPr>
                <w:rFonts w:ascii="Times New Roman" w:hAnsi="Times New Roman" w:cs="Times New Roman"/>
                <w:sz w:val="18"/>
                <w:szCs w:val="18"/>
              </w:rPr>
              <w:t>0.59±0.50</w:t>
            </w:r>
          </w:p>
        </w:tc>
        <w:tc>
          <w:tcPr>
            <w:tcW w:w="1011" w:type="dxa"/>
          </w:tcPr>
          <w:p w:rsidR="00AA30BB" w:rsidRDefault="00AA30BB" w:rsidP="0008061A">
            <w:pPr>
              <w:jc w:val="center"/>
              <w:rPr>
                <w:rFonts w:ascii="Times New Roman" w:hAnsi="Times New Roman" w:cs="Times New Roman"/>
                <w:sz w:val="18"/>
                <w:szCs w:val="18"/>
              </w:rPr>
            </w:pPr>
            <w:r>
              <w:rPr>
                <w:rFonts w:ascii="Times New Roman" w:hAnsi="Times New Roman" w:cs="Times New Roman"/>
                <w:sz w:val="18"/>
                <w:szCs w:val="18"/>
              </w:rPr>
              <w:t>4</w:t>
            </w:r>
          </w:p>
        </w:tc>
        <w:tc>
          <w:tcPr>
            <w:tcW w:w="1212" w:type="dxa"/>
          </w:tcPr>
          <w:p w:rsidR="00AA30BB" w:rsidRPr="002364A6" w:rsidRDefault="00AA30BB" w:rsidP="0008061A">
            <w:pPr>
              <w:rPr>
                <w:rFonts w:ascii="Times New Roman" w:hAnsi="Times New Roman" w:cs="Times New Roman"/>
                <w:sz w:val="18"/>
                <w:szCs w:val="18"/>
              </w:rPr>
            </w:pPr>
            <w:r>
              <w:rPr>
                <w:rFonts w:ascii="Times New Roman" w:hAnsi="Times New Roman" w:cs="Times New Roman"/>
                <w:sz w:val="18"/>
                <w:szCs w:val="18"/>
              </w:rPr>
              <w:t>1.46±0.33</w:t>
            </w:r>
          </w:p>
        </w:tc>
      </w:tr>
      <w:tr w:rsidR="00AA30BB" w:rsidTr="0008061A">
        <w:trPr>
          <w:trHeight w:val="368"/>
        </w:trPr>
        <w:tc>
          <w:tcPr>
            <w:tcW w:w="1170" w:type="dxa"/>
          </w:tcPr>
          <w:p w:rsidR="00AA30BB" w:rsidRPr="002364A6" w:rsidRDefault="00AA30BB" w:rsidP="0008061A">
            <w:pPr>
              <w:rPr>
                <w:rFonts w:ascii="Times New Roman" w:hAnsi="Times New Roman" w:cs="Times New Roman"/>
                <w:sz w:val="18"/>
                <w:szCs w:val="18"/>
              </w:rPr>
            </w:pPr>
            <w:r>
              <w:rPr>
                <w:rFonts w:ascii="Times New Roman" w:hAnsi="Times New Roman" w:cs="Times New Roman"/>
                <w:sz w:val="18"/>
                <w:szCs w:val="18"/>
              </w:rPr>
              <w:t>26</w:t>
            </w:r>
          </w:p>
        </w:tc>
        <w:tc>
          <w:tcPr>
            <w:tcW w:w="1370" w:type="dxa"/>
          </w:tcPr>
          <w:p w:rsidR="00AA30BB" w:rsidRPr="002364A6" w:rsidRDefault="00AA30BB" w:rsidP="0008061A">
            <w:pPr>
              <w:rPr>
                <w:rFonts w:ascii="Times New Roman" w:hAnsi="Times New Roman" w:cs="Times New Roman"/>
                <w:sz w:val="18"/>
                <w:szCs w:val="18"/>
              </w:rPr>
            </w:pPr>
            <w:r w:rsidRPr="002364A6">
              <w:rPr>
                <w:rFonts w:ascii="Times New Roman" w:hAnsi="Times New Roman" w:cs="Times New Roman"/>
                <w:sz w:val="18"/>
                <w:szCs w:val="18"/>
              </w:rPr>
              <w:t>32.9</w:t>
            </w:r>
          </w:p>
        </w:tc>
        <w:tc>
          <w:tcPr>
            <w:tcW w:w="1331" w:type="dxa"/>
          </w:tcPr>
          <w:p w:rsidR="00AA30BB" w:rsidRPr="002364A6" w:rsidRDefault="00AA30BB" w:rsidP="0008061A">
            <w:pPr>
              <w:rPr>
                <w:rFonts w:ascii="Times New Roman" w:hAnsi="Times New Roman" w:cs="Times New Roman"/>
                <w:sz w:val="18"/>
                <w:szCs w:val="18"/>
              </w:rPr>
            </w:pPr>
            <w:r w:rsidRPr="002364A6">
              <w:rPr>
                <w:rFonts w:ascii="Times New Roman" w:hAnsi="Times New Roman" w:cs="Times New Roman"/>
                <w:sz w:val="18"/>
                <w:szCs w:val="18"/>
              </w:rPr>
              <w:t>1.20</w:t>
            </w:r>
          </w:p>
        </w:tc>
        <w:tc>
          <w:tcPr>
            <w:tcW w:w="975" w:type="dxa"/>
          </w:tcPr>
          <w:p w:rsidR="00AA30BB" w:rsidRPr="002364A6" w:rsidRDefault="00AA30BB" w:rsidP="0008061A">
            <w:pPr>
              <w:rPr>
                <w:rFonts w:ascii="Times New Roman" w:hAnsi="Times New Roman" w:cs="Times New Roman"/>
                <w:sz w:val="18"/>
                <w:szCs w:val="18"/>
              </w:rPr>
            </w:pPr>
            <w:r w:rsidRPr="002364A6">
              <w:rPr>
                <w:rFonts w:ascii="Times New Roman" w:hAnsi="Times New Roman" w:cs="Times New Roman"/>
                <w:sz w:val="18"/>
                <w:szCs w:val="18"/>
              </w:rPr>
              <w:t>0.23</w:t>
            </w:r>
          </w:p>
        </w:tc>
        <w:tc>
          <w:tcPr>
            <w:tcW w:w="1079" w:type="dxa"/>
          </w:tcPr>
          <w:p w:rsidR="00AA30BB" w:rsidRDefault="00AA30BB" w:rsidP="0008061A">
            <w:pPr>
              <w:jc w:val="center"/>
              <w:rPr>
                <w:rFonts w:ascii="Times New Roman" w:hAnsi="Times New Roman" w:cs="Times New Roman"/>
                <w:sz w:val="18"/>
                <w:szCs w:val="18"/>
              </w:rPr>
            </w:pPr>
            <w:r>
              <w:rPr>
                <w:rFonts w:ascii="Times New Roman" w:hAnsi="Times New Roman" w:cs="Times New Roman"/>
                <w:sz w:val="18"/>
                <w:szCs w:val="18"/>
              </w:rPr>
              <w:t>3</w:t>
            </w:r>
          </w:p>
        </w:tc>
        <w:tc>
          <w:tcPr>
            <w:tcW w:w="1212" w:type="dxa"/>
          </w:tcPr>
          <w:p w:rsidR="00AA30BB" w:rsidRPr="002364A6" w:rsidRDefault="00AA30BB" w:rsidP="0008061A">
            <w:pPr>
              <w:rPr>
                <w:rFonts w:ascii="Times New Roman" w:hAnsi="Times New Roman" w:cs="Times New Roman"/>
                <w:sz w:val="18"/>
                <w:szCs w:val="18"/>
              </w:rPr>
            </w:pPr>
            <w:r>
              <w:rPr>
                <w:rFonts w:ascii="Times New Roman" w:hAnsi="Times New Roman" w:cs="Times New Roman"/>
                <w:sz w:val="18"/>
                <w:szCs w:val="18"/>
              </w:rPr>
              <w:t>1.91±0.64</w:t>
            </w:r>
          </w:p>
        </w:tc>
        <w:tc>
          <w:tcPr>
            <w:tcW w:w="1011" w:type="dxa"/>
          </w:tcPr>
          <w:p w:rsidR="00AA30BB" w:rsidRDefault="00AA30BB" w:rsidP="0008061A">
            <w:pPr>
              <w:jc w:val="center"/>
              <w:rPr>
                <w:rFonts w:ascii="Times New Roman" w:hAnsi="Times New Roman" w:cs="Times New Roman"/>
                <w:sz w:val="18"/>
                <w:szCs w:val="18"/>
              </w:rPr>
            </w:pPr>
            <w:r>
              <w:rPr>
                <w:rFonts w:ascii="Times New Roman" w:hAnsi="Times New Roman" w:cs="Times New Roman"/>
                <w:sz w:val="18"/>
                <w:szCs w:val="18"/>
              </w:rPr>
              <w:t>4</w:t>
            </w:r>
          </w:p>
        </w:tc>
        <w:tc>
          <w:tcPr>
            <w:tcW w:w="1212" w:type="dxa"/>
          </w:tcPr>
          <w:p w:rsidR="00AA30BB" w:rsidRPr="002364A6" w:rsidRDefault="00AA30BB" w:rsidP="0008061A">
            <w:pPr>
              <w:rPr>
                <w:rFonts w:ascii="Times New Roman" w:hAnsi="Times New Roman" w:cs="Times New Roman"/>
                <w:sz w:val="18"/>
                <w:szCs w:val="18"/>
              </w:rPr>
            </w:pPr>
            <w:r>
              <w:rPr>
                <w:rFonts w:ascii="Times New Roman" w:hAnsi="Times New Roman" w:cs="Times New Roman"/>
                <w:sz w:val="18"/>
                <w:szCs w:val="18"/>
              </w:rPr>
              <w:t>2.40±0.44</w:t>
            </w:r>
          </w:p>
        </w:tc>
      </w:tr>
      <w:tr w:rsidR="00AA30BB" w:rsidTr="0008061A">
        <w:trPr>
          <w:trHeight w:val="397"/>
        </w:trPr>
        <w:tc>
          <w:tcPr>
            <w:tcW w:w="1170" w:type="dxa"/>
            <w:tcBorders>
              <w:bottom w:val="single" w:sz="4" w:space="0" w:color="auto"/>
            </w:tcBorders>
          </w:tcPr>
          <w:p w:rsidR="00AA30BB" w:rsidRPr="002364A6" w:rsidRDefault="00AA30BB" w:rsidP="0008061A">
            <w:pPr>
              <w:rPr>
                <w:rFonts w:ascii="Times New Roman" w:hAnsi="Times New Roman" w:cs="Times New Roman"/>
                <w:sz w:val="18"/>
                <w:szCs w:val="18"/>
              </w:rPr>
            </w:pPr>
            <w:r>
              <w:rPr>
                <w:rFonts w:ascii="Times New Roman" w:hAnsi="Times New Roman" w:cs="Times New Roman"/>
                <w:sz w:val="18"/>
                <w:szCs w:val="18"/>
              </w:rPr>
              <w:t>25</w:t>
            </w:r>
          </w:p>
        </w:tc>
        <w:tc>
          <w:tcPr>
            <w:tcW w:w="1370" w:type="dxa"/>
            <w:tcBorders>
              <w:bottom w:val="single" w:sz="4" w:space="0" w:color="auto"/>
            </w:tcBorders>
          </w:tcPr>
          <w:p w:rsidR="00AA30BB" w:rsidRPr="002364A6" w:rsidRDefault="00AA30BB" w:rsidP="0008061A">
            <w:pPr>
              <w:rPr>
                <w:rFonts w:ascii="Times New Roman" w:hAnsi="Times New Roman" w:cs="Times New Roman"/>
                <w:sz w:val="18"/>
                <w:szCs w:val="18"/>
              </w:rPr>
            </w:pPr>
            <w:r w:rsidRPr="002364A6">
              <w:rPr>
                <w:rFonts w:ascii="Times New Roman" w:hAnsi="Times New Roman" w:cs="Times New Roman"/>
                <w:sz w:val="18"/>
                <w:szCs w:val="18"/>
              </w:rPr>
              <w:t>33.2</w:t>
            </w:r>
          </w:p>
        </w:tc>
        <w:tc>
          <w:tcPr>
            <w:tcW w:w="1331" w:type="dxa"/>
            <w:tcBorders>
              <w:bottom w:val="single" w:sz="4" w:space="0" w:color="auto"/>
            </w:tcBorders>
          </w:tcPr>
          <w:p w:rsidR="00AA30BB" w:rsidRPr="002364A6" w:rsidRDefault="00AA30BB" w:rsidP="0008061A">
            <w:pPr>
              <w:rPr>
                <w:rFonts w:ascii="Times New Roman" w:hAnsi="Times New Roman" w:cs="Times New Roman"/>
                <w:sz w:val="18"/>
                <w:szCs w:val="18"/>
              </w:rPr>
            </w:pPr>
            <w:r w:rsidRPr="002364A6">
              <w:rPr>
                <w:rFonts w:ascii="Times New Roman" w:hAnsi="Times New Roman" w:cs="Times New Roman"/>
                <w:sz w:val="18"/>
                <w:szCs w:val="18"/>
              </w:rPr>
              <w:t>2.84</w:t>
            </w:r>
          </w:p>
        </w:tc>
        <w:tc>
          <w:tcPr>
            <w:tcW w:w="975" w:type="dxa"/>
            <w:tcBorders>
              <w:bottom w:val="single" w:sz="4" w:space="0" w:color="auto"/>
            </w:tcBorders>
          </w:tcPr>
          <w:p w:rsidR="00AA30BB" w:rsidRPr="002364A6" w:rsidRDefault="00AA30BB" w:rsidP="0008061A">
            <w:pPr>
              <w:rPr>
                <w:rFonts w:ascii="Times New Roman" w:hAnsi="Times New Roman" w:cs="Times New Roman"/>
                <w:sz w:val="18"/>
                <w:szCs w:val="18"/>
              </w:rPr>
            </w:pPr>
            <w:r w:rsidRPr="002364A6">
              <w:rPr>
                <w:rFonts w:ascii="Times New Roman" w:hAnsi="Times New Roman" w:cs="Times New Roman"/>
                <w:sz w:val="18"/>
                <w:szCs w:val="18"/>
              </w:rPr>
              <w:t>0.41</w:t>
            </w:r>
          </w:p>
        </w:tc>
        <w:tc>
          <w:tcPr>
            <w:tcW w:w="1079" w:type="dxa"/>
            <w:tcBorders>
              <w:bottom w:val="single" w:sz="4" w:space="0" w:color="auto"/>
            </w:tcBorders>
          </w:tcPr>
          <w:p w:rsidR="00AA30BB" w:rsidRDefault="00AA30BB" w:rsidP="0008061A">
            <w:pPr>
              <w:jc w:val="center"/>
              <w:rPr>
                <w:rFonts w:ascii="Times New Roman" w:hAnsi="Times New Roman" w:cs="Times New Roman"/>
                <w:sz w:val="18"/>
                <w:szCs w:val="18"/>
              </w:rPr>
            </w:pPr>
            <w:r>
              <w:rPr>
                <w:rFonts w:ascii="Times New Roman" w:hAnsi="Times New Roman" w:cs="Times New Roman"/>
                <w:sz w:val="18"/>
                <w:szCs w:val="18"/>
              </w:rPr>
              <w:t>4</w:t>
            </w:r>
          </w:p>
        </w:tc>
        <w:tc>
          <w:tcPr>
            <w:tcW w:w="1212" w:type="dxa"/>
            <w:tcBorders>
              <w:bottom w:val="single" w:sz="4" w:space="0" w:color="auto"/>
            </w:tcBorders>
          </w:tcPr>
          <w:p w:rsidR="00AA30BB" w:rsidRPr="002364A6" w:rsidRDefault="00AA30BB" w:rsidP="0008061A">
            <w:pPr>
              <w:rPr>
                <w:rFonts w:ascii="Times New Roman" w:hAnsi="Times New Roman" w:cs="Times New Roman"/>
                <w:sz w:val="18"/>
                <w:szCs w:val="18"/>
              </w:rPr>
            </w:pPr>
            <w:r>
              <w:rPr>
                <w:rFonts w:ascii="Times New Roman" w:hAnsi="Times New Roman" w:cs="Times New Roman"/>
                <w:sz w:val="18"/>
                <w:szCs w:val="18"/>
              </w:rPr>
              <w:t>1.20±0.61</w:t>
            </w:r>
          </w:p>
        </w:tc>
        <w:tc>
          <w:tcPr>
            <w:tcW w:w="1011" w:type="dxa"/>
            <w:tcBorders>
              <w:bottom w:val="single" w:sz="4" w:space="0" w:color="auto"/>
            </w:tcBorders>
          </w:tcPr>
          <w:p w:rsidR="00AA30BB" w:rsidRDefault="00AA30BB" w:rsidP="0008061A">
            <w:pPr>
              <w:jc w:val="center"/>
              <w:rPr>
                <w:rFonts w:ascii="Times New Roman" w:hAnsi="Times New Roman" w:cs="Times New Roman"/>
                <w:sz w:val="18"/>
                <w:szCs w:val="18"/>
              </w:rPr>
            </w:pPr>
            <w:r>
              <w:rPr>
                <w:rFonts w:ascii="Times New Roman" w:hAnsi="Times New Roman" w:cs="Times New Roman"/>
                <w:sz w:val="18"/>
                <w:szCs w:val="18"/>
              </w:rPr>
              <w:t>3</w:t>
            </w:r>
          </w:p>
        </w:tc>
        <w:tc>
          <w:tcPr>
            <w:tcW w:w="1212" w:type="dxa"/>
            <w:tcBorders>
              <w:bottom w:val="single" w:sz="4" w:space="0" w:color="auto"/>
            </w:tcBorders>
          </w:tcPr>
          <w:p w:rsidR="00AA30BB" w:rsidRPr="002364A6" w:rsidRDefault="00AA30BB" w:rsidP="0008061A">
            <w:pPr>
              <w:rPr>
                <w:rFonts w:ascii="Times New Roman" w:hAnsi="Times New Roman" w:cs="Times New Roman"/>
                <w:sz w:val="18"/>
                <w:szCs w:val="18"/>
              </w:rPr>
            </w:pPr>
            <w:r>
              <w:rPr>
                <w:rFonts w:ascii="Times New Roman" w:hAnsi="Times New Roman" w:cs="Times New Roman"/>
                <w:sz w:val="18"/>
                <w:szCs w:val="18"/>
              </w:rPr>
              <w:t>2.20±0.41</w:t>
            </w:r>
          </w:p>
        </w:tc>
      </w:tr>
    </w:tbl>
    <w:p w:rsidR="00AA30BB" w:rsidRDefault="00AA30BB" w:rsidP="00AA30BB"/>
    <w:p w:rsidR="008D4F69" w:rsidRPr="0055541E" w:rsidRDefault="00AA30BB" w:rsidP="008D4F69">
      <w:pPr>
        <w:rPr>
          <w:rFonts w:ascii="Times New Roman" w:hAnsi="Times New Roman"/>
        </w:rPr>
      </w:pPr>
      <w:r>
        <w:rPr>
          <w:rFonts w:ascii="Times New Roman" w:hAnsi="Times New Roman"/>
          <w:i/>
        </w:rPr>
        <w:tab/>
      </w:r>
      <w:r>
        <w:rPr>
          <w:rFonts w:ascii="Times New Roman" w:hAnsi="Times New Roman"/>
        </w:rPr>
        <w:t xml:space="preserve">The </w:t>
      </w:r>
      <w:r w:rsidRPr="00BF7B4D">
        <w:rPr>
          <w:rFonts w:ascii="Times New Roman" w:hAnsi="Times New Roman"/>
        </w:rPr>
        <w:t>δ</w:t>
      </w:r>
      <w:r w:rsidRPr="00BF7B4D">
        <w:rPr>
          <w:rFonts w:ascii="Times New Roman" w:hAnsi="Times New Roman"/>
          <w:vertAlign w:val="superscript"/>
        </w:rPr>
        <w:t>15</w:t>
      </w:r>
      <w:r>
        <w:rPr>
          <w:rFonts w:ascii="Times New Roman" w:hAnsi="Times New Roman"/>
        </w:rPr>
        <w:t xml:space="preserve">N values for the NSO fraction in the Mexican oils from the Tampico and Sureste basin show an enrichment in </w:t>
      </w:r>
      <w:r w:rsidRPr="00BF7B4D">
        <w:rPr>
          <w:rFonts w:ascii="Times New Roman" w:hAnsi="Times New Roman"/>
          <w:vertAlign w:val="superscript"/>
        </w:rPr>
        <w:t>15</w:t>
      </w:r>
      <w:r w:rsidRPr="00BF7B4D">
        <w:rPr>
          <w:rFonts w:ascii="Times New Roman" w:hAnsi="Times New Roman"/>
        </w:rPr>
        <w:t>N</w:t>
      </w:r>
      <w:r>
        <w:rPr>
          <w:rFonts w:ascii="Times New Roman" w:hAnsi="Times New Roman"/>
        </w:rPr>
        <w:t xml:space="preserve"> with increasing API gravity and range from -</w:t>
      </w:r>
      <w:r>
        <w:rPr>
          <w:rFonts w:ascii="Times New Roman" w:hAnsi="Times New Roman"/>
        </w:rPr>
        <w:lastRenderedPageBreak/>
        <w:t>0.87 to 1.24</w:t>
      </w:r>
      <w:r w:rsidRPr="009D4444">
        <w:rPr>
          <w:rFonts w:ascii="Times New Roman" w:hAnsi="Times New Roman"/>
        </w:rPr>
        <w:t>‰</w:t>
      </w:r>
      <w:r>
        <w:rPr>
          <w:rFonts w:ascii="Times New Roman" w:hAnsi="Times New Roman"/>
        </w:rPr>
        <w:t xml:space="preserve"> (Figure 3). The asphaltene fraction in the Mexican oils also show an enrichment in </w:t>
      </w:r>
      <w:r w:rsidRPr="00BF7B4D">
        <w:rPr>
          <w:rFonts w:ascii="Times New Roman" w:hAnsi="Times New Roman"/>
          <w:vertAlign w:val="superscript"/>
        </w:rPr>
        <w:t>15</w:t>
      </w:r>
      <w:r w:rsidRPr="00BF7B4D">
        <w:rPr>
          <w:rFonts w:ascii="Times New Roman" w:hAnsi="Times New Roman"/>
        </w:rPr>
        <w:t>N</w:t>
      </w:r>
      <w:r>
        <w:rPr>
          <w:rFonts w:ascii="Times New Roman" w:hAnsi="Times New Roman"/>
        </w:rPr>
        <w:t xml:space="preserve"> with increasing API gravity in samples 33, 31, and 32, ranging from -0.92 to 0.17</w:t>
      </w:r>
      <w:r w:rsidRPr="009D4444">
        <w:rPr>
          <w:rFonts w:ascii="Times New Roman" w:hAnsi="Times New Roman"/>
        </w:rPr>
        <w:t>‰</w:t>
      </w:r>
      <w:r>
        <w:rPr>
          <w:rFonts w:ascii="Times New Roman" w:hAnsi="Times New Roman"/>
        </w:rPr>
        <w:t xml:space="preserve">. </w:t>
      </w:r>
    </w:p>
    <w:p w:rsidR="00AA30BB" w:rsidRDefault="001F1F49" w:rsidP="00AA30BB">
      <w:pPr>
        <w:spacing w:line="240" w:lineRule="auto"/>
        <w:rPr>
          <w:rFonts w:ascii="Times New Roman" w:hAnsi="Times New Roman"/>
        </w:rPr>
      </w:pPr>
      <w:r>
        <w:rPr>
          <w:noProof/>
          <w:lang w:bidi="ar-SA"/>
        </w:rPr>
        <w:drawing>
          <wp:inline distT="0" distB="0" distL="0" distR="0" wp14:anchorId="38301982" wp14:editId="0114D855">
            <wp:extent cx="5394960" cy="3328670"/>
            <wp:effectExtent l="0" t="0" r="15240" b="5080"/>
            <wp:docPr id="1" name="Chart 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A30BB" w:rsidRDefault="00AA30BB" w:rsidP="00AA30BB">
      <w:pPr>
        <w:keepNext/>
        <w:spacing w:line="240" w:lineRule="auto"/>
        <w:rPr>
          <w:rFonts w:ascii="Times New Roman" w:hAnsi="Times New Roman"/>
        </w:rPr>
      </w:pPr>
      <w:r w:rsidRPr="0055541E">
        <w:rPr>
          <w:rFonts w:ascii="Times New Roman" w:hAnsi="Times New Roman"/>
          <w:b/>
        </w:rPr>
        <w:t>Figure 3.</w:t>
      </w:r>
      <w:r w:rsidRPr="009237AF">
        <w:rPr>
          <w:rFonts w:ascii="Times New Roman" w:hAnsi="Times New Roman"/>
        </w:rPr>
        <w:t xml:space="preserve"> </w:t>
      </w:r>
      <w:r>
        <w:rPr>
          <w:rFonts w:ascii="Times New Roman" w:hAnsi="Times New Roman"/>
        </w:rPr>
        <w:t xml:space="preserve">The </w:t>
      </w:r>
      <w:r w:rsidRPr="00BF7B4D">
        <w:rPr>
          <w:rFonts w:ascii="Times New Roman" w:hAnsi="Times New Roman"/>
        </w:rPr>
        <w:t>δ</w:t>
      </w:r>
      <w:r w:rsidRPr="00BF7B4D">
        <w:rPr>
          <w:rFonts w:ascii="Times New Roman" w:hAnsi="Times New Roman"/>
          <w:vertAlign w:val="superscript"/>
        </w:rPr>
        <w:t>15</w:t>
      </w:r>
      <w:r w:rsidRPr="00BF7B4D">
        <w:rPr>
          <w:rFonts w:ascii="Times New Roman" w:hAnsi="Times New Roman"/>
        </w:rPr>
        <w:t>N</w:t>
      </w:r>
      <w:r>
        <w:rPr>
          <w:rFonts w:ascii="Times New Roman" w:hAnsi="Times New Roman"/>
        </w:rPr>
        <w:t xml:space="preserve"> NSO values of the Mexican oils plotted against each oil samples’ respective API gravity. Each point is labeled with corresponding ID from Table 1, and plotted with error bars to show each sample’s standard deviation. </w:t>
      </w:r>
    </w:p>
    <w:p w:rsidR="00AA30BB" w:rsidRDefault="00AA30BB" w:rsidP="00AA30BB">
      <w:pPr>
        <w:spacing w:line="240" w:lineRule="auto"/>
        <w:rPr>
          <w:rFonts w:ascii="Times New Roman" w:hAnsi="Times New Roman"/>
        </w:rPr>
      </w:pPr>
    </w:p>
    <w:p w:rsidR="00AA30BB" w:rsidRDefault="00AA30BB" w:rsidP="00AA30BB">
      <w:pPr>
        <w:ind w:firstLine="720"/>
        <w:rPr>
          <w:rFonts w:ascii="Times New Roman" w:hAnsi="Times New Roman"/>
        </w:rPr>
      </w:pPr>
      <w:r>
        <w:rPr>
          <w:rFonts w:ascii="Times New Roman" w:hAnsi="Times New Roman"/>
        </w:rPr>
        <w:t xml:space="preserve">Sample 30 is depleted in </w:t>
      </w:r>
      <w:r w:rsidRPr="00BF7B4D">
        <w:rPr>
          <w:rFonts w:ascii="Times New Roman" w:hAnsi="Times New Roman"/>
          <w:vertAlign w:val="superscript"/>
        </w:rPr>
        <w:t>15</w:t>
      </w:r>
      <w:r w:rsidRPr="00BF7B4D">
        <w:rPr>
          <w:rFonts w:ascii="Times New Roman" w:hAnsi="Times New Roman"/>
        </w:rPr>
        <w:t>N</w:t>
      </w:r>
      <w:r>
        <w:rPr>
          <w:rFonts w:ascii="Times New Roman" w:hAnsi="Times New Roman"/>
        </w:rPr>
        <w:t xml:space="preserve"> in the asphaltene fraction relative to samples 31 and 32, with a value of -0.70</w:t>
      </w:r>
      <w:r w:rsidRPr="009D4444">
        <w:rPr>
          <w:rFonts w:ascii="Times New Roman" w:hAnsi="Times New Roman"/>
        </w:rPr>
        <w:t>‰</w:t>
      </w:r>
      <w:r>
        <w:rPr>
          <w:rFonts w:ascii="Times New Roman" w:hAnsi="Times New Roman"/>
        </w:rPr>
        <w:t xml:space="preserve"> (Figure 4), despite having the highest API gravity. Sample 22 from the Tampico basin is enriched in </w:t>
      </w:r>
      <w:r w:rsidRPr="00BC5F07">
        <w:rPr>
          <w:rFonts w:ascii="Times New Roman" w:hAnsi="Times New Roman"/>
          <w:vertAlign w:val="superscript"/>
        </w:rPr>
        <w:t>15</w:t>
      </w:r>
      <w:r>
        <w:rPr>
          <w:rFonts w:ascii="Times New Roman" w:hAnsi="Times New Roman"/>
        </w:rPr>
        <w:t xml:space="preserve">N in both the NSO and asphaltene fractions relative to sample 33, despite being the lowest in API gravity. Because sample 22 is from the Tampico basin there is some uncertainty whether the thermal maturity of sample 22 can be evaluated in relationship to the Sureste basin oils. To evaluate the effects of thermal maturity, an assumption is made that the organic matter from which the oils were derived is deposited under the same conditions and depositional environments (Rivera, 2013). Nitrogen isotopes are local indicators, as the nitrogen </w:t>
      </w:r>
      <w:r>
        <w:rPr>
          <w:rFonts w:ascii="Times New Roman" w:hAnsi="Times New Roman"/>
        </w:rPr>
        <w:lastRenderedPageBreak/>
        <w:t>cycle depends on water column conditions, and thus the δ</w:t>
      </w:r>
      <w:r w:rsidRPr="00BF7B4D">
        <w:rPr>
          <w:rFonts w:ascii="Times New Roman" w:hAnsi="Times New Roman"/>
          <w:vertAlign w:val="superscript"/>
        </w:rPr>
        <w:t>15</w:t>
      </w:r>
      <w:r w:rsidRPr="00BF7B4D">
        <w:rPr>
          <w:rFonts w:ascii="Times New Roman" w:hAnsi="Times New Roman"/>
        </w:rPr>
        <w:t>N</w:t>
      </w:r>
      <w:r>
        <w:rPr>
          <w:rFonts w:ascii="Times New Roman" w:hAnsi="Times New Roman"/>
        </w:rPr>
        <w:t xml:space="preserve"> values may not be comparable between sites (Quan et al., 2013). Combined δ</w:t>
      </w:r>
      <w:r w:rsidRPr="00BF7B4D">
        <w:rPr>
          <w:rFonts w:ascii="Times New Roman" w:hAnsi="Times New Roman"/>
          <w:vertAlign w:val="superscript"/>
        </w:rPr>
        <w:t>15</w:t>
      </w:r>
      <w:r w:rsidRPr="00BF7B4D">
        <w:rPr>
          <w:rFonts w:ascii="Times New Roman" w:hAnsi="Times New Roman"/>
        </w:rPr>
        <w:t>N</w:t>
      </w:r>
      <w:r>
        <w:rPr>
          <w:rFonts w:ascii="Times New Roman" w:hAnsi="Times New Roman"/>
        </w:rPr>
        <w:t xml:space="preserve"> values for the fractions of the Mexican oils are shown in Figure 5.</w:t>
      </w:r>
    </w:p>
    <w:p w:rsidR="00AA30BB" w:rsidRDefault="001F1F49" w:rsidP="00AA30BB">
      <w:pPr>
        <w:keepNext/>
        <w:spacing w:line="240" w:lineRule="auto"/>
        <w:rPr>
          <w:rFonts w:ascii="Times New Roman" w:hAnsi="Times New Roman"/>
        </w:rPr>
      </w:pPr>
      <w:r>
        <w:rPr>
          <w:noProof/>
          <w:lang w:bidi="ar-SA"/>
        </w:rPr>
        <w:drawing>
          <wp:inline distT="0" distB="0" distL="0" distR="0" wp14:anchorId="7B20D9C4" wp14:editId="237782BA">
            <wp:extent cx="5276850" cy="3457574"/>
            <wp:effectExtent l="0" t="0" r="0" b="10160"/>
            <wp:docPr id="16" name="Chart 16">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AA30BB" w:rsidRDefault="00AA30BB" w:rsidP="00AA30BB">
      <w:pPr>
        <w:keepNext/>
        <w:spacing w:line="240" w:lineRule="auto"/>
        <w:rPr>
          <w:rFonts w:ascii="Times New Roman" w:hAnsi="Times New Roman"/>
        </w:rPr>
      </w:pPr>
      <w:r w:rsidRPr="00CF741E">
        <w:rPr>
          <w:rFonts w:ascii="Times New Roman" w:hAnsi="Times New Roman"/>
          <w:i/>
        </w:rPr>
        <w:t xml:space="preserve"> </w:t>
      </w:r>
      <w:r w:rsidRPr="0055541E">
        <w:rPr>
          <w:rFonts w:ascii="Times New Roman" w:hAnsi="Times New Roman"/>
          <w:b/>
        </w:rPr>
        <w:t>Figure 4.</w:t>
      </w:r>
      <w:r>
        <w:rPr>
          <w:rFonts w:ascii="Times New Roman" w:hAnsi="Times New Roman"/>
          <w:i/>
        </w:rPr>
        <w:t xml:space="preserve"> </w:t>
      </w:r>
      <w:r>
        <w:rPr>
          <w:rFonts w:ascii="Times New Roman" w:hAnsi="Times New Roman"/>
        </w:rPr>
        <w:t xml:space="preserve">The </w:t>
      </w:r>
      <w:r w:rsidRPr="00BF7B4D">
        <w:rPr>
          <w:rFonts w:ascii="Times New Roman" w:hAnsi="Times New Roman"/>
        </w:rPr>
        <w:t>δ</w:t>
      </w:r>
      <w:r w:rsidRPr="00BF7B4D">
        <w:rPr>
          <w:rFonts w:ascii="Times New Roman" w:hAnsi="Times New Roman"/>
          <w:vertAlign w:val="superscript"/>
        </w:rPr>
        <w:t>15</w:t>
      </w:r>
      <w:r w:rsidRPr="00BF7B4D">
        <w:rPr>
          <w:rFonts w:ascii="Times New Roman" w:hAnsi="Times New Roman"/>
        </w:rPr>
        <w:t>N</w:t>
      </w:r>
      <w:r>
        <w:rPr>
          <w:rFonts w:ascii="Times New Roman" w:hAnsi="Times New Roman"/>
        </w:rPr>
        <w:t xml:space="preserve"> asphaltene values of the Mexican oils plotted against each oil samples’ respective API gravity. Each</w:t>
      </w:r>
      <w:r w:rsidRPr="00545C13">
        <w:rPr>
          <w:rFonts w:ascii="Times New Roman" w:hAnsi="Times New Roman"/>
        </w:rPr>
        <w:t xml:space="preserve"> </w:t>
      </w:r>
      <w:r>
        <w:rPr>
          <w:rFonts w:ascii="Times New Roman" w:hAnsi="Times New Roman"/>
        </w:rPr>
        <w:t xml:space="preserve">point is labeled with corresponding ID from Table 1, and plotted with error bars to show each sample’s standard deviation.     </w:t>
      </w:r>
    </w:p>
    <w:p w:rsidR="00AA30BB" w:rsidRDefault="00AA30BB" w:rsidP="00AA30BB">
      <w:pPr>
        <w:ind w:firstLine="720"/>
        <w:rPr>
          <w:rFonts w:ascii="Times New Roman" w:hAnsi="Times New Roman"/>
        </w:rPr>
      </w:pPr>
    </w:p>
    <w:p w:rsidR="008D4F69" w:rsidRDefault="008D4F69" w:rsidP="00AA30BB">
      <w:pPr>
        <w:jc w:val="center"/>
      </w:pPr>
      <w:r>
        <w:br w:type="page"/>
      </w:r>
    </w:p>
    <w:p w:rsidR="00AA30BB" w:rsidRDefault="001F1F49" w:rsidP="00AA30BB">
      <w:pPr>
        <w:keepNext/>
        <w:spacing w:line="240" w:lineRule="auto"/>
        <w:rPr>
          <w:noProof/>
        </w:rPr>
      </w:pPr>
      <w:r>
        <w:rPr>
          <w:noProof/>
          <w:lang w:bidi="ar-SA"/>
        </w:rPr>
        <w:lastRenderedPageBreak/>
        <w:drawing>
          <wp:inline distT="0" distB="0" distL="0" distR="0" wp14:anchorId="187D551E">
            <wp:extent cx="5295419" cy="3533775"/>
            <wp:effectExtent l="0" t="0" r="63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28175" cy="3555634"/>
                    </a:xfrm>
                    <a:prstGeom prst="rect">
                      <a:avLst/>
                    </a:prstGeom>
                    <a:noFill/>
                  </pic:spPr>
                </pic:pic>
              </a:graphicData>
            </a:graphic>
          </wp:inline>
        </w:drawing>
      </w:r>
    </w:p>
    <w:p w:rsidR="00AA30BB" w:rsidRDefault="00AA30BB" w:rsidP="00AA30BB">
      <w:pPr>
        <w:keepNext/>
        <w:spacing w:line="240" w:lineRule="auto"/>
        <w:rPr>
          <w:rFonts w:ascii="Times New Roman" w:hAnsi="Times New Roman"/>
        </w:rPr>
      </w:pPr>
      <w:r w:rsidRPr="0055541E">
        <w:rPr>
          <w:rFonts w:ascii="Times New Roman" w:hAnsi="Times New Roman"/>
          <w:b/>
        </w:rPr>
        <w:t>Figure 5.</w:t>
      </w:r>
      <w:r w:rsidRPr="006E1CD3">
        <w:rPr>
          <w:rFonts w:ascii="Times New Roman" w:hAnsi="Times New Roman"/>
        </w:rPr>
        <w:t xml:space="preserve"> The combined δ</w:t>
      </w:r>
      <w:r w:rsidRPr="006E1CD3">
        <w:rPr>
          <w:rFonts w:ascii="Times New Roman" w:hAnsi="Times New Roman"/>
          <w:vertAlign w:val="superscript"/>
        </w:rPr>
        <w:t>15</w:t>
      </w:r>
      <w:r>
        <w:rPr>
          <w:rFonts w:ascii="Times New Roman" w:hAnsi="Times New Roman"/>
        </w:rPr>
        <w:t>N NSO and asphaltene values</w:t>
      </w:r>
      <w:r w:rsidRPr="006E1CD3">
        <w:rPr>
          <w:rFonts w:ascii="Times New Roman" w:hAnsi="Times New Roman"/>
        </w:rPr>
        <w:t xml:space="preserve"> of the Mexican oils plotted against each oil samples’ respective API gravity.  </w:t>
      </w:r>
      <w:r>
        <w:rPr>
          <w:rFonts w:ascii="Times New Roman" w:hAnsi="Times New Roman"/>
        </w:rPr>
        <w:t>Each</w:t>
      </w:r>
      <w:r w:rsidRPr="00545C13">
        <w:rPr>
          <w:rFonts w:ascii="Times New Roman" w:hAnsi="Times New Roman"/>
        </w:rPr>
        <w:t xml:space="preserve"> </w:t>
      </w:r>
      <w:r>
        <w:rPr>
          <w:rFonts w:ascii="Times New Roman" w:hAnsi="Times New Roman"/>
        </w:rPr>
        <w:t>point is labeled with corresponding ID from Table 1, and plotted with error bars for each fraction to show each sample’s standard deviation.</w:t>
      </w:r>
      <w:r w:rsidRPr="006E1CD3">
        <w:rPr>
          <w:rFonts w:ascii="Times New Roman" w:hAnsi="Times New Roman"/>
        </w:rPr>
        <w:t xml:space="preserve"> </w:t>
      </w:r>
    </w:p>
    <w:p w:rsidR="00AA30BB" w:rsidRDefault="00AA30BB" w:rsidP="008D4F69"/>
    <w:p w:rsidR="00AA30BB" w:rsidRDefault="00AA30BB">
      <w:pPr>
        <w:spacing w:line="240" w:lineRule="auto"/>
      </w:pPr>
      <w:r>
        <w:br w:type="page"/>
      </w:r>
    </w:p>
    <w:p w:rsidR="0055541E" w:rsidRDefault="0055541E" w:rsidP="0055541E">
      <w:pPr>
        <w:rPr>
          <w:rFonts w:ascii="Times New Roman" w:hAnsi="Times New Roman"/>
          <w:i/>
        </w:rPr>
      </w:pPr>
      <w:r>
        <w:rPr>
          <w:rFonts w:ascii="Times New Roman" w:hAnsi="Times New Roman"/>
          <w:i/>
        </w:rPr>
        <w:lastRenderedPageBreak/>
        <w:t>The Stable Nitrogen I</w:t>
      </w:r>
      <w:r w:rsidRPr="00042584">
        <w:rPr>
          <w:rFonts w:ascii="Times New Roman" w:hAnsi="Times New Roman"/>
          <w:i/>
        </w:rPr>
        <w:t>sotopic</w:t>
      </w:r>
      <w:r w:rsidR="00565343">
        <w:rPr>
          <w:rFonts w:ascii="Times New Roman" w:hAnsi="Times New Roman"/>
          <w:i/>
        </w:rPr>
        <w:t xml:space="preserve"> Analysis of the Middle East</w:t>
      </w:r>
      <w:r>
        <w:rPr>
          <w:rFonts w:ascii="Times New Roman" w:hAnsi="Times New Roman"/>
          <w:i/>
        </w:rPr>
        <w:t xml:space="preserve"> Oils</w:t>
      </w:r>
    </w:p>
    <w:p w:rsidR="007138B4" w:rsidRDefault="0055541E" w:rsidP="0055541E">
      <w:pPr>
        <w:rPr>
          <w:rFonts w:ascii="Times New Roman" w:hAnsi="Times New Roman"/>
        </w:rPr>
      </w:pPr>
      <w:r>
        <w:rPr>
          <w:rFonts w:ascii="Times New Roman" w:hAnsi="Times New Roman"/>
          <w:i/>
        </w:rPr>
        <w:tab/>
      </w:r>
      <w:r>
        <w:rPr>
          <w:rFonts w:ascii="Times New Roman" w:hAnsi="Times New Roman"/>
        </w:rPr>
        <w:t xml:space="preserve">The </w:t>
      </w:r>
      <w:r w:rsidRPr="00BF7B4D">
        <w:rPr>
          <w:rFonts w:ascii="Times New Roman" w:hAnsi="Times New Roman"/>
        </w:rPr>
        <w:t>δ</w:t>
      </w:r>
      <w:r w:rsidRPr="00BF7B4D">
        <w:rPr>
          <w:rFonts w:ascii="Times New Roman" w:hAnsi="Times New Roman"/>
          <w:vertAlign w:val="superscript"/>
        </w:rPr>
        <w:t>15</w:t>
      </w:r>
      <w:r>
        <w:rPr>
          <w:rFonts w:ascii="Times New Roman" w:hAnsi="Times New Roman"/>
        </w:rPr>
        <w:t>N values for the NSO</w:t>
      </w:r>
      <w:r w:rsidR="00565343">
        <w:rPr>
          <w:rFonts w:ascii="Times New Roman" w:hAnsi="Times New Roman"/>
        </w:rPr>
        <w:t xml:space="preserve"> fractions in the Middle East</w:t>
      </w:r>
      <w:r>
        <w:rPr>
          <w:rFonts w:ascii="Times New Roman" w:hAnsi="Times New Roman"/>
        </w:rPr>
        <w:t xml:space="preserve"> oils from the</w:t>
      </w:r>
      <w:r w:rsidRPr="00C46964">
        <w:rPr>
          <w:rFonts w:ascii="Times New Roman" w:hAnsi="Times New Roman"/>
          <w:sz w:val="18"/>
          <w:szCs w:val="18"/>
        </w:rPr>
        <w:t xml:space="preserve"> </w:t>
      </w:r>
      <w:r w:rsidRPr="00C46964">
        <w:rPr>
          <w:rFonts w:ascii="Times New Roman" w:hAnsi="Times New Roman"/>
        </w:rPr>
        <w:t>Central Arabian Province</w:t>
      </w:r>
      <w:r>
        <w:rPr>
          <w:rFonts w:ascii="Times New Roman" w:hAnsi="Times New Roman"/>
        </w:rPr>
        <w:t xml:space="preserve"> basin show an enrichment in</w:t>
      </w:r>
      <w:r w:rsidRPr="00BF7B4D">
        <w:rPr>
          <w:rFonts w:ascii="Times New Roman" w:hAnsi="Times New Roman"/>
          <w:vertAlign w:val="superscript"/>
        </w:rPr>
        <w:t>15</w:t>
      </w:r>
      <w:r w:rsidRPr="00BF7B4D">
        <w:rPr>
          <w:rFonts w:ascii="Times New Roman" w:hAnsi="Times New Roman"/>
        </w:rPr>
        <w:t>N</w:t>
      </w:r>
      <w:r>
        <w:rPr>
          <w:rFonts w:ascii="Times New Roman" w:hAnsi="Times New Roman"/>
        </w:rPr>
        <w:t xml:space="preserve"> with increasing API gravity and range from 0.59 to 1.91</w:t>
      </w:r>
      <w:r w:rsidRPr="009D4444">
        <w:rPr>
          <w:rFonts w:ascii="Times New Roman" w:hAnsi="Times New Roman"/>
        </w:rPr>
        <w:t>‰</w:t>
      </w:r>
      <w:r>
        <w:rPr>
          <w:rFonts w:ascii="Times New Roman" w:hAnsi="Times New Roman"/>
        </w:rPr>
        <w:t xml:space="preserve"> in samples 21, 27, and 26. Sample 25 was depleted in</w:t>
      </w:r>
      <w:r w:rsidRPr="00BF7B4D">
        <w:rPr>
          <w:rFonts w:ascii="Times New Roman" w:hAnsi="Times New Roman"/>
          <w:vertAlign w:val="superscript"/>
        </w:rPr>
        <w:t>15</w:t>
      </w:r>
      <w:r w:rsidRPr="00BF7B4D">
        <w:rPr>
          <w:rFonts w:ascii="Times New Roman" w:hAnsi="Times New Roman"/>
        </w:rPr>
        <w:t>N</w:t>
      </w:r>
      <w:r>
        <w:rPr>
          <w:rFonts w:ascii="Times New Roman" w:hAnsi="Times New Roman"/>
        </w:rPr>
        <w:t xml:space="preserve"> with a value of 1.20</w:t>
      </w:r>
      <w:r w:rsidRPr="009D4444">
        <w:rPr>
          <w:rFonts w:ascii="Times New Roman" w:hAnsi="Times New Roman"/>
        </w:rPr>
        <w:t>‰</w:t>
      </w:r>
      <w:r>
        <w:rPr>
          <w:rFonts w:ascii="Times New Roman" w:hAnsi="Times New Roman"/>
        </w:rPr>
        <w:t xml:space="preserve"> compared with the δ</w:t>
      </w:r>
      <w:r w:rsidRPr="00BF7B4D">
        <w:rPr>
          <w:rFonts w:ascii="Times New Roman" w:hAnsi="Times New Roman"/>
          <w:vertAlign w:val="superscript"/>
        </w:rPr>
        <w:t>15</w:t>
      </w:r>
      <w:r w:rsidRPr="00BF7B4D">
        <w:rPr>
          <w:rFonts w:ascii="Times New Roman" w:hAnsi="Times New Roman"/>
        </w:rPr>
        <w:t>N</w:t>
      </w:r>
      <w:r>
        <w:rPr>
          <w:rFonts w:ascii="Times New Roman" w:hAnsi="Times New Roman"/>
        </w:rPr>
        <w:t xml:space="preserve"> value for sample 26, despite sample 25 being of higher API gravity (Figure 6). The stable nitrogen</w:t>
      </w:r>
      <w:r w:rsidRPr="00BF7B4D">
        <w:rPr>
          <w:rFonts w:ascii="Times New Roman" w:hAnsi="Times New Roman"/>
        </w:rPr>
        <w:t xml:space="preserve"> isotopic compositions</w:t>
      </w:r>
      <w:r>
        <w:rPr>
          <w:rFonts w:ascii="Times New Roman" w:hAnsi="Times New Roman"/>
        </w:rPr>
        <w:t xml:space="preserve"> of the asphaltene fractions show an enrichment in </w:t>
      </w:r>
      <w:r w:rsidRPr="00BF7B4D">
        <w:rPr>
          <w:rFonts w:ascii="Times New Roman" w:hAnsi="Times New Roman"/>
          <w:vertAlign w:val="superscript"/>
        </w:rPr>
        <w:t>15</w:t>
      </w:r>
      <w:r w:rsidRPr="00BF7B4D">
        <w:rPr>
          <w:rFonts w:ascii="Times New Roman" w:hAnsi="Times New Roman"/>
        </w:rPr>
        <w:t>N</w:t>
      </w:r>
      <w:r>
        <w:rPr>
          <w:rFonts w:ascii="Times New Roman" w:hAnsi="Times New Roman"/>
        </w:rPr>
        <w:t xml:space="preserve"> with increasing API gravity and range from 0.51-2.40</w:t>
      </w:r>
      <w:r w:rsidRPr="009D4444">
        <w:rPr>
          <w:rFonts w:ascii="Times New Roman" w:hAnsi="Times New Roman"/>
        </w:rPr>
        <w:t>‰</w:t>
      </w:r>
      <w:r>
        <w:rPr>
          <w:rFonts w:ascii="Times New Roman" w:hAnsi="Times New Roman"/>
        </w:rPr>
        <w:t xml:space="preserve"> for samples 21, 27 and 26. Again sample 25 is depleted in </w:t>
      </w:r>
      <w:r w:rsidRPr="00BF7B4D">
        <w:rPr>
          <w:rFonts w:ascii="Times New Roman" w:hAnsi="Times New Roman"/>
          <w:vertAlign w:val="superscript"/>
        </w:rPr>
        <w:t>15</w:t>
      </w:r>
      <w:r w:rsidRPr="00BF7B4D">
        <w:rPr>
          <w:rFonts w:ascii="Times New Roman" w:hAnsi="Times New Roman"/>
        </w:rPr>
        <w:t>N</w:t>
      </w:r>
      <w:r>
        <w:rPr>
          <w:rFonts w:ascii="Times New Roman" w:hAnsi="Times New Roman"/>
        </w:rPr>
        <w:t xml:space="preserve"> with a δ</w:t>
      </w:r>
      <w:r w:rsidRPr="00BF7B4D">
        <w:rPr>
          <w:rFonts w:ascii="Times New Roman" w:hAnsi="Times New Roman"/>
          <w:vertAlign w:val="superscript"/>
        </w:rPr>
        <w:t>15</w:t>
      </w:r>
      <w:r w:rsidRPr="00BF7B4D">
        <w:rPr>
          <w:rFonts w:ascii="Times New Roman" w:hAnsi="Times New Roman"/>
        </w:rPr>
        <w:t>N</w:t>
      </w:r>
      <w:r>
        <w:rPr>
          <w:rFonts w:ascii="Times New Roman" w:hAnsi="Times New Roman"/>
        </w:rPr>
        <w:t xml:space="preserve"> value of 2.20</w:t>
      </w:r>
      <w:r w:rsidRPr="009D4444">
        <w:rPr>
          <w:rFonts w:ascii="Times New Roman" w:hAnsi="Times New Roman"/>
        </w:rPr>
        <w:t>‰</w:t>
      </w:r>
      <w:r>
        <w:rPr>
          <w:rFonts w:ascii="Times New Roman" w:hAnsi="Times New Roman"/>
        </w:rPr>
        <w:t xml:space="preserve"> compared with that of sample 26 (Figure 7). A combined plot of NSO and asphaltene </w:t>
      </w:r>
      <w:r w:rsidRPr="00BF7B4D">
        <w:rPr>
          <w:rFonts w:ascii="Times New Roman" w:hAnsi="Times New Roman"/>
        </w:rPr>
        <w:t>δ</w:t>
      </w:r>
      <w:r w:rsidRPr="00BF7B4D">
        <w:rPr>
          <w:rFonts w:ascii="Times New Roman" w:hAnsi="Times New Roman"/>
          <w:vertAlign w:val="superscript"/>
        </w:rPr>
        <w:t>15</w:t>
      </w:r>
      <w:r w:rsidRPr="00BF7B4D">
        <w:rPr>
          <w:rFonts w:ascii="Times New Roman" w:hAnsi="Times New Roman"/>
        </w:rPr>
        <w:t xml:space="preserve">N </w:t>
      </w:r>
      <w:r>
        <w:rPr>
          <w:rFonts w:ascii="Times New Roman" w:hAnsi="Times New Roman"/>
        </w:rPr>
        <w:t>values for the Middle Eastern oils is shown in Figure 8.</w:t>
      </w:r>
    </w:p>
    <w:p w:rsidR="0055541E" w:rsidRDefault="0055541E" w:rsidP="0055541E">
      <w:pPr>
        <w:rPr>
          <w:rFonts w:ascii="Times New Roman" w:hAnsi="Times New Roman"/>
        </w:rPr>
      </w:pPr>
      <w:r>
        <w:rPr>
          <w:rFonts w:ascii="Times New Roman" w:hAnsi="Times New Roman"/>
        </w:rPr>
        <w:t xml:space="preserve"> </w:t>
      </w:r>
    </w:p>
    <w:p w:rsidR="0055541E" w:rsidRPr="002122FF" w:rsidRDefault="001F1F49" w:rsidP="0055541E">
      <w:pPr>
        <w:spacing w:line="240" w:lineRule="auto"/>
        <w:rPr>
          <w:rFonts w:ascii="Times New Roman" w:hAnsi="Times New Roman"/>
        </w:rPr>
      </w:pPr>
      <w:r>
        <w:rPr>
          <w:noProof/>
          <w:lang w:bidi="ar-SA"/>
        </w:rPr>
        <w:drawing>
          <wp:inline distT="0" distB="0" distL="0" distR="0" wp14:anchorId="6B7521BA" wp14:editId="6FF22A08">
            <wp:extent cx="5368290" cy="3310890"/>
            <wp:effectExtent l="0" t="0" r="3810" b="3810"/>
            <wp:docPr id="19" name="Chart 19">
              <a:extLst xmlns:a="http://schemas.openxmlformats.org/drawingml/2006/main">
                <a:ext uri="{FF2B5EF4-FFF2-40B4-BE49-F238E27FC236}">
                  <a16:creationId xmlns:a16="http://schemas.microsoft.com/office/drawing/2014/main" id="{00000000-0008-0000-00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55541E">
        <w:rPr>
          <w:rFonts w:ascii="Times New Roman" w:hAnsi="Times New Roman"/>
          <w:b/>
        </w:rPr>
        <w:t xml:space="preserve"> </w:t>
      </w:r>
      <w:r w:rsidR="0055541E" w:rsidRPr="0055541E">
        <w:rPr>
          <w:rFonts w:ascii="Times New Roman" w:hAnsi="Times New Roman"/>
          <w:b/>
        </w:rPr>
        <w:t>Figure 6.</w:t>
      </w:r>
      <w:r w:rsidR="0055541E" w:rsidRPr="002122FF">
        <w:rPr>
          <w:rFonts w:ascii="Times New Roman" w:hAnsi="Times New Roman"/>
        </w:rPr>
        <w:t xml:space="preserve"> The δ</w:t>
      </w:r>
      <w:r w:rsidR="0055541E" w:rsidRPr="002122FF">
        <w:rPr>
          <w:rFonts w:ascii="Times New Roman" w:hAnsi="Times New Roman"/>
          <w:vertAlign w:val="superscript"/>
        </w:rPr>
        <w:t>15</w:t>
      </w:r>
      <w:r w:rsidR="0055541E" w:rsidRPr="002122FF">
        <w:rPr>
          <w:rFonts w:ascii="Times New Roman" w:hAnsi="Times New Roman"/>
        </w:rPr>
        <w:t>N NSO values of the Middle East oils plotted against each oil samples’ respective API gravity.  Each point is labeled wi</w:t>
      </w:r>
      <w:r w:rsidR="0055541E">
        <w:rPr>
          <w:rFonts w:ascii="Times New Roman" w:hAnsi="Times New Roman"/>
        </w:rPr>
        <w:t>th corresponding ID from Table 2, and plotted with error bars</w:t>
      </w:r>
      <w:r w:rsidR="0055541E" w:rsidRPr="002122FF">
        <w:rPr>
          <w:rFonts w:ascii="Times New Roman" w:hAnsi="Times New Roman"/>
        </w:rPr>
        <w:t xml:space="preserve"> to show each sample’s standard deviation</w:t>
      </w:r>
      <w:r w:rsidR="0055541E">
        <w:rPr>
          <w:rFonts w:ascii="Times New Roman" w:hAnsi="Times New Roman"/>
        </w:rPr>
        <w:t>.</w:t>
      </w:r>
      <w:r w:rsidR="0055541E" w:rsidRPr="002122FF">
        <w:rPr>
          <w:rFonts w:ascii="Times New Roman" w:hAnsi="Times New Roman"/>
        </w:rPr>
        <w:t xml:space="preserve"> </w:t>
      </w:r>
    </w:p>
    <w:p w:rsidR="00AA30BB" w:rsidRDefault="00AA30BB" w:rsidP="008D4F69"/>
    <w:p w:rsidR="00AA30BB" w:rsidRDefault="00AA30BB">
      <w:pPr>
        <w:spacing w:line="240" w:lineRule="auto"/>
      </w:pPr>
      <w:r>
        <w:br w:type="page"/>
      </w:r>
    </w:p>
    <w:p w:rsidR="0055541E" w:rsidRPr="0055541E" w:rsidRDefault="00BE26B4" w:rsidP="0055541E">
      <w:pPr>
        <w:keepNext/>
        <w:spacing w:after="160" w:line="240" w:lineRule="auto"/>
        <w:rPr>
          <w:rFonts w:ascii="Calibri" w:eastAsia="DengXian" w:hAnsi="Calibri"/>
          <w:noProof/>
          <w:sz w:val="22"/>
          <w:szCs w:val="22"/>
          <w:lang w:bidi="ar-SA"/>
        </w:rPr>
      </w:pPr>
      <w:r>
        <w:rPr>
          <w:noProof/>
          <w:lang w:bidi="ar-SA"/>
        </w:rPr>
        <w:lastRenderedPageBreak/>
        <w:drawing>
          <wp:inline distT="0" distB="0" distL="0" distR="0" wp14:anchorId="31029969" wp14:editId="598FAB39">
            <wp:extent cx="5368290" cy="3531870"/>
            <wp:effectExtent l="0" t="0" r="3810" b="11430"/>
            <wp:docPr id="23" name="Chart 23">
              <a:extLst xmlns:a="http://schemas.openxmlformats.org/drawingml/2006/main">
                <a:ext uri="{FF2B5EF4-FFF2-40B4-BE49-F238E27FC236}">
                  <a16:creationId xmlns:a16="http://schemas.microsoft.com/office/drawing/2014/main" id="{00000000-0008-0000-00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55541E" w:rsidRPr="0055541E" w:rsidRDefault="0055541E" w:rsidP="0055541E">
      <w:pPr>
        <w:keepNext/>
        <w:tabs>
          <w:tab w:val="right" w:pos="9360"/>
        </w:tabs>
        <w:spacing w:after="160" w:line="240" w:lineRule="auto"/>
        <w:rPr>
          <w:rFonts w:ascii="Calibri" w:eastAsia="DengXian" w:hAnsi="Calibri"/>
          <w:sz w:val="22"/>
          <w:szCs w:val="22"/>
          <w:lang w:eastAsia="zh-CN" w:bidi="ar-SA"/>
        </w:rPr>
      </w:pPr>
      <w:r w:rsidRPr="0055541E">
        <w:rPr>
          <w:rFonts w:ascii="Times New Roman" w:eastAsia="DengXian" w:hAnsi="Times New Roman"/>
          <w:b/>
          <w:lang w:eastAsia="zh-CN" w:bidi="ar-SA"/>
        </w:rPr>
        <w:t>Figure 7.</w:t>
      </w:r>
      <w:r w:rsidRPr="0055541E">
        <w:rPr>
          <w:rFonts w:ascii="Times New Roman" w:eastAsia="DengXian" w:hAnsi="Times New Roman"/>
          <w:lang w:eastAsia="zh-CN" w:bidi="ar-SA"/>
        </w:rPr>
        <w:t xml:space="preserve"> The δ</w:t>
      </w:r>
      <w:r w:rsidRPr="0055541E">
        <w:rPr>
          <w:rFonts w:ascii="Times New Roman" w:eastAsia="DengXian" w:hAnsi="Times New Roman"/>
          <w:vertAlign w:val="superscript"/>
          <w:lang w:eastAsia="zh-CN" w:bidi="ar-SA"/>
        </w:rPr>
        <w:t>15</w:t>
      </w:r>
      <w:r w:rsidRPr="0055541E">
        <w:rPr>
          <w:rFonts w:ascii="Times New Roman" w:eastAsia="DengXian" w:hAnsi="Times New Roman"/>
          <w:lang w:eastAsia="zh-CN" w:bidi="ar-SA"/>
        </w:rPr>
        <w:t xml:space="preserve">N NSO values of the Middle East oils plotted against each oil samples’ respective API gravity. </w:t>
      </w:r>
      <w:r w:rsidRPr="0055541E">
        <w:rPr>
          <w:rFonts w:ascii="Calibri" w:eastAsia="DengXian" w:hAnsi="Calibri"/>
          <w:sz w:val="22"/>
          <w:szCs w:val="22"/>
          <w:lang w:eastAsia="zh-CN" w:bidi="ar-SA"/>
        </w:rPr>
        <w:t xml:space="preserve"> </w:t>
      </w:r>
      <w:r w:rsidRPr="0055541E">
        <w:rPr>
          <w:rFonts w:ascii="Times New Roman" w:eastAsia="DengXian" w:hAnsi="Times New Roman"/>
          <w:lang w:eastAsia="zh-CN" w:bidi="ar-SA"/>
        </w:rPr>
        <w:t>Each point is labeled with corresponding ID from Table 2, and plotted with error bars to show each sample’s standard deviation.</w:t>
      </w:r>
    </w:p>
    <w:p w:rsidR="001F1F49" w:rsidRDefault="001F1F49" w:rsidP="001F1F49">
      <w:pPr>
        <w:keepNext/>
        <w:spacing w:after="160" w:line="240" w:lineRule="auto"/>
        <w:rPr>
          <w:rFonts w:ascii="Times New Roman" w:eastAsia="DengXian" w:hAnsi="Times New Roman"/>
          <w:lang w:eastAsia="zh-CN" w:bidi="ar-SA"/>
        </w:rPr>
      </w:pPr>
    </w:p>
    <w:p w:rsidR="00765714" w:rsidRDefault="00F63E0B" w:rsidP="0055541E">
      <w:pPr>
        <w:keepNext/>
        <w:spacing w:after="160" w:line="240" w:lineRule="auto"/>
        <w:rPr>
          <w:rFonts w:ascii="Times New Roman" w:eastAsia="DengXian" w:hAnsi="Times New Roman"/>
          <w:lang w:eastAsia="zh-CN" w:bidi="ar-SA"/>
        </w:rPr>
      </w:pPr>
      <w:r>
        <w:rPr>
          <w:rFonts w:ascii="Times New Roman" w:eastAsia="DengXian" w:hAnsi="Times New Roman"/>
          <w:lang w:eastAsia="zh-CN" w:bidi="ar-SA"/>
        </w:rPr>
        <w:t xml:space="preserve"> </w:t>
      </w:r>
    </w:p>
    <w:p w:rsidR="007138B4" w:rsidRDefault="007138B4" w:rsidP="0055541E">
      <w:pPr>
        <w:keepNext/>
        <w:spacing w:after="160" w:line="240" w:lineRule="auto"/>
        <w:rPr>
          <w:rFonts w:ascii="Times New Roman" w:eastAsia="DengXian" w:hAnsi="Times New Roman"/>
          <w:lang w:eastAsia="zh-CN" w:bidi="ar-SA"/>
        </w:rPr>
      </w:pPr>
    </w:p>
    <w:p w:rsidR="007138B4" w:rsidRDefault="007138B4" w:rsidP="0055541E">
      <w:pPr>
        <w:keepNext/>
        <w:spacing w:after="160" w:line="240" w:lineRule="auto"/>
        <w:rPr>
          <w:rFonts w:ascii="Times New Roman" w:eastAsia="DengXian" w:hAnsi="Times New Roman"/>
          <w:lang w:eastAsia="zh-CN" w:bidi="ar-SA"/>
        </w:rPr>
      </w:pPr>
    </w:p>
    <w:p w:rsidR="00F63E0B" w:rsidRDefault="007138B4" w:rsidP="0055541E">
      <w:pPr>
        <w:keepNext/>
        <w:spacing w:after="160" w:line="240" w:lineRule="auto"/>
        <w:rPr>
          <w:rFonts w:ascii="Times New Roman" w:eastAsia="DengXian" w:hAnsi="Times New Roman"/>
          <w:lang w:eastAsia="zh-CN" w:bidi="ar-SA"/>
        </w:rPr>
      </w:pPr>
      <w:r>
        <w:rPr>
          <w:noProof/>
          <w:lang w:bidi="ar-SA"/>
        </w:rPr>
        <w:lastRenderedPageBreak/>
        <w:drawing>
          <wp:inline distT="0" distB="0" distL="0" distR="0" wp14:anchorId="4903A749" wp14:editId="2C3582D9">
            <wp:extent cx="5368290" cy="3068955"/>
            <wp:effectExtent l="0" t="0" r="3810" b="17145"/>
            <wp:docPr id="28" name="Chart 28">
              <a:extLst xmlns:a="http://schemas.openxmlformats.org/drawingml/2006/main">
                <a:ext uri="{FF2B5EF4-FFF2-40B4-BE49-F238E27FC236}">
                  <a16:creationId xmlns:a16="http://schemas.microsoft.com/office/drawing/2014/main" id="{00000000-0008-0000-00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7138B4" w:rsidRDefault="007138B4" w:rsidP="007138B4">
      <w:pPr>
        <w:keepNext/>
        <w:spacing w:after="160" w:line="240" w:lineRule="auto"/>
        <w:rPr>
          <w:rFonts w:ascii="Times New Roman" w:eastAsia="DengXian" w:hAnsi="Times New Roman"/>
          <w:lang w:eastAsia="zh-CN" w:bidi="ar-SA"/>
        </w:rPr>
      </w:pPr>
      <w:r w:rsidRPr="00565343">
        <w:rPr>
          <w:rFonts w:ascii="Times New Roman" w:eastAsia="DengXian" w:hAnsi="Times New Roman"/>
          <w:b/>
          <w:lang w:eastAsia="zh-CN" w:bidi="ar-SA"/>
        </w:rPr>
        <w:t>Figure 8</w:t>
      </w:r>
      <w:r>
        <w:rPr>
          <w:rFonts w:ascii="Times New Roman" w:eastAsia="DengXian" w:hAnsi="Times New Roman"/>
          <w:lang w:eastAsia="zh-CN" w:bidi="ar-SA"/>
        </w:rPr>
        <w:t>. The combined δ</w:t>
      </w:r>
      <w:r w:rsidRPr="007138B4">
        <w:rPr>
          <w:rFonts w:ascii="Times New Roman" w:eastAsia="DengXian" w:hAnsi="Times New Roman"/>
          <w:vertAlign w:val="superscript"/>
          <w:lang w:eastAsia="zh-CN" w:bidi="ar-SA"/>
        </w:rPr>
        <w:t>15</w:t>
      </w:r>
      <w:r>
        <w:rPr>
          <w:rFonts w:ascii="Times New Roman" w:eastAsia="DengXian" w:hAnsi="Times New Roman"/>
          <w:lang w:eastAsia="zh-CN" w:bidi="ar-SA"/>
        </w:rPr>
        <w:t xml:space="preserve">N NSO and asphaltene values of the Middle East oils plotted against each oil samples’ respective API gravity. Each point is labeled with corresponding ID from Table 2, and plotted with error bars to show each sample’s standard deviation. </w:t>
      </w:r>
    </w:p>
    <w:p w:rsidR="007138B4" w:rsidRDefault="007138B4" w:rsidP="007138B4">
      <w:pPr>
        <w:keepNext/>
        <w:spacing w:after="160" w:line="240" w:lineRule="auto"/>
        <w:rPr>
          <w:rFonts w:ascii="Times New Roman" w:eastAsia="DengXian" w:hAnsi="Times New Roman"/>
          <w:lang w:eastAsia="zh-CN" w:bidi="ar-SA"/>
        </w:rPr>
      </w:pPr>
    </w:p>
    <w:p w:rsidR="007138B4" w:rsidRDefault="007138B4" w:rsidP="007138B4">
      <w:pPr>
        <w:keepNext/>
        <w:spacing w:after="160" w:line="240" w:lineRule="auto"/>
        <w:rPr>
          <w:rFonts w:ascii="Times New Roman" w:eastAsia="DengXian" w:hAnsi="Times New Roman"/>
          <w:lang w:eastAsia="zh-CN" w:bidi="ar-SA"/>
        </w:rPr>
      </w:pPr>
    </w:p>
    <w:p w:rsidR="007138B4" w:rsidRDefault="007138B4" w:rsidP="007138B4">
      <w:pPr>
        <w:keepNext/>
        <w:spacing w:after="160" w:line="240" w:lineRule="auto"/>
        <w:rPr>
          <w:rFonts w:ascii="Times New Roman" w:eastAsia="DengXian" w:hAnsi="Times New Roman"/>
          <w:lang w:eastAsia="zh-CN" w:bidi="ar-SA"/>
        </w:rPr>
      </w:pPr>
    </w:p>
    <w:p w:rsidR="007138B4" w:rsidRDefault="007138B4" w:rsidP="007138B4">
      <w:pPr>
        <w:keepNext/>
        <w:spacing w:after="160" w:line="240" w:lineRule="auto"/>
        <w:rPr>
          <w:rFonts w:ascii="Times New Roman" w:eastAsia="DengXian" w:hAnsi="Times New Roman"/>
          <w:lang w:eastAsia="zh-CN" w:bidi="ar-SA"/>
        </w:rPr>
      </w:pPr>
    </w:p>
    <w:p w:rsidR="007138B4" w:rsidRDefault="007138B4" w:rsidP="007138B4">
      <w:pPr>
        <w:keepNext/>
        <w:spacing w:after="160" w:line="240" w:lineRule="auto"/>
        <w:rPr>
          <w:rFonts w:ascii="Times New Roman" w:eastAsia="DengXian" w:hAnsi="Times New Roman"/>
          <w:lang w:eastAsia="zh-CN" w:bidi="ar-SA"/>
        </w:rPr>
      </w:pPr>
    </w:p>
    <w:p w:rsidR="007138B4" w:rsidRDefault="007138B4" w:rsidP="007138B4">
      <w:pPr>
        <w:keepNext/>
        <w:spacing w:after="160" w:line="240" w:lineRule="auto"/>
        <w:rPr>
          <w:rFonts w:ascii="Times New Roman" w:eastAsia="DengXian" w:hAnsi="Times New Roman"/>
          <w:lang w:eastAsia="zh-CN" w:bidi="ar-SA"/>
        </w:rPr>
      </w:pPr>
    </w:p>
    <w:p w:rsidR="007138B4" w:rsidRDefault="007138B4" w:rsidP="007138B4">
      <w:pPr>
        <w:keepNext/>
        <w:spacing w:after="160" w:line="240" w:lineRule="auto"/>
        <w:rPr>
          <w:rFonts w:ascii="Times New Roman" w:eastAsia="DengXian" w:hAnsi="Times New Roman"/>
          <w:lang w:eastAsia="zh-CN" w:bidi="ar-SA"/>
        </w:rPr>
      </w:pPr>
    </w:p>
    <w:p w:rsidR="007138B4" w:rsidRDefault="007138B4" w:rsidP="007138B4">
      <w:pPr>
        <w:keepNext/>
        <w:spacing w:after="160" w:line="240" w:lineRule="auto"/>
        <w:rPr>
          <w:rFonts w:ascii="Times New Roman" w:eastAsia="DengXian" w:hAnsi="Times New Roman"/>
          <w:lang w:eastAsia="zh-CN" w:bidi="ar-SA"/>
        </w:rPr>
      </w:pPr>
    </w:p>
    <w:p w:rsidR="007138B4" w:rsidRDefault="007138B4" w:rsidP="007138B4">
      <w:pPr>
        <w:keepNext/>
        <w:spacing w:after="160" w:line="240" w:lineRule="auto"/>
        <w:rPr>
          <w:rFonts w:ascii="Times New Roman" w:eastAsia="DengXian" w:hAnsi="Times New Roman"/>
          <w:lang w:eastAsia="zh-CN" w:bidi="ar-SA"/>
        </w:rPr>
      </w:pPr>
    </w:p>
    <w:p w:rsidR="007138B4" w:rsidRDefault="007138B4" w:rsidP="007138B4">
      <w:pPr>
        <w:keepNext/>
        <w:spacing w:after="160" w:line="240" w:lineRule="auto"/>
        <w:rPr>
          <w:rFonts w:ascii="Times New Roman" w:eastAsia="DengXian" w:hAnsi="Times New Roman"/>
          <w:lang w:eastAsia="zh-CN" w:bidi="ar-SA"/>
        </w:rPr>
      </w:pPr>
    </w:p>
    <w:p w:rsidR="007138B4" w:rsidRDefault="007138B4">
      <w:pPr>
        <w:spacing w:line="240" w:lineRule="auto"/>
        <w:rPr>
          <w:rFonts w:ascii="Times New Roman" w:eastAsia="DengXian" w:hAnsi="Times New Roman"/>
          <w:lang w:eastAsia="zh-CN" w:bidi="ar-SA"/>
        </w:rPr>
      </w:pPr>
      <w:r>
        <w:rPr>
          <w:rFonts w:ascii="Times New Roman" w:eastAsia="DengXian" w:hAnsi="Times New Roman"/>
          <w:lang w:eastAsia="zh-CN" w:bidi="ar-SA"/>
        </w:rPr>
        <w:br w:type="page"/>
      </w:r>
    </w:p>
    <w:p w:rsidR="0055541E" w:rsidRPr="0055541E" w:rsidRDefault="0055541E" w:rsidP="007138B4">
      <w:pPr>
        <w:keepNext/>
        <w:spacing w:after="160" w:line="240" w:lineRule="auto"/>
        <w:rPr>
          <w:rFonts w:ascii="Times New Roman" w:eastAsia="DengXian" w:hAnsi="Times New Roman"/>
          <w:lang w:eastAsia="zh-CN" w:bidi="ar-SA"/>
        </w:rPr>
      </w:pPr>
      <w:r w:rsidRPr="0055541E">
        <w:rPr>
          <w:rFonts w:ascii="Times New Roman" w:eastAsia="DengXian" w:hAnsi="Times New Roman"/>
          <w:i/>
          <w:lang w:eastAsia="zh-CN" w:bidi="ar-SA"/>
        </w:rPr>
        <w:lastRenderedPageBreak/>
        <w:t>The Stable Nitrogen Isotopic Analysis of the sixty-two crude oils of Varying Geologic Age</w:t>
      </w:r>
    </w:p>
    <w:p w:rsidR="0055541E" w:rsidRPr="0055541E" w:rsidRDefault="0055541E" w:rsidP="0055541E">
      <w:pPr>
        <w:spacing w:after="160"/>
        <w:rPr>
          <w:rFonts w:ascii="Times New Roman" w:eastAsia="DengXian" w:hAnsi="Times New Roman"/>
          <w:lang w:eastAsia="zh-CN" w:bidi="ar-SA"/>
        </w:rPr>
      </w:pPr>
      <w:r w:rsidRPr="0055541E">
        <w:rPr>
          <w:rFonts w:ascii="Times New Roman" w:eastAsia="DengXian" w:hAnsi="Times New Roman"/>
          <w:i/>
          <w:lang w:eastAsia="zh-CN" w:bidi="ar-SA"/>
        </w:rPr>
        <w:tab/>
      </w:r>
      <w:r w:rsidRPr="0055541E">
        <w:rPr>
          <w:rFonts w:ascii="Times New Roman" w:eastAsia="DengXian" w:hAnsi="Times New Roman"/>
          <w:lang w:eastAsia="zh-CN" w:bidi="ar-SA"/>
        </w:rPr>
        <w:t>The stable nitrogen isotopic compositions of the NSO fractions and the asphaltene fractions of the sixty-two crude oil samples are summarized in Appendix 2. The NSO δ</w:t>
      </w:r>
      <w:r w:rsidRPr="0055541E">
        <w:rPr>
          <w:rFonts w:ascii="Times New Roman" w:eastAsia="DengXian" w:hAnsi="Times New Roman"/>
          <w:vertAlign w:val="superscript"/>
          <w:lang w:eastAsia="zh-CN" w:bidi="ar-SA"/>
        </w:rPr>
        <w:t>15</w:t>
      </w:r>
      <w:r w:rsidRPr="0055541E">
        <w:rPr>
          <w:rFonts w:ascii="Times New Roman" w:eastAsia="DengXian" w:hAnsi="Times New Roman"/>
          <w:lang w:eastAsia="zh-CN" w:bidi="ar-SA"/>
        </w:rPr>
        <w:t>N values of oils derived from siliciclastic source rocks is shown in Figure 9. The asphaltene δ</w:t>
      </w:r>
      <w:r w:rsidRPr="0055541E">
        <w:rPr>
          <w:rFonts w:ascii="Times New Roman" w:eastAsia="DengXian" w:hAnsi="Times New Roman"/>
          <w:vertAlign w:val="superscript"/>
          <w:lang w:eastAsia="zh-CN" w:bidi="ar-SA"/>
        </w:rPr>
        <w:t>15</w:t>
      </w:r>
      <w:r w:rsidRPr="0055541E">
        <w:rPr>
          <w:rFonts w:ascii="Times New Roman" w:eastAsia="DengXian" w:hAnsi="Times New Roman"/>
          <w:lang w:eastAsia="zh-CN" w:bidi="ar-SA"/>
        </w:rPr>
        <w:t>N values of oils derived from siliciclastic sourc</w:t>
      </w:r>
      <w:r w:rsidR="009571FE">
        <w:rPr>
          <w:rFonts w:ascii="Times New Roman" w:eastAsia="DengXian" w:hAnsi="Times New Roman"/>
          <w:lang w:eastAsia="zh-CN" w:bidi="ar-SA"/>
        </w:rPr>
        <w:t xml:space="preserve">e rocks is shown in Figure 10. </w:t>
      </w:r>
      <w:r w:rsidRPr="0055541E">
        <w:rPr>
          <w:rFonts w:ascii="Times New Roman" w:eastAsia="DengXian" w:hAnsi="Times New Roman"/>
          <w:lang w:eastAsia="zh-CN" w:bidi="ar-SA"/>
        </w:rPr>
        <w:t xml:space="preserve">The NSO and asphaltene fractions plot similarly. Also, note that three samples, numbers 50, 52, and 55 did not have an asphaltene fraction. Consequently, those data points are absent for the asphaltene graph (Figure 10).  </w:t>
      </w:r>
    </w:p>
    <w:p w:rsidR="0055541E" w:rsidRPr="0055541E" w:rsidRDefault="00B4425D" w:rsidP="0055541E">
      <w:pPr>
        <w:spacing w:after="160" w:line="240" w:lineRule="auto"/>
        <w:rPr>
          <w:rFonts w:ascii="Times New Roman" w:eastAsia="DengXian" w:hAnsi="Times New Roman"/>
          <w:lang w:eastAsia="zh-CN" w:bidi="ar-SA"/>
        </w:rPr>
      </w:pPr>
      <w:r>
        <w:rPr>
          <w:noProof/>
          <w:lang w:bidi="ar-SA"/>
        </w:rPr>
        <w:drawing>
          <wp:inline distT="0" distB="0" distL="0" distR="0" wp14:anchorId="21A267FC" wp14:editId="0F5C3815">
            <wp:extent cx="5368290" cy="3733800"/>
            <wp:effectExtent l="0" t="0" r="3810" b="0"/>
            <wp:docPr id="29" name="Chart 29">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55541E" w:rsidRPr="0055541E" w:rsidRDefault="0055541E" w:rsidP="0055541E">
      <w:pPr>
        <w:spacing w:after="160" w:line="240" w:lineRule="auto"/>
        <w:rPr>
          <w:rFonts w:ascii="Times New Roman" w:eastAsia="DengXian" w:hAnsi="Times New Roman"/>
          <w:lang w:eastAsia="zh-CN" w:bidi="ar-SA"/>
        </w:rPr>
      </w:pPr>
      <w:r w:rsidRPr="0055541E">
        <w:rPr>
          <w:rFonts w:ascii="Times New Roman" w:eastAsia="DengXian" w:hAnsi="Times New Roman"/>
          <w:b/>
          <w:lang w:eastAsia="zh-CN" w:bidi="ar-SA"/>
        </w:rPr>
        <w:t>Figure 9.</w:t>
      </w:r>
      <w:r w:rsidRPr="0055541E">
        <w:rPr>
          <w:rFonts w:ascii="Times New Roman" w:eastAsia="DengXian" w:hAnsi="Times New Roman"/>
          <w:lang w:eastAsia="zh-CN" w:bidi="ar-SA"/>
        </w:rPr>
        <w:t xml:space="preserve"> Oils derived from siliciclastic source rocks of the sixty-two crude oils NSO values plotted against each oil’s geologic age.</w:t>
      </w:r>
    </w:p>
    <w:p w:rsidR="00AA30BB" w:rsidRDefault="00AA30BB">
      <w:pPr>
        <w:spacing w:line="240" w:lineRule="auto"/>
      </w:pPr>
      <w:r>
        <w:br w:type="page"/>
      </w:r>
    </w:p>
    <w:p w:rsidR="00CB2AFD" w:rsidRDefault="00B4425D" w:rsidP="00CB2AFD">
      <w:pPr>
        <w:spacing w:line="240" w:lineRule="auto"/>
        <w:rPr>
          <w:rFonts w:ascii="Times New Roman" w:hAnsi="Times New Roman"/>
        </w:rPr>
      </w:pPr>
      <w:r>
        <w:rPr>
          <w:noProof/>
          <w:lang w:bidi="ar-SA"/>
        </w:rPr>
        <w:lastRenderedPageBreak/>
        <w:drawing>
          <wp:inline distT="0" distB="0" distL="0" distR="0" wp14:anchorId="4F36D731" wp14:editId="75FACCFE">
            <wp:extent cx="5368290" cy="3919855"/>
            <wp:effectExtent l="0" t="0" r="3810" b="4445"/>
            <wp:docPr id="31" name="Chart 31">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CB2AFD" w:rsidRPr="00E54821" w:rsidRDefault="00CB2AFD" w:rsidP="00CB2AFD">
      <w:pPr>
        <w:spacing w:line="240" w:lineRule="auto"/>
        <w:rPr>
          <w:rFonts w:ascii="Times New Roman" w:hAnsi="Times New Roman"/>
        </w:rPr>
      </w:pPr>
      <w:r w:rsidRPr="00CB2AFD">
        <w:rPr>
          <w:rFonts w:ascii="Times New Roman" w:hAnsi="Times New Roman"/>
          <w:b/>
        </w:rPr>
        <w:t>Figure 10.</w:t>
      </w:r>
      <w:r w:rsidRPr="00E54821">
        <w:rPr>
          <w:rFonts w:ascii="Times New Roman" w:hAnsi="Times New Roman"/>
        </w:rPr>
        <w:t xml:space="preserve"> Oils derived from siliciclastic source rocks of the sixty-two crude oils asphaltene values plotted against each oil’s geologic age.</w:t>
      </w:r>
      <w:r w:rsidRPr="00E54821">
        <w:t xml:space="preserve"> </w:t>
      </w:r>
    </w:p>
    <w:p w:rsidR="00CB2AFD" w:rsidRDefault="00CB2AFD" w:rsidP="00CB2AFD">
      <w:pPr>
        <w:rPr>
          <w:rFonts w:ascii="Times New Roman" w:hAnsi="Times New Roman"/>
        </w:rPr>
      </w:pPr>
    </w:p>
    <w:p w:rsidR="00CB2AFD" w:rsidRDefault="00CB2AFD" w:rsidP="00CB2AFD">
      <w:pPr>
        <w:ind w:firstLine="720"/>
        <w:rPr>
          <w:rFonts w:ascii="Times New Roman" w:hAnsi="Times New Roman"/>
        </w:rPr>
      </w:pPr>
      <w:r>
        <w:rPr>
          <w:rFonts w:ascii="Times New Roman" w:hAnsi="Times New Roman"/>
        </w:rPr>
        <w:t>The</w:t>
      </w:r>
      <w:r w:rsidRPr="00AA2985">
        <w:rPr>
          <w:rFonts w:ascii="Times New Roman" w:hAnsi="Times New Roman"/>
        </w:rPr>
        <w:t xml:space="preserve"> </w:t>
      </w:r>
      <w:r>
        <w:rPr>
          <w:rFonts w:ascii="Times New Roman" w:hAnsi="Times New Roman"/>
        </w:rPr>
        <w:t xml:space="preserve">NSO </w:t>
      </w:r>
      <w:r w:rsidRPr="00BF7B4D">
        <w:rPr>
          <w:rFonts w:ascii="Times New Roman" w:hAnsi="Times New Roman"/>
        </w:rPr>
        <w:t>δ</w:t>
      </w:r>
      <w:r w:rsidRPr="00BF7B4D">
        <w:rPr>
          <w:rFonts w:ascii="Times New Roman" w:hAnsi="Times New Roman"/>
          <w:vertAlign w:val="superscript"/>
        </w:rPr>
        <w:t>15</w:t>
      </w:r>
      <w:r w:rsidRPr="00BF7B4D">
        <w:rPr>
          <w:rFonts w:ascii="Times New Roman" w:hAnsi="Times New Roman"/>
        </w:rPr>
        <w:t>N</w:t>
      </w:r>
      <w:r>
        <w:rPr>
          <w:rFonts w:ascii="Times New Roman" w:hAnsi="Times New Roman"/>
        </w:rPr>
        <w:t xml:space="preserve"> values of oils derived from carbonate/marl source rocks is shown in Figure 11. The</w:t>
      </w:r>
      <w:r w:rsidRPr="00AA2985">
        <w:rPr>
          <w:rFonts w:ascii="Times New Roman" w:hAnsi="Times New Roman"/>
        </w:rPr>
        <w:t xml:space="preserve"> </w:t>
      </w:r>
      <w:r>
        <w:rPr>
          <w:rFonts w:ascii="Times New Roman" w:hAnsi="Times New Roman"/>
        </w:rPr>
        <w:t xml:space="preserve">asphaltene </w:t>
      </w:r>
      <w:r w:rsidRPr="00BF7B4D">
        <w:rPr>
          <w:rFonts w:ascii="Times New Roman" w:hAnsi="Times New Roman"/>
        </w:rPr>
        <w:t>δ</w:t>
      </w:r>
      <w:r w:rsidRPr="00BF7B4D">
        <w:rPr>
          <w:rFonts w:ascii="Times New Roman" w:hAnsi="Times New Roman"/>
          <w:vertAlign w:val="superscript"/>
        </w:rPr>
        <w:t>15</w:t>
      </w:r>
      <w:r w:rsidRPr="00BF7B4D">
        <w:rPr>
          <w:rFonts w:ascii="Times New Roman" w:hAnsi="Times New Roman"/>
        </w:rPr>
        <w:t>N</w:t>
      </w:r>
      <w:r>
        <w:rPr>
          <w:rFonts w:ascii="Times New Roman" w:hAnsi="Times New Roman"/>
        </w:rPr>
        <w:t xml:space="preserve"> values of oils derived from carbonate/marl source rocks is shown in Figure 12. Again, the NSO and asphaltene fractions plot similarly as with the siliciclastic group. </w:t>
      </w:r>
    </w:p>
    <w:p w:rsidR="00AA30BB" w:rsidRDefault="00AA30BB" w:rsidP="008D4F69"/>
    <w:p w:rsidR="00AA30BB" w:rsidRDefault="00AA30BB">
      <w:pPr>
        <w:spacing w:line="240" w:lineRule="auto"/>
      </w:pPr>
      <w:r>
        <w:br w:type="page"/>
      </w:r>
    </w:p>
    <w:p w:rsidR="00AA30BB" w:rsidRDefault="00AA30BB" w:rsidP="008D4F69"/>
    <w:p w:rsidR="00BA6AC9" w:rsidRDefault="00B4425D" w:rsidP="00CB2AFD">
      <w:pPr>
        <w:spacing w:after="160" w:line="240" w:lineRule="auto"/>
        <w:rPr>
          <w:rFonts w:ascii="Times New Roman" w:eastAsia="DengXian" w:hAnsi="Times New Roman"/>
          <w:b/>
          <w:lang w:eastAsia="zh-CN" w:bidi="ar-SA"/>
        </w:rPr>
      </w:pPr>
      <w:r>
        <w:rPr>
          <w:noProof/>
          <w:lang w:bidi="ar-SA"/>
        </w:rPr>
        <w:drawing>
          <wp:inline distT="0" distB="0" distL="0" distR="0" wp14:anchorId="2C54FD0E" wp14:editId="17A0B410">
            <wp:extent cx="4810125" cy="3171825"/>
            <wp:effectExtent l="0" t="0" r="9525" b="9525"/>
            <wp:docPr id="32" name="Chart 32">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Pr="00CB2AFD">
        <w:rPr>
          <w:rFonts w:ascii="Times New Roman" w:eastAsia="DengXian" w:hAnsi="Times New Roman"/>
          <w:b/>
          <w:lang w:eastAsia="zh-CN" w:bidi="ar-SA"/>
        </w:rPr>
        <w:t xml:space="preserve"> </w:t>
      </w:r>
    </w:p>
    <w:p w:rsidR="00CB2AFD" w:rsidRPr="00CB2AFD" w:rsidRDefault="00CB2AFD" w:rsidP="00CB2AFD">
      <w:pPr>
        <w:spacing w:after="160" w:line="240" w:lineRule="auto"/>
        <w:rPr>
          <w:rFonts w:ascii="Times New Roman" w:eastAsia="DengXian" w:hAnsi="Times New Roman"/>
          <w:lang w:eastAsia="zh-CN" w:bidi="ar-SA"/>
        </w:rPr>
      </w:pPr>
      <w:r w:rsidRPr="00CB2AFD">
        <w:rPr>
          <w:rFonts w:ascii="Times New Roman" w:eastAsia="DengXian" w:hAnsi="Times New Roman"/>
          <w:b/>
          <w:lang w:eastAsia="zh-CN" w:bidi="ar-SA"/>
        </w:rPr>
        <w:t>Figure 11.</w:t>
      </w:r>
      <w:r w:rsidRPr="00CB2AFD">
        <w:rPr>
          <w:rFonts w:ascii="Times New Roman" w:eastAsia="DengXian" w:hAnsi="Times New Roman"/>
          <w:lang w:eastAsia="zh-CN" w:bidi="ar-SA"/>
        </w:rPr>
        <w:t xml:space="preserve"> Oils derived from Carbonate/Marl source rocks of the sixty-two crude oils NSO values plotted against each oil’s geologic age.</w:t>
      </w:r>
    </w:p>
    <w:p w:rsidR="00CB2AFD" w:rsidRPr="00CB2AFD" w:rsidRDefault="00CB2AFD" w:rsidP="00CB2AFD">
      <w:pPr>
        <w:spacing w:after="160" w:line="240" w:lineRule="auto"/>
        <w:rPr>
          <w:rFonts w:ascii="Times New Roman" w:eastAsia="DengXian" w:hAnsi="Times New Roman"/>
          <w:lang w:eastAsia="zh-CN" w:bidi="ar-SA"/>
        </w:rPr>
      </w:pPr>
    </w:p>
    <w:p w:rsidR="00CB2AFD" w:rsidRPr="00CB2AFD" w:rsidRDefault="00BA6AC9" w:rsidP="00CB2AFD">
      <w:pPr>
        <w:spacing w:after="160" w:line="240" w:lineRule="auto"/>
        <w:rPr>
          <w:rFonts w:ascii="Times New Roman" w:eastAsia="DengXian" w:hAnsi="Times New Roman"/>
          <w:lang w:eastAsia="zh-CN" w:bidi="ar-SA"/>
        </w:rPr>
      </w:pPr>
      <w:r>
        <w:rPr>
          <w:noProof/>
          <w:lang w:bidi="ar-SA"/>
        </w:rPr>
        <w:drawing>
          <wp:inline distT="0" distB="0" distL="0" distR="0" wp14:anchorId="5FA5054F" wp14:editId="6BF06531">
            <wp:extent cx="4953000" cy="3067050"/>
            <wp:effectExtent l="0" t="0" r="0" b="0"/>
            <wp:docPr id="33" name="Chart 33">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CB2AFD">
        <w:rPr>
          <w:rFonts w:ascii="Times New Roman" w:eastAsia="DengXian" w:hAnsi="Times New Roman"/>
          <w:b/>
          <w:lang w:eastAsia="zh-CN" w:bidi="ar-SA"/>
        </w:rPr>
        <w:t xml:space="preserve"> </w:t>
      </w:r>
      <w:r w:rsidR="00CB2AFD" w:rsidRPr="00CB2AFD">
        <w:rPr>
          <w:rFonts w:ascii="Times New Roman" w:eastAsia="DengXian" w:hAnsi="Times New Roman"/>
          <w:b/>
          <w:lang w:eastAsia="zh-CN" w:bidi="ar-SA"/>
        </w:rPr>
        <w:t>Figure 12.</w:t>
      </w:r>
      <w:r w:rsidR="00CB2AFD" w:rsidRPr="00CB2AFD">
        <w:rPr>
          <w:rFonts w:ascii="Times New Roman" w:eastAsia="DengXian" w:hAnsi="Times New Roman"/>
          <w:lang w:eastAsia="zh-CN" w:bidi="ar-SA"/>
        </w:rPr>
        <w:t xml:space="preserve"> Oils derived from Carbonate/Marl source rocks of the sixty-two crude oils asphaltene values plotted against each oil’s geologic age.</w:t>
      </w:r>
    </w:p>
    <w:p w:rsidR="00CB2AFD" w:rsidRDefault="00CB2AFD" w:rsidP="00CB2AFD">
      <w:pPr>
        <w:ind w:firstLine="720"/>
        <w:rPr>
          <w:rFonts w:ascii="Times New Roman" w:hAnsi="Times New Roman"/>
        </w:rPr>
      </w:pPr>
      <w:r>
        <w:rPr>
          <w:rFonts w:ascii="Times New Roman" w:hAnsi="Times New Roman"/>
        </w:rPr>
        <w:lastRenderedPageBreak/>
        <w:t>The combined</w:t>
      </w:r>
      <w:r w:rsidRPr="00AA2985">
        <w:rPr>
          <w:rFonts w:ascii="Times New Roman" w:hAnsi="Times New Roman"/>
        </w:rPr>
        <w:t xml:space="preserve"> </w:t>
      </w:r>
      <w:r>
        <w:rPr>
          <w:rFonts w:ascii="Times New Roman" w:hAnsi="Times New Roman"/>
        </w:rPr>
        <w:t xml:space="preserve">NSO and asphaltene </w:t>
      </w:r>
      <w:r w:rsidRPr="00BF7B4D">
        <w:rPr>
          <w:rFonts w:ascii="Times New Roman" w:hAnsi="Times New Roman"/>
        </w:rPr>
        <w:t>δ</w:t>
      </w:r>
      <w:r w:rsidRPr="00BF7B4D">
        <w:rPr>
          <w:rFonts w:ascii="Times New Roman" w:hAnsi="Times New Roman"/>
          <w:vertAlign w:val="superscript"/>
        </w:rPr>
        <w:t>15</w:t>
      </w:r>
      <w:r w:rsidRPr="00BF7B4D">
        <w:rPr>
          <w:rFonts w:ascii="Times New Roman" w:hAnsi="Times New Roman"/>
        </w:rPr>
        <w:t>N</w:t>
      </w:r>
      <w:r>
        <w:rPr>
          <w:rFonts w:ascii="Times New Roman" w:hAnsi="Times New Roman"/>
        </w:rPr>
        <w:t xml:space="preserve"> values of oils derived from the two hypersaline and one lacustrine source rocks is shown in Figure 13. Sample 40 is from a lacustrine deposit and shows a small variation between the NSO and asphaltene fractions with an NSO value of 5.04</w:t>
      </w:r>
      <w:r w:rsidRPr="009D4444">
        <w:rPr>
          <w:rFonts w:ascii="Times New Roman" w:hAnsi="Times New Roman"/>
        </w:rPr>
        <w:t>‰</w:t>
      </w:r>
      <w:r>
        <w:rPr>
          <w:rFonts w:ascii="Times New Roman" w:hAnsi="Times New Roman"/>
        </w:rPr>
        <w:t xml:space="preserve"> and asphaltene value of 3.20</w:t>
      </w:r>
      <w:r w:rsidRPr="009D4444">
        <w:rPr>
          <w:rFonts w:ascii="Times New Roman" w:hAnsi="Times New Roman"/>
        </w:rPr>
        <w:t>‰</w:t>
      </w:r>
      <w:r>
        <w:rPr>
          <w:rFonts w:ascii="Times New Roman" w:hAnsi="Times New Roman"/>
        </w:rPr>
        <w:t xml:space="preserve">. However, sample 47 shows the greatest variability in all </w:t>
      </w:r>
      <w:r w:rsidR="00407C66">
        <w:rPr>
          <w:rFonts w:ascii="Times New Roman" w:hAnsi="Times New Roman"/>
        </w:rPr>
        <w:t>sixty</w:t>
      </w:r>
      <w:r>
        <w:rPr>
          <w:rFonts w:ascii="Times New Roman" w:hAnsi="Times New Roman"/>
        </w:rPr>
        <w:t>-two samples between the NSO fraction and the asphaltene fraction with a difference of 3.25</w:t>
      </w:r>
      <w:r w:rsidRPr="009D4444">
        <w:rPr>
          <w:rFonts w:ascii="Times New Roman" w:hAnsi="Times New Roman"/>
        </w:rPr>
        <w:t>‰</w:t>
      </w:r>
      <w:r>
        <w:rPr>
          <w:rFonts w:ascii="Times New Roman" w:hAnsi="Times New Roman"/>
        </w:rPr>
        <w:t>.</w:t>
      </w:r>
    </w:p>
    <w:p w:rsidR="00BA6AC9" w:rsidRDefault="00BA6AC9" w:rsidP="00CB2AFD">
      <w:pPr>
        <w:spacing w:line="240" w:lineRule="auto"/>
        <w:rPr>
          <w:rFonts w:ascii="Times New Roman" w:hAnsi="Times New Roman"/>
        </w:rPr>
      </w:pPr>
      <w:r>
        <w:rPr>
          <w:noProof/>
          <w:lang w:bidi="ar-SA"/>
        </w:rPr>
        <mc:AlternateContent>
          <mc:Choice Requires="wps">
            <w:drawing>
              <wp:anchor distT="0" distB="0" distL="114300" distR="114300" simplePos="0" relativeHeight="251667456" behindDoc="0" locked="0" layoutInCell="1" allowOverlap="1">
                <wp:simplePos x="0" y="0"/>
                <wp:positionH relativeFrom="column">
                  <wp:posOffset>3261360</wp:posOffset>
                </wp:positionH>
                <wp:positionV relativeFrom="paragraph">
                  <wp:posOffset>792480</wp:posOffset>
                </wp:positionV>
                <wp:extent cx="85725" cy="314325"/>
                <wp:effectExtent l="0" t="0" r="28575" b="28575"/>
                <wp:wrapNone/>
                <wp:docPr id="36" name="Straight Connector 36"/>
                <wp:cNvGraphicFramePr/>
                <a:graphic xmlns:a="http://schemas.openxmlformats.org/drawingml/2006/main">
                  <a:graphicData uri="http://schemas.microsoft.com/office/word/2010/wordprocessingShape">
                    <wps:wsp>
                      <wps:cNvCnPr/>
                      <wps:spPr>
                        <a:xfrm>
                          <a:off x="0" y="0"/>
                          <a:ext cx="85725" cy="314325"/>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6="http://schemas.microsoft.com/office/drawing/2016/5/12/chartex" xmlns:cx7="http://schemas.microsoft.com/office/drawing/2016/5/13/chartex" xmlns:cx8="http://schemas.microsoft.com/office/drawing/2016/5/14/chartex">
            <w:pict>
              <v:line w14:anchorId="2F6AC303" id="Straight Connector 36"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256.8pt,62.4pt" to="263.55pt,8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" strokecolor="#a5a5a5 [2092]"/>
            </w:pict>
          </mc:Fallback>
        </mc:AlternateContent>
      </w:r>
      <w:r>
        <w:rPr>
          <w:noProof/>
          <w:lang w:bidi="ar-SA"/>
        </w:rPr>
        <mc:AlternateContent>
          <mc:Choice Requires="wps">
            <w:drawing>
              <wp:anchor distT="0" distB="0" distL="114300" distR="114300" simplePos="0" relativeHeight="251666432" behindDoc="0" locked="0" layoutInCell="1" allowOverlap="1">
                <wp:simplePos x="0" y="0"/>
                <wp:positionH relativeFrom="column">
                  <wp:posOffset>1184910</wp:posOffset>
                </wp:positionH>
                <wp:positionV relativeFrom="paragraph">
                  <wp:posOffset>849630</wp:posOffset>
                </wp:positionV>
                <wp:extent cx="38100" cy="552450"/>
                <wp:effectExtent l="0" t="0" r="19050" b="19050"/>
                <wp:wrapNone/>
                <wp:docPr id="35" name="Straight Connector 35"/>
                <wp:cNvGraphicFramePr/>
                <a:graphic xmlns:a="http://schemas.openxmlformats.org/drawingml/2006/main">
                  <a:graphicData uri="http://schemas.microsoft.com/office/word/2010/wordprocessingShape">
                    <wps:wsp>
                      <wps:cNvCnPr/>
                      <wps:spPr>
                        <a:xfrm flipH="1">
                          <a:off x="0" y="0"/>
                          <a:ext cx="38100" cy="55245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6="http://schemas.microsoft.com/office/drawing/2016/5/12/chartex" xmlns:cx7="http://schemas.microsoft.com/office/drawing/2016/5/13/chartex" xmlns:cx8="http://schemas.microsoft.com/office/drawing/2016/5/14/chartex">
            <w:pict>
              <v:line w14:anchorId="6B37922E" id="Straight Connector 35" o:spid="_x0000_s1026" style="position:absolute;flip:x;z-index:251666432;visibility:visible;mso-wrap-style:square;mso-wrap-distance-left:9pt;mso-wrap-distance-top:0;mso-wrap-distance-right:9pt;mso-wrap-distance-bottom:0;mso-position-horizontal:absolute;mso-position-horizontal-relative:text;mso-position-vertical:absolute;mso-position-vertical-relative:text" from="93.3pt,66.9pt" to="96.3pt,1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" strokecolor="#a5a5a5 [2092]"/>
            </w:pict>
          </mc:Fallback>
        </mc:AlternateContent>
      </w:r>
      <w:r>
        <w:rPr>
          <w:noProof/>
          <w:lang w:bidi="ar-SA"/>
        </w:rPr>
        <w:drawing>
          <wp:inline distT="0" distB="0" distL="0" distR="0" wp14:anchorId="7BC022D0" wp14:editId="79AF1E52">
            <wp:extent cx="4731941" cy="2911475"/>
            <wp:effectExtent l="0" t="0" r="12065" b="3175"/>
            <wp:docPr id="34" name="Chart 34">
              <a:extLst xmlns:a="http://schemas.openxmlformats.org/drawingml/2006/main">
                <a:ext uri="{FF2B5EF4-FFF2-40B4-BE49-F238E27FC236}">
                  <a16:creationId xmlns:a16="http://schemas.microsoft.com/office/drawing/2014/main" id="{00000000-0008-0000-00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CB2AFD" w:rsidRPr="00C12461" w:rsidRDefault="00CB2AFD" w:rsidP="00CB2AFD">
      <w:pPr>
        <w:spacing w:line="240" w:lineRule="auto"/>
        <w:rPr>
          <w:rFonts w:ascii="Times New Roman" w:hAnsi="Times New Roman"/>
        </w:rPr>
      </w:pPr>
      <w:r>
        <w:rPr>
          <w:rFonts w:ascii="Times New Roman" w:hAnsi="Times New Roman"/>
        </w:rPr>
        <w:t xml:space="preserve"> </w:t>
      </w:r>
      <w:r w:rsidRPr="00CB2AFD">
        <w:rPr>
          <w:rFonts w:ascii="Times New Roman" w:hAnsi="Times New Roman"/>
          <w:b/>
        </w:rPr>
        <w:t>Figure 13.</w:t>
      </w:r>
      <w:r w:rsidRPr="00C12461">
        <w:rPr>
          <w:rFonts w:ascii="Times New Roman" w:hAnsi="Times New Roman"/>
        </w:rPr>
        <w:t xml:space="preserve"> Oils derived from hypersaline/lacustrine source rocks of the sixty-two crude oils NSO and asphaltene values plotted against each oil’s geologic age.</w:t>
      </w:r>
      <w:r>
        <w:rPr>
          <w:rFonts w:ascii="Times New Roman" w:hAnsi="Times New Roman"/>
        </w:rPr>
        <w:t xml:space="preserve"> Each point is labeled with corresponding ID from Appendix 1. </w:t>
      </w:r>
    </w:p>
    <w:p w:rsidR="00CB2AFD" w:rsidRDefault="00CB2AFD" w:rsidP="00CB2AFD">
      <w:pPr>
        <w:spacing w:line="240" w:lineRule="auto"/>
        <w:ind w:firstLine="720"/>
        <w:rPr>
          <w:rFonts w:ascii="Times New Roman" w:hAnsi="Times New Roman"/>
        </w:rPr>
      </w:pPr>
    </w:p>
    <w:p w:rsidR="00CB2AFD" w:rsidRDefault="00CB2AFD" w:rsidP="00CB2AFD">
      <w:pPr>
        <w:ind w:firstLine="720"/>
        <w:rPr>
          <w:rFonts w:ascii="Times New Roman" w:hAnsi="Times New Roman"/>
        </w:rPr>
      </w:pPr>
      <w:r>
        <w:rPr>
          <w:rFonts w:ascii="Times New Roman" w:hAnsi="Times New Roman"/>
        </w:rPr>
        <w:t xml:space="preserve">The combined NSO </w:t>
      </w:r>
      <w:r w:rsidRPr="00BF7B4D">
        <w:rPr>
          <w:rFonts w:ascii="Times New Roman" w:hAnsi="Times New Roman"/>
        </w:rPr>
        <w:t>δ</w:t>
      </w:r>
      <w:r w:rsidRPr="00BF7B4D">
        <w:rPr>
          <w:rFonts w:ascii="Times New Roman" w:hAnsi="Times New Roman"/>
          <w:vertAlign w:val="superscript"/>
        </w:rPr>
        <w:t>15</w:t>
      </w:r>
      <w:r w:rsidRPr="00BF7B4D">
        <w:rPr>
          <w:rFonts w:ascii="Times New Roman" w:hAnsi="Times New Roman"/>
        </w:rPr>
        <w:t>N</w:t>
      </w:r>
      <w:r>
        <w:rPr>
          <w:rFonts w:ascii="Times New Roman" w:hAnsi="Times New Roman"/>
        </w:rPr>
        <w:t xml:space="preserve"> values for all sixty-two crude oils is shown in Figure 14. The combined asphaltene </w:t>
      </w:r>
      <w:r w:rsidRPr="00BF7B4D">
        <w:rPr>
          <w:rFonts w:ascii="Times New Roman" w:hAnsi="Times New Roman"/>
        </w:rPr>
        <w:t>δ</w:t>
      </w:r>
      <w:r w:rsidRPr="00BF7B4D">
        <w:rPr>
          <w:rFonts w:ascii="Times New Roman" w:hAnsi="Times New Roman"/>
          <w:vertAlign w:val="superscript"/>
        </w:rPr>
        <w:t>15</w:t>
      </w:r>
      <w:r w:rsidRPr="00BF7B4D">
        <w:rPr>
          <w:rFonts w:ascii="Times New Roman" w:hAnsi="Times New Roman"/>
        </w:rPr>
        <w:t>N</w:t>
      </w:r>
      <w:r>
        <w:rPr>
          <w:rFonts w:ascii="Times New Roman" w:hAnsi="Times New Roman"/>
        </w:rPr>
        <w:t xml:space="preserve"> values for all sixty-two crude oils is shown in Figure 15. Both the NSO and asphaltene fractions show similar δ</w:t>
      </w:r>
      <w:r w:rsidRPr="00BB1024">
        <w:rPr>
          <w:rFonts w:ascii="Times New Roman" w:hAnsi="Times New Roman"/>
          <w:vertAlign w:val="superscript"/>
        </w:rPr>
        <w:t>15</w:t>
      </w:r>
      <w:r w:rsidRPr="00BB1024">
        <w:rPr>
          <w:rFonts w:ascii="Times New Roman" w:hAnsi="Times New Roman"/>
        </w:rPr>
        <w:t>N values</w:t>
      </w:r>
      <w:r>
        <w:rPr>
          <w:rFonts w:ascii="Times New Roman" w:hAnsi="Times New Roman"/>
        </w:rPr>
        <w:t xml:space="preserve"> for geologic ages. The δ</w:t>
      </w:r>
      <w:r w:rsidRPr="00BF7B4D">
        <w:rPr>
          <w:rFonts w:ascii="Times New Roman" w:hAnsi="Times New Roman"/>
          <w:vertAlign w:val="superscript"/>
        </w:rPr>
        <w:t>15</w:t>
      </w:r>
      <w:r w:rsidRPr="00BF7B4D">
        <w:rPr>
          <w:rFonts w:ascii="Times New Roman" w:hAnsi="Times New Roman"/>
        </w:rPr>
        <w:t>N</w:t>
      </w:r>
      <w:r>
        <w:rPr>
          <w:rFonts w:ascii="Times New Roman" w:hAnsi="Times New Roman"/>
        </w:rPr>
        <w:t xml:space="preserve"> values appear to be independent of source rock type. </w:t>
      </w:r>
    </w:p>
    <w:p w:rsidR="00AA30BB" w:rsidRDefault="00AA30BB">
      <w:pPr>
        <w:spacing w:line="240" w:lineRule="auto"/>
      </w:pPr>
      <w:r>
        <w:br w:type="page"/>
      </w:r>
      <w:bookmarkStart w:id="10" w:name="_GoBack"/>
      <w:bookmarkEnd w:id="10"/>
    </w:p>
    <w:p w:rsidR="00AA30BB" w:rsidRDefault="00EB21E1" w:rsidP="008D4F69">
      <w:r>
        <w:rPr>
          <w:noProof/>
          <w:lang w:bidi="ar-SA"/>
        </w:rPr>
        <w:lastRenderedPageBreak/>
        <mc:AlternateContent>
          <mc:Choice Requires="wps">
            <w:drawing>
              <wp:anchor distT="45720" distB="45720" distL="114300" distR="114300" simplePos="0" relativeHeight="251659264" behindDoc="0" locked="0" layoutInCell="1" allowOverlap="1">
                <wp:simplePos x="0" y="0"/>
                <wp:positionH relativeFrom="column">
                  <wp:posOffset>-1460500</wp:posOffset>
                </wp:positionH>
                <wp:positionV relativeFrom="paragraph">
                  <wp:posOffset>1587500</wp:posOffset>
                </wp:positionV>
                <wp:extent cx="8181975" cy="5025390"/>
                <wp:effectExtent l="0" t="2857" r="25717" b="25718"/>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181975" cy="5025390"/>
                        </a:xfrm>
                        <a:prstGeom prst="rect">
                          <a:avLst/>
                        </a:prstGeom>
                        <a:solidFill>
                          <a:schemeClr val="bg1"/>
                        </a:solidFill>
                        <a:ln w="9525">
                          <a:solidFill>
                            <a:schemeClr val="bg1"/>
                          </a:solidFill>
                          <a:miter lim="800000"/>
                          <a:headEnd/>
                          <a:tailEnd/>
                        </a:ln>
                      </wps:spPr>
                      <wps:txbx>
                        <w:txbxContent>
                          <w:p w:rsidR="0052763E" w:rsidRPr="00CB2AFD" w:rsidRDefault="0052763E" w:rsidP="00EB21E1">
                            <w:pPr>
                              <w:pStyle w:val="Caption"/>
                              <w:keepNext/>
                              <w:jc w:val="center"/>
                              <w:rPr>
                                <w:rFonts w:ascii="Calibri" w:eastAsia="DengXian" w:hAnsi="Calibri"/>
                                <w:i/>
                                <w:iCs/>
                                <w:color w:val="44546A"/>
                                <w:sz w:val="18"/>
                                <w:lang w:eastAsia="zh-CN" w:bidi="ar-SA"/>
                              </w:rPr>
                            </w:pPr>
                            <w:r>
                              <w:rPr>
                                <w:noProof/>
                                <w:lang w:bidi="ar-SA"/>
                              </w:rPr>
                              <w:drawing>
                                <wp:inline distT="0" distB="0" distL="0" distR="0" wp14:anchorId="1CEFBCD6" wp14:editId="028F2047">
                                  <wp:extent cx="7990205" cy="4695190"/>
                                  <wp:effectExtent l="0" t="0" r="10795" b="10160"/>
                                  <wp:docPr id="38" name="Chart 38">
                                    <a:extLst xmlns:a="http://schemas.openxmlformats.org/drawingml/2006/main">
                                      <a:ext uri="{FF2B5EF4-FFF2-40B4-BE49-F238E27FC236}">
                                        <a16:creationId xmlns:a16="http://schemas.microsoft.com/office/drawing/2014/main" id="{00000000-0008-0000-00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52763E" w:rsidRPr="00CB2AFD" w:rsidRDefault="0052763E" w:rsidP="00EB21E1">
                            <w:pPr>
                              <w:spacing w:line="240" w:lineRule="auto"/>
                            </w:pPr>
                            <w:r w:rsidRPr="00CB2AFD">
                              <w:rPr>
                                <w:rFonts w:ascii="Times New Roman" w:eastAsia="DengXian" w:hAnsi="Times New Roman"/>
                                <w:b/>
                                <w:lang w:eastAsia="zh-CN" w:bidi="ar-SA"/>
                              </w:rPr>
                              <w:t>Figure 14.</w:t>
                            </w:r>
                            <w:r w:rsidRPr="00CB2AFD">
                              <w:rPr>
                                <w:rFonts w:ascii="Times New Roman" w:eastAsia="DengXian" w:hAnsi="Times New Roman"/>
                                <w:lang w:eastAsia="zh-CN" w:bidi="ar-SA"/>
                              </w:rPr>
                              <w:t xml:space="preserve"> The combined NSO values for all depositional environments for each oil plotted against each oil’s respective geologic</w:t>
                            </w:r>
                          </w:p>
                          <w:p w:rsidR="0052763E" w:rsidRDefault="0052763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15pt;margin-top:125pt;width:644.25pt;height:395.7pt;rotation:-90;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" fillcolor="white [3212]" strokecolor="white [3212]">
                <v:textbox>
                  <w:txbxContent>
                    <w:p w:rsidR="0052763E" w:rsidRPr="00CB2AFD" w:rsidRDefault="0052763E" w:rsidP="00EB21E1">
                      <w:pPr>
                        <w:pStyle w:val="Caption"/>
                        <w:keepNext/>
                        <w:jc w:val="center"/>
                        <w:rPr>
                          <w:rFonts w:ascii="Calibri" w:eastAsia="DengXian" w:hAnsi="Calibri"/>
                          <w:i/>
                          <w:iCs/>
                          <w:color w:val="44546A"/>
                          <w:sz w:val="18"/>
                          <w:lang w:eastAsia="zh-CN" w:bidi="ar-SA"/>
                        </w:rPr>
                      </w:pPr>
                      <w:r>
                        <w:rPr>
                          <w:noProof/>
                          <w:lang w:bidi="ar-SA"/>
                        </w:rPr>
                        <w:drawing>
                          <wp:inline distT="0" distB="0" distL="0" distR="0" wp14:anchorId="1CEFBCD6" wp14:editId="028F2047">
                            <wp:extent cx="7990205" cy="4695190"/>
                            <wp:effectExtent l="0" t="0" r="10795" b="10160"/>
                            <wp:docPr id="38" name="Chart 38">
                              <a:extLst xmlns:a="http://schemas.openxmlformats.org/drawingml/2006/main">
                                <a:ext uri="{FF2B5EF4-FFF2-40B4-BE49-F238E27FC236}">
                                  <a16:creationId xmlns:a16="http://schemas.microsoft.com/office/drawing/2014/main" id="{00000000-0008-0000-00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52763E" w:rsidRPr="00CB2AFD" w:rsidRDefault="0052763E" w:rsidP="00EB21E1">
                      <w:pPr>
                        <w:spacing w:line="240" w:lineRule="auto"/>
                      </w:pPr>
                      <w:r w:rsidRPr="00CB2AFD">
                        <w:rPr>
                          <w:rFonts w:ascii="Times New Roman" w:eastAsia="DengXian" w:hAnsi="Times New Roman"/>
                          <w:b/>
                          <w:lang w:eastAsia="zh-CN" w:bidi="ar-SA"/>
                        </w:rPr>
                        <w:t>Figure 14.</w:t>
                      </w:r>
                      <w:r w:rsidRPr="00CB2AFD">
                        <w:rPr>
                          <w:rFonts w:ascii="Times New Roman" w:eastAsia="DengXian" w:hAnsi="Times New Roman"/>
                          <w:lang w:eastAsia="zh-CN" w:bidi="ar-SA"/>
                        </w:rPr>
                        <w:t xml:space="preserve"> The combined NSO values for all depositional environments for each oil plotted against each oil’s respective geologic</w:t>
                      </w:r>
                    </w:p>
                    <w:p w:rsidR="0052763E" w:rsidRDefault="0052763E"/>
                  </w:txbxContent>
                </v:textbox>
                <w10:wrap type="square"/>
              </v:shape>
            </w:pict>
          </mc:Fallback>
        </mc:AlternateContent>
      </w:r>
    </w:p>
    <w:p w:rsidR="00466511" w:rsidRPr="003E7CA6" w:rsidRDefault="00466511" w:rsidP="00466511">
      <w:pPr>
        <w:ind w:firstLine="720"/>
        <w:rPr>
          <w:rFonts w:ascii="Times New Roman" w:hAnsi="Times New Roman"/>
        </w:rPr>
      </w:pPr>
      <w:r>
        <w:rPr>
          <w:noProof/>
          <w:lang w:bidi="ar-SA"/>
        </w:rPr>
        <w:lastRenderedPageBreak/>
        <mc:AlternateContent>
          <mc:Choice Requires="wps">
            <w:drawing>
              <wp:anchor distT="45720" distB="45720" distL="114300" distR="114300" simplePos="0" relativeHeight="251661312" behindDoc="0" locked="0" layoutInCell="1" allowOverlap="1">
                <wp:simplePos x="0" y="0"/>
                <wp:positionH relativeFrom="column">
                  <wp:posOffset>-1427480</wp:posOffset>
                </wp:positionH>
                <wp:positionV relativeFrom="paragraph">
                  <wp:posOffset>1429385</wp:posOffset>
                </wp:positionV>
                <wp:extent cx="8227695" cy="5369560"/>
                <wp:effectExtent l="318" t="0" r="21272" b="21273"/>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227695" cy="5369560"/>
                        </a:xfrm>
                        <a:prstGeom prst="rect">
                          <a:avLst/>
                        </a:prstGeom>
                        <a:solidFill>
                          <a:schemeClr val="bg1"/>
                        </a:solidFill>
                        <a:ln w="9525">
                          <a:solidFill>
                            <a:schemeClr val="bg1"/>
                          </a:solidFill>
                          <a:miter lim="800000"/>
                          <a:headEnd/>
                          <a:tailEnd/>
                        </a:ln>
                      </wps:spPr>
                      <wps:txbx>
                        <w:txbxContent>
                          <w:p w:rsidR="0052763E" w:rsidRPr="00466511" w:rsidRDefault="0052763E" w:rsidP="00466511">
                            <w:pPr>
                              <w:keepNext/>
                              <w:spacing w:after="160" w:line="259" w:lineRule="auto"/>
                              <w:rPr>
                                <w:rFonts w:ascii="Times New Roman" w:eastAsia="DengXian" w:hAnsi="Times New Roman"/>
                                <w:i/>
                                <w:sz w:val="22"/>
                                <w:szCs w:val="22"/>
                                <w:lang w:eastAsia="zh-CN" w:bidi="ar-SA"/>
                              </w:rPr>
                            </w:pPr>
                            <w:r>
                              <w:rPr>
                                <w:noProof/>
                                <w:lang w:bidi="ar-SA"/>
                              </w:rPr>
                              <w:drawing>
                                <wp:inline distT="0" distB="0" distL="0" distR="0" wp14:anchorId="5746FF0F" wp14:editId="386DF91A">
                                  <wp:extent cx="7730490" cy="4810125"/>
                                  <wp:effectExtent l="0" t="0" r="3810" b="9525"/>
                                  <wp:docPr id="39" name="Chart 39">
                                    <a:extLst xmlns:a="http://schemas.openxmlformats.org/drawingml/2006/main">
                                      <a:ext uri="{FF2B5EF4-FFF2-40B4-BE49-F238E27FC236}">
                                        <a16:creationId xmlns:a16="http://schemas.microsoft.com/office/drawing/2014/main" id="{00000000-0008-0000-00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52763E" w:rsidRPr="0052763E" w:rsidRDefault="0052763E" w:rsidP="00466511">
                            <w:pPr>
                              <w:keepNext/>
                              <w:spacing w:after="160" w:line="259" w:lineRule="auto"/>
                              <w:rPr>
                                <w:rFonts w:ascii="Times New Roman" w:eastAsia="DengXian" w:hAnsi="Times New Roman"/>
                                <w:iCs/>
                                <w:sz w:val="22"/>
                                <w:szCs w:val="22"/>
                                <w:lang w:eastAsia="zh-CN" w:bidi="ar-SA"/>
                              </w:rPr>
                            </w:pPr>
                            <w:r w:rsidRPr="0052763E">
                              <w:rPr>
                                <w:rFonts w:ascii="Times New Roman" w:eastAsia="DengXian" w:hAnsi="Times New Roman"/>
                                <w:b/>
                                <w:sz w:val="22"/>
                                <w:szCs w:val="22"/>
                                <w:lang w:eastAsia="zh-CN" w:bidi="ar-SA"/>
                              </w:rPr>
                              <w:t>Figure 15.</w:t>
                            </w:r>
                            <w:r w:rsidRPr="0052763E">
                              <w:rPr>
                                <w:rFonts w:ascii="Times New Roman" w:eastAsia="DengXian" w:hAnsi="Times New Roman"/>
                                <w:sz w:val="22"/>
                                <w:szCs w:val="22"/>
                                <w:lang w:eastAsia="zh-CN" w:bidi="ar-SA"/>
                              </w:rPr>
                              <w:t xml:space="preserve"> The combined asphaltene values for all depositional environments </w:t>
                            </w:r>
                            <w:r w:rsidRPr="0052763E">
                              <w:rPr>
                                <w:rFonts w:ascii="Times New Roman" w:eastAsia="DengXian" w:hAnsi="Times New Roman"/>
                                <w:iCs/>
                                <w:sz w:val="22"/>
                                <w:szCs w:val="22"/>
                                <w:lang w:eastAsia="zh-CN" w:bidi="ar-SA"/>
                              </w:rPr>
                              <w:t xml:space="preserve">for each oil plotted against each oil’s respective geologic age.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112.4pt;margin-top:112.55pt;width:647.85pt;height:422.8pt;rotation:-90;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" fillcolor="white [3212]" strokecolor="white [3212]">
                <v:textbox>
                  <w:txbxContent>
                    <w:p w:rsidR="0052763E" w:rsidRPr="00466511" w:rsidRDefault="0052763E" w:rsidP="00466511">
                      <w:pPr>
                        <w:keepNext/>
                        <w:spacing w:after="160" w:line="259" w:lineRule="auto"/>
                        <w:rPr>
                          <w:rFonts w:ascii="Times New Roman" w:eastAsia="DengXian" w:hAnsi="Times New Roman"/>
                          <w:i/>
                          <w:sz w:val="22"/>
                          <w:szCs w:val="22"/>
                          <w:lang w:eastAsia="zh-CN" w:bidi="ar-SA"/>
                        </w:rPr>
                      </w:pPr>
                      <w:r>
                        <w:rPr>
                          <w:noProof/>
                          <w:lang w:bidi="ar-SA"/>
                        </w:rPr>
                        <w:drawing>
                          <wp:inline distT="0" distB="0" distL="0" distR="0" wp14:anchorId="5746FF0F" wp14:editId="386DF91A">
                            <wp:extent cx="7730490" cy="4810125"/>
                            <wp:effectExtent l="0" t="0" r="3810" b="9525"/>
                            <wp:docPr id="39" name="Chart 39">
                              <a:extLst xmlns:a="http://schemas.openxmlformats.org/drawingml/2006/main">
                                <a:ext uri="{FF2B5EF4-FFF2-40B4-BE49-F238E27FC236}">
                                  <a16:creationId xmlns:a16="http://schemas.microsoft.com/office/drawing/2014/main" id="{00000000-0008-0000-00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52763E" w:rsidRPr="0052763E" w:rsidRDefault="0052763E" w:rsidP="00466511">
                      <w:pPr>
                        <w:keepNext/>
                        <w:spacing w:after="160" w:line="259" w:lineRule="auto"/>
                        <w:rPr>
                          <w:rFonts w:ascii="Times New Roman" w:eastAsia="DengXian" w:hAnsi="Times New Roman"/>
                          <w:iCs/>
                          <w:sz w:val="22"/>
                          <w:szCs w:val="22"/>
                          <w:lang w:eastAsia="zh-CN" w:bidi="ar-SA"/>
                        </w:rPr>
                      </w:pPr>
                      <w:r w:rsidRPr="0052763E">
                        <w:rPr>
                          <w:rFonts w:ascii="Times New Roman" w:eastAsia="DengXian" w:hAnsi="Times New Roman"/>
                          <w:b/>
                          <w:sz w:val="22"/>
                          <w:szCs w:val="22"/>
                          <w:lang w:eastAsia="zh-CN" w:bidi="ar-SA"/>
                        </w:rPr>
                        <w:t>Figure 15.</w:t>
                      </w:r>
                      <w:r w:rsidRPr="0052763E">
                        <w:rPr>
                          <w:rFonts w:ascii="Times New Roman" w:eastAsia="DengXian" w:hAnsi="Times New Roman"/>
                          <w:sz w:val="22"/>
                          <w:szCs w:val="22"/>
                          <w:lang w:eastAsia="zh-CN" w:bidi="ar-SA"/>
                        </w:rPr>
                        <w:t xml:space="preserve"> The combined asphaltene values for all depositional environments </w:t>
                      </w:r>
                      <w:r w:rsidRPr="0052763E">
                        <w:rPr>
                          <w:rFonts w:ascii="Times New Roman" w:eastAsia="DengXian" w:hAnsi="Times New Roman"/>
                          <w:iCs/>
                          <w:sz w:val="22"/>
                          <w:szCs w:val="22"/>
                          <w:lang w:eastAsia="zh-CN" w:bidi="ar-SA"/>
                        </w:rPr>
                        <w:t xml:space="preserve">for each oil plotted against each oil’s respective geologic age. </w:t>
                      </w:r>
                    </w:p>
                  </w:txbxContent>
                </v:textbox>
                <w10:wrap type="square"/>
              </v:shape>
            </w:pict>
          </mc:Fallback>
        </mc:AlternateContent>
      </w:r>
      <w:r w:rsidR="00AA30BB">
        <w:br w:type="page"/>
      </w:r>
    </w:p>
    <w:p w:rsidR="00466511" w:rsidRPr="00B7485A" w:rsidRDefault="00466511" w:rsidP="00466511">
      <w:pPr>
        <w:keepNext/>
        <w:rPr>
          <w:rFonts w:ascii="Times New Roman" w:hAnsi="Times New Roman"/>
          <w:iCs/>
        </w:rPr>
      </w:pPr>
      <w:r w:rsidRPr="00B7485A">
        <w:rPr>
          <w:rFonts w:ascii="Times New Roman" w:hAnsi="Times New Roman"/>
          <w:iCs/>
        </w:rPr>
        <w:lastRenderedPageBreak/>
        <w:t xml:space="preserve"> </w:t>
      </w:r>
    </w:p>
    <w:p w:rsidR="00466511" w:rsidRPr="00466511" w:rsidRDefault="00466511" w:rsidP="00466511">
      <w:pPr>
        <w:spacing w:after="160"/>
        <w:ind w:firstLine="720"/>
        <w:rPr>
          <w:rFonts w:ascii="Times New Roman" w:eastAsia="DengXian" w:hAnsi="Times New Roman"/>
          <w:lang w:eastAsia="zh-CN" w:bidi="ar-SA"/>
        </w:rPr>
      </w:pPr>
      <w:r w:rsidRPr="00466511">
        <w:rPr>
          <w:rFonts w:ascii="Times New Roman" w:eastAsia="DengXian" w:hAnsi="Times New Roman"/>
          <w:lang w:eastAsia="zh-CN" w:bidi="ar-SA"/>
        </w:rPr>
        <w:t xml:space="preserve">The combined NSO and asphaltene fractions for all sixty-two crude oils are shown in Figure 16. The siliciclastic and carbonate/marls ranging in age from the Cambrian to Ordovician become enriched in </w:t>
      </w:r>
      <w:r w:rsidRPr="00466511">
        <w:rPr>
          <w:rFonts w:ascii="Times New Roman" w:eastAsia="DengXian" w:hAnsi="Times New Roman"/>
          <w:vertAlign w:val="superscript"/>
          <w:lang w:eastAsia="zh-CN" w:bidi="ar-SA"/>
        </w:rPr>
        <w:t>15</w:t>
      </w:r>
      <w:r w:rsidRPr="00466511">
        <w:rPr>
          <w:rFonts w:ascii="Times New Roman" w:eastAsia="DengXian" w:hAnsi="Times New Roman"/>
          <w:lang w:eastAsia="zh-CN" w:bidi="ar-SA"/>
        </w:rPr>
        <w:t xml:space="preserve">N for both the NSO and asphaltene fractions, with values increasing from 2.38‰ to 5.60‰. The Silurian to Devonian age oils were depleted in </w:t>
      </w:r>
      <w:r w:rsidRPr="00466511">
        <w:rPr>
          <w:rFonts w:ascii="Times New Roman" w:eastAsia="DengXian" w:hAnsi="Times New Roman"/>
          <w:vertAlign w:val="superscript"/>
          <w:lang w:eastAsia="zh-CN" w:bidi="ar-SA"/>
        </w:rPr>
        <w:t>15</w:t>
      </w:r>
      <w:r w:rsidRPr="00466511">
        <w:rPr>
          <w:rFonts w:ascii="Times New Roman" w:eastAsia="DengXian" w:hAnsi="Times New Roman"/>
          <w:lang w:eastAsia="zh-CN" w:bidi="ar-SA"/>
        </w:rPr>
        <w:t xml:space="preserve">N relative to the Cambrian to Ordovician time range, with siliciclastic and carbonate/marl NSO and asphaltene values ranging from -1.30‰ to 2.40‰. Siliciclastic, carbonate/marl, hypersaline and lacustrine environments all exhibit a secular enrichment of </w:t>
      </w:r>
      <w:r w:rsidRPr="00466511">
        <w:rPr>
          <w:rFonts w:ascii="Times New Roman" w:eastAsia="DengXian" w:hAnsi="Times New Roman"/>
          <w:vertAlign w:val="superscript"/>
          <w:lang w:eastAsia="zh-CN" w:bidi="ar-SA"/>
        </w:rPr>
        <w:t>15</w:t>
      </w:r>
      <w:r w:rsidRPr="00466511">
        <w:rPr>
          <w:rFonts w:ascii="Times New Roman" w:eastAsia="DengXian" w:hAnsi="Times New Roman"/>
          <w:lang w:eastAsia="zh-CN" w:bidi="ar-SA"/>
        </w:rPr>
        <w:t xml:space="preserve">N for both the NSO and asphaltene fractions from the Upper Mississippian to the Triassic, with values ranging from 1.53‰ to 16.00‰. </w:t>
      </w:r>
    </w:p>
    <w:p w:rsidR="00466511" w:rsidRPr="00466511" w:rsidRDefault="00466511" w:rsidP="00466511">
      <w:pPr>
        <w:spacing w:after="160"/>
        <w:ind w:firstLine="720"/>
        <w:rPr>
          <w:rFonts w:ascii="Times New Roman" w:eastAsia="DengXian" w:hAnsi="Times New Roman"/>
          <w:lang w:eastAsia="zh-CN" w:bidi="ar-SA"/>
        </w:rPr>
      </w:pPr>
      <w:r w:rsidRPr="00466511">
        <w:rPr>
          <w:rFonts w:ascii="Times New Roman" w:eastAsia="DengXian" w:hAnsi="Times New Roman"/>
          <w:lang w:eastAsia="zh-CN" w:bidi="ar-SA"/>
        </w:rPr>
        <w:t xml:space="preserve">The Lower Jurassic to the Paleogene has a similar trend to that of the Silurian to Devonian time span and is depleted in </w:t>
      </w:r>
      <w:r w:rsidRPr="00466511">
        <w:rPr>
          <w:rFonts w:ascii="Times New Roman" w:eastAsia="DengXian" w:hAnsi="Times New Roman"/>
          <w:vertAlign w:val="superscript"/>
          <w:lang w:eastAsia="zh-CN" w:bidi="ar-SA"/>
        </w:rPr>
        <w:t>15</w:t>
      </w:r>
      <w:r w:rsidRPr="00466511">
        <w:rPr>
          <w:rFonts w:ascii="Times New Roman" w:eastAsia="DengXian" w:hAnsi="Times New Roman"/>
          <w:lang w:eastAsia="zh-CN" w:bidi="ar-SA"/>
        </w:rPr>
        <w:t xml:space="preserve">N relative to the Upper Mississippian to the Triassic. Siliciclastic and carbonate/marls for both the NSO and asphaltene fractions range from -1.60 to 2.65‰. There are two exceptions in samples 11 and 13, which are enriched in </w:t>
      </w:r>
      <w:r w:rsidRPr="00466511">
        <w:rPr>
          <w:rFonts w:ascii="Times New Roman" w:eastAsia="DengXian" w:hAnsi="Times New Roman"/>
          <w:vertAlign w:val="superscript"/>
          <w:lang w:eastAsia="zh-CN" w:bidi="ar-SA"/>
        </w:rPr>
        <w:t>15</w:t>
      </w:r>
      <w:r w:rsidRPr="00466511">
        <w:rPr>
          <w:rFonts w:ascii="Times New Roman" w:eastAsia="DengXian" w:hAnsi="Times New Roman"/>
          <w:lang w:eastAsia="zh-CN" w:bidi="ar-SA"/>
        </w:rPr>
        <w:t xml:space="preserve">N. Sample 11 has an NSO value of 5.42‰, and asphaltene value of 5.35‰. Sample 13 has an NSO value of 3.50‰ and an asphaltene value of 2.38‰. The siliciclastic samples in the Neogene age are enriched in </w:t>
      </w:r>
      <w:r w:rsidRPr="00466511">
        <w:rPr>
          <w:rFonts w:ascii="Times New Roman" w:eastAsia="DengXian" w:hAnsi="Times New Roman"/>
          <w:vertAlign w:val="superscript"/>
          <w:lang w:eastAsia="zh-CN" w:bidi="ar-SA"/>
        </w:rPr>
        <w:t>15</w:t>
      </w:r>
      <w:r w:rsidRPr="00466511">
        <w:rPr>
          <w:rFonts w:ascii="Times New Roman" w:eastAsia="DengXian" w:hAnsi="Times New Roman"/>
          <w:lang w:eastAsia="zh-CN" w:bidi="ar-SA"/>
        </w:rPr>
        <w:t xml:space="preserve">N for both the NSO and asphaltene fractions, with values ranging from 3.04‰ to 7.92‰. Sample 3 from the Neogene age is derived from a carbonate source rock and is depleted in </w:t>
      </w:r>
      <w:r w:rsidRPr="00466511">
        <w:rPr>
          <w:rFonts w:ascii="Times New Roman" w:eastAsia="DengXian" w:hAnsi="Times New Roman"/>
          <w:vertAlign w:val="superscript"/>
          <w:lang w:eastAsia="zh-CN" w:bidi="ar-SA"/>
        </w:rPr>
        <w:t>15</w:t>
      </w:r>
      <w:r w:rsidRPr="00466511">
        <w:rPr>
          <w:rFonts w:ascii="Times New Roman" w:eastAsia="DengXian" w:hAnsi="Times New Roman"/>
          <w:lang w:eastAsia="zh-CN" w:bidi="ar-SA"/>
        </w:rPr>
        <w:t>N compared to the siliciclastic derived oils, with an NSO value of 1.23‰ and an asphaltene value of 0.96‰.</w:t>
      </w:r>
    </w:p>
    <w:p w:rsidR="00AA30BB" w:rsidRDefault="00466511">
      <w:pPr>
        <w:spacing w:line="240" w:lineRule="auto"/>
      </w:pPr>
      <w:r>
        <w:rPr>
          <w:noProof/>
          <w:lang w:bidi="ar-SA"/>
        </w:rPr>
        <w:lastRenderedPageBreak/>
        <mc:AlternateContent>
          <mc:Choice Requires="wps">
            <w:drawing>
              <wp:anchor distT="45720" distB="45720" distL="114300" distR="114300" simplePos="0" relativeHeight="251663360" behindDoc="0" locked="0" layoutInCell="1" allowOverlap="1">
                <wp:simplePos x="0" y="0"/>
                <wp:positionH relativeFrom="margin">
                  <wp:posOffset>-1428750</wp:posOffset>
                </wp:positionH>
                <wp:positionV relativeFrom="paragraph">
                  <wp:posOffset>1431925</wp:posOffset>
                </wp:positionV>
                <wp:extent cx="8244205" cy="5380355"/>
                <wp:effectExtent l="3175" t="0" r="26670" b="2667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244205" cy="5380355"/>
                        </a:xfrm>
                        <a:prstGeom prst="rect">
                          <a:avLst/>
                        </a:prstGeom>
                        <a:solidFill>
                          <a:schemeClr val="bg1"/>
                        </a:solidFill>
                        <a:ln w="9525">
                          <a:solidFill>
                            <a:schemeClr val="bg1"/>
                          </a:solidFill>
                          <a:miter lim="800000"/>
                          <a:headEnd/>
                          <a:tailEnd/>
                        </a:ln>
                      </wps:spPr>
                      <wps:txbx>
                        <w:txbxContent>
                          <w:p w:rsidR="0052763E" w:rsidRPr="00466511" w:rsidRDefault="0052763E" w:rsidP="00466511">
                            <w:pPr>
                              <w:keepNext/>
                              <w:spacing w:after="160" w:line="259" w:lineRule="auto"/>
                              <w:rPr>
                                <w:rFonts w:ascii="Calibri" w:eastAsia="DengXian" w:hAnsi="Calibri"/>
                                <w:sz w:val="22"/>
                                <w:szCs w:val="22"/>
                                <w:lang w:eastAsia="zh-CN" w:bidi="ar-SA"/>
                              </w:rPr>
                            </w:pPr>
                            <w:r>
                              <w:rPr>
                                <w:noProof/>
                                <w:lang w:bidi="ar-SA"/>
                              </w:rPr>
                              <w:drawing>
                                <wp:inline distT="0" distB="0" distL="0" distR="0" wp14:anchorId="5B63E3A9" wp14:editId="4CF8ADF4">
                                  <wp:extent cx="8052435" cy="4712970"/>
                                  <wp:effectExtent l="0" t="0" r="5715" b="11430"/>
                                  <wp:docPr id="40" name="Chart 40">
                                    <a:extLst xmlns:a="http://schemas.openxmlformats.org/drawingml/2006/main">
                                      <a:ext uri="{FF2B5EF4-FFF2-40B4-BE49-F238E27FC236}">
                                        <a16:creationId xmlns:a16="http://schemas.microsoft.com/office/drawing/2014/main" id="{00000000-0008-0000-00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52763E" w:rsidRPr="00466511" w:rsidRDefault="0052763E" w:rsidP="00466511">
                            <w:pPr>
                              <w:spacing w:after="200" w:line="240" w:lineRule="auto"/>
                              <w:rPr>
                                <w:rFonts w:ascii="Times New Roman" w:eastAsia="DengXian" w:hAnsi="Times New Roman"/>
                                <w:iCs/>
                                <w:lang w:eastAsia="zh-CN" w:bidi="ar-SA"/>
                              </w:rPr>
                            </w:pPr>
                            <w:r w:rsidRPr="00466511">
                              <w:rPr>
                                <w:rFonts w:ascii="Times New Roman" w:eastAsia="DengXian" w:hAnsi="Times New Roman"/>
                                <w:b/>
                                <w:iCs/>
                                <w:lang w:eastAsia="zh-CN" w:bidi="ar-SA"/>
                              </w:rPr>
                              <w:t>Figure 16.</w:t>
                            </w:r>
                            <w:r w:rsidRPr="00466511">
                              <w:rPr>
                                <w:rFonts w:ascii="Times New Roman" w:eastAsia="DengXian" w:hAnsi="Times New Roman"/>
                                <w:iCs/>
                                <w:lang w:eastAsia="zh-CN" w:bidi="ar-SA"/>
                              </w:rPr>
                              <w:t xml:space="preserve"> The combined NSO and asphaltene values for all depositional environments for each oil plotted against each oil’s respective geologic age. </w:t>
                            </w:r>
                          </w:p>
                          <w:p w:rsidR="0052763E" w:rsidRDefault="0052763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112.5pt;margin-top:112.75pt;width:649.15pt;height:423.65pt;rotation:-90;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" fillcolor="white [3212]" strokecolor="white [3212]">
                <v:textbox>
                  <w:txbxContent>
                    <w:p w:rsidR="0052763E" w:rsidRPr="00466511" w:rsidRDefault="0052763E" w:rsidP="00466511">
                      <w:pPr>
                        <w:keepNext/>
                        <w:spacing w:after="160" w:line="259" w:lineRule="auto"/>
                        <w:rPr>
                          <w:rFonts w:ascii="Calibri" w:eastAsia="DengXian" w:hAnsi="Calibri"/>
                          <w:sz w:val="22"/>
                          <w:szCs w:val="22"/>
                          <w:lang w:eastAsia="zh-CN" w:bidi="ar-SA"/>
                        </w:rPr>
                      </w:pPr>
                      <w:r>
                        <w:rPr>
                          <w:noProof/>
                          <w:lang w:bidi="ar-SA"/>
                        </w:rPr>
                        <w:drawing>
                          <wp:inline distT="0" distB="0" distL="0" distR="0" wp14:anchorId="5B63E3A9" wp14:editId="4CF8ADF4">
                            <wp:extent cx="8052435" cy="4712970"/>
                            <wp:effectExtent l="0" t="0" r="5715" b="11430"/>
                            <wp:docPr id="40" name="Chart 40">
                              <a:extLst xmlns:a="http://schemas.openxmlformats.org/drawingml/2006/main">
                                <a:ext uri="{FF2B5EF4-FFF2-40B4-BE49-F238E27FC236}">
                                  <a16:creationId xmlns:a16="http://schemas.microsoft.com/office/drawing/2014/main" id="{00000000-0008-0000-00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52763E" w:rsidRPr="00466511" w:rsidRDefault="0052763E" w:rsidP="00466511">
                      <w:pPr>
                        <w:spacing w:after="200" w:line="240" w:lineRule="auto"/>
                        <w:rPr>
                          <w:rFonts w:ascii="Times New Roman" w:eastAsia="DengXian" w:hAnsi="Times New Roman"/>
                          <w:iCs/>
                          <w:lang w:eastAsia="zh-CN" w:bidi="ar-SA"/>
                        </w:rPr>
                      </w:pPr>
                      <w:r w:rsidRPr="00466511">
                        <w:rPr>
                          <w:rFonts w:ascii="Times New Roman" w:eastAsia="DengXian" w:hAnsi="Times New Roman"/>
                          <w:b/>
                          <w:iCs/>
                          <w:lang w:eastAsia="zh-CN" w:bidi="ar-SA"/>
                        </w:rPr>
                        <w:t>Figure 16.</w:t>
                      </w:r>
                      <w:r w:rsidRPr="00466511">
                        <w:rPr>
                          <w:rFonts w:ascii="Times New Roman" w:eastAsia="DengXian" w:hAnsi="Times New Roman"/>
                          <w:iCs/>
                          <w:lang w:eastAsia="zh-CN" w:bidi="ar-SA"/>
                        </w:rPr>
                        <w:t xml:space="preserve"> The combined NSO and asphaltene values for all depositional environments for each oil plotted against each oil’s respective geologic age. </w:t>
                      </w:r>
                    </w:p>
                    <w:p w:rsidR="0052763E" w:rsidRDefault="0052763E"/>
                  </w:txbxContent>
                </v:textbox>
                <w10:wrap type="square" anchorx="margin"/>
              </v:shape>
            </w:pict>
          </mc:Fallback>
        </mc:AlternateContent>
      </w:r>
    </w:p>
    <w:p w:rsidR="0008061A" w:rsidRPr="006F7CD0" w:rsidRDefault="0008061A" w:rsidP="0008061A">
      <w:pPr>
        <w:jc w:val="center"/>
        <w:rPr>
          <w:rFonts w:ascii="Times New Roman" w:hAnsi="Times New Roman"/>
          <w:b/>
          <w:sz w:val="28"/>
          <w:szCs w:val="28"/>
        </w:rPr>
      </w:pPr>
      <w:r w:rsidRPr="006F7CD0">
        <w:rPr>
          <w:rFonts w:ascii="Times New Roman" w:hAnsi="Times New Roman"/>
          <w:b/>
          <w:sz w:val="28"/>
          <w:szCs w:val="28"/>
        </w:rPr>
        <w:lastRenderedPageBreak/>
        <w:t>Discussion</w:t>
      </w:r>
    </w:p>
    <w:p w:rsidR="0008061A" w:rsidRPr="0008061A" w:rsidRDefault="0008061A" w:rsidP="0008061A">
      <w:pPr>
        <w:spacing w:after="160"/>
        <w:rPr>
          <w:rFonts w:ascii="Times New Roman" w:eastAsia="DengXian" w:hAnsi="Times New Roman"/>
          <w:i/>
          <w:lang w:eastAsia="zh-CN" w:bidi="ar-SA"/>
        </w:rPr>
      </w:pPr>
      <w:r w:rsidRPr="0008061A">
        <w:rPr>
          <w:rFonts w:ascii="Times New Roman" w:eastAsia="DengXian" w:hAnsi="Times New Roman"/>
          <w:i/>
          <w:lang w:eastAsia="zh-CN" w:bidi="ar-SA"/>
        </w:rPr>
        <w:t>Discussion of the δ</w:t>
      </w:r>
      <w:r w:rsidRPr="0008061A">
        <w:rPr>
          <w:rFonts w:ascii="Times New Roman" w:eastAsia="DengXian" w:hAnsi="Times New Roman"/>
          <w:i/>
          <w:vertAlign w:val="superscript"/>
          <w:lang w:eastAsia="zh-CN" w:bidi="ar-SA"/>
        </w:rPr>
        <w:t>15</w:t>
      </w:r>
      <w:r w:rsidRPr="0008061A">
        <w:rPr>
          <w:rFonts w:ascii="Times New Roman" w:eastAsia="DengXian" w:hAnsi="Times New Roman"/>
          <w:i/>
          <w:lang w:eastAsia="zh-CN" w:bidi="ar-SA"/>
        </w:rPr>
        <w:t>N values with increasing thermal maturity of the Mexican oils</w:t>
      </w:r>
    </w:p>
    <w:p w:rsidR="0008061A" w:rsidRPr="0008061A" w:rsidRDefault="0008061A" w:rsidP="0008061A">
      <w:pPr>
        <w:spacing w:after="160"/>
        <w:rPr>
          <w:rFonts w:ascii="Times New Roman" w:eastAsia="DengXian" w:hAnsi="Times New Roman"/>
          <w:lang w:eastAsia="zh-CN" w:bidi="ar-SA"/>
        </w:rPr>
      </w:pPr>
      <w:r w:rsidRPr="0008061A">
        <w:rPr>
          <w:rFonts w:ascii="Times New Roman" w:eastAsia="DengXian" w:hAnsi="Times New Roman"/>
          <w:lang w:eastAsia="zh-CN" w:bidi="ar-SA"/>
        </w:rPr>
        <w:tab/>
        <w:t xml:space="preserve">The use of nitrogen isotopes as a redox proxy or to reconstruct paleo environments relies on the preservation of the primary isotope signal. It is, therefore, necessary to determine if and to what extent the nitrogen signal is affected by diagenesis and </w:t>
      </w:r>
      <w:proofErr w:type="spellStart"/>
      <w:r w:rsidRPr="0008061A">
        <w:rPr>
          <w:rFonts w:ascii="Times New Roman" w:eastAsia="DengXian" w:hAnsi="Times New Roman"/>
          <w:lang w:eastAsia="zh-CN" w:bidi="ar-SA"/>
        </w:rPr>
        <w:t>catagenesis</w:t>
      </w:r>
      <w:proofErr w:type="spellEnd"/>
      <w:r w:rsidRPr="0008061A">
        <w:rPr>
          <w:rFonts w:ascii="Times New Roman" w:eastAsia="DengXian" w:hAnsi="Times New Roman"/>
          <w:lang w:eastAsia="zh-CN" w:bidi="ar-SA"/>
        </w:rPr>
        <w:t xml:space="preserve">, which can lead to the alteration of the primary isotope signal (Williams et al., 1995; Lehmann et al., 2002; </w:t>
      </w:r>
      <w:proofErr w:type="spellStart"/>
      <w:r w:rsidRPr="0008061A">
        <w:rPr>
          <w:rFonts w:ascii="Times New Roman" w:eastAsia="DengXian" w:hAnsi="Times New Roman"/>
          <w:lang w:eastAsia="zh-CN" w:bidi="ar-SA"/>
        </w:rPr>
        <w:t>Knies</w:t>
      </w:r>
      <w:proofErr w:type="spellEnd"/>
      <w:r w:rsidRPr="0008061A">
        <w:rPr>
          <w:rFonts w:ascii="Times New Roman" w:eastAsia="DengXian" w:hAnsi="Times New Roman"/>
          <w:lang w:eastAsia="zh-CN" w:bidi="ar-SA"/>
        </w:rPr>
        <w:t xml:space="preserve"> et al., 2007; Robinson et al., 2012; Quan et al., 2013; and Rivera et al., 2015). </w:t>
      </w:r>
    </w:p>
    <w:p w:rsidR="0008061A" w:rsidRPr="0008061A" w:rsidRDefault="0008061A" w:rsidP="0008061A">
      <w:pPr>
        <w:spacing w:after="160"/>
        <w:ind w:firstLine="720"/>
        <w:rPr>
          <w:rFonts w:ascii="Times New Roman" w:eastAsia="DengXian" w:hAnsi="Times New Roman"/>
          <w:lang w:eastAsia="zh-CN" w:bidi="ar-SA"/>
        </w:rPr>
      </w:pPr>
      <w:r w:rsidRPr="0008061A">
        <w:rPr>
          <w:rFonts w:ascii="Times New Roman" w:eastAsia="DengXian" w:hAnsi="Times New Roman"/>
          <w:lang w:eastAsia="zh-CN" w:bidi="ar-SA"/>
        </w:rPr>
        <w:t>The preservation of the primary nitrogen isotope signal depends on the condition in which organic matter is preserved (Quan et al., 2013). The preservation of organic matter depends on oxygen exposure time, as anoxic conditions enhance preservation, the rate of supply of organic matter to the sea floor, i.e. size of the particle and depth of the water column, bulk sedimentation rate, and the sealing efficiency which is driven by the sedimentation rates (Calvert et al., 1996; Lehmann et al., 2002; Oldenburg et al., 2007; Möbius et al., 2011; Rivera et al., 2015). Preservation is, therefore, greater in oxygen minimum zones and in areas of high sedimentation where sediment sealing efficiency is large. The opposite is therefore true and preservation is low in high oxygen concentrations where the rate supply of organic matter is low.</w:t>
      </w:r>
    </w:p>
    <w:p w:rsidR="0008061A" w:rsidRPr="0008061A" w:rsidRDefault="0008061A" w:rsidP="0008061A">
      <w:pPr>
        <w:spacing w:after="160"/>
        <w:ind w:firstLine="720"/>
        <w:rPr>
          <w:rFonts w:ascii="Times New Roman" w:eastAsia="DengXian" w:hAnsi="Times New Roman"/>
          <w:lang w:eastAsia="zh-CN" w:bidi="ar-SA"/>
        </w:rPr>
      </w:pPr>
      <w:r w:rsidRPr="0008061A">
        <w:rPr>
          <w:rFonts w:ascii="Times New Roman" w:eastAsia="DengXian" w:hAnsi="Times New Roman"/>
          <w:lang w:eastAsia="zh-CN" w:bidi="ar-SA"/>
        </w:rPr>
        <w:t xml:space="preserve"> In organic preserving environments, there appears to be little to no alteration of the initial δ</w:t>
      </w:r>
      <w:r w:rsidRPr="0008061A">
        <w:rPr>
          <w:rFonts w:ascii="Times New Roman" w:eastAsia="DengXian" w:hAnsi="Times New Roman"/>
          <w:vertAlign w:val="superscript"/>
          <w:lang w:eastAsia="zh-CN" w:bidi="ar-SA"/>
        </w:rPr>
        <w:t>15</w:t>
      </w:r>
      <w:r w:rsidRPr="0008061A">
        <w:rPr>
          <w:rFonts w:ascii="Times New Roman" w:eastAsia="DengXian" w:hAnsi="Times New Roman"/>
          <w:lang w:eastAsia="zh-CN" w:bidi="ar-SA"/>
        </w:rPr>
        <w:t>N values (Macko and Quick and references therein, 1986; Quan et al., 2013; Rivera et al., 2015), while low organic preserving environments in both down core profiles, geologic records, and incubation expe</w:t>
      </w:r>
      <w:r w:rsidR="0062521D">
        <w:rPr>
          <w:rFonts w:ascii="Times New Roman" w:eastAsia="DengXian" w:hAnsi="Times New Roman"/>
          <w:lang w:eastAsia="zh-CN" w:bidi="ar-SA"/>
        </w:rPr>
        <w:t xml:space="preserve">riments </w:t>
      </w:r>
      <w:r w:rsidR="0062521D" w:rsidRPr="00732532">
        <w:rPr>
          <w:rFonts w:ascii="Times New Roman" w:eastAsia="DengXian" w:hAnsi="Times New Roman"/>
          <w:lang w:eastAsia="zh-CN" w:bidi="ar-SA"/>
        </w:rPr>
        <w:t>show</w:t>
      </w:r>
      <w:r w:rsidRPr="0008061A">
        <w:rPr>
          <w:rFonts w:ascii="Times New Roman" w:eastAsia="DengXian" w:hAnsi="Times New Roman"/>
          <w:lang w:eastAsia="zh-CN" w:bidi="ar-SA"/>
        </w:rPr>
        <w:t xml:space="preserve"> an increase in δ</w:t>
      </w:r>
      <w:r w:rsidRPr="0008061A">
        <w:rPr>
          <w:rFonts w:ascii="Times New Roman" w:eastAsia="DengXian" w:hAnsi="Times New Roman"/>
          <w:vertAlign w:val="superscript"/>
          <w:lang w:eastAsia="zh-CN" w:bidi="ar-SA"/>
        </w:rPr>
        <w:t>15</w:t>
      </w:r>
      <w:r w:rsidRPr="0008061A">
        <w:rPr>
          <w:rFonts w:ascii="Times New Roman" w:eastAsia="DengXian" w:hAnsi="Times New Roman"/>
          <w:lang w:eastAsia="zh-CN" w:bidi="ar-SA"/>
        </w:rPr>
        <w:t xml:space="preserve">N </w:t>
      </w:r>
      <w:r w:rsidRPr="0008061A">
        <w:rPr>
          <w:rFonts w:ascii="Times New Roman" w:eastAsia="DengXian" w:hAnsi="Times New Roman"/>
          <w:lang w:eastAsia="zh-CN" w:bidi="ar-SA"/>
        </w:rPr>
        <w:lastRenderedPageBreak/>
        <w:t>(Möbius et al., 2011; Robinson et al., 2012). However, Robinson et al., (2012) show through empirical data that even in slowly accumulating regions found in the ocean, the bulk sedimentary δ</w:t>
      </w:r>
      <w:r w:rsidRPr="0008061A">
        <w:rPr>
          <w:rFonts w:ascii="Times New Roman" w:eastAsia="DengXian" w:hAnsi="Times New Roman"/>
          <w:vertAlign w:val="superscript"/>
          <w:lang w:eastAsia="zh-CN" w:bidi="ar-SA"/>
        </w:rPr>
        <w:t>15</w:t>
      </w:r>
      <w:r w:rsidR="001B57D4">
        <w:rPr>
          <w:rFonts w:ascii="Times New Roman" w:eastAsia="DengXian" w:hAnsi="Times New Roman"/>
          <w:lang w:eastAsia="zh-CN" w:bidi="ar-SA"/>
        </w:rPr>
        <w:t>N values reflect the</w:t>
      </w:r>
      <w:r w:rsidRPr="0008061A">
        <w:rPr>
          <w:rFonts w:ascii="Times New Roman" w:eastAsia="DengXian" w:hAnsi="Times New Roman"/>
          <w:lang w:eastAsia="zh-CN" w:bidi="ar-SA"/>
        </w:rPr>
        <w:t xml:space="preserve"> δ</w:t>
      </w:r>
      <w:r w:rsidRPr="0008061A">
        <w:rPr>
          <w:rFonts w:ascii="Times New Roman" w:eastAsia="DengXian" w:hAnsi="Times New Roman"/>
          <w:vertAlign w:val="superscript"/>
          <w:lang w:eastAsia="zh-CN" w:bidi="ar-SA"/>
        </w:rPr>
        <w:t>15</w:t>
      </w:r>
      <w:r w:rsidRPr="0008061A">
        <w:rPr>
          <w:rFonts w:ascii="Times New Roman" w:eastAsia="DengXian" w:hAnsi="Times New Roman"/>
          <w:lang w:eastAsia="zh-CN" w:bidi="ar-SA"/>
        </w:rPr>
        <w:t>N</w:t>
      </w:r>
      <w:r w:rsidR="00CA70C0">
        <w:rPr>
          <w:rFonts w:ascii="Times New Roman" w:eastAsia="DengXian" w:hAnsi="Times New Roman"/>
          <w:lang w:eastAsia="zh-CN" w:bidi="ar-SA"/>
        </w:rPr>
        <w:t xml:space="preserve"> values </w:t>
      </w:r>
      <w:r w:rsidRPr="0008061A">
        <w:rPr>
          <w:rFonts w:ascii="Times New Roman" w:eastAsia="DengXian" w:hAnsi="Times New Roman"/>
          <w:lang w:eastAsia="zh-CN" w:bidi="ar-SA"/>
        </w:rPr>
        <w:t>of the</w:t>
      </w:r>
      <w:r w:rsidR="00CA70C0">
        <w:rPr>
          <w:rFonts w:ascii="Times New Roman" w:eastAsia="DengXian" w:hAnsi="Times New Roman"/>
          <w:lang w:eastAsia="zh-CN" w:bidi="ar-SA"/>
        </w:rPr>
        <w:t xml:space="preserve"> sinking</w:t>
      </w:r>
      <w:r w:rsidRPr="0008061A">
        <w:rPr>
          <w:rFonts w:ascii="Times New Roman" w:eastAsia="DengXian" w:hAnsi="Times New Roman"/>
          <w:lang w:eastAsia="zh-CN" w:bidi="ar-SA"/>
        </w:rPr>
        <w:t xml:space="preserve"> organic matter. </w:t>
      </w:r>
    </w:p>
    <w:p w:rsidR="0008061A" w:rsidRPr="0008061A" w:rsidRDefault="0008061A" w:rsidP="0008061A">
      <w:pPr>
        <w:spacing w:after="160"/>
        <w:ind w:firstLine="720"/>
        <w:rPr>
          <w:rFonts w:ascii="Times New Roman" w:eastAsia="DengXian" w:hAnsi="Times New Roman"/>
          <w:lang w:eastAsia="zh-CN" w:bidi="ar-SA"/>
        </w:rPr>
      </w:pPr>
      <w:r w:rsidRPr="0008061A">
        <w:rPr>
          <w:rFonts w:ascii="Times New Roman" w:eastAsia="DengXian" w:hAnsi="Times New Roman"/>
          <w:lang w:eastAsia="zh-CN" w:bidi="ar-SA"/>
        </w:rPr>
        <w:t>Apart from early and water column diagenesis, mechanisms for post-burial degradation of organic matter include sedimentary diagenesis and thermal maturity. Terrestrial input can affect the primary nitrogen isotope signal. Diagenesis results in the biological and thermal degradation of organic matter which produces NH</w:t>
      </w:r>
      <w:r w:rsidRPr="0008061A">
        <w:rPr>
          <w:rFonts w:ascii="Times New Roman" w:eastAsia="DengXian" w:hAnsi="Times New Roman"/>
          <w:vertAlign w:val="subscript"/>
          <w:lang w:eastAsia="zh-CN" w:bidi="ar-SA"/>
        </w:rPr>
        <w:t>4</w:t>
      </w:r>
      <w:r w:rsidRPr="0008061A">
        <w:rPr>
          <w:rFonts w:ascii="Times New Roman" w:eastAsia="DengXian" w:hAnsi="Times New Roman"/>
          <w:lang w:eastAsia="zh-CN" w:bidi="ar-SA"/>
        </w:rPr>
        <w:t>. This ammonium can then be incorporated in clay layers and feldspars. Be</w:t>
      </w:r>
      <w:r w:rsidR="00CA70C0">
        <w:rPr>
          <w:rFonts w:ascii="Times New Roman" w:eastAsia="DengXian" w:hAnsi="Times New Roman"/>
          <w:lang w:eastAsia="zh-CN" w:bidi="ar-SA"/>
        </w:rPr>
        <w:t>cause these minerals were altered</w:t>
      </w:r>
      <w:r w:rsidRPr="0008061A">
        <w:rPr>
          <w:rFonts w:ascii="Times New Roman" w:eastAsia="DengXian" w:hAnsi="Times New Roman"/>
          <w:lang w:eastAsia="zh-CN" w:bidi="ar-SA"/>
        </w:rPr>
        <w:t xml:space="preserve"> by the decomposition of the organic matter, they share a very similar isotopic s</w:t>
      </w:r>
      <w:r w:rsidR="00CA70C0">
        <w:rPr>
          <w:rFonts w:ascii="Times New Roman" w:eastAsia="DengXian" w:hAnsi="Times New Roman"/>
          <w:lang w:eastAsia="zh-CN" w:bidi="ar-SA"/>
        </w:rPr>
        <w:t>ignal to the organic matter from</w:t>
      </w:r>
      <w:r w:rsidRPr="0008061A">
        <w:rPr>
          <w:rFonts w:ascii="Times New Roman" w:eastAsia="DengXian" w:hAnsi="Times New Roman"/>
          <w:lang w:eastAsia="zh-CN" w:bidi="ar-SA"/>
        </w:rPr>
        <w:t xml:space="preserve"> which it was formed</w:t>
      </w:r>
      <w:r w:rsidR="00CA70C0">
        <w:rPr>
          <w:rFonts w:ascii="Times New Roman" w:eastAsia="DengXian" w:hAnsi="Times New Roman"/>
          <w:lang w:eastAsia="zh-CN" w:bidi="ar-SA"/>
        </w:rPr>
        <w:t>,</w:t>
      </w:r>
      <w:r w:rsidRPr="0008061A">
        <w:rPr>
          <w:rFonts w:ascii="Times New Roman" w:eastAsia="DengXian" w:hAnsi="Times New Roman"/>
          <w:lang w:eastAsia="zh-CN" w:bidi="ar-SA"/>
        </w:rPr>
        <w:t xml:space="preserve"> resulting in little net isotope effect (Rau et al., 1987; Oldenburg et al., 2007; </w:t>
      </w:r>
      <w:proofErr w:type="spellStart"/>
      <w:r w:rsidRPr="0008061A">
        <w:rPr>
          <w:rFonts w:ascii="Times New Roman" w:eastAsia="DengXian" w:hAnsi="Times New Roman"/>
          <w:lang w:eastAsia="zh-CN" w:bidi="ar-SA"/>
        </w:rPr>
        <w:t>Schimmelmann</w:t>
      </w:r>
      <w:proofErr w:type="spellEnd"/>
      <w:r w:rsidRPr="0008061A">
        <w:rPr>
          <w:rFonts w:ascii="Times New Roman" w:eastAsia="DengXian" w:hAnsi="Times New Roman"/>
          <w:lang w:eastAsia="zh-CN" w:bidi="ar-SA"/>
        </w:rPr>
        <w:t xml:space="preserve"> and Lis, 2010; Robinson et al., 2012). Thermal alteration in organic matter causes the preferential release of </w:t>
      </w:r>
      <w:r w:rsidRPr="0008061A">
        <w:rPr>
          <w:rFonts w:ascii="Times New Roman" w:eastAsia="DengXian" w:hAnsi="Times New Roman"/>
          <w:vertAlign w:val="superscript"/>
          <w:lang w:eastAsia="zh-CN" w:bidi="ar-SA"/>
        </w:rPr>
        <w:t>14</w:t>
      </w:r>
      <w:r w:rsidRPr="0008061A">
        <w:rPr>
          <w:rFonts w:ascii="Times New Roman" w:eastAsia="DengXian" w:hAnsi="Times New Roman"/>
          <w:lang w:eastAsia="zh-CN" w:bidi="ar-SA"/>
        </w:rPr>
        <w:t xml:space="preserve">N as it takes less energy to break than that of a bond of </w:t>
      </w:r>
      <w:r w:rsidRPr="0008061A">
        <w:rPr>
          <w:rFonts w:ascii="Times New Roman" w:eastAsia="DengXian" w:hAnsi="Times New Roman"/>
          <w:vertAlign w:val="superscript"/>
          <w:lang w:eastAsia="zh-CN" w:bidi="ar-SA"/>
        </w:rPr>
        <w:t>15</w:t>
      </w:r>
      <w:r w:rsidRPr="0008061A">
        <w:rPr>
          <w:rFonts w:ascii="Times New Roman" w:eastAsia="DengXian" w:hAnsi="Times New Roman"/>
          <w:lang w:eastAsia="zh-CN" w:bidi="ar-SA"/>
        </w:rPr>
        <w:t>N-</w:t>
      </w:r>
      <w:r w:rsidRPr="0008061A">
        <w:rPr>
          <w:rFonts w:ascii="Times New Roman" w:eastAsia="DengXian" w:hAnsi="Times New Roman"/>
          <w:vertAlign w:val="superscript"/>
          <w:lang w:eastAsia="zh-CN" w:bidi="ar-SA"/>
        </w:rPr>
        <w:t>12</w:t>
      </w:r>
      <w:r w:rsidRPr="0008061A">
        <w:rPr>
          <w:rFonts w:ascii="Times New Roman" w:eastAsia="DengXian" w:hAnsi="Times New Roman"/>
          <w:lang w:eastAsia="zh-CN" w:bidi="ar-SA"/>
        </w:rPr>
        <w:t>C, therefore enriching the kerogen</w:t>
      </w:r>
      <w:r w:rsidRPr="0008061A">
        <w:rPr>
          <w:rFonts w:ascii="Times New Roman" w:eastAsia="DengXian" w:hAnsi="Times New Roman"/>
          <w:vertAlign w:val="superscript"/>
          <w:lang w:eastAsia="zh-CN" w:bidi="ar-SA"/>
        </w:rPr>
        <w:t xml:space="preserve"> </w:t>
      </w:r>
      <w:r w:rsidRPr="0008061A">
        <w:rPr>
          <w:rFonts w:ascii="Times New Roman" w:eastAsia="DengXian" w:hAnsi="Times New Roman"/>
          <w:lang w:eastAsia="zh-CN" w:bidi="ar-SA"/>
        </w:rPr>
        <w:t>in</w:t>
      </w:r>
      <w:r w:rsidRPr="0008061A">
        <w:rPr>
          <w:rFonts w:ascii="Times New Roman" w:eastAsia="DengXian" w:hAnsi="Times New Roman"/>
          <w:vertAlign w:val="superscript"/>
          <w:lang w:eastAsia="zh-CN" w:bidi="ar-SA"/>
        </w:rPr>
        <w:t xml:space="preserve"> 15</w:t>
      </w:r>
      <w:r w:rsidRPr="0008061A">
        <w:rPr>
          <w:rFonts w:ascii="Times New Roman" w:eastAsia="DengXian" w:hAnsi="Times New Roman"/>
          <w:lang w:eastAsia="zh-CN" w:bidi="ar-SA"/>
        </w:rPr>
        <w:t xml:space="preserve">N relative to the crude oil (Rau et al., 1987; Williams et al., 1995). However, both </w:t>
      </w:r>
      <w:proofErr w:type="spellStart"/>
      <w:r w:rsidRPr="0008061A">
        <w:rPr>
          <w:rFonts w:ascii="Times New Roman" w:eastAsia="DengXian" w:hAnsi="Times New Roman"/>
          <w:lang w:eastAsia="zh-CN" w:bidi="ar-SA"/>
        </w:rPr>
        <w:t>Boudou</w:t>
      </w:r>
      <w:proofErr w:type="spellEnd"/>
      <w:r w:rsidRPr="0008061A">
        <w:rPr>
          <w:rFonts w:ascii="Times New Roman" w:eastAsia="DengXian" w:hAnsi="Times New Roman"/>
          <w:lang w:eastAsia="zh-CN" w:bidi="ar-SA"/>
        </w:rPr>
        <w:t xml:space="preserve"> et al., (2008) and </w:t>
      </w:r>
      <w:proofErr w:type="spellStart"/>
      <w:r w:rsidRPr="0008061A">
        <w:rPr>
          <w:rFonts w:ascii="Times New Roman" w:eastAsia="DengXian" w:hAnsi="Times New Roman"/>
          <w:lang w:eastAsia="zh-CN" w:bidi="ar-SA"/>
        </w:rPr>
        <w:t>Vandenbroucke</w:t>
      </w:r>
      <w:proofErr w:type="spellEnd"/>
      <w:r w:rsidRPr="0008061A">
        <w:rPr>
          <w:rFonts w:ascii="Times New Roman" w:eastAsia="DengXian" w:hAnsi="Times New Roman"/>
          <w:lang w:eastAsia="zh-CN" w:bidi="ar-SA"/>
        </w:rPr>
        <w:t xml:space="preserve"> and </w:t>
      </w:r>
      <w:proofErr w:type="spellStart"/>
      <w:r w:rsidRPr="0008061A">
        <w:rPr>
          <w:rFonts w:ascii="Times New Roman" w:eastAsia="DengXian" w:hAnsi="Times New Roman"/>
          <w:lang w:eastAsia="zh-CN" w:bidi="ar-SA"/>
        </w:rPr>
        <w:t>Largeau</w:t>
      </w:r>
      <w:proofErr w:type="spellEnd"/>
      <w:r w:rsidRPr="0008061A">
        <w:rPr>
          <w:rFonts w:ascii="Times New Roman" w:eastAsia="DengXian" w:hAnsi="Times New Roman"/>
          <w:lang w:eastAsia="zh-CN" w:bidi="ar-SA"/>
        </w:rPr>
        <w:t xml:space="preserve"> (2007</w:t>
      </w:r>
      <w:r w:rsidR="00407C66" w:rsidRPr="0008061A">
        <w:rPr>
          <w:rFonts w:ascii="Times New Roman" w:eastAsia="DengXian" w:hAnsi="Times New Roman"/>
          <w:lang w:eastAsia="zh-CN" w:bidi="ar-SA"/>
        </w:rPr>
        <w:t>) found</w:t>
      </w:r>
      <w:r w:rsidRPr="0008061A">
        <w:rPr>
          <w:rFonts w:ascii="Times New Roman" w:eastAsia="DengXian" w:hAnsi="Times New Roman"/>
          <w:lang w:eastAsia="zh-CN" w:bidi="ar-SA"/>
        </w:rPr>
        <w:t xml:space="preserve"> that only at the end of the oil and natural gas window will nitrogen be released from kerogen as N</w:t>
      </w:r>
      <w:r w:rsidRPr="0008061A">
        <w:rPr>
          <w:rFonts w:ascii="Times New Roman" w:eastAsia="DengXian" w:hAnsi="Times New Roman"/>
          <w:vertAlign w:val="subscript"/>
          <w:lang w:eastAsia="zh-CN" w:bidi="ar-SA"/>
        </w:rPr>
        <w:t>2</w:t>
      </w:r>
      <w:r w:rsidRPr="0008061A">
        <w:rPr>
          <w:rFonts w:ascii="Times New Roman" w:eastAsia="DengXian" w:hAnsi="Times New Roman"/>
          <w:lang w:eastAsia="zh-CN" w:bidi="ar-SA"/>
        </w:rPr>
        <w:t>, and there is no systematic enrichment in δ</w:t>
      </w:r>
      <w:r w:rsidRPr="0008061A">
        <w:rPr>
          <w:rFonts w:ascii="Times New Roman" w:eastAsia="DengXian" w:hAnsi="Times New Roman"/>
          <w:vertAlign w:val="superscript"/>
          <w:lang w:eastAsia="zh-CN" w:bidi="ar-SA"/>
        </w:rPr>
        <w:t>15</w:t>
      </w:r>
      <w:r w:rsidRPr="0008061A">
        <w:rPr>
          <w:rFonts w:ascii="Times New Roman" w:eastAsia="DengXian" w:hAnsi="Times New Roman"/>
          <w:lang w:eastAsia="zh-CN" w:bidi="ar-SA"/>
        </w:rPr>
        <w:t xml:space="preserve">N in samples of increasing maturity. </w:t>
      </w:r>
    </w:p>
    <w:p w:rsidR="0008061A" w:rsidRPr="0008061A" w:rsidRDefault="0008061A" w:rsidP="0008061A">
      <w:pPr>
        <w:spacing w:after="160"/>
        <w:ind w:firstLine="720"/>
        <w:rPr>
          <w:rFonts w:ascii="Times New Roman" w:eastAsia="DengXian" w:hAnsi="Times New Roman"/>
          <w:lang w:eastAsia="zh-CN" w:bidi="ar-SA"/>
        </w:rPr>
      </w:pPr>
      <w:r w:rsidRPr="0008061A">
        <w:rPr>
          <w:rFonts w:ascii="Times New Roman" w:eastAsia="DengXian" w:hAnsi="Times New Roman"/>
          <w:lang w:eastAsia="zh-CN" w:bidi="ar-SA"/>
        </w:rPr>
        <w:t xml:space="preserve">Lastly, biodegradation of oils preferentially removes the </w:t>
      </w:r>
      <w:r w:rsidRPr="0008061A">
        <w:rPr>
          <w:rFonts w:ascii="Times New Roman" w:eastAsia="DengXian" w:hAnsi="Times New Roman"/>
          <w:vertAlign w:val="superscript"/>
          <w:lang w:eastAsia="zh-CN" w:bidi="ar-SA"/>
        </w:rPr>
        <w:t>14</w:t>
      </w:r>
      <w:r w:rsidRPr="0008061A">
        <w:rPr>
          <w:rFonts w:ascii="Times New Roman" w:eastAsia="DengXian" w:hAnsi="Times New Roman"/>
          <w:lang w:eastAsia="zh-CN" w:bidi="ar-SA"/>
        </w:rPr>
        <w:t xml:space="preserve">N as biochemical reactions take place. This leaves the remaining substrate of oil enriched in </w:t>
      </w:r>
      <w:r w:rsidRPr="0008061A">
        <w:rPr>
          <w:rFonts w:ascii="Times New Roman" w:eastAsia="DengXian" w:hAnsi="Times New Roman"/>
          <w:vertAlign w:val="superscript"/>
          <w:lang w:eastAsia="zh-CN" w:bidi="ar-SA"/>
        </w:rPr>
        <w:t>15</w:t>
      </w:r>
      <w:r w:rsidRPr="0008061A">
        <w:rPr>
          <w:rFonts w:ascii="Times New Roman" w:eastAsia="DengXian" w:hAnsi="Times New Roman"/>
          <w:lang w:eastAsia="zh-CN" w:bidi="ar-SA"/>
        </w:rPr>
        <w:t xml:space="preserve">N (Kern et al., 2016). With increasing biodegradation, the remaining oil substrate becomes increasingly enriched in </w:t>
      </w:r>
      <w:r w:rsidRPr="0008061A">
        <w:rPr>
          <w:rFonts w:ascii="Times New Roman" w:eastAsia="DengXian" w:hAnsi="Times New Roman"/>
          <w:vertAlign w:val="superscript"/>
          <w:lang w:eastAsia="zh-CN" w:bidi="ar-SA"/>
        </w:rPr>
        <w:t>15</w:t>
      </w:r>
      <w:r w:rsidRPr="0008061A">
        <w:rPr>
          <w:rFonts w:ascii="Times New Roman" w:eastAsia="DengXian" w:hAnsi="Times New Roman"/>
          <w:lang w:eastAsia="zh-CN" w:bidi="ar-SA"/>
        </w:rPr>
        <w:t>N (</w:t>
      </w:r>
      <w:proofErr w:type="spellStart"/>
      <w:r w:rsidRPr="0008061A">
        <w:rPr>
          <w:rFonts w:ascii="Times New Roman" w:eastAsia="DengXian" w:hAnsi="Times New Roman"/>
          <w:lang w:eastAsia="zh-CN" w:bidi="ar-SA"/>
        </w:rPr>
        <w:t>Chuanping</w:t>
      </w:r>
      <w:proofErr w:type="spellEnd"/>
      <w:r w:rsidRPr="0008061A">
        <w:rPr>
          <w:rFonts w:ascii="Times New Roman" w:eastAsia="DengXian" w:hAnsi="Times New Roman"/>
          <w:lang w:eastAsia="zh-CN" w:bidi="ar-SA"/>
        </w:rPr>
        <w:t xml:space="preserve">, et al., 2005). </w:t>
      </w:r>
      <w:proofErr w:type="spellStart"/>
      <w:r w:rsidRPr="0008061A">
        <w:rPr>
          <w:rFonts w:ascii="Times New Roman" w:eastAsia="DengXian" w:hAnsi="Times New Roman"/>
          <w:lang w:eastAsia="zh-CN" w:bidi="ar-SA"/>
        </w:rPr>
        <w:t>Mar</w:t>
      </w:r>
      <w:r w:rsidR="001B57D4">
        <w:rPr>
          <w:rFonts w:ascii="Times New Roman" w:eastAsia="DengXian" w:hAnsi="Times New Roman"/>
          <w:lang w:eastAsia="zh-CN" w:bidi="ar-SA"/>
        </w:rPr>
        <w:t>cano</w:t>
      </w:r>
      <w:proofErr w:type="spellEnd"/>
      <w:r w:rsidR="001B57D4">
        <w:rPr>
          <w:rFonts w:ascii="Times New Roman" w:eastAsia="DengXian" w:hAnsi="Times New Roman"/>
          <w:lang w:eastAsia="zh-CN" w:bidi="ar-SA"/>
        </w:rPr>
        <w:t xml:space="preserve"> et al. (2013</w:t>
      </w:r>
      <w:r w:rsidRPr="0008061A">
        <w:rPr>
          <w:rFonts w:ascii="Times New Roman" w:eastAsia="DengXian" w:hAnsi="Times New Roman"/>
          <w:lang w:eastAsia="zh-CN" w:bidi="ar-SA"/>
        </w:rPr>
        <w:t xml:space="preserve">), however, did not observe any systematic isotopic change in bulk bitumen with increasing </w:t>
      </w:r>
      <w:r w:rsidRPr="0008061A">
        <w:rPr>
          <w:rFonts w:ascii="Times New Roman" w:eastAsia="DengXian" w:hAnsi="Times New Roman"/>
          <w:lang w:eastAsia="zh-CN" w:bidi="ar-SA"/>
        </w:rPr>
        <w:lastRenderedPageBreak/>
        <w:t xml:space="preserve">biodegradation. However, they did acknowledge specific compounds including carbazole, </w:t>
      </w:r>
      <w:proofErr w:type="spellStart"/>
      <w:r w:rsidRPr="0008061A">
        <w:rPr>
          <w:rFonts w:ascii="Times New Roman" w:eastAsia="DengXian" w:hAnsi="Times New Roman"/>
          <w:lang w:eastAsia="zh-CN" w:bidi="ar-SA"/>
        </w:rPr>
        <w:t>alkylcarbazoles</w:t>
      </w:r>
      <w:proofErr w:type="spellEnd"/>
      <w:r w:rsidRPr="0008061A">
        <w:rPr>
          <w:rFonts w:ascii="Times New Roman" w:eastAsia="DengXian" w:hAnsi="Times New Roman"/>
          <w:lang w:eastAsia="zh-CN" w:bidi="ar-SA"/>
        </w:rPr>
        <w:t xml:space="preserve"> and benzo[b]carbazoles in the NSO and asphaltene fractions of oil change in both concentration and distribution with biodegradation. </w:t>
      </w:r>
    </w:p>
    <w:p w:rsidR="0008061A" w:rsidRPr="0008061A" w:rsidRDefault="0008061A" w:rsidP="0008061A">
      <w:pPr>
        <w:spacing w:after="160"/>
        <w:ind w:firstLine="720"/>
        <w:rPr>
          <w:rFonts w:ascii="Times New Roman" w:eastAsia="DengXian" w:hAnsi="Times New Roman"/>
          <w:lang w:eastAsia="zh-CN" w:bidi="ar-SA"/>
        </w:rPr>
      </w:pPr>
      <w:r w:rsidRPr="0008061A">
        <w:rPr>
          <w:rFonts w:ascii="Times New Roman" w:eastAsia="DengXian" w:hAnsi="Times New Roman"/>
          <w:lang w:eastAsia="zh-CN" w:bidi="ar-SA"/>
        </w:rPr>
        <w:t>If initial δ</w:t>
      </w:r>
      <w:r w:rsidRPr="0008061A">
        <w:rPr>
          <w:rFonts w:ascii="Times New Roman" w:eastAsia="DengXian" w:hAnsi="Times New Roman"/>
          <w:vertAlign w:val="superscript"/>
          <w:lang w:eastAsia="zh-CN" w:bidi="ar-SA"/>
        </w:rPr>
        <w:t>15</w:t>
      </w:r>
      <w:r w:rsidRPr="0008061A">
        <w:rPr>
          <w:rFonts w:ascii="Times New Roman" w:eastAsia="DengXian" w:hAnsi="Times New Roman"/>
          <w:lang w:eastAsia="zh-CN" w:bidi="ar-SA"/>
        </w:rPr>
        <w:t xml:space="preserve">N values are affected by thermal maturity, then the NSO and asphaltene fractions in crude oils should exhibit isotopic enrichment from immature to mature oil as characterized by their API gravity and </w:t>
      </w:r>
      <w:proofErr w:type="spellStart"/>
      <w:r w:rsidRPr="0008061A">
        <w:rPr>
          <w:rFonts w:ascii="Times New Roman" w:eastAsia="DengXian" w:hAnsi="Times New Roman"/>
          <w:lang w:eastAsia="zh-CN" w:bidi="ar-SA"/>
        </w:rPr>
        <w:t>Ts</w:t>
      </w:r>
      <w:proofErr w:type="spellEnd"/>
      <w:r w:rsidRPr="0008061A">
        <w:rPr>
          <w:rFonts w:ascii="Times New Roman" w:eastAsia="DengXian" w:hAnsi="Times New Roman"/>
          <w:lang w:eastAsia="zh-CN" w:bidi="ar-SA"/>
        </w:rPr>
        <w:t xml:space="preserve">/Tm values. In the Mexican oils, sample 22 is enriched in </w:t>
      </w:r>
      <w:r w:rsidRPr="0008061A">
        <w:rPr>
          <w:rFonts w:ascii="Times New Roman" w:eastAsia="DengXian" w:hAnsi="Times New Roman"/>
          <w:vertAlign w:val="superscript"/>
          <w:lang w:eastAsia="zh-CN" w:bidi="ar-SA"/>
        </w:rPr>
        <w:t>15</w:t>
      </w:r>
      <w:r w:rsidRPr="0008061A">
        <w:rPr>
          <w:rFonts w:ascii="Times New Roman" w:eastAsia="DengXian" w:hAnsi="Times New Roman"/>
          <w:lang w:eastAsia="zh-CN" w:bidi="ar-SA"/>
        </w:rPr>
        <w:t>N relative to sample 33 despite sample 22 having a low API gravity. However, when looking at the C</w:t>
      </w:r>
      <w:r w:rsidRPr="0008061A">
        <w:rPr>
          <w:rFonts w:ascii="Times New Roman" w:eastAsia="DengXian" w:hAnsi="Times New Roman"/>
          <w:vertAlign w:val="subscript"/>
          <w:lang w:eastAsia="zh-CN" w:bidi="ar-SA"/>
        </w:rPr>
        <w:t>27</w:t>
      </w:r>
      <w:r w:rsidRPr="0008061A">
        <w:rPr>
          <w:rFonts w:ascii="Times New Roman" w:eastAsia="DengXian" w:hAnsi="Times New Roman"/>
          <w:lang w:eastAsia="zh-CN" w:bidi="ar-SA"/>
        </w:rPr>
        <w:t xml:space="preserve"> </w:t>
      </w:r>
      <w:proofErr w:type="spellStart"/>
      <w:r w:rsidRPr="0008061A">
        <w:rPr>
          <w:rFonts w:ascii="Times New Roman" w:eastAsia="DengXian" w:hAnsi="Times New Roman"/>
          <w:lang w:eastAsia="zh-CN" w:bidi="ar-SA"/>
        </w:rPr>
        <w:t>Ts</w:t>
      </w:r>
      <w:proofErr w:type="spellEnd"/>
      <w:r w:rsidRPr="0008061A">
        <w:rPr>
          <w:rFonts w:ascii="Times New Roman" w:eastAsia="DengXian" w:hAnsi="Times New Roman"/>
          <w:lang w:eastAsia="zh-CN" w:bidi="ar-SA"/>
        </w:rPr>
        <w:t>/Tm and C</w:t>
      </w:r>
      <w:r w:rsidRPr="0008061A">
        <w:rPr>
          <w:rFonts w:ascii="Times New Roman" w:eastAsia="DengXian" w:hAnsi="Times New Roman"/>
          <w:vertAlign w:val="subscript"/>
          <w:lang w:eastAsia="zh-CN" w:bidi="ar-SA"/>
        </w:rPr>
        <w:t>29</w:t>
      </w:r>
      <w:r w:rsidRPr="0008061A">
        <w:rPr>
          <w:rFonts w:ascii="Times New Roman" w:eastAsia="DengXian" w:hAnsi="Times New Roman"/>
          <w:lang w:eastAsia="zh-CN" w:bidi="ar-SA"/>
        </w:rPr>
        <w:t xml:space="preserve"> </w:t>
      </w:r>
      <w:proofErr w:type="spellStart"/>
      <w:r w:rsidRPr="0008061A">
        <w:rPr>
          <w:rFonts w:ascii="Times New Roman" w:eastAsia="DengXian" w:hAnsi="Times New Roman"/>
          <w:lang w:eastAsia="zh-CN" w:bidi="ar-SA"/>
        </w:rPr>
        <w:t>Ts</w:t>
      </w:r>
      <w:proofErr w:type="spellEnd"/>
      <w:r w:rsidRPr="0008061A">
        <w:rPr>
          <w:rFonts w:ascii="Times New Roman" w:eastAsia="DengXian" w:hAnsi="Times New Roman"/>
          <w:lang w:eastAsia="zh-CN" w:bidi="ar-SA"/>
        </w:rPr>
        <w:t>/Tm parameters, sample 22 has a higher maturity than that of sample 33. This can be explained by sample 22 being heavily biodegraded as shown in the whole crude oil gas chromatogram (Figure 1</w:t>
      </w:r>
      <w:r w:rsidR="00B2061F">
        <w:rPr>
          <w:rFonts w:ascii="Times New Roman" w:eastAsia="DengXian" w:hAnsi="Times New Roman"/>
          <w:lang w:eastAsia="zh-CN" w:bidi="ar-SA"/>
        </w:rPr>
        <w:t>7</w:t>
      </w:r>
      <w:r w:rsidRPr="0008061A">
        <w:rPr>
          <w:rFonts w:ascii="Times New Roman" w:eastAsia="DengXian" w:hAnsi="Times New Roman"/>
          <w:lang w:eastAsia="zh-CN" w:bidi="ar-SA"/>
        </w:rPr>
        <w:t>). Sample 22 is from the Tampico basin, while the other four Mexican oils are from the Sureste basin and show no evidence of biodegradation (</w:t>
      </w:r>
      <w:r w:rsidR="00B2061F">
        <w:rPr>
          <w:rFonts w:ascii="Times New Roman" w:eastAsia="DengXian" w:hAnsi="Times New Roman"/>
          <w:lang w:eastAsia="zh-CN" w:bidi="ar-SA"/>
        </w:rPr>
        <w:t>Figures 18 to 21</w:t>
      </w:r>
      <w:r w:rsidRPr="0008061A">
        <w:rPr>
          <w:rFonts w:ascii="Times New Roman" w:eastAsia="DengXian" w:hAnsi="Times New Roman"/>
          <w:lang w:eastAsia="zh-CN" w:bidi="ar-SA"/>
        </w:rPr>
        <w:t>).</w:t>
      </w:r>
    </w:p>
    <w:p w:rsidR="0008061A" w:rsidRPr="0008061A" w:rsidRDefault="0008061A" w:rsidP="0008061A">
      <w:pPr>
        <w:keepNext/>
        <w:spacing w:after="160" w:line="240" w:lineRule="auto"/>
        <w:rPr>
          <w:rFonts w:ascii="Calibri" w:eastAsia="DengXian" w:hAnsi="Calibri"/>
          <w:sz w:val="22"/>
          <w:szCs w:val="22"/>
          <w:lang w:eastAsia="zh-CN" w:bidi="ar-SA"/>
        </w:rPr>
      </w:pPr>
      <w:r w:rsidRPr="0008061A">
        <w:rPr>
          <w:rFonts w:ascii="Calibri" w:eastAsia="DengXian" w:hAnsi="Calibri"/>
          <w:noProof/>
          <w:sz w:val="22"/>
          <w:szCs w:val="22"/>
          <w:lang w:bidi="ar-SA"/>
        </w:rPr>
        <w:drawing>
          <wp:inline distT="0" distB="0" distL="0" distR="0" wp14:anchorId="4B1C39A6" wp14:editId="14DC67CE">
            <wp:extent cx="5375991" cy="1561384"/>
            <wp:effectExtent l="0" t="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002.jpg"/>
                    <pic:cNvPicPr/>
                  </pic:nvPicPr>
                  <pic:blipFill>
                    <a:blip r:embed="rId25">
                      <a:extLst>
                        <a:ext uri="{28A0092B-C50C-407E-A947-70E740481C1C}">
                          <a14:useLocalDpi xmlns:a14="http://schemas.microsoft.com/office/drawing/2010/main" val="0"/>
                        </a:ext>
                      </a:extLst>
                    </a:blip>
                    <a:stretch>
                      <a:fillRect/>
                    </a:stretch>
                  </pic:blipFill>
                  <pic:spPr>
                    <a:xfrm>
                      <a:off x="0" y="0"/>
                      <a:ext cx="5461114" cy="1586107"/>
                    </a:xfrm>
                    <a:prstGeom prst="rect">
                      <a:avLst/>
                    </a:prstGeom>
                  </pic:spPr>
                </pic:pic>
              </a:graphicData>
            </a:graphic>
          </wp:inline>
        </w:drawing>
      </w:r>
    </w:p>
    <w:p w:rsidR="0008061A" w:rsidRPr="0008061A" w:rsidRDefault="00A40406" w:rsidP="0008061A">
      <w:pPr>
        <w:spacing w:after="200" w:line="240" w:lineRule="auto"/>
        <w:rPr>
          <w:rFonts w:ascii="Times New Roman" w:eastAsia="DengXian" w:hAnsi="Times New Roman"/>
          <w:iCs/>
          <w:lang w:eastAsia="zh-CN" w:bidi="ar-SA"/>
        </w:rPr>
      </w:pPr>
      <w:r>
        <w:rPr>
          <w:rFonts w:ascii="Times New Roman" w:eastAsia="DengXian" w:hAnsi="Times New Roman"/>
          <w:b/>
          <w:iCs/>
          <w:lang w:eastAsia="zh-CN" w:bidi="ar-SA"/>
        </w:rPr>
        <w:t>Figure 17</w:t>
      </w:r>
      <w:r w:rsidR="0008061A" w:rsidRPr="0008061A">
        <w:rPr>
          <w:rFonts w:ascii="Times New Roman" w:eastAsia="DengXian" w:hAnsi="Times New Roman"/>
          <w:b/>
          <w:iCs/>
          <w:lang w:eastAsia="zh-CN" w:bidi="ar-SA"/>
        </w:rPr>
        <w:t>.</w:t>
      </w:r>
      <w:r w:rsidR="0008061A" w:rsidRPr="0008061A">
        <w:rPr>
          <w:rFonts w:ascii="Times New Roman" w:eastAsia="DengXian" w:hAnsi="Times New Roman"/>
          <w:iCs/>
          <w:lang w:eastAsia="zh-CN" w:bidi="ar-SA"/>
        </w:rPr>
        <w:t xml:space="preserve"> Chromatogram of sample 22 of the Tampico basin showing heavy </w:t>
      </w:r>
      <w:r w:rsidR="000F3931">
        <w:rPr>
          <w:rFonts w:ascii="Times New Roman" w:eastAsia="DengXian" w:hAnsi="Times New Roman"/>
          <w:iCs/>
          <w:lang w:eastAsia="zh-CN" w:bidi="ar-SA"/>
        </w:rPr>
        <w:t>biodegradation (courtesy of GeoMark Research, Houston, TX</w:t>
      </w:r>
      <w:r w:rsidR="0008061A" w:rsidRPr="0008061A">
        <w:rPr>
          <w:rFonts w:ascii="Times New Roman" w:eastAsia="DengXian" w:hAnsi="Times New Roman"/>
          <w:iCs/>
          <w:lang w:eastAsia="zh-CN" w:bidi="ar-SA"/>
        </w:rPr>
        <w:t xml:space="preserve">). </w:t>
      </w:r>
    </w:p>
    <w:p w:rsidR="0008061A" w:rsidRPr="0008061A" w:rsidRDefault="0008061A" w:rsidP="0008061A">
      <w:pPr>
        <w:spacing w:after="160" w:line="259" w:lineRule="auto"/>
        <w:rPr>
          <w:rFonts w:ascii="Calibri" w:eastAsia="DengXian" w:hAnsi="Calibri"/>
          <w:sz w:val="22"/>
          <w:szCs w:val="22"/>
          <w:lang w:eastAsia="zh-CN" w:bidi="ar-SA"/>
        </w:rPr>
      </w:pPr>
    </w:p>
    <w:p w:rsidR="0008061A" w:rsidRPr="0008061A" w:rsidRDefault="0008061A" w:rsidP="0008061A">
      <w:pPr>
        <w:keepNext/>
        <w:spacing w:after="160" w:line="259" w:lineRule="auto"/>
        <w:rPr>
          <w:rFonts w:ascii="Calibri" w:eastAsia="DengXian" w:hAnsi="Calibri"/>
          <w:sz w:val="22"/>
          <w:szCs w:val="22"/>
          <w:lang w:eastAsia="zh-CN" w:bidi="ar-SA"/>
        </w:rPr>
      </w:pPr>
      <w:r w:rsidRPr="0008061A">
        <w:rPr>
          <w:rFonts w:ascii="Calibri" w:eastAsia="DengXian" w:hAnsi="Calibri"/>
          <w:noProof/>
          <w:sz w:val="22"/>
          <w:szCs w:val="22"/>
          <w:lang w:bidi="ar-SA"/>
        </w:rPr>
        <w:lastRenderedPageBreak/>
        <w:drawing>
          <wp:inline distT="0" distB="0" distL="0" distR="0" wp14:anchorId="6686FCC9" wp14:editId="639C98A3">
            <wp:extent cx="5349893" cy="1352528"/>
            <wp:effectExtent l="0" t="0" r="3175" b="635"/>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sample 33.jpg"/>
                    <pic:cNvPicPr/>
                  </pic:nvPicPr>
                  <pic:blipFill>
                    <a:blip r:embed="rId26">
                      <a:extLst>
                        <a:ext uri="{28A0092B-C50C-407E-A947-70E740481C1C}">
                          <a14:useLocalDpi xmlns:a14="http://schemas.microsoft.com/office/drawing/2010/main" val="0"/>
                        </a:ext>
                      </a:extLst>
                    </a:blip>
                    <a:stretch>
                      <a:fillRect/>
                    </a:stretch>
                  </pic:blipFill>
                  <pic:spPr>
                    <a:xfrm>
                      <a:off x="0" y="0"/>
                      <a:ext cx="5456894" cy="1379579"/>
                    </a:xfrm>
                    <a:prstGeom prst="rect">
                      <a:avLst/>
                    </a:prstGeom>
                  </pic:spPr>
                </pic:pic>
              </a:graphicData>
            </a:graphic>
          </wp:inline>
        </w:drawing>
      </w:r>
    </w:p>
    <w:p w:rsidR="0008061A" w:rsidRDefault="00B2061F" w:rsidP="0008061A">
      <w:pPr>
        <w:spacing w:after="200" w:line="240" w:lineRule="auto"/>
        <w:rPr>
          <w:rFonts w:ascii="Times New Roman" w:eastAsia="DengXian" w:hAnsi="Times New Roman"/>
          <w:iCs/>
          <w:color w:val="000000"/>
          <w:lang w:eastAsia="zh-CN" w:bidi="ar-SA"/>
        </w:rPr>
      </w:pPr>
      <w:r>
        <w:rPr>
          <w:rFonts w:ascii="Times New Roman" w:eastAsia="DengXian" w:hAnsi="Times New Roman"/>
          <w:b/>
          <w:iCs/>
          <w:lang w:eastAsia="zh-CN" w:bidi="ar-SA"/>
        </w:rPr>
        <w:t>Figure 18</w:t>
      </w:r>
      <w:r w:rsidR="0008061A" w:rsidRPr="0008061A">
        <w:rPr>
          <w:rFonts w:ascii="Times New Roman" w:eastAsia="DengXian" w:hAnsi="Times New Roman"/>
          <w:b/>
          <w:iCs/>
          <w:lang w:eastAsia="zh-CN" w:bidi="ar-SA"/>
        </w:rPr>
        <w:t>.</w:t>
      </w:r>
      <w:r w:rsidR="0008061A" w:rsidRPr="0008061A">
        <w:rPr>
          <w:rFonts w:ascii="Times New Roman" w:eastAsia="DengXian" w:hAnsi="Times New Roman"/>
          <w:iCs/>
          <w:lang w:eastAsia="zh-CN" w:bidi="ar-SA"/>
        </w:rPr>
        <w:t xml:space="preserve"> </w:t>
      </w:r>
      <w:r w:rsidR="0008061A" w:rsidRPr="0008061A">
        <w:rPr>
          <w:rFonts w:ascii="Times New Roman" w:eastAsia="DengXian" w:hAnsi="Times New Roman"/>
          <w:iCs/>
          <w:color w:val="000000"/>
          <w:lang w:eastAsia="zh-CN" w:bidi="ar-SA"/>
        </w:rPr>
        <w:t xml:space="preserve">Chromatogram of sample 33 of the Sureste basin </w:t>
      </w:r>
      <w:r w:rsidR="000F3931">
        <w:rPr>
          <w:rFonts w:ascii="Times New Roman" w:eastAsia="DengXian" w:hAnsi="Times New Roman"/>
          <w:iCs/>
          <w:lang w:eastAsia="zh-CN" w:bidi="ar-SA"/>
        </w:rPr>
        <w:t>(courtesy of GeoMark Research, Houston, TX</w:t>
      </w:r>
      <w:r w:rsidR="0008061A" w:rsidRPr="0008061A">
        <w:rPr>
          <w:rFonts w:ascii="Times New Roman" w:eastAsia="DengXian" w:hAnsi="Times New Roman"/>
          <w:iCs/>
          <w:lang w:eastAsia="zh-CN" w:bidi="ar-SA"/>
        </w:rPr>
        <w:t>)</w:t>
      </w:r>
      <w:r w:rsidR="0008061A" w:rsidRPr="0008061A">
        <w:rPr>
          <w:rFonts w:ascii="Times New Roman" w:eastAsia="DengXian" w:hAnsi="Times New Roman"/>
          <w:iCs/>
          <w:color w:val="000000"/>
          <w:lang w:eastAsia="zh-CN" w:bidi="ar-SA"/>
        </w:rPr>
        <w:t xml:space="preserve">.  </w:t>
      </w:r>
    </w:p>
    <w:p w:rsidR="0008061A" w:rsidRPr="0008061A" w:rsidRDefault="0008061A" w:rsidP="0008061A">
      <w:pPr>
        <w:spacing w:after="200" w:line="240" w:lineRule="auto"/>
        <w:rPr>
          <w:rFonts w:ascii="Times New Roman" w:eastAsia="DengXian" w:hAnsi="Times New Roman"/>
          <w:iCs/>
          <w:color w:val="000000"/>
          <w:lang w:eastAsia="zh-CN" w:bidi="ar-SA"/>
        </w:rPr>
      </w:pPr>
    </w:p>
    <w:p w:rsidR="0008061A" w:rsidRPr="0008061A" w:rsidRDefault="0008061A" w:rsidP="0008061A">
      <w:pPr>
        <w:keepNext/>
        <w:spacing w:after="160" w:line="259" w:lineRule="auto"/>
        <w:rPr>
          <w:rFonts w:ascii="Calibri" w:eastAsia="DengXian" w:hAnsi="Calibri"/>
          <w:sz w:val="22"/>
          <w:szCs w:val="22"/>
          <w:lang w:eastAsia="zh-CN" w:bidi="ar-SA"/>
        </w:rPr>
      </w:pPr>
      <w:r w:rsidRPr="0008061A">
        <w:rPr>
          <w:rFonts w:ascii="Calibri" w:eastAsia="DengXian" w:hAnsi="Calibri"/>
          <w:noProof/>
          <w:sz w:val="22"/>
          <w:szCs w:val="22"/>
          <w:lang w:bidi="ar-SA"/>
        </w:rPr>
        <w:drawing>
          <wp:inline distT="0" distB="0" distL="0" distR="0" wp14:anchorId="09989B75" wp14:editId="3E907CBE">
            <wp:extent cx="5349875" cy="1314645"/>
            <wp:effectExtent l="0" t="0" r="3175"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Sample 31.jpg"/>
                    <pic:cNvPicPr/>
                  </pic:nvPicPr>
                  <pic:blipFill>
                    <a:blip r:embed="rId27">
                      <a:extLst>
                        <a:ext uri="{28A0092B-C50C-407E-A947-70E740481C1C}">
                          <a14:useLocalDpi xmlns:a14="http://schemas.microsoft.com/office/drawing/2010/main" val="0"/>
                        </a:ext>
                      </a:extLst>
                    </a:blip>
                    <a:stretch>
                      <a:fillRect/>
                    </a:stretch>
                  </pic:blipFill>
                  <pic:spPr>
                    <a:xfrm>
                      <a:off x="0" y="0"/>
                      <a:ext cx="5413498" cy="1330279"/>
                    </a:xfrm>
                    <a:prstGeom prst="rect">
                      <a:avLst/>
                    </a:prstGeom>
                  </pic:spPr>
                </pic:pic>
              </a:graphicData>
            </a:graphic>
          </wp:inline>
        </w:drawing>
      </w:r>
    </w:p>
    <w:p w:rsidR="0008061A" w:rsidRDefault="00B2061F" w:rsidP="0008061A">
      <w:pPr>
        <w:spacing w:after="200" w:line="240" w:lineRule="auto"/>
        <w:rPr>
          <w:rFonts w:ascii="Times New Roman" w:eastAsia="DengXian" w:hAnsi="Times New Roman"/>
          <w:iCs/>
          <w:color w:val="000000"/>
          <w:lang w:eastAsia="zh-CN" w:bidi="ar-SA"/>
        </w:rPr>
      </w:pPr>
      <w:r>
        <w:rPr>
          <w:rFonts w:ascii="Times New Roman" w:eastAsia="DengXian" w:hAnsi="Times New Roman"/>
          <w:b/>
          <w:iCs/>
          <w:color w:val="000000"/>
          <w:lang w:eastAsia="zh-CN" w:bidi="ar-SA"/>
        </w:rPr>
        <w:t>Figure 19</w:t>
      </w:r>
      <w:r w:rsidR="0008061A" w:rsidRPr="0008061A">
        <w:rPr>
          <w:rFonts w:ascii="Times New Roman" w:eastAsia="DengXian" w:hAnsi="Times New Roman"/>
          <w:b/>
          <w:iCs/>
          <w:color w:val="000000"/>
          <w:lang w:eastAsia="zh-CN" w:bidi="ar-SA"/>
        </w:rPr>
        <w:t>.</w:t>
      </w:r>
      <w:r w:rsidR="0008061A" w:rsidRPr="0008061A">
        <w:rPr>
          <w:rFonts w:ascii="Times New Roman" w:eastAsia="DengXian" w:hAnsi="Times New Roman"/>
          <w:iCs/>
          <w:color w:val="000000"/>
          <w:lang w:eastAsia="zh-CN" w:bidi="ar-SA"/>
        </w:rPr>
        <w:t xml:space="preserve"> Chromatogram of sample 31 of the Sureste basin </w:t>
      </w:r>
      <w:r w:rsidR="000F3931">
        <w:rPr>
          <w:rFonts w:ascii="Times New Roman" w:eastAsia="DengXian" w:hAnsi="Times New Roman"/>
          <w:iCs/>
          <w:lang w:eastAsia="zh-CN" w:bidi="ar-SA"/>
        </w:rPr>
        <w:t>(courtesy of GeoMark Research, Houston, TX</w:t>
      </w:r>
      <w:r w:rsidR="0008061A" w:rsidRPr="0008061A">
        <w:rPr>
          <w:rFonts w:ascii="Times New Roman" w:eastAsia="DengXian" w:hAnsi="Times New Roman"/>
          <w:iCs/>
          <w:lang w:eastAsia="zh-CN" w:bidi="ar-SA"/>
        </w:rPr>
        <w:t>)</w:t>
      </w:r>
      <w:r w:rsidR="0008061A" w:rsidRPr="0008061A">
        <w:rPr>
          <w:rFonts w:ascii="Times New Roman" w:eastAsia="DengXian" w:hAnsi="Times New Roman"/>
          <w:iCs/>
          <w:color w:val="000000"/>
          <w:lang w:eastAsia="zh-CN" w:bidi="ar-SA"/>
        </w:rPr>
        <w:t xml:space="preserve">. </w:t>
      </w:r>
    </w:p>
    <w:p w:rsidR="0008061A" w:rsidRPr="0008061A" w:rsidRDefault="0008061A" w:rsidP="0008061A">
      <w:pPr>
        <w:spacing w:after="200" w:line="240" w:lineRule="auto"/>
        <w:rPr>
          <w:rFonts w:ascii="Times New Roman" w:eastAsia="DengXian" w:hAnsi="Times New Roman"/>
          <w:iCs/>
          <w:color w:val="000000"/>
          <w:lang w:eastAsia="zh-CN" w:bidi="ar-SA"/>
        </w:rPr>
      </w:pPr>
    </w:p>
    <w:p w:rsidR="0008061A" w:rsidRPr="0008061A" w:rsidRDefault="0008061A" w:rsidP="0008061A">
      <w:pPr>
        <w:keepNext/>
        <w:spacing w:after="160" w:line="259" w:lineRule="auto"/>
        <w:rPr>
          <w:rFonts w:ascii="Calibri" w:eastAsia="DengXian" w:hAnsi="Calibri"/>
          <w:sz w:val="22"/>
          <w:szCs w:val="22"/>
          <w:lang w:eastAsia="zh-CN" w:bidi="ar-SA"/>
        </w:rPr>
      </w:pPr>
      <w:r w:rsidRPr="0008061A">
        <w:rPr>
          <w:rFonts w:ascii="Calibri" w:eastAsia="DengXian" w:hAnsi="Calibri"/>
          <w:noProof/>
          <w:sz w:val="22"/>
          <w:szCs w:val="22"/>
          <w:lang w:bidi="ar-SA"/>
        </w:rPr>
        <w:drawing>
          <wp:inline distT="0" distB="0" distL="0" distR="0" wp14:anchorId="480E696D" wp14:editId="6BEF63B8">
            <wp:extent cx="5349875" cy="1338631"/>
            <wp:effectExtent l="0" t="0" r="3175"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smaple 32.jpg"/>
                    <pic:cNvPicPr/>
                  </pic:nvPicPr>
                  <pic:blipFill>
                    <a:blip r:embed="rId28">
                      <a:extLst>
                        <a:ext uri="{28A0092B-C50C-407E-A947-70E740481C1C}">
                          <a14:useLocalDpi xmlns:a14="http://schemas.microsoft.com/office/drawing/2010/main" val="0"/>
                        </a:ext>
                      </a:extLst>
                    </a:blip>
                    <a:stretch>
                      <a:fillRect/>
                    </a:stretch>
                  </pic:blipFill>
                  <pic:spPr>
                    <a:xfrm>
                      <a:off x="0" y="0"/>
                      <a:ext cx="5426515" cy="1357808"/>
                    </a:xfrm>
                    <a:prstGeom prst="rect">
                      <a:avLst/>
                    </a:prstGeom>
                  </pic:spPr>
                </pic:pic>
              </a:graphicData>
            </a:graphic>
          </wp:inline>
        </w:drawing>
      </w:r>
    </w:p>
    <w:p w:rsidR="0008061A" w:rsidRPr="0008061A" w:rsidRDefault="00B2061F" w:rsidP="0008061A">
      <w:pPr>
        <w:spacing w:after="200" w:line="240" w:lineRule="auto"/>
        <w:rPr>
          <w:rFonts w:ascii="Times New Roman" w:eastAsia="DengXian" w:hAnsi="Times New Roman"/>
          <w:iCs/>
          <w:color w:val="000000"/>
          <w:lang w:eastAsia="zh-CN" w:bidi="ar-SA"/>
        </w:rPr>
      </w:pPr>
      <w:r>
        <w:rPr>
          <w:rFonts w:ascii="Times New Roman" w:eastAsia="DengXian" w:hAnsi="Times New Roman"/>
          <w:b/>
          <w:iCs/>
          <w:color w:val="000000"/>
          <w:lang w:eastAsia="zh-CN" w:bidi="ar-SA"/>
        </w:rPr>
        <w:t>Figure 20</w:t>
      </w:r>
      <w:r w:rsidR="0008061A" w:rsidRPr="0008061A">
        <w:rPr>
          <w:rFonts w:ascii="Times New Roman" w:eastAsia="DengXian" w:hAnsi="Times New Roman"/>
          <w:b/>
          <w:iCs/>
          <w:color w:val="000000"/>
          <w:lang w:eastAsia="zh-CN" w:bidi="ar-SA"/>
        </w:rPr>
        <w:t>.</w:t>
      </w:r>
      <w:r w:rsidR="0008061A" w:rsidRPr="0008061A">
        <w:rPr>
          <w:rFonts w:ascii="Times New Roman" w:eastAsia="DengXian" w:hAnsi="Times New Roman"/>
          <w:iCs/>
          <w:color w:val="000000"/>
          <w:lang w:eastAsia="zh-CN" w:bidi="ar-SA"/>
        </w:rPr>
        <w:t xml:space="preserve"> Chromatogram of sample 32 of the Sureste basin </w:t>
      </w:r>
      <w:r w:rsidR="000F3931">
        <w:rPr>
          <w:rFonts w:ascii="Times New Roman" w:eastAsia="DengXian" w:hAnsi="Times New Roman"/>
          <w:iCs/>
          <w:lang w:eastAsia="zh-CN" w:bidi="ar-SA"/>
        </w:rPr>
        <w:t>(courtesy of GeoMark Research, Houston, TX</w:t>
      </w:r>
      <w:r w:rsidR="0008061A" w:rsidRPr="0008061A">
        <w:rPr>
          <w:rFonts w:ascii="Times New Roman" w:eastAsia="DengXian" w:hAnsi="Times New Roman"/>
          <w:iCs/>
          <w:lang w:eastAsia="zh-CN" w:bidi="ar-SA"/>
        </w:rPr>
        <w:t>)</w:t>
      </w:r>
      <w:r w:rsidR="0008061A" w:rsidRPr="0008061A">
        <w:rPr>
          <w:rFonts w:ascii="Times New Roman" w:eastAsia="DengXian" w:hAnsi="Times New Roman"/>
          <w:iCs/>
          <w:color w:val="000000"/>
          <w:lang w:eastAsia="zh-CN" w:bidi="ar-SA"/>
        </w:rPr>
        <w:t xml:space="preserve">. </w:t>
      </w:r>
    </w:p>
    <w:p w:rsidR="0008061A" w:rsidRPr="0008061A" w:rsidRDefault="0008061A" w:rsidP="0008061A">
      <w:pPr>
        <w:keepNext/>
        <w:spacing w:after="160" w:line="259" w:lineRule="auto"/>
        <w:rPr>
          <w:rFonts w:ascii="Calibri" w:eastAsia="DengXian" w:hAnsi="Calibri"/>
          <w:sz w:val="22"/>
          <w:szCs w:val="22"/>
          <w:lang w:eastAsia="zh-CN" w:bidi="ar-SA"/>
        </w:rPr>
      </w:pPr>
      <w:r w:rsidRPr="0008061A">
        <w:rPr>
          <w:rFonts w:ascii="Calibri" w:eastAsia="DengXian" w:hAnsi="Calibri"/>
          <w:noProof/>
          <w:sz w:val="22"/>
          <w:szCs w:val="22"/>
          <w:lang w:bidi="ar-SA"/>
        </w:rPr>
        <w:drawing>
          <wp:inline distT="0" distB="0" distL="0" distR="0" wp14:anchorId="59D183FA" wp14:editId="55C0EAA8">
            <wp:extent cx="5368290" cy="1343234"/>
            <wp:effectExtent l="0" t="0" r="3810" b="9525"/>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sample 30.jpg"/>
                    <pic:cNvPicPr/>
                  </pic:nvPicPr>
                  <pic:blipFill>
                    <a:blip r:embed="rId29">
                      <a:extLst>
                        <a:ext uri="{28A0092B-C50C-407E-A947-70E740481C1C}">
                          <a14:useLocalDpi xmlns:a14="http://schemas.microsoft.com/office/drawing/2010/main" val="0"/>
                        </a:ext>
                      </a:extLst>
                    </a:blip>
                    <a:stretch>
                      <a:fillRect/>
                    </a:stretch>
                  </pic:blipFill>
                  <pic:spPr>
                    <a:xfrm>
                      <a:off x="0" y="0"/>
                      <a:ext cx="5403493" cy="1352042"/>
                    </a:xfrm>
                    <a:prstGeom prst="rect">
                      <a:avLst/>
                    </a:prstGeom>
                  </pic:spPr>
                </pic:pic>
              </a:graphicData>
            </a:graphic>
          </wp:inline>
        </w:drawing>
      </w:r>
    </w:p>
    <w:p w:rsidR="0008061A" w:rsidRPr="0008061A" w:rsidRDefault="00B2061F" w:rsidP="0008061A">
      <w:pPr>
        <w:spacing w:after="200" w:line="240" w:lineRule="auto"/>
        <w:rPr>
          <w:rFonts w:ascii="Times New Roman" w:eastAsia="DengXian" w:hAnsi="Times New Roman"/>
          <w:iCs/>
          <w:color w:val="000000"/>
          <w:lang w:eastAsia="zh-CN" w:bidi="ar-SA"/>
        </w:rPr>
      </w:pPr>
      <w:r>
        <w:rPr>
          <w:rFonts w:ascii="Times New Roman" w:eastAsia="DengXian" w:hAnsi="Times New Roman"/>
          <w:b/>
          <w:iCs/>
          <w:color w:val="000000"/>
          <w:lang w:eastAsia="zh-CN" w:bidi="ar-SA"/>
        </w:rPr>
        <w:t>Figure 21</w:t>
      </w:r>
      <w:r w:rsidR="0008061A" w:rsidRPr="00173030">
        <w:rPr>
          <w:rFonts w:ascii="Times New Roman" w:eastAsia="DengXian" w:hAnsi="Times New Roman"/>
          <w:b/>
          <w:iCs/>
          <w:color w:val="000000"/>
          <w:lang w:eastAsia="zh-CN" w:bidi="ar-SA"/>
        </w:rPr>
        <w:t>.</w:t>
      </w:r>
      <w:r w:rsidR="0008061A" w:rsidRPr="0008061A">
        <w:rPr>
          <w:rFonts w:ascii="Times New Roman" w:eastAsia="DengXian" w:hAnsi="Times New Roman"/>
          <w:iCs/>
          <w:color w:val="000000"/>
          <w:lang w:eastAsia="zh-CN" w:bidi="ar-SA"/>
        </w:rPr>
        <w:t xml:space="preserve"> Chromatogram of sample 30 of the Sureste basin </w:t>
      </w:r>
      <w:r w:rsidR="000F3931">
        <w:rPr>
          <w:rFonts w:ascii="Times New Roman" w:eastAsia="DengXian" w:hAnsi="Times New Roman"/>
          <w:iCs/>
          <w:lang w:eastAsia="zh-CN" w:bidi="ar-SA"/>
        </w:rPr>
        <w:t>(courtesy of GeoMark Research, Houston, TX</w:t>
      </w:r>
      <w:r w:rsidR="0008061A" w:rsidRPr="0008061A">
        <w:rPr>
          <w:rFonts w:ascii="Times New Roman" w:eastAsia="DengXian" w:hAnsi="Times New Roman"/>
          <w:iCs/>
          <w:lang w:eastAsia="zh-CN" w:bidi="ar-SA"/>
        </w:rPr>
        <w:t>)</w:t>
      </w:r>
      <w:r w:rsidR="0008061A" w:rsidRPr="0008061A">
        <w:rPr>
          <w:rFonts w:ascii="Times New Roman" w:eastAsia="DengXian" w:hAnsi="Times New Roman"/>
          <w:iCs/>
          <w:color w:val="000000"/>
          <w:lang w:eastAsia="zh-CN" w:bidi="ar-SA"/>
        </w:rPr>
        <w:t xml:space="preserve">. </w:t>
      </w:r>
    </w:p>
    <w:p w:rsidR="0008061A" w:rsidRPr="0008061A" w:rsidRDefault="0008061A" w:rsidP="0008061A">
      <w:pPr>
        <w:spacing w:after="160"/>
        <w:rPr>
          <w:rFonts w:ascii="Times New Roman" w:eastAsia="DengXian" w:hAnsi="Times New Roman"/>
          <w:lang w:eastAsia="zh-CN" w:bidi="ar-SA"/>
        </w:rPr>
      </w:pPr>
      <w:r w:rsidRPr="0008061A">
        <w:rPr>
          <w:rFonts w:ascii="Times New Roman" w:eastAsia="DengXian" w:hAnsi="Times New Roman"/>
          <w:lang w:eastAsia="zh-CN" w:bidi="ar-SA"/>
        </w:rPr>
        <w:lastRenderedPageBreak/>
        <w:t xml:space="preserve"> </w:t>
      </w:r>
    </w:p>
    <w:p w:rsidR="0008061A" w:rsidRPr="0008061A" w:rsidRDefault="0008061A" w:rsidP="0008061A">
      <w:pPr>
        <w:spacing w:after="160"/>
        <w:ind w:firstLine="720"/>
        <w:rPr>
          <w:rFonts w:ascii="Times New Roman" w:eastAsia="DengXian" w:hAnsi="Times New Roman"/>
          <w:lang w:eastAsia="zh-CN" w:bidi="ar-SA"/>
        </w:rPr>
      </w:pPr>
      <w:r w:rsidRPr="0008061A">
        <w:rPr>
          <w:rFonts w:ascii="Times New Roman" w:eastAsia="DengXian" w:hAnsi="Times New Roman"/>
          <w:lang w:eastAsia="zh-CN" w:bidi="ar-SA"/>
        </w:rPr>
        <w:t xml:space="preserve">Depositional environment plays an important role when determining thermal effects of the primary nitrogen isotope signal. As stated earlier, to evaluate the effects of thermal maturity, an assumption is made that the organic matter from which the oils were derived is deposited under the same conditions and depositional environments (Rivera, 2013). Sample 22 from the Tampico basin is heavily biodegraded, whilst the other Mexican oils from the Sureste basin are not. The presence of heavy biodegradation of one oil and the exclusion of biodegradation in the other oils, is evidence that sample 22 was not deposited under the same conditions as oils from the Sureste basin, or was subject to different alterations after deposition and therefore cannot be evaluated for thermal maturity relative to the oils from the Sureste basin.  </w:t>
      </w:r>
    </w:p>
    <w:p w:rsidR="0008061A" w:rsidRPr="0008061A" w:rsidRDefault="0008061A" w:rsidP="0008061A">
      <w:pPr>
        <w:spacing w:after="160"/>
        <w:ind w:firstLine="720"/>
        <w:rPr>
          <w:rFonts w:ascii="Times New Roman" w:eastAsia="DengXian" w:hAnsi="Times New Roman"/>
          <w:lang w:eastAsia="zh-CN" w:bidi="ar-SA"/>
        </w:rPr>
      </w:pPr>
      <w:r w:rsidRPr="0008061A">
        <w:rPr>
          <w:rFonts w:ascii="Times New Roman" w:eastAsia="DengXian" w:hAnsi="Times New Roman"/>
          <w:lang w:eastAsia="zh-CN" w:bidi="ar-SA"/>
        </w:rPr>
        <w:t>The oils from the Sureste basin also show a change in depositional environment from anoxic conditions in the immature sample 33 to a more oxic environment in the mature sample 30. The concentration of sulfur is the highest in sample 22 at 4.12% and steady decreases until it reaches 1.23% in samp</w:t>
      </w:r>
      <w:r w:rsidR="004E586A">
        <w:rPr>
          <w:rFonts w:ascii="Times New Roman" w:eastAsia="DengXian" w:hAnsi="Times New Roman"/>
          <w:lang w:eastAsia="zh-CN" w:bidi="ar-SA"/>
        </w:rPr>
        <w:t xml:space="preserve">le 30 (Table 5, </w:t>
      </w:r>
      <w:bookmarkStart w:id="11" w:name="_Hlk480733329"/>
      <w:r w:rsidR="004E586A" w:rsidRPr="0008061A">
        <w:rPr>
          <w:rFonts w:ascii="Times New Roman" w:eastAsia="DengXian" w:hAnsi="Times New Roman"/>
          <w:lang w:eastAsia="zh-CN" w:bidi="ar-SA"/>
        </w:rPr>
        <w:t>d</w:t>
      </w:r>
      <w:r w:rsidR="004E586A">
        <w:rPr>
          <w:rFonts w:ascii="Times New Roman" w:eastAsia="DengXian" w:hAnsi="Times New Roman"/>
          <w:lang w:eastAsia="zh-CN" w:bidi="ar-SA"/>
        </w:rPr>
        <w:t xml:space="preserve">ata provided by </w:t>
      </w:r>
      <w:r w:rsidR="000F3931">
        <w:rPr>
          <w:rFonts w:ascii="Times New Roman" w:eastAsia="DengXian" w:hAnsi="Times New Roman"/>
          <w:lang w:eastAsia="zh-CN" w:bidi="ar-SA"/>
        </w:rPr>
        <w:t>GeoM</w:t>
      </w:r>
      <w:r w:rsidRPr="0008061A">
        <w:rPr>
          <w:rFonts w:ascii="Times New Roman" w:eastAsia="DengXian" w:hAnsi="Times New Roman"/>
          <w:lang w:eastAsia="zh-CN" w:bidi="ar-SA"/>
        </w:rPr>
        <w:t>ark research, Houston, T</w:t>
      </w:r>
      <w:bookmarkEnd w:id="11"/>
      <w:r w:rsidR="000F3931">
        <w:rPr>
          <w:rFonts w:ascii="Times New Roman" w:eastAsia="DengXian" w:hAnsi="Times New Roman"/>
          <w:lang w:eastAsia="zh-CN" w:bidi="ar-SA"/>
        </w:rPr>
        <w:t>X</w:t>
      </w:r>
      <w:r w:rsidRPr="0008061A">
        <w:rPr>
          <w:rFonts w:ascii="Times New Roman" w:eastAsia="DengXian" w:hAnsi="Times New Roman"/>
          <w:lang w:eastAsia="zh-CN" w:bidi="ar-SA"/>
        </w:rPr>
        <w:t>). High sulfur concentration can be an indication for anoxic conditions as well large vanadium and nickel V/</w:t>
      </w:r>
      <w:proofErr w:type="spellStart"/>
      <w:r w:rsidRPr="0008061A">
        <w:rPr>
          <w:rFonts w:ascii="Times New Roman" w:eastAsia="DengXian" w:hAnsi="Times New Roman"/>
          <w:lang w:eastAsia="zh-CN" w:bidi="ar-SA"/>
        </w:rPr>
        <w:t>V+Ni</w:t>
      </w:r>
      <w:proofErr w:type="spellEnd"/>
      <w:r w:rsidRPr="0008061A">
        <w:rPr>
          <w:rFonts w:ascii="Times New Roman" w:eastAsia="DengXian" w:hAnsi="Times New Roman"/>
          <w:lang w:eastAsia="zh-CN" w:bidi="ar-SA"/>
        </w:rPr>
        <w:t xml:space="preserve"> ratios (Peters et al., 2005; </w:t>
      </w:r>
      <w:proofErr w:type="spellStart"/>
      <w:r w:rsidRPr="0008061A">
        <w:rPr>
          <w:rFonts w:ascii="Times New Roman" w:eastAsia="DengXian" w:hAnsi="Times New Roman"/>
          <w:lang w:eastAsia="zh-CN" w:bidi="ar-SA"/>
        </w:rPr>
        <w:t>Galarraga</w:t>
      </w:r>
      <w:proofErr w:type="spellEnd"/>
      <w:r w:rsidRPr="0008061A">
        <w:rPr>
          <w:rFonts w:ascii="Times New Roman" w:eastAsia="DengXian" w:hAnsi="Times New Roman"/>
          <w:lang w:eastAsia="zh-CN" w:bidi="ar-SA"/>
        </w:rPr>
        <w:t xml:space="preserve"> et al., 2008). </w:t>
      </w:r>
      <w:r w:rsidR="00CA70C0">
        <w:rPr>
          <w:rFonts w:ascii="Times New Roman" w:eastAsia="DengXian" w:hAnsi="Times New Roman"/>
          <w:lang w:eastAsia="zh-CN" w:bidi="ar-SA"/>
        </w:rPr>
        <w:t xml:space="preserve">The </w:t>
      </w:r>
      <w:r w:rsidRPr="0008061A">
        <w:rPr>
          <w:rFonts w:ascii="Times New Roman" w:eastAsia="DengXian" w:hAnsi="Times New Roman"/>
          <w:lang w:eastAsia="zh-CN" w:bidi="ar-SA"/>
        </w:rPr>
        <w:t>V/</w:t>
      </w:r>
      <w:proofErr w:type="spellStart"/>
      <w:r w:rsidRPr="0008061A">
        <w:rPr>
          <w:rFonts w:ascii="Times New Roman" w:eastAsia="DengXian" w:hAnsi="Times New Roman"/>
          <w:lang w:eastAsia="zh-CN" w:bidi="ar-SA"/>
        </w:rPr>
        <w:t>V+Ni</w:t>
      </w:r>
      <w:proofErr w:type="spellEnd"/>
      <w:r w:rsidRPr="0008061A">
        <w:rPr>
          <w:rFonts w:ascii="Times New Roman" w:eastAsia="DengXian" w:hAnsi="Times New Roman"/>
          <w:lang w:eastAsia="zh-CN" w:bidi="ar-SA"/>
        </w:rPr>
        <w:t xml:space="preserve"> ratios start out high in sample 33, and as sulfur did, decreased steady until sample 30. Sample 33 also shows a lower pristane/phytane (</w:t>
      </w:r>
      <w:proofErr w:type="spellStart"/>
      <w:r w:rsidRPr="0008061A">
        <w:rPr>
          <w:rFonts w:ascii="Times New Roman" w:eastAsia="DengXian" w:hAnsi="Times New Roman"/>
          <w:lang w:eastAsia="zh-CN" w:bidi="ar-SA"/>
        </w:rPr>
        <w:t>Pr</w:t>
      </w:r>
      <w:proofErr w:type="spellEnd"/>
      <w:r w:rsidRPr="0008061A">
        <w:rPr>
          <w:rFonts w:ascii="Times New Roman" w:eastAsia="DengXian" w:hAnsi="Times New Roman"/>
          <w:lang w:eastAsia="zh-CN" w:bidi="ar-SA"/>
        </w:rPr>
        <w:t xml:space="preserve">/Ph) ratio than that of the other 3 oils (Table 5). The enrichments in </w:t>
      </w:r>
      <w:r w:rsidRPr="0008061A">
        <w:rPr>
          <w:rFonts w:ascii="Times New Roman" w:eastAsia="DengXian" w:hAnsi="Times New Roman"/>
          <w:vertAlign w:val="superscript"/>
          <w:lang w:eastAsia="zh-CN" w:bidi="ar-SA"/>
        </w:rPr>
        <w:t>15</w:t>
      </w:r>
      <w:r w:rsidRPr="0008061A">
        <w:rPr>
          <w:rFonts w:ascii="Times New Roman" w:eastAsia="DengXian" w:hAnsi="Times New Roman"/>
          <w:lang w:eastAsia="zh-CN" w:bidi="ar-SA"/>
        </w:rPr>
        <w:t xml:space="preserve">N could therefore be an indication for a change in depositional environments rather than thermal enrichment. </w:t>
      </w:r>
    </w:p>
    <w:p w:rsidR="0008061A" w:rsidRPr="0008061A" w:rsidRDefault="0008061A" w:rsidP="0008061A">
      <w:pPr>
        <w:keepNext/>
        <w:spacing w:after="200" w:line="240" w:lineRule="auto"/>
        <w:rPr>
          <w:rFonts w:ascii="Times New Roman" w:eastAsia="DengXian" w:hAnsi="Times New Roman"/>
          <w:b/>
          <w:iCs/>
          <w:color w:val="000000"/>
          <w:lang w:eastAsia="zh-CN" w:bidi="ar-SA"/>
        </w:rPr>
      </w:pPr>
      <w:r w:rsidRPr="0008061A">
        <w:rPr>
          <w:rFonts w:ascii="Times New Roman" w:eastAsia="DengXian" w:hAnsi="Times New Roman"/>
          <w:b/>
          <w:iCs/>
          <w:color w:val="000000"/>
          <w:lang w:eastAsia="zh-CN" w:bidi="ar-SA"/>
        </w:rPr>
        <w:lastRenderedPageBreak/>
        <w:t>Table 5.</w:t>
      </w:r>
    </w:p>
    <w:p w:rsidR="0008061A" w:rsidRPr="0008061A" w:rsidRDefault="0008061A" w:rsidP="0008061A">
      <w:pPr>
        <w:keepNext/>
        <w:spacing w:after="200" w:line="240" w:lineRule="auto"/>
        <w:rPr>
          <w:rFonts w:ascii="Times New Roman" w:eastAsia="DengXian" w:hAnsi="Times New Roman"/>
          <w:iCs/>
          <w:color w:val="000000"/>
          <w:lang w:eastAsia="zh-CN" w:bidi="ar-SA"/>
        </w:rPr>
      </w:pPr>
      <w:r w:rsidRPr="0008061A">
        <w:rPr>
          <w:rFonts w:ascii="Times New Roman" w:eastAsia="DengXian" w:hAnsi="Times New Roman"/>
          <w:iCs/>
          <w:color w:val="000000"/>
          <w:lang w:eastAsia="zh-CN" w:bidi="ar-SA"/>
        </w:rPr>
        <w:t xml:space="preserve"> Depositional environment parameters for the Mexican Oils.</w:t>
      </w:r>
      <w:r w:rsidR="004E586A">
        <w:rPr>
          <w:rFonts w:ascii="Times New Roman" w:eastAsia="DengXian" w:hAnsi="Times New Roman"/>
          <w:iCs/>
          <w:color w:val="000000"/>
          <w:lang w:eastAsia="zh-CN" w:bidi="ar-SA"/>
        </w:rPr>
        <w:t xml:space="preserve"> (c</w:t>
      </w:r>
      <w:r w:rsidR="000F3931">
        <w:rPr>
          <w:rFonts w:ascii="Times New Roman" w:eastAsia="DengXian" w:hAnsi="Times New Roman"/>
          <w:iCs/>
          <w:color w:val="000000"/>
          <w:lang w:eastAsia="zh-CN" w:bidi="ar-SA"/>
        </w:rPr>
        <w:t>ourtesy of GeoM</w:t>
      </w:r>
      <w:r w:rsidR="004E586A" w:rsidRPr="004E586A">
        <w:rPr>
          <w:rFonts w:ascii="Times New Roman" w:eastAsia="DengXian" w:hAnsi="Times New Roman"/>
          <w:iCs/>
          <w:color w:val="000000"/>
          <w:lang w:eastAsia="zh-CN" w:bidi="ar-SA"/>
        </w:rPr>
        <w:t>ark research, Housto</w:t>
      </w:r>
      <w:r w:rsidR="000F3931">
        <w:rPr>
          <w:rFonts w:ascii="Times New Roman" w:eastAsia="DengXian" w:hAnsi="Times New Roman"/>
          <w:iCs/>
          <w:color w:val="000000"/>
          <w:lang w:eastAsia="zh-CN" w:bidi="ar-SA"/>
        </w:rPr>
        <w:t>n, TX</w:t>
      </w:r>
      <w:r w:rsidR="004E586A">
        <w:rPr>
          <w:rFonts w:ascii="Times New Roman" w:eastAsia="DengXian" w:hAnsi="Times New Roman"/>
          <w:iCs/>
          <w:color w:val="000000"/>
          <w:lang w:eastAsia="zh-CN" w:bidi="ar-SA"/>
        </w:rPr>
        <w:t>)</w:t>
      </w:r>
    </w:p>
    <w:tbl>
      <w:tblPr>
        <w:tblStyle w:val="Style11"/>
        <w:tblW w:w="8462" w:type="dxa"/>
        <w:tblLook w:val="04A0" w:firstRow="1" w:lastRow="0" w:firstColumn="1" w:lastColumn="0" w:noHBand="0" w:noVBand="1"/>
      </w:tblPr>
      <w:tblGrid>
        <w:gridCol w:w="1351"/>
        <w:gridCol w:w="1434"/>
        <w:gridCol w:w="1457"/>
        <w:gridCol w:w="1459"/>
        <w:gridCol w:w="1550"/>
        <w:gridCol w:w="1211"/>
      </w:tblGrid>
      <w:tr w:rsidR="0008061A" w:rsidRPr="0008061A" w:rsidTr="00F00C34">
        <w:trPr>
          <w:trHeight w:val="879"/>
        </w:trPr>
        <w:tc>
          <w:tcPr>
            <w:tcW w:w="1351" w:type="dxa"/>
            <w:tcBorders>
              <w:top w:val="single" w:sz="4" w:space="0" w:color="auto"/>
              <w:bottom w:val="single" w:sz="4" w:space="0" w:color="auto"/>
            </w:tcBorders>
          </w:tcPr>
          <w:p w:rsidR="0008061A" w:rsidRPr="0008061A" w:rsidRDefault="0008061A" w:rsidP="0008061A">
            <w:pPr>
              <w:spacing w:line="240" w:lineRule="auto"/>
              <w:jc w:val="center"/>
              <w:rPr>
                <w:rFonts w:ascii="Times New Roman" w:hAnsi="Times New Roman"/>
                <w:sz w:val="18"/>
                <w:szCs w:val="18"/>
                <w:lang w:bidi="ar-SA"/>
              </w:rPr>
            </w:pPr>
            <w:r w:rsidRPr="0008061A">
              <w:rPr>
                <w:rFonts w:ascii="Times New Roman" w:hAnsi="Times New Roman"/>
                <w:sz w:val="18"/>
                <w:szCs w:val="18"/>
                <w:lang w:bidi="ar-SA"/>
              </w:rPr>
              <w:t>Sample ID</w:t>
            </w:r>
          </w:p>
        </w:tc>
        <w:tc>
          <w:tcPr>
            <w:tcW w:w="1434" w:type="dxa"/>
            <w:tcBorders>
              <w:top w:val="single" w:sz="4" w:space="0" w:color="auto"/>
              <w:bottom w:val="single" w:sz="4" w:space="0" w:color="auto"/>
            </w:tcBorders>
          </w:tcPr>
          <w:p w:rsidR="0008061A" w:rsidRPr="0008061A" w:rsidRDefault="0008061A" w:rsidP="0008061A">
            <w:pPr>
              <w:spacing w:line="240" w:lineRule="auto"/>
              <w:jc w:val="center"/>
              <w:rPr>
                <w:rFonts w:ascii="Times New Roman" w:hAnsi="Times New Roman"/>
                <w:sz w:val="18"/>
                <w:szCs w:val="18"/>
                <w:lang w:bidi="ar-SA"/>
              </w:rPr>
            </w:pPr>
            <w:r w:rsidRPr="0008061A">
              <w:rPr>
                <w:rFonts w:ascii="Times New Roman" w:hAnsi="Times New Roman"/>
                <w:sz w:val="18"/>
                <w:szCs w:val="18"/>
                <w:lang w:bidi="ar-SA"/>
              </w:rPr>
              <w:t>%S</w:t>
            </w:r>
          </w:p>
        </w:tc>
        <w:tc>
          <w:tcPr>
            <w:tcW w:w="1457" w:type="dxa"/>
            <w:tcBorders>
              <w:top w:val="single" w:sz="4" w:space="0" w:color="auto"/>
              <w:bottom w:val="single" w:sz="4" w:space="0" w:color="auto"/>
            </w:tcBorders>
          </w:tcPr>
          <w:p w:rsidR="0008061A" w:rsidRPr="0008061A" w:rsidRDefault="0008061A" w:rsidP="0008061A">
            <w:pPr>
              <w:spacing w:line="240" w:lineRule="auto"/>
              <w:jc w:val="center"/>
              <w:rPr>
                <w:rFonts w:ascii="Times New Roman" w:hAnsi="Times New Roman"/>
                <w:sz w:val="18"/>
                <w:szCs w:val="18"/>
                <w:lang w:bidi="ar-SA"/>
              </w:rPr>
            </w:pPr>
            <w:r w:rsidRPr="0008061A">
              <w:rPr>
                <w:rFonts w:ascii="Times New Roman" w:hAnsi="Times New Roman"/>
                <w:sz w:val="18"/>
                <w:szCs w:val="18"/>
                <w:lang w:bidi="ar-SA"/>
              </w:rPr>
              <w:t>ppm V</w:t>
            </w:r>
          </w:p>
        </w:tc>
        <w:tc>
          <w:tcPr>
            <w:tcW w:w="1459" w:type="dxa"/>
            <w:tcBorders>
              <w:top w:val="single" w:sz="4" w:space="0" w:color="auto"/>
              <w:bottom w:val="single" w:sz="4" w:space="0" w:color="auto"/>
            </w:tcBorders>
          </w:tcPr>
          <w:p w:rsidR="0008061A" w:rsidRPr="0008061A" w:rsidRDefault="0008061A" w:rsidP="0008061A">
            <w:pPr>
              <w:spacing w:line="240" w:lineRule="auto"/>
              <w:jc w:val="center"/>
              <w:rPr>
                <w:rFonts w:ascii="Times New Roman" w:hAnsi="Times New Roman"/>
                <w:sz w:val="18"/>
                <w:szCs w:val="18"/>
                <w:lang w:bidi="ar-SA"/>
              </w:rPr>
            </w:pPr>
            <w:r w:rsidRPr="0008061A">
              <w:rPr>
                <w:rFonts w:ascii="Times New Roman" w:hAnsi="Times New Roman"/>
                <w:sz w:val="18"/>
                <w:szCs w:val="18"/>
                <w:lang w:bidi="ar-SA"/>
              </w:rPr>
              <w:t>ppm Ni</w:t>
            </w:r>
          </w:p>
        </w:tc>
        <w:tc>
          <w:tcPr>
            <w:tcW w:w="1550" w:type="dxa"/>
            <w:tcBorders>
              <w:top w:val="single" w:sz="4" w:space="0" w:color="auto"/>
              <w:bottom w:val="single" w:sz="4" w:space="0" w:color="auto"/>
            </w:tcBorders>
          </w:tcPr>
          <w:p w:rsidR="0008061A" w:rsidRPr="0008061A" w:rsidRDefault="0008061A" w:rsidP="0008061A">
            <w:pPr>
              <w:spacing w:line="240" w:lineRule="auto"/>
              <w:jc w:val="center"/>
              <w:rPr>
                <w:rFonts w:ascii="Times New Roman" w:hAnsi="Times New Roman"/>
                <w:sz w:val="18"/>
                <w:szCs w:val="18"/>
                <w:lang w:bidi="ar-SA"/>
              </w:rPr>
            </w:pPr>
            <w:r w:rsidRPr="0008061A">
              <w:rPr>
                <w:rFonts w:ascii="Times New Roman" w:hAnsi="Times New Roman"/>
                <w:sz w:val="18"/>
                <w:szCs w:val="18"/>
                <w:lang w:bidi="ar-SA"/>
              </w:rPr>
              <w:t>V/</w:t>
            </w:r>
            <w:proofErr w:type="spellStart"/>
            <w:r w:rsidRPr="0008061A">
              <w:rPr>
                <w:rFonts w:ascii="Times New Roman" w:hAnsi="Times New Roman"/>
                <w:sz w:val="18"/>
                <w:szCs w:val="18"/>
                <w:lang w:bidi="ar-SA"/>
              </w:rPr>
              <w:t>V+Ni</w:t>
            </w:r>
            <w:proofErr w:type="spellEnd"/>
          </w:p>
        </w:tc>
        <w:tc>
          <w:tcPr>
            <w:tcW w:w="1211" w:type="dxa"/>
            <w:tcBorders>
              <w:top w:val="single" w:sz="4" w:space="0" w:color="auto"/>
              <w:bottom w:val="single" w:sz="4" w:space="0" w:color="auto"/>
            </w:tcBorders>
          </w:tcPr>
          <w:p w:rsidR="0008061A" w:rsidRPr="0008061A" w:rsidRDefault="0008061A" w:rsidP="0008061A">
            <w:pPr>
              <w:spacing w:line="240" w:lineRule="auto"/>
              <w:jc w:val="center"/>
              <w:rPr>
                <w:rFonts w:ascii="Times New Roman" w:hAnsi="Times New Roman"/>
                <w:sz w:val="18"/>
                <w:szCs w:val="18"/>
                <w:lang w:bidi="ar-SA"/>
              </w:rPr>
            </w:pPr>
            <w:proofErr w:type="spellStart"/>
            <w:r w:rsidRPr="0008061A">
              <w:rPr>
                <w:rFonts w:ascii="Times New Roman" w:hAnsi="Times New Roman"/>
                <w:sz w:val="18"/>
                <w:szCs w:val="18"/>
                <w:lang w:bidi="ar-SA"/>
              </w:rPr>
              <w:t>Pr</w:t>
            </w:r>
            <w:proofErr w:type="spellEnd"/>
            <w:r w:rsidRPr="0008061A">
              <w:rPr>
                <w:rFonts w:ascii="Times New Roman" w:hAnsi="Times New Roman"/>
                <w:sz w:val="18"/>
                <w:szCs w:val="18"/>
                <w:lang w:bidi="ar-SA"/>
              </w:rPr>
              <w:t>/Ph</w:t>
            </w:r>
          </w:p>
        </w:tc>
      </w:tr>
      <w:tr w:rsidR="0008061A" w:rsidRPr="0008061A" w:rsidTr="00F00C34">
        <w:trPr>
          <w:trHeight w:val="445"/>
        </w:trPr>
        <w:tc>
          <w:tcPr>
            <w:tcW w:w="1351" w:type="dxa"/>
            <w:tcBorders>
              <w:top w:val="single" w:sz="4" w:space="0" w:color="auto"/>
            </w:tcBorders>
          </w:tcPr>
          <w:p w:rsidR="0008061A" w:rsidRPr="0008061A" w:rsidRDefault="0008061A" w:rsidP="0008061A">
            <w:pPr>
              <w:spacing w:line="240" w:lineRule="auto"/>
              <w:jc w:val="center"/>
              <w:rPr>
                <w:rFonts w:ascii="Times New Roman" w:hAnsi="Times New Roman"/>
                <w:sz w:val="18"/>
                <w:szCs w:val="18"/>
                <w:lang w:bidi="ar-SA"/>
              </w:rPr>
            </w:pPr>
            <w:r w:rsidRPr="0008061A">
              <w:rPr>
                <w:rFonts w:ascii="Times New Roman" w:hAnsi="Times New Roman"/>
                <w:sz w:val="18"/>
                <w:szCs w:val="18"/>
                <w:lang w:bidi="ar-SA"/>
              </w:rPr>
              <w:t>22</w:t>
            </w:r>
          </w:p>
        </w:tc>
        <w:tc>
          <w:tcPr>
            <w:tcW w:w="1434" w:type="dxa"/>
            <w:tcBorders>
              <w:top w:val="single" w:sz="4" w:space="0" w:color="auto"/>
            </w:tcBorders>
          </w:tcPr>
          <w:p w:rsidR="0008061A" w:rsidRPr="0008061A" w:rsidRDefault="0008061A" w:rsidP="0008061A">
            <w:pPr>
              <w:spacing w:line="240" w:lineRule="auto"/>
              <w:jc w:val="center"/>
              <w:rPr>
                <w:rFonts w:ascii="Times New Roman" w:hAnsi="Times New Roman"/>
                <w:sz w:val="18"/>
                <w:szCs w:val="18"/>
                <w:lang w:bidi="ar-SA"/>
              </w:rPr>
            </w:pPr>
            <w:r w:rsidRPr="0008061A">
              <w:rPr>
                <w:rFonts w:ascii="Times New Roman" w:hAnsi="Times New Roman"/>
                <w:sz w:val="18"/>
                <w:szCs w:val="18"/>
                <w:lang w:bidi="ar-SA"/>
              </w:rPr>
              <w:t>4.41</w:t>
            </w:r>
          </w:p>
        </w:tc>
        <w:tc>
          <w:tcPr>
            <w:tcW w:w="1457" w:type="dxa"/>
            <w:tcBorders>
              <w:top w:val="single" w:sz="4" w:space="0" w:color="auto"/>
            </w:tcBorders>
          </w:tcPr>
          <w:p w:rsidR="0008061A" w:rsidRPr="0008061A" w:rsidRDefault="0008061A" w:rsidP="0008061A">
            <w:pPr>
              <w:spacing w:line="240" w:lineRule="auto"/>
              <w:jc w:val="center"/>
              <w:rPr>
                <w:rFonts w:ascii="Times New Roman" w:hAnsi="Times New Roman"/>
                <w:sz w:val="18"/>
                <w:szCs w:val="18"/>
                <w:lang w:bidi="ar-SA"/>
              </w:rPr>
            </w:pPr>
            <w:r w:rsidRPr="0008061A">
              <w:rPr>
                <w:rFonts w:ascii="Times New Roman" w:hAnsi="Times New Roman"/>
                <w:sz w:val="18"/>
                <w:szCs w:val="18"/>
                <w:lang w:bidi="ar-SA"/>
              </w:rPr>
              <w:t>550</w:t>
            </w:r>
          </w:p>
        </w:tc>
        <w:tc>
          <w:tcPr>
            <w:tcW w:w="1459" w:type="dxa"/>
            <w:tcBorders>
              <w:top w:val="single" w:sz="4" w:space="0" w:color="auto"/>
            </w:tcBorders>
          </w:tcPr>
          <w:p w:rsidR="0008061A" w:rsidRPr="0008061A" w:rsidRDefault="0008061A" w:rsidP="0008061A">
            <w:pPr>
              <w:spacing w:line="240" w:lineRule="auto"/>
              <w:jc w:val="center"/>
              <w:rPr>
                <w:rFonts w:ascii="Times New Roman" w:hAnsi="Times New Roman"/>
                <w:sz w:val="18"/>
                <w:szCs w:val="18"/>
                <w:lang w:bidi="ar-SA"/>
              </w:rPr>
            </w:pPr>
            <w:r w:rsidRPr="0008061A">
              <w:rPr>
                <w:rFonts w:ascii="Times New Roman" w:hAnsi="Times New Roman"/>
                <w:sz w:val="18"/>
                <w:szCs w:val="18"/>
                <w:lang w:bidi="ar-SA"/>
              </w:rPr>
              <w:t>72</w:t>
            </w:r>
          </w:p>
        </w:tc>
        <w:tc>
          <w:tcPr>
            <w:tcW w:w="1550" w:type="dxa"/>
            <w:tcBorders>
              <w:top w:val="single" w:sz="4" w:space="0" w:color="auto"/>
            </w:tcBorders>
          </w:tcPr>
          <w:p w:rsidR="0008061A" w:rsidRPr="0008061A" w:rsidRDefault="0008061A" w:rsidP="0008061A">
            <w:pPr>
              <w:spacing w:line="240" w:lineRule="auto"/>
              <w:jc w:val="center"/>
              <w:rPr>
                <w:rFonts w:ascii="Times New Roman" w:hAnsi="Times New Roman"/>
                <w:sz w:val="18"/>
                <w:szCs w:val="18"/>
                <w:lang w:bidi="ar-SA"/>
              </w:rPr>
            </w:pPr>
            <w:r w:rsidRPr="0008061A">
              <w:rPr>
                <w:rFonts w:ascii="Times New Roman" w:hAnsi="Times New Roman"/>
                <w:sz w:val="18"/>
                <w:szCs w:val="18"/>
                <w:lang w:bidi="ar-SA"/>
              </w:rPr>
              <w:t>0.88</w:t>
            </w:r>
          </w:p>
        </w:tc>
        <w:tc>
          <w:tcPr>
            <w:tcW w:w="1211" w:type="dxa"/>
            <w:tcBorders>
              <w:top w:val="single" w:sz="4" w:space="0" w:color="auto"/>
            </w:tcBorders>
          </w:tcPr>
          <w:p w:rsidR="0008061A" w:rsidRPr="0008061A" w:rsidRDefault="0008061A" w:rsidP="0008061A">
            <w:pPr>
              <w:spacing w:line="240" w:lineRule="auto"/>
              <w:jc w:val="center"/>
              <w:rPr>
                <w:rFonts w:ascii="Times New Roman" w:hAnsi="Times New Roman"/>
                <w:sz w:val="18"/>
                <w:szCs w:val="18"/>
                <w:lang w:bidi="ar-SA"/>
              </w:rPr>
            </w:pPr>
            <w:r w:rsidRPr="0008061A">
              <w:rPr>
                <w:rFonts w:ascii="Times New Roman" w:hAnsi="Times New Roman"/>
                <w:sz w:val="18"/>
                <w:szCs w:val="18"/>
                <w:lang w:bidi="ar-SA"/>
              </w:rPr>
              <w:t>Not available</w:t>
            </w:r>
          </w:p>
        </w:tc>
      </w:tr>
      <w:tr w:rsidR="0008061A" w:rsidRPr="0008061A" w:rsidTr="00F00C34">
        <w:trPr>
          <w:trHeight w:val="433"/>
        </w:trPr>
        <w:tc>
          <w:tcPr>
            <w:tcW w:w="1351" w:type="dxa"/>
          </w:tcPr>
          <w:p w:rsidR="0008061A" w:rsidRPr="0008061A" w:rsidRDefault="0008061A" w:rsidP="0008061A">
            <w:pPr>
              <w:spacing w:line="240" w:lineRule="auto"/>
              <w:jc w:val="center"/>
              <w:rPr>
                <w:rFonts w:ascii="Times New Roman" w:hAnsi="Times New Roman"/>
                <w:sz w:val="18"/>
                <w:szCs w:val="18"/>
                <w:lang w:bidi="ar-SA"/>
              </w:rPr>
            </w:pPr>
            <w:r w:rsidRPr="0008061A">
              <w:rPr>
                <w:rFonts w:ascii="Times New Roman" w:hAnsi="Times New Roman"/>
                <w:sz w:val="18"/>
                <w:szCs w:val="18"/>
                <w:lang w:bidi="ar-SA"/>
              </w:rPr>
              <w:t>33</w:t>
            </w:r>
          </w:p>
        </w:tc>
        <w:tc>
          <w:tcPr>
            <w:tcW w:w="1434" w:type="dxa"/>
          </w:tcPr>
          <w:p w:rsidR="0008061A" w:rsidRPr="0008061A" w:rsidRDefault="0008061A" w:rsidP="0008061A">
            <w:pPr>
              <w:spacing w:line="240" w:lineRule="auto"/>
              <w:jc w:val="center"/>
              <w:rPr>
                <w:rFonts w:ascii="Times New Roman" w:hAnsi="Times New Roman"/>
                <w:sz w:val="18"/>
                <w:szCs w:val="18"/>
                <w:lang w:bidi="ar-SA"/>
              </w:rPr>
            </w:pPr>
            <w:r w:rsidRPr="0008061A">
              <w:rPr>
                <w:rFonts w:ascii="Times New Roman" w:hAnsi="Times New Roman"/>
                <w:sz w:val="18"/>
                <w:szCs w:val="18"/>
                <w:lang w:bidi="ar-SA"/>
              </w:rPr>
              <w:t>4.12</w:t>
            </w:r>
          </w:p>
        </w:tc>
        <w:tc>
          <w:tcPr>
            <w:tcW w:w="1457" w:type="dxa"/>
          </w:tcPr>
          <w:p w:rsidR="0008061A" w:rsidRPr="0008061A" w:rsidRDefault="0008061A" w:rsidP="0008061A">
            <w:pPr>
              <w:spacing w:line="240" w:lineRule="auto"/>
              <w:jc w:val="center"/>
              <w:rPr>
                <w:rFonts w:ascii="Times New Roman" w:hAnsi="Times New Roman"/>
                <w:sz w:val="18"/>
                <w:szCs w:val="18"/>
                <w:lang w:bidi="ar-SA"/>
              </w:rPr>
            </w:pPr>
            <w:r w:rsidRPr="0008061A">
              <w:rPr>
                <w:rFonts w:ascii="Times New Roman" w:hAnsi="Times New Roman"/>
                <w:sz w:val="18"/>
                <w:szCs w:val="18"/>
                <w:lang w:bidi="ar-SA"/>
              </w:rPr>
              <w:t>1520</w:t>
            </w:r>
          </w:p>
        </w:tc>
        <w:tc>
          <w:tcPr>
            <w:tcW w:w="1459" w:type="dxa"/>
          </w:tcPr>
          <w:p w:rsidR="0008061A" w:rsidRPr="0008061A" w:rsidRDefault="0008061A" w:rsidP="0008061A">
            <w:pPr>
              <w:spacing w:line="240" w:lineRule="auto"/>
              <w:jc w:val="center"/>
              <w:rPr>
                <w:rFonts w:ascii="Times New Roman" w:hAnsi="Times New Roman"/>
                <w:sz w:val="18"/>
                <w:szCs w:val="18"/>
                <w:lang w:bidi="ar-SA"/>
              </w:rPr>
            </w:pPr>
            <w:r w:rsidRPr="0008061A">
              <w:rPr>
                <w:rFonts w:ascii="Times New Roman" w:hAnsi="Times New Roman"/>
                <w:sz w:val="18"/>
                <w:szCs w:val="18"/>
                <w:lang w:bidi="ar-SA"/>
              </w:rPr>
              <w:t>84</w:t>
            </w:r>
          </w:p>
        </w:tc>
        <w:tc>
          <w:tcPr>
            <w:tcW w:w="1550" w:type="dxa"/>
          </w:tcPr>
          <w:p w:rsidR="0008061A" w:rsidRPr="0008061A" w:rsidRDefault="0008061A" w:rsidP="0008061A">
            <w:pPr>
              <w:spacing w:line="240" w:lineRule="auto"/>
              <w:jc w:val="center"/>
              <w:rPr>
                <w:rFonts w:ascii="Times New Roman" w:hAnsi="Times New Roman"/>
                <w:sz w:val="18"/>
                <w:szCs w:val="18"/>
                <w:lang w:bidi="ar-SA"/>
              </w:rPr>
            </w:pPr>
            <w:r w:rsidRPr="0008061A">
              <w:rPr>
                <w:rFonts w:ascii="Times New Roman" w:hAnsi="Times New Roman"/>
                <w:sz w:val="18"/>
                <w:szCs w:val="18"/>
                <w:lang w:bidi="ar-SA"/>
              </w:rPr>
              <w:t>0.95</w:t>
            </w:r>
          </w:p>
        </w:tc>
        <w:tc>
          <w:tcPr>
            <w:tcW w:w="1211" w:type="dxa"/>
          </w:tcPr>
          <w:p w:rsidR="0008061A" w:rsidRPr="0008061A" w:rsidRDefault="0008061A" w:rsidP="0008061A">
            <w:pPr>
              <w:spacing w:line="240" w:lineRule="auto"/>
              <w:jc w:val="center"/>
              <w:rPr>
                <w:rFonts w:ascii="Times New Roman" w:hAnsi="Times New Roman"/>
                <w:sz w:val="18"/>
                <w:szCs w:val="18"/>
                <w:lang w:bidi="ar-SA"/>
              </w:rPr>
            </w:pPr>
            <w:r w:rsidRPr="0008061A">
              <w:rPr>
                <w:rFonts w:ascii="Times New Roman" w:hAnsi="Times New Roman"/>
                <w:sz w:val="18"/>
                <w:szCs w:val="18"/>
                <w:lang w:bidi="ar-SA"/>
              </w:rPr>
              <w:t>74</w:t>
            </w:r>
          </w:p>
        </w:tc>
      </w:tr>
      <w:tr w:rsidR="0008061A" w:rsidRPr="0008061A" w:rsidTr="00F00C34">
        <w:trPr>
          <w:trHeight w:val="445"/>
        </w:trPr>
        <w:tc>
          <w:tcPr>
            <w:tcW w:w="1351" w:type="dxa"/>
          </w:tcPr>
          <w:p w:rsidR="0008061A" w:rsidRPr="0008061A" w:rsidRDefault="0008061A" w:rsidP="0008061A">
            <w:pPr>
              <w:spacing w:line="240" w:lineRule="auto"/>
              <w:jc w:val="center"/>
              <w:rPr>
                <w:rFonts w:ascii="Times New Roman" w:hAnsi="Times New Roman"/>
                <w:sz w:val="18"/>
                <w:szCs w:val="18"/>
                <w:lang w:bidi="ar-SA"/>
              </w:rPr>
            </w:pPr>
            <w:r w:rsidRPr="0008061A">
              <w:rPr>
                <w:rFonts w:ascii="Times New Roman" w:hAnsi="Times New Roman"/>
                <w:sz w:val="18"/>
                <w:szCs w:val="18"/>
                <w:lang w:bidi="ar-SA"/>
              </w:rPr>
              <w:t>31</w:t>
            </w:r>
          </w:p>
        </w:tc>
        <w:tc>
          <w:tcPr>
            <w:tcW w:w="1434" w:type="dxa"/>
          </w:tcPr>
          <w:p w:rsidR="0008061A" w:rsidRPr="0008061A" w:rsidRDefault="0008061A" w:rsidP="0008061A">
            <w:pPr>
              <w:spacing w:line="240" w:lineRule="auto"/>
              <w:jc w:val="center"/>
              <w:rPr>
                <w:rFonts w:ascii="Times New Roman" w:hAnsi="Times New Roman"/>
                <w:sz w:val="18"/>
                <w:szCs w:val="18"/>
                <w:lang w:bidi="ar-SA"/>
              </w:rPr>
            </w:pPr>
            <w:r w:rsidRPr="0008061A">
              <w:rPr>
                <w:rFonts w:ascii="Times New Roman" w:hAnsi="Times New Roman"/>
                <w:sz w:val="18"/>
                <w:szCs w:val="18"/>
                <w:lang w:bidi="ar-SA"/>
              </w:rPr>
              <w:t>3.19</w:t>
            </w:r>
          </w:p>
        </w:tc>
        <w:tc>
          <w:tcPr>
            <w:tcW w:w="1457" w:type="dxa"/>
          </w:tcPr>
          <w:p w:rsidR="0008061A" w:rsidRPr="0008061A" w:rsidRDefault="0008061A" w:rsidP="0008061A">
            <w:pPr>
              <w:spacing w:line="240" w:lineRule="auto"/>
              <w:jc w:val="center"/>
              <w:rPr>
                <w:rFonts w:ascii="Times New Roman" w:hAnsi="Times New Roman"/>
                <w:sz w:val="18"/>
                <w:szCs w:val="18"/>
                <w:lang w:bidi="ar-SA"/>
              </w:rPr>
            </w:pPr>
            <w:r w:rsidRPr="0008061A">
              <w:rPr>
                <w:rFonts w:ascii="Times New Roman" w:hAnsi="Times New Roman"/>
                <w:sz w:val="18"/>
                <w:szCs w:val="18"/>
                <w:lang w:bidi="ar-SA"/>
              </w:rPr>
              <w:t>114</w:t>
            </w:r>
          </w:p>
        </w:tc>
        <w:tc>
          <w:tcPr>
            <w:tcW w:w="1459" w:type="dxa"/>
          </w:tcPr>
          <w:p w:rsidR="0008061A" w:rsidRPr="0008061A" w:rsidRDefault="0008061A" w:rsidP="0008061A">
            <w:pPr>
              <w:spacing w:line="240" w:lineRule="auto"/>
              <w:jc w:val="center"/>
              <w:rPr>
                <w:rFonts w:ascii="Times New Roman" w:hAnsi="Times New Roman"/>
                <w:sz w:val="18"/>
                <w:szCs w:val="18"/>
                <w:lang w:bidi="ar-SA"/>
              </w:rPr>
            </w:pPr>
            <w:r w:rsidRPr="0008061A">
              <w:rPr>
                <w:rFonts w:ascii="Times New Roman" w:hAnsi="Times New Roman"/>
                <w:sz w:val="18"/>
                <w:szCs w:val="18"/>
                <w:lang w:bidi="ar-SA"/>
              </w:rPr>
              <w:t>17</w:t>
            </w:r>
          </w:p>
        </w:tc>
        <w:tc>
          <w:tcPr>
            <w:tcW w:w="1550" w:type="dxa"/>
          </w:tcPr>
          <w:p w:rsidR="0008061A" w:rsidRPr="0008061A" w:rsidRDefault="0008061A" w:rsidP="0008061A">
            <w:pPr>
              <w:spacing w:line="240" w:lineRule="auto"/>
              <w:jc w:val="center"/>
              <w:rPr>
                <w:rFonts w:ascii="Times New Roman" w:hAnsi="Times New Roman"/>
                <w:sz w:val="18"/>
                <w:szCs w:val="18"/>
                <w:lang w:bidi="ar-SA"/>
              </w:rPr>
            </w:pPr>
            <w:r w:rsidRPr="0008061A">
              <w:rPr>
                <w:rFonts w:ascii="Times New Roman" w:hAnsi="Times New Roman"/>
                <w:sz w:val="18"/>
                <w:szCs w:val="18"/>
                <w:lang w:bidi="ar-SA"/>
              </w:rPr>
              <w:t>0.87</w:t>
            </w:r>
          </w:p>
        </w:tc>
        <w:tc>
          <w:tcPr>
            <w:tcW w:w="1211" w:type="dxa"/>
          </w:tcPr>
          <w:p w:rsidR="0008061A" w:rsidRPr="0008061A" w:rsidRDefault="0008061A" w:rsidP="0008061A">
            <w:pPr>
              <w:spacing w:line="240" w:lineRule="auto"/>
              <w:jc w:val="center"/>
              <w:rPr>
                <w:rFonts w:ascii="Times New Roman" w:hAnsi="Times New Roman"/>
                <w:sz w:val="18"/>
                <w:szCs w:val="18"/>
                <w:lang w:bidi="ar-SA"/>
              </w:rPr>
            </w:pPr>
            <w:r w:rsidRPr="0008061A">
              <w:rPr>
                <w:rFonts w:ascii="Times New Roman" w:hAnsi="Times New Roman"/>
                <w:sz w:val="18"/>
                <w:szCs w:val="18"/>
                <w:lang w:bidi="ar-SA"/>
              </w:rPr>
              <w:t>1.05</w:t>
            </w:r>
          </w:p>
        </w:tc>
      </w:tr>
      <w:tr w:rsidR="0008061A" w:rsidRPr="0008061A" w:rsidTr="00F00C34">
        <w:trPr>
          <w:trHeight w:val="433"/>
        </w:trPr>
        <w:tc>
          <w:tcPr>
            <w:tcW w:w="1351" w:type="dxa"/>
          </w:tcPr>
          <w:p w:rsidR="0008061A" w:rsidRPr="0008061A" w:rsidRDefault="0008061A" w:rsidP="0008061A">
            <w:pPr>
              <w:spacing w:line="240" w:lineRule="auto"/>
              <w:jc w:val="center"/>
              <w:rPr>
                <w:rFonts w:ascii="Times New Roman" w:hAnsi="Times New Roman"/>
                <w:sz w:val="18"/>
                <w:szCs w:val="18"/>
                <w:lang w:bidi="ar-SA"/>
              </w:rPr>
            </w:pPr>
            <w:r w:rsidRPr="0008061A">
              <w:rPr>
                <w:rFonts w:ascii="Times New Roman" w:hAnsi="Times New Roman"/>
                <w:sz w:val="18"/>
                <w:szCs w:val="18"/>
                <w:lang w:bidi="ar-SA"/>
              </w:rPr>
              <w:t>32</w:t>
            </w:r>
          </w:p>
        </w:tc>
        <w:tc>
          <w:tcPr>
            <w:tcW w:w="1434" w:type="dxa"/>
          </w:tcPr>
          <w:p w:rsidR="0008061A" w:rsidRPr="0008061A" w:rsidRDefault="0008061A" w:rsidP="0008061A">
            <w:pPr>
              <w:spacing w:line="240" w:lineRule="auto"/>
              <w:jc w:val="center"/>
              <w:rPr>
                <w:rFonts w:ascii="Times New Roman" w:hAnsi="Times New Roman"/>
                <w:sz w:val="18"/>
                <w:szCs w:val="18"/>
                <w:lang w:bidi="ar-SA"/>
              </w:rPr>
            </w:pPr>
            <w:r w:rsidRPr="0008061A">
              <w:rPr>
                <w:rFonts w:ascii="Times New Roman" w:hAnsi="Times New Roman"/>
                <w:sz w:val="18"/>
                <w:szCs w:val="18"/>
                <w:lang w:bidi="ar-SA"/>
              </w:rPr>
              <w:t>1.67</w:t>
            </w:r>
          </w:p>
        </w:tc>
        <w:tc>
          <w:tcPr>
            <w:tcW w:w="1457" w:type="dxa"/>
          </w:tcPr>
          <w:p w:rsidR="0008061A" w:rsidRPr="0008061A" w:rsidRDefault="0008061A" w:rsidP="0008061A">
            <w:pPr>
              <w:spacing w:line="240" w:lineRule="auto"/>
              <w:jc w:val="center"/>
              <w:rPr>
                <w:rFonts w:ascii="Times New Roman" w:hAnsi="Times New Roman"/>
                <w:sz w:val="18"/>
                <w:szCs w:val="18"/>
                <w:lang w:bidi="ar-SA"/>
              </w:rPr>
            </w:pPr>
            <w:r w:rsidRPr="0008061A">
              <w:rPr>
                <w:rFonts w:ascii="Times New Roman" w:hAnsi="Times New Roman"/>
                <w:sz w:val="18"/>
                <w:szCs w:val="18"/>
                <w:lang w:bidi="ar-SA"/>
              </w:rPr>
              <w:t>41</w:t>
            </w:r>
          </w:p>
        </w:tc>
        <w:tc>
          <w:tcPr>
            <w:tcW w:w="1459" w:type="dxa"/>
          </w:tcPr>
          <w:p w:rsidR="0008061A" w:rsidRPr="0008061A" w:rsidRDefault="0008061A" w:rsidP="0008061A">
            <w:pPr>
              <w:spacing w:line="240" w:lineRule="auto"/>
              <w:jc w:val="center"/>
              <w:rPr>
                <w:rFonts w:ascii="Times New Roman" w:hAnsi="Times New Roman"/>
                <w:sz w:val="18"/>
                <w:szCs w:val="18"/>
                <w:lang w:bidi="ar-SA"/>
              </w:rPr>
            </w:pPr>
            <w:r w:rsidRPr="0008061A">
              <w:rPr>
                <w:rFonts w:ascii="Times New Roman" w:hAnsi="Times New Roman"/>
                <w:sz w:val="18"/>
                <w:szCs w:val="18"/>
                <w:lang w:bidi="ar-SA"/>
              </w:rPr>
              <w:t>10</w:t>
            </w:r>
          </w:p>
        </w:tc>
        <w:tc>
          <w:tcPr>
            <w:tcW w:w="1550" w:type="dxa"/>
          </w:tcPr>
          <w:p w:rsidR="0008061A" w:rsidRPr="0008061A" w:rsidRDefault="0008061A" w:rsidP="0008061A">
            <w:pPr>
              <w:spacing w:line="240" w:lineRule="auto"/>
              <w:jc w:val="center"/>
              <w:rPr>
                <w:rFonts w:ascii="Times New Roman" w:hAnsi="Times New Roman"/>
                <w:sz w:val="18"/>
                <w:szCs w:val="18"/>
                <w:lang w:bidi="ar-SA"/>
              </w:rPr>
            </w:pPr>
            <w:r w:rsidRPr="0008061A">
              <w:rPr>
                <w:rFonts w:ascii="Times New Roman" w:hAnsi="Times New Roman"/>
                <w:sz w:val="18"/>
                <w:szCs w:val="18"/>
                <w:lang w:bidi="ar-SA"/>
              </w:rPr>
              <w:t>0.80</w:t>
            </w:r>
          </w:p>
        </w:tc>
        <w:tc>
          <w:tcPr>
            <w:tcW w:w="1211" w:type="dxa"/>
          </w:tcPr>
          <w:p w:rsidR="0008061A" w:rsidRPr="0008061A" w:rsidRDefault="0008061A" w:rsidP="0008061A">
            <w:pPr>
              <w:spacing w:line="240" w:lineRule="auto"/>
              <w:jc w:val="center"/>
              <w:rPr>
                <w:rFonts w:ascii="Times New Roman" w:hAnsi="Times New Roman"/>
                <w:sz w:val="18"/>
                <w:szCs w:val="18"/>
                <w:lang w:bidi="ar-SA"/>
              </w:rPr>
            </w:pPr>
            <w:r w:rsidRPr="0008061A">
              <w:rPr>
                <w:rFonts w:ascii="Times New Roman" w:hAnsi="Times New Roman"/>
                <w:sz w:val="18"/>
                <w:szCs w:val="18"/>
                <w:lang w:bidi="ar-SA"/>
              </w:rPr>
              <w:t>1.02</w:t>
            </w:r>
          </w:p>
        </w:tc>
      </w:tr>
      <w:tr w:rsidR="0008061A" w:rsidRPr="0008061A" w:rsidTr="00F00C34">
        <w:trPr>
          <w:trHeight w:val="445"/>
        </w:trPr>
        <w:tc>
          <w:tcPr>
            <w:tcW w:w="1351" w:type="dxa"/>
            <w:tcBorders>
              <w:bottom w:val="single" w:sz="4" w:space="0" w:color="auto"/>
            </w:tcBorders>
          </w:tcPr>
          <w:p w:rsidR="0008061A" w:rsidRPr="0008061A" w:rsidRDefault="0008061A" w:rsidP="0008061A">
            <w:pPr>
              <w:spacing w:line="240" w:lineRule="auto"/>
              <w:jc w:val="center"/>
              <w:rPr>
                <w:rFonts w:ascii="Times New Roman" w:hAnsi="Times New Roman"/>
                <w:sz w:val="18"/>
                <w:szCs w:val="18"/>
                <w:lang w:bidi="ar-SA"/>
              </w:rPr>
            </w:pPr>
            <w:r w:rsidRPr="0008061A">
              <w:rPr>
                <w:rFonts w:ascii="Times New Roman" w:hAnsi="Times New Roman"/>
                <w:sz w:val="18"/>
                <w:szCs w:val="18"/>
                <w:lang w:bidi="ar-SA"/>
              </w:rPr>
              <w:t>30</w:t>
            </w:r>
          </w:p>
        </w:tc>
        <w:tc>
          <w:tcPr>
            <w:tcW w:w="1434" w:type="dxa"/>
            <w:tcBorders>
              <w:bottom w:val="single" w:sz="4" w:space="0" w:color="auto"/>
            </w:tcBorders>
          </w:tcPr>
          <w:p w:rsidR="0008061A" w:rsidRPr="0008061A" w:rsidRDefault="0008061A" w:rsidP="0008061A">
            <w:pPr>
              <w:spacing w:line="240" w:lineRule="auto"/>
              <w:jc w:val="center"/>
              <w:rPr>
                <w:rFonts w:ascii="Times New Roman" w:hAnsi="Times New Roman"/>
                <w:sz w:val="18"/>
                <w:szCs w:val="18"/>
                <w:lang w:bidi="ar-SA"/>
              </w:rPr>
            </w:pPr>
            <w:r w:rsidRPr="0008061A">
              <w:rPr>
                <w:rFonts w:ascii="Times New Roman" w:hAnsi="Times New Roman"/>
                <w:sz w:val="18"/>
                <w:szCs w:val="18"/>
                <w:lang w:bidi="ar-SA"/>
              </w:rPr>
              <w:t>1.23</w:t>
            </w:r>
          </w:p>
        </w:tc>
        <w:tc>
          <w:tcPr>
            <w:tcW w:w="1457" w:type="dxa"/>
            <w:tcBorders>
              <w:bottom w:val="single" w:sz="4" w:space="0" w:color="auto"/>
            </w:tcBorders>
          </w:tcPr>
          <w:p w:rsidR="0008061A" w:rsidRPr="0008061A" w:rsidRDefault="0008061A" w:rsidP="0008061A">
            <w:pPr>
              <w:spacing w:line="240" w:lineRule="auto"/>
              <w:jc w:val="center"/>
              <w:rPr>
                <w:rFonts w:ascii="Times New Roman" w:hAnsi="Times New Roman"/>
                <w:sz w:val="18"/>
                <w:szCs w:val="18"/>
                <w:lang w:bidi="ar-SA"/>
              </w:rPr>
            </w:pPr>
            <w:r w:rsidRPr="0008061A">
              <w:rPr>
                <w:rFonts w:ascii="Times New Roman" w:hAnsi="Times New Roman"/>
                <w:sz w:val="18"/>
                <w:szCs w:val="18"/>
                <w:lang w:bidi="ar-SA"/>
              </w:rPr>
              <w:t>23</w:t>
            </w:r>
          </w:p>
        </w:tc>
        <w:tc>
          <w:tcPr>
            <w:tcW w:w="1459" w:type="dxa"/>
            <w:tcBorders>
              <w:bottom w:val="single" w:sz="4" w:space="0" w:color="auto"/>
            </w:tcBorders>
          </w:tcPr>
          <w:p w:rsidR="0008061A" w:rsidRPr="0008061A" w:rsidRDefault="0008061A" w:rsidP="0008061A">
            <w:pPr>
              <w:spacing w:line="240" w:lineRule="auto"/>
              <w:jc w:val="center"/>
              <w:rPr>
                <w:rFonts w:ascii="Times New Roman" w:hAnsi="Times New Roman"/>
                <w:sz w:val="18"/>
                <w:szCs w:val="18"/>
                <w:lang w:bidi="ar-SA"/>
              </w:rPr>
            </w:pPr>
            <w:r w:rsidRPr="0008061A">
              <w:rPr>
                <w:rFonts w:ascii="Times New Roman" w:hAnsi="Times New Roman"/>
                <w:sz w:val="18"/>
                <w:szCs w:val="18"/>
                <w:lang w:bidi="ar-SA"/>
              </w:rPr>
              <w:t>22</w:t>
            </w:r>
          </w:p>
        </w:tc>
        <w:tc>
          <w:tcPr>
            <w:tcW w:w="1550" w:type="dxa"/>
            <w:tcBorders>
              <w:bottom w:val="single" w:sz="4" w:space="0" w:color="auto"/>
            </w:tcBorders>
          </w:tcPr>
          <w:p w:rsidR="0008061A" w:rsidRPr="0008061A" w:rsidRDefault="0008061A" w:rsidP="0008061A">
            <w:pPr>
              <w:spacing w:line="240" w:lineRule="auto"/>
              <w:jc w:val="center"/>
              <w:rPr>
                <w:rFonts w:ascii="Times New Roman" w:hAnsi="Times New Roman"/>
                <w:sz w:val="18"/>
                <w:szCs w:val="18"/>
                <w:lang w:bidi="ar-SA"/>
              </w:rPr>
            </w:pPr>
            <w:r w:rsidRPr="0008061A">
              <w:rPr>
                <w:rFonts w:ascii="Times New Roman" w:hAnsi="Times New Roman"/>
                <w:sz w:val="18"/>
                <w:szCs w:val="18"/>
                <w:lang w:bidi="ar-SA"/>
              </w:rPr>
              <w:t>0.51</w:t>
            </w:r>
          </w:p>
        </w:tc>
        <w:tc>
          <w:tcPr>
            <w:tcW w:w="1211" w:type="dxa"/>
            <w:tcBorders>
              <w:bottom w:val="single" w:sz="4" w:space="0" w:color="auto"/>
            </w:tcBorders>
          </w:tcPr>
          <w:p w:rsidR="0008061A" w:rsidRPr="0008061A" w:rsidRDefault="0008061A" w:rsidP="0008061A">
            <w:pPr>
              <w:spacing w:line="240" w:lineRule="auto"/>
              <w:jc w:val="center"/>
              <w:rPr>
                <w:rFonts w:ascii="Times New Roman" w:hAnsi="Times New Roman"/>
                <w:sz w:val="18"/>
                <w:szCs w:val="18"/>
                <w:lang w:bidi="ar-SA"/>
              </w:rPr>
            </w:pPr>
            <w:r w:rsidRPr="0008061A">
              <w:rPr>
                <w:rFonts w:ascii="Times New Roman" w:hAnsi="Times New Roman"/>
                <w:sz w:val="18"/>
                <w:szCs w:val="18"/>
                <w:lang w:bidi="ar-SA"/>
              </w:rPr>
              <w:t>1.01</w:t>
            </w:r>
          </w:p>
        </w:tc>
      </w:tr>
    </w:tbl>
    <w:p w:rsidR="0008061A" w:rsidRPr="0008061A" w:rsidRDefault="0008061A" w:rsidP="0008061A">
      <w:pPr>
        <w:spacing w:after="160" w:line="240" w:lineRule="auto"/>
        <w:rPr>
          <w:rFonts w:ascii="Times New Roman" w:eastAsia="DengXian" w:hAnsi="Times New Roman"/>
          <w:lang w:eastAsia="zh-CN" w:bidi="ar-SA"/>
        </w:rPr>
      </w:pPr>
    </w:p>
    <w:p w:rsidR="0008061A" w:rsidRPr="0008061A" w:rsidRDefault="0008061A" w:rsidP="0008061A">
      <w:pPr>
        <w:spacing w:after="160"/>
        <w:ind w:firstLine="720"/>
        <w:rPr>
          <w:rFonts w:ascii="Times New Roman" w:eastAsia="DengXian" w:hAnsi="Times New Roman"/>
          <w:lang w:eastAsia="zh-CN" w:bidi="ar-SA"/>
        </w:rPr>
      </w:pPr>
      <w:r w:rsidRPr="0008061A">
        <w:rPr>
          <w:rFonts w:ascii="Times New Roman" w:eastAsia="DengXian" w:hAnsi="Times New Roman"/>
          <w:lang w:eastAsia="zh-CN" w:bidi="ar-SA"/>
        </w:rPr>
        <w:t xml:space="preserve">The NSO fraction of the remaining Sureste basin oils show a slight enrichment in </w:t>
      </w:r>
      <w:r w:rsidRPr="0008061A">
        <w:rPr>
          <w:rFonts w:ascii="Times New Roman" w:eastAsia="DengXian" w:hAnsi="Times New Roman"/>
          <w:vertAlign w:val="superscript"/>
          <w:lang w:eastAsia="zh-CN" w:bidi="ar-SA"/>
        </w:rPr>
        <w:t>15</w:t>
      </w:r>
      <w:r w:rsidRPr="0008061A">
        <w:rPr>
          <w:rFonts w:ascii="Times New Roman" w:eastAsia="DengXian" w:hAnsi="Times New Roman"/>
          <w:lang w:eastAsia="zh-CN" w:bidi="ar-SA"/>
        </w:rPr>
        <w:t xml:space="preserve">N with increasing API gravity and slight increasing maturity. The asphaltene </w:t>
      </w:r>
      <w:r w:rsidR="00407C66">
        <w:rPr>
          <w:rFonts w:ascii="Times New Roman" w:eastAsia="DengXian" w:hAnsi="Times New Roman"/>
          <w:lang w:eastAsia="zh-CN" w:bidi="ar-SA"/>
        </w:rPr>
        <w:t>f</w:t>
      </w:r>
      <w:r w:rsidRPr="0008061A">
        <w:rPr>
          <w:rFonts w:ascii="Times New Roman" w:eastAsia="DengXian" w:hAnsi="Times New Roman"/>
          <w:lang w:eastAsia="zh-CN" w:bidi="ar-SA"/>
        </w:rPr>
        <w:t>raction of the remaining Sureste basin oils also show a slight enrichment in</w:t>
      </w:r>
      <w:r w:rsidRPr="0008061A">
        <w:rPr>
          <w:rFonts w:ascii="Times New Roman" w:eastAsia="DengXian" w:hAnsi="Times New Roman"/>
          <w:vertAlign w:val="superscript"/>
          <w:lang w:eastAsia="zh-CN" w:bidi="ar-SA"/>
        </w:rPr>
        <w:t>15</w:t>
      </w:r>
      <w:r w:rsidRPr="0008061A">
        <w:rPr>
          <w:rFonts w:ascii="Times New Roman" w:eastAsia="DengXian" w:hAnsi="Times New Roman"/>
          <w:lang w:eastAsia="zh-CN" w:bidi="ar-SA"/>
        </w:rPr>
        <w:t xml:space="preserve">N in samples 33, 31, and 32. However, the asphaltene fraction of sample 30 is depleted in </w:t>
      </w:r>
      <w:r w:rsidRPr="0008061A">
        <w:rPr>
          <w:rFonts w:ascii="Times New Roman" w:eastAsia="DengXian" w:hAnsi="Times New Roman"/>
          <w:vertAlign w:val="superscript"/>
          <w:lang w:eastAsia="zh-CN" w:bidi="ar-SA"/>
        </w:rPr>
        <w:t>15</w:t>
      </w:r>
      <w:r w:rsidRPr="0008061A">
        <w:rPr>
          <w:rFonts w:ascii="Times New Roman" w:eastAsia="DengXian" w:hAnsi="Times New Roman"/>
          <w:lang w:eastAsia="zh-CN" w:bidi="ar-SA"/>
        </w:rPr>
        <w:t>N relative to sample 32 and 31 despite sample 30 being of the highest maturity whilst sample 30 shows the greatest variance between the NSO and asphaltene fractions with a difference of 0.54‰.</w:t>
      </w:r>
    </w:p>
    <w:p w:rsidR="0008061A" w:rsidRPr="0008061A" w:rsidRDefault="0008061A" w:rsidP="0008061A">
      <w:pPr>
        <w:spacing w:after="160"/>
        <w:ind w:firstLine="720"/>
        <w:rPr>
          <w:rFonts w:ascii="Times New Roman" w:eastAsia="DengXian" w:hAnsi="Times New Roman"/>
          <w:lang w:eastAsia="zh-CN" w:bidi="ar-SA"/>
        </w:rPr>
      </w:pPr>
      <w:r w:rsidRPr="0008061A">
        <w:rPr>
          <w:rFonts w:ascii="Times New Roman" w:eastAsia="DengXian" w:hAnsi="Times New Roman"/>
          <w:lang w:eastAsia="zh-CN" w:bidi="ar-SA"/>
        </w:rPr>
        <w:t xml:space="preserve">Each Mexican oil also shows an </w:t>
      </w:r>
      <w:r w:rsidRPr="0008061A">
        <w:rPr>
          <w:rFonts w:ascii="Times New Roman" w:eastAsia="DengXian" w:hAnsi="Times New Roman"/>
          <w:vertAlign w:val="superscript"/>
          <w:lang w:eastAsia="zh-CN" w:bidi="ar-SA"/>
        </w:rPr>
        <w:t>15</w:t>
      </w:r>
      <w:r w:rsidRPr="0008061A">
        <w:rPr>
          <w:rFonts w:ascii="Times New Roman" w:eastAsia="DengXian" w:hAnsi="Times New Roman"/>
          <w:lang w:eastAsia="zh-CN" w:bidi="ar-SA"/>
        </w:rPr>
        <w:t>N enrichment of the NSO fraction compared to that of the asphaltene fraction. It is widely accepted that the asphaltene fraction is the most resistant to biodegradation as well as other geological process including thermal maturity (</w:t>
      </w:r>
      <w:proofErr w:type="spellStart"/>
      <w:r w:rsidRPr="0008061A">
        <w:rPr>
          <w:rFonts w:ascii="Times New Roman" w:eastAsia="DengXian" w:hAnsi="Times New Roman"/>
          <w:lang w:eastAsia="zh-CN" w:bidi="ar-SA"/>
        </w:rPr>
        <w:t>Snowdon</w:t>
      </w:r>
      <w:proofErr w:type="spellEnd"/>
      <w:r w:rsidRPr="0008061A">
        <w:rPr>
          <w:rFonts w:ascii="Times New Roman" w:eastAsia="DengXian" w:hAnsi="Times New Roman"/>
          <w:lang w:eastAsia="zh-CN" w:bidi="ar-SA"/>
        </w:rPr>
        <w:t xml:space="preserve"> et al., 2016 and references therein). There is a relative increase in the concentration of the asphaltene and NSO fractions as less resistant compounds in the saturate and aromatic fractions are consumed, and as asphaltenes selectively remove nitrogen from kerogen (Macko and Quick and references therein, 1986; Liao et al., 2009; Rivera et al., 2015) Nitrogen compounds are altered through the selective loss of </w:t>
      </w:r>
      <w:r w:rsidRPr="0008061A">
        <w:rPr>
          <w:rFonts w:ascii="Times New Roman" w:eastAsia="DengXian" w:hAnsi="Times New Roman"/>
          <w:lang w:eastAsia="zh-CN" w:bidi="ar-SA"/>
        </w:rPr>
        <w:lastRenderedPageBreak/>
        <w:t>the least condensed compound.  The NSO fraction is distinguished by likely having the least condensed nitrogen compounds and asphaltenes the more condensed nitrogen compounds (Liao et al., 2009). This could mean that the NSO fraction is more susceptible to biodegradation and thermal maturity. Thermal maturity in organic matter will preferentially cleave the light isotope (</w:t>
      </w:r>
      <w:r w:rsidRPr="0008061A">
        <w:rPr>
          <w:rFonts w:ascii="Times New Roman" w:eastAsia="DengXian" w:hAnsi="Times New Roman"/>
          <w:vertAlign w:val="superscript"/>
          <w:lang w:eastAsia="zh-CN" w:bidi="ar-SA"/>
        </w:rPr>
        <w:t>14</w:t>
      </w:r>
      <w:r w:rsidRPr="0008061A">
        <w:rPr>
          <w:rFonts w:ascii="Times New Roman" w:eastAsia="DengXian" w:hAnsi="Times New Roman"/>
          <w:lang w:eastAsia="zh-CN" w:bidi="ar-SA"/>
        </w:rPr>
        <w:t xml:space="preserve">N) leaving the substrate enriched in </w:t>
      </w:r>
      <w:r w:rsidRPr="0008061A">
        <w:rPr>
          <w:rFonts w:ascii="Times New Roman" w:eastAsia="DengXian" w:hAnsi="Times New Roman"/>
          <w:vertAlign w:val="superscript"/>
          <w:lang w:eastAsia="zh-CN" w:bidi="ar-SA"/>
        </w:rPr>
        <w:t>15</w:t>
      </w:r>
      <w:r w:rsidRPr="0008061A">
        <w:rPr>
          <w:rFonts w:ascii="Times New Roman" w:eastAsia="DengXian" w:hAnsi="Times New Roman"/>
          <w:lang w:eastAsia="zh-CN" w:bidi="ar-SA"/>
        </w:rPr>
        <w:t xml:space="preserve">N. This could account for the enrichment in </w:t>
      </w:r>
      <w:r w:rsidRPr="0008061A">
        <w:rPr>
          <w:rFonts w:ascii="Times New Roman" w:eastAsia="DengXian" w:hAnsi="Times New Roman"/>
          <w:vertAlign w:val="superscript"/>
          <w:lang w:eastAsia="zh-CN" w:bidi="ar-SA"/>
        </w:rPr>
        <w:t>15</w:t>
      </w:r>
      <w:r w:rsidRPr="0008061A">
        <w:rPr>
          <w:rFonts w:ascii="Times New Roman" w:eastAsia="DengXian" w:hAnsi="Times New Roman"/>
          <w:lang w:eastAsia="zh-CN" w:bidi="ar-SA"/>
        </w:rPr>
        <w:t xml:space="preserve">N in the NSO relative to the asphaltene fraction. </w:t>
      </w:r>
    </w:p>
    <w:p w:rsidR="00F00C34" w:rsidRDefault="00F00C34" w:rsidP="0008061A">
      <w:pPr>
        <w:spacing w:after="160"/>
        <w:rPr>
          <w:rFonts w:ascii="Times New Roman" w:eastAsia="DengXian" w:hAnsi="Times New Roman"/>
          <w:i/>
          <w:lang w:eastAsia="zh-CN" w:bidi="ar-SA"/>
        </w:rPr>
      </w:pPr>
    </w:p>
    <w:p w:rsidR="00F00C34" w:rsidRDefault="00F00C34" w:rsidP="0008061A">
      <w:pPr>
        <w:spacing w:after="160"/>
        <w:rPr>
          <w:rFonts w:ascii="Times New Roman" w:eastAsia="DengXian" w:hAnsi="Times New Roman"/>
          <w:i/>
          <w:lang w:eastAsia="zh-CN" w:bidi="ar-SA"/>
        </w:rPr>
      </w:pPr>
    </w:p>
    <w:p w:rsidR="00F00C34" w:rsidRDefault="00F00C34" w:rsidP="0008061A">
      <w:pPr>
        <w:spacing w:after="160"/>
        <w:rPr>
          <w:rFonts w:ascii="Times New Roman" w:eastAsia="DengXian" w:hAnsi="Times New Roman"/>
          <w:i/>
          <w:lang w:eastAsia="zh-CN" w:bidi="ar-SA"/>
        </w:rPr>
      </w:pPr>
    </w:p>
    <w:p w:rsidR="00F00C34" w:rsidRDefault="00F00C34" w:rsidP="0008061A">
      <w:pPr>
        <w:spacing w:after="160"/>
        <w:rPr>
          <w:rFonts w:ascii="Times New Roman" w:eastAsia="DengXian" w:hAnsi="Times New Roman"/>
          <w:i/>
          <w:lang w:eastAsia="zh-CN" w:bidi="ar-SA"/>
        </w:rPr>
      </w:pPr>
    </w:p>
    <w:p w:rsidR="00F00C34" w:rsidRDefault="00F00C34" w:rsidP="0008061A">
      <w:pPr>
        <w:spacing w:after="160"/>
        <w:rPr>
          <w:rFonts w:ascii="Times New Roman" w:eastAsia="DengXian" w:hAnsi="Times New Roman"/>
          <w:i/>
          <w:lang w:eastAsia="zh-CN" w:bidi="ar-SA"/>
        </w:rPr>
      </w:pPr>
    </w:p>
    <w:p w:rsidR="00F00C34" w:rsidRDefault="00F00C34" w:rsidP="0008061A">
      <w:pPr>
        <w:spacing w:after="160"/>
        <w:rPr>
          <w:rFonts w:ascii="Times New Roman" w:eastAsia="DengXian" w:hAnsi="Times New Roman"/>
          <w:i/>
          <w:lang w:eastAsia="zh-CN" w:bidi="ar-SA"/>
        </w:rPr>
      </w:pPr>
    </w:p>
    <w:p w:rsidR="00F00C34" w:rsidRDefault="00F00C34" w:rsidP="0008061A">
      <w:pPr>
        <w:spacing w:after="160"/>
        <w:rPr>
          <w:rFonts w:ascii="Times New Roman" w:eastAsia="DengXian" w:hAnsi="Times New Roman"/>
          <w:i/>
          <w:lang w:eastAsia="zh-CN" w:bidi="ar-SA"/>
        </w:rPr>
      </w:pPr>
    </w:p>
    <w:p w:rsidR="00F00C34" w:rsidRDefault="00F00C34" w:rsidP="0008061A">
      <w:pPr>
        <w:spacing w:after="160"/>
        <w:rPr>
          <w:rFonts w:ascii="Times New Roman" w:eastAsia="DengXian" w:hAnsi="Times New Roman"/>
          <w:i/>
          <w:lang w:eastAsia="zh-CN" w:bidi="ar-SA"/>
        </w:rPr>
      </w:pPr>
    </w:p>
    <w:p w:rsidR="00F00C34" w:rsidRDefault="00F00C34" w:rsidP="0008061A">
      <w:pPr>
        <w:spacing w:after="160"/>
        <w:rPr>
          <w:rFonts w:ascii="Times New Roman" w:eastAsia="DengXian" w:hAnsi="Times New Roman"/>
          <w:i/>
          <w:lang w:eastAsia="zh-CN" w:bidi="ar-SA"/>
        </w:rPr>
      </w:pPr>
    </w:p>
    <w:p w:rsidR="00F00C34" w:rsidRDefault="00F00C34" w:rsidP="0008061A">
      <w:pPr>
        <w:spacing w:after="160"/>
        <w:rPr>
          <w:rFonts w:ascii="Times New Roman" w:eastAsia="DengXian" w:hAnsi="Times New Roman"/>
          <w:i/>
          <w:lang w:eastAsia="zh-CN" w:bidi="ar-SA"/>
        </w:rPr>
      </w:pPr>
    </w:p>
    <w:p w:rsidR="00F00C34" w:rsidRDefault="00F00C34" w:rsidP="0008061A">
      <w:pPr>
        <w:spacing w:after="160"/>
        <w:rPr>
          <w:rFonts w:ascii="Times New Roman" w:eastAsia="DengXian" w:hAnsi="Times New Roman"/>
          <w:i/>
          <w:lang w:eastAsia="zh-CN" w:bidi="ar-SA"/>
        </w:rPr>
      </w:pPr>
    </w:p>
    <w:p w:rsidR="00F00C34" w:rsidRDefault="00F00C34" w:rsidP="0008061A">
      <w:pPr>
        <w:spacing w:after="160"/>
        <w:rPr>
          <w:rFonts w:ascii="Times New Roman" w:eastAsia="DengXian" w:hAnsi="Times New Roman"/>
          <w:i/>
          <w:lang w:eastAsia="zh-CN" w:bidi="ar-SA"/>
        </w:rPr>
      </w:pPr>
    </w:p>
    <w:p w:rsidR="0008061A" w:rsidRPr="0008061A" w:rsidRDefault="0008061A" w:rsidP="0008061A">
      <w:pPr>
        <w:spacing w:after="160"/>
        <w:rPr>
          <w:rFonts w:ascii="Times New Roman" w:eastAsia="DengXian" w:hAnsi="Times New Roman"/>
          <w:i/>
          <w:lang w:eastAsia="zh-CN" w:bidi="ar-SA"/>
        </w:rPr>
      </w:pPr>
      <w:r w:rsidRPr="0008061A">
        <w:rPr>
          <w:rFonts w:ascii="Times New Roman" w:eastAsia="DengXian" w:hAnsi="Times New Roman"/>
          <w:i/>
          <w:lang w:eastAsia="zh-CN" w:bidi="ar-SA"/>
        </w:rPr>
        <w:lastRenderedPageBreak/>
        <w:t>Discussion of the δ</w:t>
      </w:r>
      <w:r w:rsidRPr="0008061A">
        <w:rPr>
          <w:rFonts w:ascii="Times New Roman" w:eastAsia="DengXian" w:hAnsi="Times New Roman"/>
          <w:i/>
          <w:vertAlign w:val="superscript"/>
          <w:lang w:eastAsia="zh-CN" w:bidi="ar-SA"/>
        </w:rPr>
        <w:t>15</w:t>
      </w:r>
      <w:r w:rsidRPr="0008061A">
        <w:rPr>
          <w:rFonts w:ascii="Times New Roman" w:eastAsia="DengXian" w:hAnsi="Times New Roman"/>
          <w:i/>
          <w:lang w:eastAsia="zh-CN" w:bidi="ar-SA"/>
        </w:rPr>
        <w:t>N values with increasing thermal maturity of the Middle Eastern oils</w:t>
      </w:r>
    </w:p>
    <w:p w:rsidR="0008061A" w:rsidRPr="0008061A" w:rsidRDefault="0008061A" w:rsidP="0008061A">
      <w:pPr>
        <w:spacing w:after="160"/>
        <w:rPr>
          <w:rFonts w:ascii="Times New Roman" w:eastAsia="DengXian" w:hAnsi="Times New Roman"/>
          <w:lang w:eastAsia="zh-CN" w:bidi="ar-SA"/>
        </w:rPr>
      </w:pPr>
      <w:r w:rsidRPr="0008061A">
        <w:rPr>
          <w:rFonts w:ascii="Times New Roman" w:eastAsia="DengXian" w:hAnsi="Times New Roman"/>
          <w:i/>
          <w:lang w:eastAsia="zh-CN" w:bidi="ar-SA"/>
        </w:rPr>
        <w:tab/>
      </w:r>
      <w:r w:rsidRPr="0008061A">
        <w:rPr>
          <w:rFonts w:ascii="Times New Roman" w:eastAsia="DengXian" w:hAnsi="Times New Roman"/>
          <w:lang w:eastAsia="zh-CN" w:bidi="ar-SA"/>
        </w:rPr>
        <w:t xml:space="preserve">The Middle Eastern oils are enriched in </w:t>
      </w:r>
      <w:r w:rsidRPr="0008061A">
        <w:rPr>
          <w:rFonts w:ascii="Times New Roman" w:eastAsia="DengXian" w:hAnsi="Times New Roman"/>
          <w:vertAlign w:val="superscript"/>
          <w:lang w:eastAsia="zh-CN" w:bidi="ar-SA"/>
        </w:rPr>
        <w:t>15</w:t>
      </w:r>
      <w:r w:rsidRPr="0008061A">
        <w:rPr>
          <w:rFonts w:ascii="Times New Roman" w:eastAsia="DengXian" w:hAnsi="Times New Roman"/>
          <w:lang w:eastAsia="zh-CN" w:bidi="ar-SA"/>
        </w:rPr>
        <w:t xml:space="preserve">N with increasing maturity in samples 21, 27, and 26 in both the NSO and asphaltene fractions. However, sample 25 is depleted in </w:t>
      </w:r>
      <w:r w:rsidRPr="0008061A">
        <w:rPr>
          <w:rFonts w:ascii="Times New Roman" w:eastAsia="DengXian" w:hAnsi="Times New Roman"/>
          <w:vertAlign w:val="superscript"/>
          <w:lang w:eastAsia="zh-CN" w:bidi="ar-SA"/>
        </w:rPr>
        <w:t>15</w:t>
      </w:r>
      <w:r w:rsidRPr="0008061A">
        <w:rPr>
          <w:rFonts w:ascii="Times New Roman" w:eastAsia="DengXian" w:hAnsi="Times New Roman"/>
          <w:lang w:eastAsia="zh-CN" w:bidi="ar-SA"/>
        </w:rPr>
        <w:t>N compared to sample 26, in both the NSO and asphaltene fractions, despite sample 25 having the highest maturity and API gravity. There isn’t a strong correlation in sulfur content, V/</w:t>
      </w:r>
      <w:proofErr w:type="spellStart"/>
      <w:r w:rsidRPr="0008061A">
        <w:rPr>
          <w:rFonts w:ascii="Times New Roman" w:eastAsia="DengXian" w:hAnsi="Times New Roman"/>
          <w:lang w:eastAsia="zh-CN" w:bidi="ar-SA"/>
        </w:rPr>
        <w:t>V+Ni</w:t>
      </w:r>
      <w:proofErr w:type="spellEnd"/>
      <w:r w:rsidRPr="0008061A">
        <w:rPr>
          <w:rFonts w:ascii="Times New Roman" w:eastAsia="DengXian" w:hAnsi="Times New Roman"/>
          <w:lang w:eastAsia="zh-CN" w:bidi="ar-SA"/>
        </w:rPr>
        <w:t xml:space="preserve"> ratios and </w:t>
      </w:r>
      <w:proofErr w:type="spellStart"/>
      <w:r w:rsidRPr="0008061A">
        <w:rPr>
          <w:rFonts w:ascii="Times New Roman" w:eastAsia="DengXian" w:hAnsi="Times New Roman"/>
          <w:lang w:eastAsia="zh-CN" w:bidi="ar-SA"/>
        </w:rPr>
        <w:t>Pr</w:t>
      </w:r>
      <w:proofErr w:type="spellEnd"/>
      <w:r w:rsidRPr="0008061A">
        <w:rPr>
          <w:rFonts w:ascii="Times New Roman" w:eastAsia="DengXian" w:hAnsi="Times New Roman"/>
          <w:lang w:eastAsia="zh-CN" w:bidi="ar-SA"/>
        </w:rPr>
        <w:t xml:space="preserve">/Ph ratios with increasing maturity as was observed for the Mexican oils. The sulfur content is higher in the most immature sample 21 and decreases steadily with increasing maturity (Table 6, </w:t>
      </w:r>
      <w:bookmarkStart w:id="12" w:name="_Hlk480733495"/>
      <w:r w:rsidR="000F3931">
        <w:rPr>
          <w:rFonts w:ascii="Times New Roman" w:eastAsia="DengXian" w:hAnsi="Times New Roman"/>
          <w:lang w:eastAsia="zh-CN" w:bidi="ar-SA"/>
        </w:rPr>
        <w:t>data provided by GeoM</w:t>
      </w:r>
      <w:r w:rsidRPr="0008061A">
        <w:rPr>
          <w:rFonts w:ascii="Times New Roman" w:eastAsia="DengXian" w:hAnsi="Times New Roman"/>
          <w:lang w:eastAsia="zh-CN" w:bidi="ar-SA"/>
        </w:rPr>
        <w:t>ark research</w:t>
      </w:r>
      <w:bookmarkEnd w:id="12"/>
      <w:r w:rsidR="000F3931">
        <w:rPr>
          <w:rFonts w:ascii="Times New Roman" w:eastAsia="DengXian" w:hAnsi="Times New Roman"/>
          <w:lang w:eastAsia="zh-CN" w:bidi="ar-SA"/>
        </w:rPr>
        <w:t>, Houston, TX</w:t>
      </w:r>
      <w:r w:rsidRPr="0008061A">
        <w:rPr>
          <w:rFonts w:ascii="Times New Roman" w:eastAsia="DengXian" w:hAnsi="Times New Roman"/>
          <w:lang w:eastAsia="zh-CN" w:bidi="ar-SA"/>
        </w:rPr>
        <w:t>). The V/</w:t>
      </w:r>
      <w:proofErr w:type="spellStart"/>
      <w:r w:rsidRPr="0008061A">
        <w:rPr>
          <w:rFonts w:ascii="Times New Roman" w:eastAsia="DengXian" w:hAnsi="Times New Roman"/>
          <w:lang w:eastAsia="zh-CN" w:bidi="ar-SA"/>
        </w:rPr>
        <w:t>V+Ni</w:t>
      </w:r>
      <w:proofErr w:type="spellEnd"/>
      <w:r w:rsidRPr="0008061A">
        <w:rPr>
          <w:rFonts w:ascii="Times New Roman" w:eastAsia="DengXian" w:hAnsi="Times New Roman"/>
          <w:lang w:eastAsia="zh-CN" w:bidi="ar-SA"/>
        </w:rPr>
        <w:t xml:space="preserve"> ratios also decrease with increasing maturity, but are almost the same in sample 26 and 25. Sample 25 has a lower </w:t>
      </w:r>
      <w:proofErr w:type="spellStart"/>
      <w:r w:rsidRPr="0008061A">
        <w:rPr>
          <w:rFonts w:ascii="Times New Roman" w:eastAsia="DengXian" w:hAnsi="Times New Roman"/>
          <w:lang w:eastAsia="zh-CN" w:bidi="ar-SA"/>
        </w:rPr>
        <w:t>Pr</w:t>
      </w:r>
      <w:proofErr w:type="spellEnd"/>
      <w:r w:rsidRPr="0008061A">
        <w:rPr>
          <w:rFonts w:ascii="Times New Roman" w:eastAsia="DengXian" w:hAnsi="Times New Roman"/>
          <w:lang w:eastAsia="zh-CN" w:bidi="ar-SA"/>
        </w:rPr>
        <w:t xml:space="preserve">/Ph ratio than that of sample 27 and 26, but is very </w:t>
      </w:r>
      <w:proofErr w:type="gramStart"/>
      <w:r w:rsidRPr="0008061A">
        <w:rPr>
          <w:rFonts w:ascii="Times New Roman" w:eastAsia="DengXian" w:hAnsi="Times New Roman"/>
          <w:lang w:eastAsia="zh-CN" w:bidi="ar-SA"/>
        </w:rPr>
        <w:t>similar to</w:t>
      </w:r>
      <w:proofErr w:type="gramEnd"/>
      <w:r w:rsidRPr="0008061A">
        <w:rPr>
          <w:rFonts w:ascii="Times New Roman" w:eastAsia="DengXian" w:hAnsi="Times New Roman"/>
          <w:lang w:eastAsia="zh-CN" w:bidi="ar-SA"/>
        </w:rPr>
        <w:t xml:space="preserve"> that of sample 21 (Table 6). It is therefore unlikely that a change in depositional environment has taken place and does not account for the depletion in </w:t>
      </w:r>
      <w:r w:rsidRPr="0008061A">
        <w:rPr>
          <w:rFonts w:ascii="Times New Roman" w:eastAsia="DengXian" w:hAnsi="Times New Roman"/>
          <w:vertAlign w:val="superscript"/>
          <w:lang w:eastAsia="zh-CN" w:bidi="ar-SA"/>
        </w:rPr>
        <w:t>15</w:t>
      </w:r>
      <w:r w:rsidRPr="0008061A">
        <w:rPr>
          <w:rFonts w:ascii="Times New Roman" w:eastAsia="DengXian" w:hAnsi="Times New Roman"/>
          <w:lang w:eastAsia="zh-CN" w:bidi="ar-SA"/>
        </w:rPr>
        <w:t xml:space="preserve">N in sample 25 relative to 26. </w:t>
      </w:r>
    </w:p>
    <w:p w:rsidR="0008061A" w:rsidRPr="0008061A" w:rsidRDefault="0008061A" w:rsidP="0008061A">
      <w:pPr>
        <w:keepNext/>
        <w:spacing w:after="200" w:line="240" w:lineRule="auto"/>
        <w:rPr>
          <w:rFonts w:ascii="Times New Roman" w:eastAsia="DengXian" w:hAnsi="Times New Roman"/>
          <w:b/>
          <w:iCs/>
          <w:lang w:eastAsia="zh-CN" w:bidi="ar-SA"/>
        </w:rPr>
      </w:pPr>
      <w:r w:rsidRPr="0008061A">
        <w:rPr>
          <w:rFonts w:ascii="Times New Roman" w:eastAsia="DengXian" w:hAnsi="Times New Roman"/>
          <w:b/>
          <w:iCs/>
          <w:lang w:eastAsia="zh-CN" w:bidi="ar-SA"/>
        </w:rPr>
        <w:t>Table 6.</w:t>
      </w:r>
    </w:p>
    <w:p w:rsidR="0008061A" w:rsidRPr="0008061A" w:rsidRDefault="0008061A" w:rsidP="0008061A">
      <w:pPr>
        <w:spacing w:after="160" w:line="259" w:lineRule="auto"/>
        <w:rPr>
          <w:rFonts w:ascii="Times New Roman" w:eastAsia="DengXian" w:hAnsi="Times New Roman"/>
          <w:lang w:eastAsia="zh-CN" w:bidi="ar-SA"/>
        </w:rPr>
      </w:pPr>
      <w:r w:rsidRPr="0008061A">
        <w:rPr>
          <w:rFonts w:ascii="Times New Roman" w:eastAsia="DengXian" w:hAnsi="Times New Roman"/>
          <w:lang w:eastAsia="zh-CN" w:bidi="ar-SA"/>
        </w:rPr>
        <w:t>Depositional environmental param</w:t>
      </w:r>
      <w:r w:rsidR="00173030">
        <w:rPr>
          <w:rFonts w:ascii="Times New Roman" w:eastAsia="DengXian" w:hAnsi="Times New Roman"/>
          <w:lang w:eastAsia="zh-CN" w:bidi="ar-SA"/>
        </w:rPr>
        <w:t>eters for the Middle East</w:t>
      </w:r>
      <w:r w:rsidR="004E586A">
        <w:rPr>
          <w:rFonts w:ascii="Times New Roman" w:eastAsia="DengXian" w:hAnsi="Times New Roman"/>
          <w:lang w:eastAsia="zh-CN" w:bidi="ar-SA"/>
        </w:rPr>
        <w:t xml:space="preserve"> O</w:t>
      </w:r>
      <w:r w:rsidRPr="0008061A">
        <w:rPr>
          <w:rFonts w:ascii="Times New Roman" w:eastAsia="DengXian" w:hAnsi="Times New Roman"/>
          <w:lang w:eastAsia="zh-CN" w:bidi="ar-SA"/>
        </w:rPr>
        <w:t>ils</w:t>
      </w:r>
      <w:r w:rsidR="004E586A">
        <w:rPr>
          <w:rFonts w:ascii="Times New Roman" w:eastAsia="DengXian" w:hAnsi="Times New Roman"/>
          <w:lang w:eastAsia="zh-CN" w:bidi="ar-SA"/>
        </w:rPr>
        <w:t xml:space="preserve"> (courtesy of </w:t>
      </w:r>
      <w:r w:rsidR="000F3931">
        <w:rPr>
          <w:rFonts w:ascii="Times New Roman" w:eastAsia="DengXian" w:hAnsi="Times New Roman"/>
          <w:lang w:eastAsia="zh-CN" w:bidi="ar-SA"/>
        </w:rPr>
        <w:t>GeoMark research, Houston, TX</w:t>
      </w:r>
      <w:r w:rsidR="004E586A">
        <w:rPr>
          <w:rFonts w:ascii="Times New Roman" w:eastAsia="DengXian" w:hAnsi="Times New Roman"/>
          <w:lang w:eastAsia="zh-CN" w:bidi="ar-SA"/>
        </w:rPr>
        <w:t>)</w:t>
      </w:r>
    </w:p>
    <w:tbl>
      <w:tblPr>
        <w:tblStyle w:val="Style11"/>
        <w:tblW w:w="8467" w:type="dxa"/>
        <w:tblLook w:val="04A0" w:firstRow="1" w:lastRow="0" w:firstColumn="1" w:lastColumn="0" w:noHBand="0" w:noVBand="1"/>
      </w:tblPr>
      <w:tblGrid>
        <w:gridCol w:w="1365"/>
        <w:gridCol w:w="1449"/>
        <w:gridCol w:w="1472"/>
        <w:gridCol w:w="1474"/>
        <w:gridCol w:w="1566"/>
        <w:gridCol w:w="1141"/>
      </w:tblGrid>
      <w:tr w:rsidR="0008061A" w:rsidRPr="0008061A" w:rsidTr="00F00C34">
        <w:trPr>
          <w:trHeight w:val="819"/>
        </w:trPr>
        <w:tc>
          <w:tcPr>
            <w:tcW w:w="1365" w:type="dxa"/>
            <w:tcBorders>
              <w:top w:val="single" w:sz="4" w:space="0" w:color="auto"/>
              <w:bottom w:val="single" w:sz="4" w:space="0" w:color="auto"/>
            </w:tcBorders>
          </w:tcPr>
          <w:p w:rsidR="0008061A" w:rsidRPr="0008061A" w:rsidRDefault="0008061A" w:rsidP="0008061A">
            <w:pPr>
              <w:spacing w:line="240" w:lineRule="auto"/>
              <w:jc w:val="center"/>
              <w:rPr>
                <w:rFonts w:ascii="Times New Roman" w:hAnsi="Times New Roman"/>
                <w:sz w:val="18"/>
                <w:szCs w:val="18"/>
                <w:lang w:bidi="ar-SA"/>
              </w:rPr>
            </w:pPr>
            <w:r w:rsidRPr="0008061A">
              <w:rPr>
                <w:rFonts w:ascii="Times New Roman" w:hAnsi="Times New Roman"/>
                <w:sz w:val="18"/>
                <w:szCs w:val="18"/>
                <w:lang w:bidi="ar-SA"/>
              </w:rPr>
              <w:t>Sample ID</w:t>
            </w:r>
          </w:p>
        </w:tc>
        <w:tc>
          <w:tcPr>
            <w:tcW w:w="1449" w:type="dxa"/>
            <w:tcBorders>
              <w:top w:val="single" w:sz="4" w:space="0" w:color="auto"/>
              <w:bottom w:val="single" w:sz="4" w:space="0" w:color="auto"/>
            </w:tcBorders>
          </w:tcPr>
          <w:p w:rsidR="0008061A" w:rsidRPr="0008061A" w:rsidRDefault="0008061A" w:rsidP="0008061A">
            <w:pPr>
              <w:spacing w:line="240" w:lineRule="auto"/>
              <w:jc w:val="center"/>
              <w:rPr>
                <w:rFonts w:ascii="Times New Roman" w:hAnsi="Times New Roman"/>
                <w:sz w:val="18"/>
                <w:szCs w:val="18"/>
                <w:lang w:bidi="ar-SA"/>
              </w:rPr>
            </w:pPr>
            <w:r w:rsidRPr="0008061A">
              <w:rPr>
                <w:rFonts w:ascii="Times New Roman" w:hAnsi="Times New Roman"/>
                <w:sz w:val="18"/>
                <w:szCs w:val="18"/>
                <w:lang w:bidi="ar-SA"/>
              </w:rPr>
              <w:t>%S</w:t>
            </w:r>
          </w:p>
        </w:tc>
        <w:tc>
          <w:tcPr>
            <w:tcW w:w="1472" w:type="dxa"/>
            <w:tcBorders>
              <w:top w:val="single" w:sz="4" w:space="0" w:color="auto"/>
              <w:bottom w:val="single" w:sz="4" w:space="0" w:color="auto"/>
            </w:tcBorders>
          </w:tcPr>
          <w:p w:rsidR="0008061A" w:rsidRPr="0008061A" w:rsidRDefault="0008061A" w:rsidP="0008061A">
            <w:pPr>
              <w:spacing w:line="240" w:lineRule="auto"/>
              <w:jc w:val="center"/>
              <w:rPr>
                <w:rFonts w:ascii="Times New Roman" w:hAnsi="Times New Roman"/>
                <w:sz w:val="18"/>
                <w:szCs w:val="18"/>
                <w:lang w:bidi="ar-SA"/>
              </w:rPr>
            </w:pPr>
            <w:r w:rsidRPr="0008061A">
              <w:rPr>
                <w:rFonts w:ascii="Times New Roman" w:hAnsi="Times New Roman"/>
                <w:sz w:val="18"/>
                <w:szCs w:val="18"/>
                <w:lang w:bidi="ar-SA"/>
              </w:rPr>
              <w:t>ppm V</w:t>
            </w:r>
          </w:p>
        </w:tc>
        <w:tc>
          <w:tcPr>
            <w:tcW w:w="1474" w:type="dxa"/>
            <w:tcBorders>
              <w:top w:val="single" w:sz="4" w:space="0" w:color="auto"/>
              <w:bottom w:val="single" w:sz="4" w:space="0" w:color="auto"/>
            </w:tcBorders>
          </w:tcPr>
          <w:p w:rsidR="0008061A" w:rsidRPr="0008061A" w:rsidRDefault="0008061A" w:rsidP="0008061A">
            <w:pPr>
              <w:spacing w:line="240" w:lineRule="auto"/>
              <w:jc w:val="center"/>
              <w:rPr>
                <w:rFonts w:ascii="Times New Roman" w:hAnsi="Times New Roman"/>
                <w:sz w:val="18"/>
                <w:szCs w:val="18"/>
                <w:lang w:bidi="ar-SA"/>
              </w:rPr>
            </w:pPr>
            <w:r w:rsidRPr="0008061A">
              <w:rPr>
                <w:rFonts w:ascii="Times New Roman" w:hAnsi="Times New Roman"/>
                <w:sz w:val="18"/>
                <w:szCs w:val="18"/>
                <w:lang w:bidi="ar-SA"/>
              </w:rPr>
              <w:t>ppm Ni</w:t>
            </w:r>
          </w:p>
        </w:tc>
        <w:tc>
          <w:tcPr>
            <w:tcW w:w="1566" w:type="dxa"/>
            <w:tcBorders>
              <w:top w:val="single" w:sz="4" w:space="0" w:color="auto"/>
              <w:bottom w:val="single" w:sz="4" w:space="0" w:color="auto"/>
            </w:tcBorders>
          </w:tcPr>
          <w:p w:rsidR="0008061A" w:rsidRPr="0008061A" w:rsidRDefault="0008061A" w:rsidP="0008061A">
            <w:pPr>
              <w:spacing w:line="240" w:lineRule="auto"/>
              <w:jc w:val="center"/>
              <w:rPr>
                <w:rFonts w:ascii="Times New Roman" w:hAnsi="Times New Roman"/>
                <w:sz w:val="18"/>
                <w:szCs w:val="18"/>
                <w:lang w:bidi="ar-SA"/>
              </w:rPr>
            </w:pPr>
            <w:r w:rsidRPr="0008061A">
              <w:rPr>
                <w:rFonts w:ascii="Times New Roman" w:hAnsi="Times New Roman"/>
                <w:sz w:val="18"/>
                <w:szCs w:val="18"/>
                <w:lang w:bidi="ar-SA"/>
              </w:rPr>
              <w:t>V/</w:t>
            </w:r>
            <w:proofErr w:type="spellStart"/>
            <w:r w:rsidRPr="0008061A">
              <w:rPr>
                <w:rFonts w:ascii="Times New Roman" w:hAnsi="Times New Roman"/>
                <w:sz w:val="18"/>
                <w:szCs w:val="18"/>
                <w:lang w:bidi="ar-SA"/>
              </w:rPr>
              <w:t>V+Ni</w:t>
            </w:r>
            <w:proofErr w:type="spellEnd"/>
          </w:p>
        </w:tc>
        <w:tc>
          <w:tcPr>
            <w:tcW w:w="1141" w:type="dxa"/>
            <w:tcBorders>
              <w:top w:val="single" w:sz="4" w:space="0" w:color="auto"/>
              <w:bottom w:val="single" w:sz="4" w:space="0" w:color="auto"/>
            </w:tcBorders>
          </w:tcPr>
          <w:p w:rsidR="0008061A" w:rsidRPr="0008061A" w:rsidRDefault="0008061A" w:rsidP="0008061A">
            <w:pPr>
              <w:spacing w:line="240" w:lineRule="auto"/>
              <w:jc w:val="center"/>
              <w:rPr>
                <w:rFonts w:ascii="Times New Roman" w:hAnsi="Times New Roman"/>
                <w:sz w:val="18"/>
                <w:szCs w:val="18"/>
                <w:lang w:bidi="ar-SA"/>
              </w:rPr>
            </w:pPr>
            <w:proofErr w:type="spellStart"/>
            <w:r w:rsidRPr="0008061A">
              <w:rPr>
                <w:rFonts w:ascii="Times New Roman" w:hAnsi="Times New Roman"/>
                <w:sz w:val="18"/>
                <w:szCs w:val="18"/>
                <w:lang w:bidi="ar-SA"/>
              </w:rPr>
              <w:t>Pr</w:t>
            </w:r>
            <w:proofErr w:type="spellEnd"/>
            <w:r w:rsidRPr="0008061A">
              <w:rPr>
                <w:rFonts w:ascii="Times New Roman" w:hAnsi="Times New Roman"/>
                <w:sz w:val="18"/>
                <w:szCs w:val="18"/>
                <w:lang w:bidi="ar-SA"/>
              </w:rPr>
              <w:t>/Ph</w:t>
            </w:r>
          </w:p>
        </w:tc>
      </w:tr>
      <w:tr w:rsidR="0008061A" w:rsidRPr="0008061A" w:rsidTr="00F00C34">
        <w:trPr>
          <w:trHeight w:val="415"/>
        </w:trPr>
        <w:tc>
          <w:tcPr>
            <w:tcW w:w="1365" w:type="dxa"/>
            <w:tcBorders>
              <w:top w:val="single" w:sz="4" w:space="0" w:color="auto"/>
            </w:tcBorders>
          </w:tcPr>
          <w:p w:rsidR="0008061A" w:rsidRPr="0008061A" w:rsidRDefault="0008061A" w:rsidP="0008061A">
            <w:pPr>
              <w:spacing w:line="240" w:lineRule="auto"/>
              <w:jc w:val="center"/>
              <w:rPr>
                <w:rFonts w:ascii="Times New Roman" w:hAnsi="Times New Roman"/>
                <w:sz w:val="18"/>
                <w:szCs w:val="18"/>
                <w:lang w:bidi="ar-SA"/>
              </w:rPr>
            </w:pPr>
            <w:r w:rsidRPr="0008061A">
              <w:rPr>
                <w:rFonts w:ascii="Times New Roman" w:hAnsi="Times New Roman"/>
                <w:sz w:val="18"/>
                <w:szCs w:val="18"/>
                <w:lang w:bidi="ar-SA"/>
              </w:rPr>
              <w:t>21</w:t>
            </w:r>
          </w:p>
        </w:tc>
        <w:tc>
          <w:tcPr>
            <w:tcW w:w="1449" w:type="dxa"/>
            <w:tcBorders>
              <w:top w:val="single" w:sz="4" w:space="0" w:color="auto"/>
            </w:tcBorders>
          </w:tcPr>
          <w:p w:rsidR="0008061A" w:rsidRPr="0008061A" w:rsidRDefault="0008061A" w:rsidP="0008061A">
            <w:pPr>
              <w:spacing w:line="240" w:lineRule="auto"/>
              <w:jc w:val="center"/>
              <w:rPr>
                <w:rFonts w:ascii="Times New Roman" w:hAnsi="Times New Roman"/>
                <w:sz w:val="18"/>
                <w:szCs w:val="18"/>
                <w:lang w:bidi="ar-SA"/>
              </w:rPr>
            </w:pPr>
            <w:r w:rsidRPr="0008061A">
              <w:rPr>
                <w:rFonts w:ascii="Times New Roman" w:hAnsi="Times New Roman"/>
                <w:sz w:val="18"/>
                <w:szCs w:val="18"/>
                <w:lang w:bidi="ar-SA"/>
              </w:rPr>
              <w:t>2.51</w:t>
            </w:r>
          </w:p>
        </w:tc>
        <w:tc>
          <w:tcPr>
            <w:tcW w:w="1472" w:type="dxa"/>
            <w:tcBorders>
              <w:top w:val="single" w:sz="4" w:space="0" w:color="auto"/>
            </w:tcBorders>
          </w:tcPr>
          <w:p w:rsidR="0008061A" w:rsidRPr="0008061A" w:rsidRDefault="0008061A" w:rsidP="0008061A">
            <w:pPr>
              <w:spacing w:line="240" w:lineRule="auto"/>
              <w:jc w:val="center"/>
              <w:rPr>
                <w:rFonts w:ascii="Times New Roman" w:hAnsi="Times New Roman"/>
                <w:sz w:val="18"/>
                <w:szCs w:val="18"/>
                <w:lang w:bidi="ar-SA"/>
              </w:rPr>
            </w:pPr>
            <w:r w:rsidRPr="0008061A">
              <w:rPr>
                <w:rFonts w:ascii="Times New Roman" w:hAnsi="Times New Roman"/>
                <w:sz w:val="18"/>
                <w:szCs w:val="18"/>
                <w:lang w:bidi="ar-SA"/>
              </w:rPr>
              <w:t>134</w:t>
            </w:r>
          </w:p>
        </w:tc>
        <w:tc>
          <w:tcPr>
            <w:tcW w:w="1474" w:type="dxa"/>
            <w:tcBorders>
              <w:top w:val="single" w:sz="4" w:space="0" w:color="auto"/>
            </w:tcBorders>
          </w:tcPr>
          <w:p w:rsidR="0008061A" w:rsidRPr="0008061A" w:rsidRDefault="0008061A" w:rsidP="0008061A">
            <w:pPr>
              <w:spacing w:line="240" w:lineRule="auto"/>
              <w:jc w:val="center"/>
              <w:rPr>
                <w:rFonts w:ascii="Times New Roman" w:hAnsi="Times New Roman"/>
                <w:sz w:val="18"/>
                <w:szCs w:val="18"/>
                <w:lang w:bidi="ar-SA"/>
              </w:rPr>
            </w:pPr>
            <w:r w:rsidRPr="0008061A">
              <w:rPr>
                <w:rFonts w:ascii="Times New Roman" w:hAnsi="Times New Roman"/>
                <w:sz w:val="18"/>
                <w:szCs w:val="18"/>
                <w:lang w:bidi="ar-SA"/>
              </w:rPr>
              <w:t>31</w:t>
            </w:r>
          </w:p>
        </w:tc>
        <w:tc>
          <w:tcPr>
            <w:tcW w:w="1566" w:type="dxa"/>
            <w:tcBorders>
              <w:top w:val="single" w:sz="4" w:space="0" w:color="auto"/>
            </w:tcBorders>
          </w:tcPr>
          <w:p w:rsidR="0008061A" w:rsidRPr="0008061A" w:rsidRDefault="0008061A" w:rsidP="0008061A">
            <w:pPr>
              <w:spacing w:line="240" w:lineRule="auto"/>
              <w:jc w:val="center"/>
              <w:rPr>
                <w:rFonts w:ascii="Times New Roman" w:hAnsi="Times New Roman"/>
                <w:sz w:val="18"/>
                <w:szCs w:val="18"/>
                <w:lang w:bidi="ar-SA"/>
              </w:rPr>
            </w:pPr>
            <w:r w:rsidRPr="0008061A">
              <w:rPr>
                <w:rFonts w:ascii="Times New Roman" w:hAnsi="Times New Roman"/>
                <w:sz w:val="18"/>
                <w:szCs w:val="18"/>
                <w:lang w:bidi="ar-SA"/>
              </w:rPr>
              <w:t>0.81</w:t>
            </w:r>
          </w:p>
        </w:tc>
        <w:tc>
          <w:tcPr>
            <w:tcW w:w="1141" w:type="dxa"/>
            <w:tcBorders>
              <w:top w:val="single" w:sz="4" w:space="0" w:color="auto"/>
            </w:tcBorders>
          </w:tcPr>
          <w:p w:rsidR="0008061A" w:rsidRPr="0008061A" w:rsidRDefault="0008061A" w:rsidP="0008061A">
            <w:pPr>
              <w:spacing w:line="240" w:lineRule="auto"/>
              <w:jc w:val="center"/>
              <w:rPr>
                <w:rFonts w:ascii="Times New Roman" w:hAnsi="Times New Roman"/>
                <w:sz w:val="18"/>
                <w:szCs w:val="18"/>
                <w:lang w:bidi="ar-SA"/>
              </w:rPr>
            </w:pPr>
            <w:r w:rsidRPr="0008061A">
              <w:rPr>
                <w:rFonts w:ascii="Times New Roman" w:hAnsi="Times New Roman"/>
                <w:sz w:val="18"/>
                <w:szCs w:val="18"/>
                <w:lang w:bidi="ar-SA"/>
              </w:rPr>
              <w:t>0.64</w:t>
            </w:r>
          </w:p>
        </w:tc>
      </w:tr>
      <w:tr w:rsidR="0008061A" w:rsidRPr="0008061A" w:rsidTr="00F00C34">
        <w:trPr>
          <w:trHeight w:val="403"/>
        </w:trPr>
        <w:tc>
          <w:tcPr>
            <w:tcW w:w="1365" w:type="dxa"/>
          </w:tcPr>
          <w:p w:rsidR="0008061A" w:rsidRPr="0008061A" w:rsidRDefault="0008061A" w:rsidP="0008061A">
            <w:pPr>
              <w:spacing w:line="240" w:lineRule="auto"/>
              <w:jc w:val="center"/>
              <w:rPr>
                <w:rFonts w:ascii="Times New Roman" w:hAnsi="Times New Roman"/>
                <w:sz w:val="18"/>
                <w:szCs w:val="18"/>
                <w:lang w:bidi="ar-SA"/>
              </w:rPr>
            </w:pPr>
            <w:r w:rsidRPr="0008061A">
              <w:rPr>
                <w:rFonts w:ascii="Times New Roman" w:hAnsi="Times New Roman"/>
                <w:sz w:val="18"/>
                <w:szCs w:val="18"/>
                <w:lang w:bidi="ar-SA"/>
              </w:rPr>
              <w:t>27</w:t>
            </w:r>
          </w:p>
        </w:tc>
        <w:tc>
          <w:tcPr>
            <w:tcW w:w="1449" w:type="dxa"/>
          </w:tcPr>
          <w:p w:rsidR="0008061A" w:rsidRPr="0008061A" w:rsidRDefault="0008061A" w:rsidP="0008061A">
            <w:pPr>
              <w:spacing w:line="240" w:lineRule="auto"/>
              <w:jc w:val="center"/>
              <w:rPr>
                <w:rFonts w:ascii="Times New Roman" w:hAnsi="Times New Roman"/>
                <w:sz w:val="18"/>
                <w:szCs w:val="18"/>
                <w:lang w:bidi="ar-SA"/>
              </w:rPr>
            </w:pPr>
            <w:r w:rsidRPr="0008061A">
              <w:rPr>
                <w:rFonts w:ascii="Times New Roman" w:hAnsi="Times New Roman"/>
                <w:sz w:val="18"/>
                <w:szCs w:val="18"/>
                <w:lang w:bidi="ar-SA"/>
              </w:rPr>
              <w:t>2.11</w:t>
            </w:r>
          </w:p>
        </w:tc>
        <w:tc>
          <w:tcPr>
            <w:tcW w:w="1472" w:type="dxa"/>
          </w:tcPr>
          <w:p w:rsidR="0008061A" w:rsidRPr="0008061A" w:rsidRDefault="0008061A" w:rsidP="0008061A">
            <w:pPr>
              <w:spacing w:line="240" w:lineRule="auto"/>
              <w:jc w:val="center"/>
              <w:rPr>
                <w:rFonts w:ascii="Times New Roman" w:hAnsi="Times New Roman"/>
                <w:sz w:val="18"/>
                <w:szCs w:val="18"/>
                <w:lang w:bidi="ar-SA"/>
              </w:rPr>
            </w:pPr>
            <w:r w:rsidRPr="0008061A">
              <w:rPr>
                <w:rFonts w:ascii="Times New Roman" w:hAnsi="Times New Roman"/>
                <w:sz w:val="18"/>
                <w:szCs w:val="18"/>
                <w:lang w:bidi="ar-SA"/>
              </w:rPr>
              <w:t>35</w:t>
            </w:r>
          </w:p>
        </w:tc>
        <w:tc>
          <w:tcPr>
            <w:tcW w:w="1474" w:type="dxa"/>
          </w:tcPr>
          <w:p w:rsidR="0008061A" w:rsidRPr="0008061A" w:rsidRDefault="0008061A" w:rsidP="0008061A">
            <w:pPr>
              <w:spacing w:line="240" w:lineRule="auto"/>
              <w:jc w:val="center"/>
              <w:rPr>
                <w:rFonts w:ascii="Times New Roman" w:hAnsi="Times New Roman"/>
                <w:sz w:val="18"/>
                <w:szCs w:val="18"/>
                <w:lang w:bidi="ar-SA"/>
              </w:rPr>
            </w:pPr>
            <w:r w:rsidRPr="0008061A">
              <w:rPr>
                <w:rFonts w:ascii="Times New Roman" w:hAnsi="Times New Roman"/>
                <w:sz w:val="18"/>
                <w:szCs w:val="18"/>
                <w:lang w:bidi="ar-SA"/>
              </w:rPr>
              <w:t>7</w:t>
            </w:r>
          </w:p>
        </w:tc>
        <w:tc>
          <w:tcPr>
            <w:tcW w:w="1566" w:type="dxa"/>
          </w:tcPr>
          <w:p w:rsidR="0008061A" w:rsidRPr="0008061A" w:rsidRDefault="0008061A" w:rsidP="0008061A">
            <w:pPr>
              <w:spacing w:line="240" w:lineRule="auto"/>
              <w:jc w:val="center"/>
              <w:rPr>
                <w:rFonts w:ascii="Times New Roman" w:hAnsi="Times New Roman"/>
                <w:sz w:val="18"/>
                <w:szCs w:val="18"/>
                <w:lang w:bidi="ar-SA"/>
              </w:rPr>
            </w:pPr>
            <w:r w:rsidRPr="0008061A">
              <w:rPr>
                <w:rFonts w:ascii="Times New Roman" w:hAnsi="Times New Roman"/>
                <w:sz w:val="18"/>
                <w:szCs w:val="18"/>
                <w:lang w:bidi="ar-SA"/>
              </w:rPr>
              <w:t>0.83</w:t>
            </w:r>
          </w:p>
        </w:tc>
        <w:tc>
          <w:tcPr>
            <w:tcW w:w="1141" w:type="dxa"/>
          </w:tcPr>
          <w:p w:rsidR="0008061A" w:rsidRPr="0008061A" w:rsidRDefault="0008061A" w:rsidP="0008061A">
            <w:pPr>
              <w:spacing w:line="240" w:lineRule="auto"/>
              <w:jc w:val="center"/>
              <w:rPr>
                <w:rFonts w:ascii="Times New Roman" w:hAnsi="Times New Roman"/>
                <w:sz w:val="18"/>
                <w:szCs w:val="18"/>
                <w:lang w:bidi="ar-SA"/>
              </w:rPr>
            </w:pPr>
            <w:r w:rsidRPr="0008061A">
              <w:rPr>
                <w:rFonts w:ascii="Times New Roman" w:hAnsi="Times New Roman"/>
                <w:sz w:val="18"/>
                <w:szCs w:val="18"/>
                <w:lang w:bidi="ar-SA"/>
              </w:rPr>
              <w:t>0.74</w:t>
            </w:r>
          </w:p>
        </w:tc>
      </w:tr>
      <w:tr w:rsidR="0008061A" w:rsidRPr="0008061A" w:rsidTr="00F00C34">
        <w:trPr>
          <w:trHeight w:val="415"/>
        </w:trPr>
        <w:tc>
          <w:tcPr>
            <w:tcW w:w="1365" w:type="dxa"/>
          </w:tcPr>
          <w:p w:rsidR="0008061A" w:rsidRPr="0008061A" w:rsidRDefault="0008061A" w:rsidP="0008061A">
            <w:pPr>
              <w:spacing w:line="240" w:lineRule="auto"/>
              <w:jc w:val="center"/>
              <w:rPr>
                <w:rFonts w:ascii="Times New Roman" w:hAnsi="Times New Roman"/>
                <w:sz w:val="18"/>
                <w:szCs w:val="18"/>
                <w:lang w:bidi="ar-SA"/>
              </w:rPr>
            </w:pPr>
            <w:r w:rsidRPr="0008061A">
              <w:rPr>
                <w:rFonts w:ascii="Times New Roman" w:hAnsi="Times New Roman"/>
                <w:sz w:val="18"/>
                <w:szCs w:val="18"/>
                <w:lang w:bidi="ar-SA"/>
              </w:rPr>
              <w:t>26</w:t>
            </w:r>
          </w:p>
        </w:tc>
        <w:tc>
          <w:tcPr>
            <w:tcW w:w="1449" w:type="dxa"/>
          </w:tcPr>
          <w:p w:rsidR="0008061A" w:rsidRPr="0008061A" w:rsidRDefault="0008061A" w:rsidP="0008061A">
            <w:pPr>
              <w:spacing w:line="240" w:lineRule="auto"/>
              <w:jc w:val="center"/>
              <w:rPr>
                <w:rFonts w:ascii="Times New Roman" w:hAnsi="Times New Roman"/>
                <w:sz w:val="18"/>
                <w:szCs w:val="18"/>
                <w:lang w:bidi="ar-SA"/>
              </w:rPr>
            </w:pPr>
            <w:r w:rsidRPr="0008061A">
              <w:rPr>
                <w:rFonts w:ascii="Times New Roman" w:hAnsi="Times New Roman"/>
                <w:sz w:val="18"/>
                <w:szCs w:val="18"/>
                <w:lang w:bidi="ar-SA"/>
              </w:rPr>
              <w:t>2.19</w:t>
            </w:r>
          </w:p>
        </w:tc>
        <w:tc>
          <w:tcPr>
            <w:tcW w:w="1472" w:type="dxa"/>
          </w:tcPr>
          <w:p w:rsidR="0008061A" w:rsidRPr="0008061A" w:rsidRDefault="0008061A" w:rsidP="0008061A">
            <w:pPr>
              <w:spacing w:line="240" w:lineRule="auto"/>
              <w:jc w:val="center"/>
              <w:rPr>
                <w:rFonts w:ascii="Times New Roman" w:hAnsi="Times New Roman"/>
                <w:sz w:val="18"/>
                <w:szCs w:val="18"/>
                <w:lang w:bidi="ar-SA"/>
              </w:rPr>
            </w:pPr>
            <w:r w:rsidRPr="0008061A">
              <w:rPr>
                <w:rFonts w:ascii="Times New Roman" w:hAnsi="Times New Roman"/>
                <w:sz w:val="18"/>
                <w:szCs w:val="18"/>
                <w:lang w:bidi="ar-SA"/>
              </w:rPr>
              <w:t>27</w:t>
            </w:r>
          </w:p>
        </w:tc>
        <w:tc>
          <w:tcPr>
            <w:tcW w:w="1474" w:type="dxa"/>
          </w:tcPr>
          <w:p w:rsidR="0008061A" w:rsidRPr="0008061A" w:rsidRDefault="0008061A" w:rsidP="0008061A">
            <w:pPr>
              <w:spacing w:line="240" w:lineRule="auto"/>
              <w:jc w:val="center"/>
              <w:rPr>
                <w:rFonts w:ascii="Times New Roman" w:hAnsi="Times New Roman"/>
                <w:sz w:val="18"/>
                <w:szCs w:val="18"/>
                <w:lang w:bidi="ar-SA"/>
              </w:rPr>
            </w:pPr>
            <w:r w:rsidRPr="0008061A">
              <w:rPr>
                <w:rFonts w:ascii="Times New Roman" w:hAnsi="Times New Roman"/>
                <w:sz w:val="18"/>
                <w:szCs w:val="18"/>
                <w:lang w:bidi="ar-SA"/>
              </w:rPr>
              <w:t>13</w:t>
            </w:r>
          </w:p>
        </w:tc>
        <w:tc>
          <w:tcPr>
            <w:tcW w:w="1566" w:type="dxa"/>
          </w:tcPr>
          <w:p w:rsidR="0008061A" w:rsidRPr="0008061A" w:rsidRDefault="0008061A" w:rsidP="0008061A">
            <w:pPr>
              <w:spacing w:line="240" w:lineRule="auto"/>
              <w:jc w:val="center"/>
              <w:rPr>
                <w:rFonts w:ascii="Times New Roman" w:hAnsi="Times New Roman"/>
                <w:sz w:val="18"/>
                <w:szCs w:val="18"/>
                <w:lang w:bidi="ar-SA"/>
              </w:rPr>
            </w:pPr>
            <w:r w:rsidRPr="0008061A">
              <w:rPr>
                <w:rFonts w:ascii="Times New Roman" w:hAnsi="Times New Roman"/>
                <w:sz w:val="18"/>
                <w:szCs w:val="18"/>
                <w:lang w:bidi="ar-SA"/>
              </w:rPr>
              <w:t>0.68</w:t>
            </w:r>
          </w:p>
        </w:tc>
        <w:tc>
          <w:tcPr>
            <w:tcW w:w="1141" w:type="dxa"/>
          </w:tcPr>
          <w:p w:rsidR="0008061A" w:rsidRPr="0008061A" w:rsidRDefault="0008061A" w:rsidP="0008061A">
            <w:pPr>
              <w:spacing w:line="240" w:lineRule="auto"/>
              <w:jc w:val="center"/>
              <w:rPr>
                <w:rFonts w:ascii="Times New Roman" w:hAnsi="Times New Roman"/>
                <w:sz w:val="18"/>
                <w:szCs w:val="18"/>
                <w:lang w:bidi="ar-SA"/>
              </w:rPr>
            </w:pPr>
            <w:r w:rsidRPr="0008061A">
              <w:rPr>
                <w:rFonts w:ascii="Times New Roman" w:hAnsi="Times New Roman"/>
                <w:sz w:val="18"/>
                <w:szCs w:val="18"/>
                <w:lang w:bidi="ar-SA"/>
              </w:rPr>
              <w:t>0.79</w:t>
            </w:r>
          </w:p>
        </w:tc>
      </w:tr>
      <w:tr w:rsidR="0008061A" w:rsidRPr="0008061A" w:rsidTr="00F00C34">
        <w:trPr>
          <w:trHeight w:val="403"/>
        </w:trPr>
        <w:tc>
          <w:tcPr>
            <w:tcW w:w="1365" w:type="dxa"/>
            <w:tcBorders>
              <w:bottom w:val="single" w:sz="4" w:space="0" w:color="auto"/>
            </w:tcBorders>
          </w:tcPr>
          <w:p w:rsidR="0008061A" w:rsidRPr="0008061A" w:rsidRDefault="0008061A" w:rsidP="0008061A">
            <w:pPr>
              <w:spacing w:line="240" w:lineRule="auto"/>
              <w:jc w:val="center"/>
              <w:rPr>
                <w:rFonts w:ascii="Times New Roman" w:hAnsi="Times New Roman"/>
                <w:sz w:val="18"/>
                <w:szCs w:val="18"/>
                <w:lang w:bidi="ar-SA"/>
              </w:rPr>
            </w:pPr>
            <w:r w:rsidRPr="0008061A">
              <w:rPr>
                <w:rFonts w:ascii="Times New Roman" w:hAnsi="Times New Roman"/>
                <w:sz w:val="18"/>
                <w:szCs w:val="18"/>
                <w:lang w:bidi="ar-SA"/>
              </w:rPr>
              <w:t>25</w:t>
            </w:r>
          </w:p>
        </w:tc>
        <w:tc>
          <w:tcPr>
            <w:tcW w:w="1449" w:type="dxa"/>
            <w:tcBorders>
              <w:bottom w:val="single" w:sz="4" w:space="0" w:color="auto"/>
            </w:tcBorders>
          </w:tcPr>
          <w:p w:rsidR="0008061A" w:rsidRPr="0008061A" w:rsidRDefault="0008061A" w:rsidP="0008061A">
            <w:pPr>
              <w:spacing w:line="240" w:lineRule="auto"/>
              <w:jc w:val="center"/>
              <w:rPr>
                <w:rFonts w:ascii="Times New Roman" w:hAnsi="Times New Roman"/>
                <w:sz w:val="18"/>
                <w:szCs w:val="18"/>
                <w:lang w:bidi="ar-SA"/>
              </w:rPr>
            </w:pPr>
            <w:r w:rsidRPr="0008061A">
              <w:rPr>
                <w:rFonts w:ascii="Times New Roman" w:hAnsi="Times New Roman"/>
                <w:sz w:val="18"/>
                <w:szCs w:val="18"/>
                <w:lang w:bidi="ar-SA"/>
              </w:rPr>
              <w:t>1.58</w:t>
            </w:r>
          </w:p>
        </w:tc>
        <w:tc>
          <w:tcPr>
            <w:tcW w:w="1472" w:type="dxa"/>
            <w:tcBorders>
              <w:bottom w:val="single" w:sz="4" w:space="0" w:color="auto"/>
            </w:tcBorders>
          </w:tcPr>
          <w:p w:rsidR="0008061A" w:rsidRPr="0008061A" w:rsidRDefault="0008061A" w:rsidP="0008061A">
            <w:pPr>
              <w:spacing w:line="240" w:lineRule="auto"/>
              <w:jc w:val="center"/>
              <w:rPr>
                <w:rFonts w:ascii="Times New Roman" w:hAnsi="Times New Roman"/>
                <w:sz w:val="18"/>
                <w:szCs w:val="18"/>
                <w:lang w:bidi="ar-SA"/>
              </w:rPr>
            </w:pPr>
            <w:r w:rsidRPr="0008061A">
              <w:rPr>
                <w:rFonts w:ascii="Times New Roman" w:hAnsi="Times New Roman"/>
                <w:sz w:val="18"/>
                <w:szCs w:val="18"/>
                <w:lang w:bidi="ar-SA"/>
              </w:rPr>
              <w:t>23</w:t>
            </w:r>
          </w:p>
        </w:tc>
        <w:tc>
          <w:tcPr>
            <w:tcW w:w="1474" w:type="dxa"/>
            <w:tcBorders>
              <w:bottom w:val="single" w:sz="4" w:space="0" w:color="auto"/>
            </w:tcBorders>
          </w:tcPr>
          <w:p w:rsidR="0008061A" w:rsidRPr="0008061A" w:rsidRDefault="0008061A" w:rsidP="0008061A">
            <w:pPr>
              <w:spacing w:line="240" w:lineRule="auto"/>
              <w:jc w:val="center"/>
              <w:rPr>
                <w:rFonts w:ascii="Times New Roman" w:hAnsi="Times New Roman"/>
                <w:sz w:val="18"/>
                <w:szCs w:val="18"/>
                <w:lang w:bidi="ar-SA"/>
              </w:rPr>
            </w:pPr>
            <w:r w:rsidRPr="0008061A">
              <w:rPr>
                <w:rFonts w:ascii="Times New Roman" w:hAnsi="Times New Roman"/>
                <w:sz w:val="18"/>
                <w:szCs w:val="18"/>
                <w:lang w:bidi="ar-SA"/>
              </w:rPr>
              <w:t>12</w:t>
            </w:r>
          </w:p>
        </w:tc>
        <w:tc>
          <w:tcPr>
            <w:tcW w:w="1566" w:type="dxa"/>
            <w:tcBorders>
              <w:bottom w:val="single" w:sz="4" w:space="0" w:color="auto"/>
            </w:tcBorders>
          </w:tcPr>
          <w:p w:rsidR="0008061A" w:rsidRPr="0008061A" w:rsidRDefault="0008061A" w:rsidP="0008061A">
            <w:pPr>
              <w:spacing w:line="240" w:lineRule="auto"/>
              <w:jc w:val="center"/>
              <w:rPr>
                <w:rFonts w:ascii="Times New Roman" w:hAnsi="Times New Roman"/>
                <w:sz w:val="18"/>
                <w:szCs w:val="18"/>
                <w:lang w:bidi="ar-SA"/>
              </w:rPr>
            </w:pPr>
            <w:r w:rsidRPr="0008061A">
              <w:rPr>
                <w:rFonts w:ascii="Times New Roman" w:hAnsi="Times New Roman"/>
                <w:sz w:val="18"/>
                <w:szCs w:val="18"/>
                <w:lang w:bidi="ar-SA"/>
              </w:rPr>
              <w:t>0.66</w:t>
            </w:r>
          </w:p>
        </w:tc>
        <w:tc>
          <w:tcPr>
            <w:tcW w:w="1141" w:type="dxa"/>
            <w:tcBorders>
              <w:bottom w:val="single" w:sz="4" w:space="0" w:color="auto"/>
            </w:tcBorders>
          </w:tcPr>
          <w:p w:rsidR="0008061A" w:rsidRPr="0008061A" w:rsidRDefault="0008061A" w:rsidP="0008061A">
            <w:pPr>
              <w:spacing w:line="240" w:lineRule="auto"/>
              <w:jc w:val="center"/>
              <w:rPr>
                <w:rFonts w:ascii="Times New Roman" w:hAnsi="Times New Roman"/>
                <w:sz w:val="18"/>
                <w:szCs w:val="18"/>
                <w:lang w:bidi="ar-SA"/>
              </w:rPr>
            </w:pPr>
            <w:r w:rsidRPr="0008061A">
              <w:rPr>
                <w:rFonts w:ascii="Times New Roman" w:hAnsi="Times New Roman"/>
                <w:sz w:val="18"/>
                <w:szCs w:val="18"/>
                <w:lang w:bidi="ar-SA"/>
              </w:rPr>
              <w:t>0.66</w:t>
            </w:r>
          </w:p>
        </w:tc>
      </w:tr>
    </w:tbl>
    <w:p w:rsidR="0008061A" w:rsidRPr="0008061A" w:rsidRDefault="0008061A" w:rsidP="0008061A">
      <w:pPr>
        <w:spacing w:after="160"/>
        <w:rPr>
          <w:rFonts w:ascii="Times New Roman" w:eastAsia="DengXian" w:hAnsi="Times New Roman"/>
          <w:lang w:eastAsia="zh-CN" w:bidi="ar-SA"/>
        </w:rPr>
      </w:pPr>
    </w:p>
    <w:p w:rsidR="0008061A" w:rsidRPr="0008061A" w:rsidRDefault="0008061A" w:rsidP="0008061A">
      <w:pPr>
        <w:spacing w:after="160"/>
        <w:rPr>
          <w:rFonts w:ascii="Times New Roman" w:eastAsia="DengXian" w:hAnsi="Times New Roman"/>
          <w:lang w:eastAsia="zh-CN" w:bidi="ar-SA"/>
        </w:rPr>
      </w:pPr>
      <w:r w:rsidRPr="0008061A">
        <w:rPr>
          <w:rFonts w:ascii="Times New Roman" w:eastAsia="DengXian" w:hAnsi="Times New Roman"/>
          <w:lang w:eastAsia="zh-CN" w:bidi="ar-SA"/>
        </w:rPr>
        <w:lastRenderedPageBreak/>
        <w:tab/>
        <w:t xml:space="preserve">The Middle Eastern oils are also unlike the Mexican oils in that their asphaltene fractions are enriched in </w:t>
      </w:r>
      <w:r w:rsidRPr="0008061A">
        <w:rPr>
          <w:rFonts w:ascii="Times New Roman" w:eastAsia="DengXian" w:hAnsi="Times New Roman"/>
          <w:vertAlign w:val="superscript"/>
          <w:lang w:eastAsia="zh-CN" w:bidi="ar-SA"/>
        </w:rPr>
        <w:t>15</w:t>
      </w:r>
      <w:r w:rsidRPr="0008061A">
        <w:rPr>
          <w:rFonts w:ascii="Times New Roman" w:eastAsia="DengXian" w:hAnsi="Times New Roman"/>
          <w:lang w:eastAsia="zh-CN" w:bidi="ar-SA"/>
        </w:rPr>
        <w:t>N compared to the NSO fractions for each oil. As stated above, the asphaltene fraction is more resilient and less likely to be altered by thermal alteratio</w:t>
      </w:r>
      <w:r w:rsidR="00CA70C0">
        <w:rPr>
          <w:rFonts w:ascii="Times New Roman" w:eastAsia="DengXian" w:hAnsi="Times New Roman"/>
          <w:lang w:eastAsia="zh-CN" w:bidi="ar-SA"/>
        </w:rPr>
        <w:t>n. Macko and Quick, (1986) suggest</w:t>
      </w:r>
      <w:r w:rsidRPr="0008061A">
        <w:rPr>
          <w:rFonts w:ascii="Times New Roman" w:eastAsia="DengXian" w:hAnsi="Times New Roman"/>
          <w:lang w:eastAsia="zh-CN" w:bidi="ar-SA"/>
        </w:rPr>
        <w:t xml:space="preserve"> that the asphaltene selectively removes nitrogen from the kerogen. Because the NSO fraction is more susceptible to thermal alteration, the concentration of nitrogen could be more depleted than in the asphaltene fraction, accounting for the enrichment of </w:t>
      </w:r>
      <w:r w:rsidRPr="0008061A">
        <w:rPr>
          <w:rFonts w:ascii="Times New Roman" w:eastAsia="DengXian" w:hAnsi="Times New Roman"/>
          <w:vertAlign w:val="superscript"/>
          <w:lang w:eastAsia="zh-CN" w:bidi="ar-SA"/>
        </w:rPr>
        <w:t>15</w:t>
      </w:r>
      <w:r w:rsidRPr="0008061A">
        <w:rPr>
          <w:rFonts w:ascii="Times New Roman" w:eastAsia="DengXian" w:hAnsi="Times New Roman"/>
          <w:lang w:eastAsia="zh-CN" w:bidi="ar-SA"/>
        </w:rPr>
        <w:t xml:space="preserve">N in the asphaltene relative to the NSO fraction. </w:t>
      </w:r>
    </w:p>
    <w:p w:rsidR="00AA30BB" w:rsidRDefault="00AA30BB" w:rsidP="008D4F69"/>
    <w:p w:rsidR="00AA30BB" w:rsidRDefault="00AA30BB">
      <w:pPr>
        <w:spacing w:line="240" w:lineRule="auto"/>
      </w:pPr>
      <w:r>
        <w:br w:type="page"/>
      </w:r>
    </w:p>
    <w:p w:rsidR="0008061A" w:rsidRDefault="0008061A" w:rsidP="0008061A">
      <w:pPr>
        <w:rPr>
          <w:rFonts w:ascii="Times New Roman" w:hAnsi="Times New Roman"/>
          <w:i/>
        </w:rPr>
      </w:pPr>
      <w:r w:rsidRPr="003A56A4">
        <w:rPr>
          <w:rFonts w:ascii="Times New Roman" w:hAnsi="Times New Roman"/>
          <w:i/>
        </w:rPr>
        <w:lastRenderedPageBreak/>
        <w:t>Discussion of the δ</w:t>
      </w:r>
      <w:r w:rsidRPr="003A56A4">
        <w:rPr>
          <w:rFonts w:ascii="Times New Roman" w:hAnsi="Times New Roman"/>
          <w:i/>
          <w:vertAlign w:val="superscript"/>
        </w:rPr>
        <w:t>15</w:t>
      </w:r>
      <w:r>
        <w:rPr>
          <w:rFonts w:ascii="Times New Roman" w:hAnsi="Times New Roman"/>
          <w:i/>
        </w:rPr>
        <w:t>N values for the sixty-two crude oils over geologic time.</w:t>
      </w:r>
    </w:p>
    <w:p w:rsidR="0008061A" w:rsidRDefault="0008061A" w:rsidP="0008061A">
      <w:pPr>
        <w:rPr>
          <w:rFonts w:ascii="Times New Roman" w:hAnsi="Times New Roman"/>
        </w:rPr>
      </w:pPr>
      <w:r>
        <w:rPr>
          <w:rFonts w:ascii="Times New Roman" w:hAnsi="Times New Roman"/>
        </w:rPr>
        <w:tab/>
        <w:t>As stated above, t</w:t>
      </w:r>
      <w:r w:rsidRPr="00CC1A34">
        <w:rPr>
          <w:rFonts w:ascii="Times New Roman" w:hAnsi="Times New Roman"/>
        </w:rPr>
        <w:t>he signal of nitrogen isotopes in sedimentary organic matter can improve our understanding of the pa</w:t>
      </w:r>
      <w:r>
        <w:rPr>
          <w:rFonts w:ascii="Times New Roman" w:hAnsi="Times New Roman"/>
        </w:rPr>
        <w:t>st nitrogen cycle (</w:t>
      </w:r>
      <w:r w:rsidR="00A16B4B">
        <w:rPr>
          <w:rFonts w:ascii="Times New Roman" w:hAnsi="Times New Roman"/>
        </w:rPr>
        <w:t>Godfrey &amp; G</w:t>
      </w:r>
      <w:r w:rsidRPr="00CC1A34">
        <w:rPr>
          <w:rFonts w:ascii="Times New Roman" w:hAnsi="Times New Roman"/>
        </w:rPr>
        <w:t xml:space="preserve">lass, 2011; Tesdal et al., 2013; </w:t>
      </w:r>
      <w:proofErr w:type="spellStart"/>
      <w:r w:rsidRPr="00CC1A34">
        <w:rPr>
          <w:rFonts w:ascii="Times New Roman" w:hAnsi="Times New Roman"/>
        </w:rPr>
        <w:t>Saitoh</w:t>
      </w:r>
      <w:proofErr w:type="spellEnd"/>
      <w:r w:rsidRPr="00CC1A34">
        <w:rPr>
          <w:rFonts w:ascii="Times New Roman" w:hAnsi="Times New Roman"/>
        </w:rPr>
        <w:t xml:space="preserve"> et al., 2014)</w:t>
      </w:r>
      <w:r w:rsidRPr="00CC1A34">
        <w:rPr>
          <w:rFonts w:ascii="Times New Roman" w:hAnsi="Times New Roman"/>
          <w:b/>
        </w:rPr>
        <w:t xml:space="preserve"> </w:t>
      </w:r>
      <w:r w:rsidRPr="00CC1A34">
        <w:rPr>
          <w:rFonts w:ascii="Times New Roman" w:hAnsi="Times New Roman"/>
        </w:rPr>
        <w:t>and be used to determine past biochemical cycling in the paleo-oceanographic record</w:t>
      </w:r>
      <w:r>
        <w:rPr>
          <w:rFonts w:ascii="Times New Roman" w:hAnsi="Times New Roman"/>
        </w:rPr>
        <w:t xml:space="preserve">. However, the use of the nitrogen isotopic signal to </w:t>
      </w:r>
      <w:r w:rsidRPr="00CC1A34">
        <w:rPr>
          <w:rFonts w:ascii="Times New Roman" w:hAnsi="Times New Roman"/>
        </w:rPr>
        <w:t xml:space="preserve">reconstruct paleo-environments relies on the preservation of the primary nitrogen isotopic signal (Godfrey &amp; </w:t>
      </w:r>
      <w:r>
        <w:rPr>
          <w:rFonts w:ascii="Times New Roman" w:hAnsi="Times New Roman"/>
        </w:rPr>
        <w:t>Glass, 2011; Quan et al., 2013</w:t>
      </w:r>
      <w:r w:rsidRPr="00CC1A34">
        <w:rPr>
          <w:rFonts w:ascii="Times New Roman" w:hAnsi="Times New Roman"/>
        </w:rPr>
        <w:t xml:space="preserve">). </w:t>
      </w:r>
      <w:r>
        <w:rPr>
          <w:rFonts w:ascii="Times New Roman" w:hAnsi="Times New Roman"/>
        </w:rPr>
        <w:t xml:space="preserve">The thermal maturity study discussed above does not show a systematic enrichment in </w:t>
      </w:r>
      <w:r w:rsidRPr="000309CB">
        <w:rPr>
          <w:rFonts w:ascii="Times New Roman" w:hAnsi="Times New Roman"/>
          <w:vertAlign w:val="superscript"/>
        </w:rPr>
        <w:t>15</w:t>
      </w:r>
      <w:r>
        <w:rPr>
          <w:rFonts w:ascii="Times New Roman" w:hAnsi="Times New Roman"/>
        </w:rPr>
        <w:t>N with increased maturity. Also, Tesdal et al. (2013) found that diagenetic alterations did not eliminate the preservation of nitrogen isotope fractionation variability. Diagenetic overprinting would result in a small standard deviation in δ</w:t>
      </w:r>
      <w:r w:rsidRPr="000309CB">
        <w:rPr>
          <w:rFonts w:ascii="Times New Roman" w:hAnsi="Times New Roman"/>
          <w:vertAlign w:val="superscript"/>
        </w:rPr>
        <w:t>15</w:t>
      </w:r>
      <w:r>
        <w:rPr>
          <w:rFonts w:ascii="Times New Roman" w:hAnsi="Times New Roman"/>
        </w:rPr>
        <w:t xml:space="preserve">N values throughout geologic time, which isn’t observed in </w:t>
      </w:r>
      <w:proofErr w:type="spellStart"/>
      <w:r>
        <w:rPr>
          <w:rFonts w:ascii="Times New Roman" w:hAnsi="Times New Roman"/>
        </w:rPr>
        <w:t>Tesdal’s</w:t>
      </w:r>
      <w:proofErr w:type="spellEnd"/>
      <w:r>
        <w:rPr>
          <w:rFonts w:ascii="Times New Roman" w:hAnsi="Times New Roman"/>
        </w:rPr>
        <w:t xml:space="preserve"> et al. (2013) data or found in this study. Therefore, the primary signal is likely preserved and can be used to understand the nitrogen cycle throughout geologic time. </w:t>
      </w:r>
    </w:p>
    <w:p w:rsidR="0008061A" w:rsidRDefault="0008061A" w:rsidP="0008061A">
      <w:pPr>
        <w:ind w:firstLine="720"/>
        <w:rPr>
          <w:rFonts w:ascii="Times New Roman" w:hAnsi="Times New Roman"/>
          <w:iCs/>
        </w:rPr>
      </w:pPr>
      <w:r>
        <w:rPr>
          <w:rFonts w:ascii="Times New Roman" w:hAnsi="Times New Roman"/>
        </w:rPr>
        <w:t>The δ</w:t>
      </w:r>
      <w:r w:rsidRPr="00F44F74">
        <w:rPr>
          <w:rFonts w:ascii="Times New Roman" w:hAnsi="Times New Roman"/>
          <w:vertAlign w:val="superscript"/>
        </w:rPr>
        <w:t>15</w:t>
      </w:r>
      <w:r>
        <w:rPr>
          <w:rFonts w:ascii="Times New Roman" w:hAnsi="Times New Roman"/>
        </w:rPr>
        <w:t>N values of crude oils derived from source rocks of known geologic age compared to the bulk δ</w:t>
      </w:r>
      <w:r w:rsidRPr="00F44F74">
        <w:rPr>
          <w:rFonts w:ascii="Times New Roman" w:hAnsi="Times New Roman"/>
          <w:vertAlign w:val="superscript"/>
        </w:rPr>
        <w:t>15</w:t>
      </w:r>
      <w:r>
        <w:rPr>
          <w:rFonts w:ascii="Times New Roman" w:hAnsi="Times New Roman"/>
        </w:rPr>
        <w:t>N values previously reported for kerogens and sediments of similar geologic age</w:t>
      </w:r>
      <w:r w:rsidRPr="00F44F74">
        <w:rPr>
          <w:rFonts w:ascii="Times New Roman" w:hAnsi="Times New Roman"/>
          <w:i/>
        </w:rPr>
        <w:t xml:space="preserve"> </w:t>
      </w:r>
      <w:r>
        <w:rPr>
          <w:rFonts w:ascii="Times New Roman" w:hAnsi="Times New Roman"/>
        </w:rPr>
        <w:t>(</w:t>
      </w:r>
      <w:proofErr w:type="spellStart"/>
      <w:r>
        <w:rPr>
          <w:rFonts w:ascii="Times New Roman" w:hAnsi="Times New Roman"/>
          <w:iCs/>
        </w:rPr>
        <w:t>Algeo</w:t>
      </w:r>
      <w:proofErr w:type="spellEnd"/>
      <w:r>
        <w:rPr>
          <w:rFonts w:ascii="Times New Roman" w:hAnsi="Times New Roman"/>
          <w:iCs/>
        </w:rPr>
        <w:t xml:space="preserve"> et al., 2012; </w:t>
      </w:r>
      <w:proofErr w:type="spellStart"/>
      <w:r w:rsidRPr="00F44F74">
        <w:rPr>
          <w:rFonts w:ascii="Times New Roman" w:hAnsi="Times New Roman"/>
          <w:iCs/>
        </w:rPr>
        <w:t>Schoepf</w:t>
      </w:r>
      <w:r>
        <w:rPr>
          <w:rFonts w:ascii="Times New Roman" w:hAnsi="Times New Roman"/>
          <w:iCs/>
        </w:rPr>
        <w:t>er</w:t>
      </w:r>
      <w:proofErr w:type="spellEnd"/>
      <w:r>
        <w:rPr>
          <w:rFonts w:ascii="Times New Roman" w:hAnsi="Times New Roman"/>
          <w:iCs/>
        </w:rPr>
        <w:t xml:space="preserve"> et al., 2012; </w:t>
      </w:r>
      <w:proofErr w:type="spellStart"/>
      <w:r>
        <w:rPr>
          <w:rFonts w:ascii="Times New Roman" w:hAnsi="Times New Roman"/>
          <w:iCs/>
        </w:rPr>
        <w:t>Knies</w:t>
      </w:r>
      <w:proofErr w:type="spellEnd"/>
      <w:r>
        <w:rPr>
          <w:rFonts w:ascii="Times New Roman" w:hAnsi="Times New Roman"/>
          <w:iCs/>
        </w:rPr>
        <w:t xml:space="preserve"> et al., 2013</w:t>
      </w:r>
      <w:r w:rsidRPr="00F44F74">
        <w:rPr>
          <w:rFonts w:ascii="Times New Roman" w:hAnsi="Times New Roman"/>
          <w:iCs/>
        </w:rPr>
        <w:t xml:space="preserve">; </w:t>
      </w:r>
      <w:proofErr w:type="spellStart"/>
      <w:r w:rsidRPr="00F44F74">
        <w:rPr>
          <w:rFonts w:ascii="Times New Roman" w:hAnsi="Times New Roman"/>
          <w:iCs/>
        </w:rPr>
        <w:t>Saitoh</w:t>
      </w:r>
      <w:proofErr w:type="spellEnd"/>
      <w:r w:rsidRPr="00F44F74">
        <w:rPr>
          <w:rFonts w:ascii="Times New Roman" w:hAnsi="Times New Roman"/>
          <w:iCs/>
        </w:rPr>
        <w:t xml:space="preserve"> et al.</w:t>
      </w:r>
      <w:r>
        <w:rPr>
          <w:rFonts w:ascii="Times New Roman" w:hAnsi="Times New Roman"/>
          <w:iCs/>
        </w:rPr>
        <w:t>, 2014</w:t>
      </w:r>
      <w:r w:rsidRPr="00F44F74">
        <w:rPr>
          <w:rFonts w:ascii="Times New Roman" w:hAnsi="Times New Roman"/>
          <w:iCs/>
        </w:rPr>
        <w:t xml:space="preserve">; </w:t>
      </w:r>
      <w:proofErr w:type="spellStart"/>
      <w:r w:rsidRPr="00F44F74">
        <w:rPr>
          <w:rFonts w:ascii="Times New Roman" w:hAnsi="Times New Roman"/>
          <w:iCs/>
        </w:rPr>
        <w:t>Grasby</w:t>
      </w:r>
      <w:proofErr w:type="spellEnd"/>
      <w:r w:rsidRPr="00F44F74">
        <w:rPr>
          <w:rFonts w:ascii="Times New Roman" w:hAnsi="Times New Roman"/>
          <w:iCs/>
        </w:rPr>
        <w:t xml:space="preserve"> et al.</w:t>
      </w:r>
      <w:r>
        <w:rPr>
          <w:rFonts w:ascii="Times New Roman" w:hAnsi="Times New Roman"/>
          <w:iCs/>
        </w:rPr>
        <w:t>, 2015</w:t>
      </w:r>
      <w:r w:rsidRPr="00F44F74">
        <w:rPr>
          <w:rFonts w:ascii="Times New Roman" w:hAnsi="Times New Roman"/>
          <w:iCs/>
        </w:rPr>
        <w:t>; and Stüeken et al.</w:t>
      </w:r>
      <w:r>
        <w:rPr>
          <w:rFonts w:ascii="Times New Roman" w:hAnsi="Times New Roman"/>
          <w:iCs/>
        </w:rPr>
        <w:t xml:space="preserve">, 2015 and references therein) is shown in Figure 23. </w:t>
      </w:r>
      <w:r w:rsidR="00DE78B1">
        <w:rPr>
          <w:rFonts w:ascii="Times New Roman" w:hAnsi="Times New Roman"/>
          <w:iCs/>
        </w:rPr>
        <w:t>The literature curve was constructed by taking an average of</w:t>
      </w:r>
      <w:r w:rsidR="00DE78B1" w:rsidRPr="00DE78B1">
        <w:rPr>
          <w:rFonts w:ascii="Times New Roman" w:hAnsi="Times New Roman"/>
        </w:rPr>
        <w:t xml:space="preserve"> </w:t>
      </w:r>
      <w:r w:rsidR="00DE78B1">
        <w:rPr>
          <w:rFonts w:ascii="Times New Roman" w:hAnsi="Times New Roman"/>
        </w:rPr>
        <w:t>δ</w:t>
      </w:r>
      <w:r w:rsidR="00DE78B1" w:rsidRPr="00F44F74">
        <w:rPr>
          <w:rFonts w:ascii="Times New Roman" w:hAnsi="Times New Roman"/>
          <w:vertAlign w:val="superscript"/>
        </w:rPr>
        <w:t>15</w:t>
      </w:r>
      <w:r w:rsidR="00DE78B1">
        <w:rPr>
          <w:rFonts w:ascii="Times New Roman" w:hAnsi="Times New Roman"/>
        </w:rPr>
        <w:t xml:space="preserve">N values </w:t>
      </w:r>
      <w:r w:rsidR="00DE78B1" w:rsidRPr="00732532">
        <w:rPr>
          <w:rFonts w:ascii="Times New Roman" w:hAnsi="Times New Roman"/>
        </w:rPr>
        <w:t>for</w:t>
      </w:r>
      <w:r w:rsidR="0062521D" w:rsidRPr="00732532">
        <w:rPr>
          <w:rFonts w:ascii="Times New Roman" w:hAnsi="Times New Roman"/>
        </w:rPr>
        <w:t xml:space="preserve"> samples from</w:t>
      </w:r>
      <w:r w:rsidR="00DE78B1" w:rsidRPr="00732532">
        <w:rPr>
          <w:rFonts w:ascii="Times New Roman" w:hAnsi="Times New Roman"/>
        </w:rPr>
        <w:t xml:space="preserve"> each </w:t>
      </w:r>
      <w:proofErr w:type="spellStart"/>
      <w:r w:rsidR="00732532" w:rsidRPr="00732532">
        <w:rPr>
          <w:rFonts w:ascii="Times New Roman" w:hAnsi="Times New Roman"/>
        </w:rPr>
        <w:t>un</w:t>
      </w:r>
      <w:r w:rsidR="0062521D" w:rsidRPr="00732532">
        <w:rPr>
          <w:rFonts w:ascii="Times New Roman" w:hAnsi="Times New Roman"/>
        </w:rPr>
        <w:t>metamorphosed</w:t>
      </w:r>
      <w:proofErr w:type="spellEnd"/>
      <w:r w:rsidR="00DE78B1">
        <w:rPr>
          <w:rFonts w:ascii="Times New Roman" w:hAnsi="Times New Roman"/>
        </w:rPr>
        <w:t xml:space="preserve"> basin and formation</w:t>
      </w:r>
      <w:r w:rsidR="00C462C4">
        <w:rPr>
          <w:rFonts w:ascii="Times New Roman" w:hAnsi="Times New Roman"/>
        </w:rPr>
        <w:t xml:space="preserve"> in the above-mentioned literature. </w:t>
      </w:r>
      <w:r>
        <w:rPr>
          <w:rFonts w:ascii="Times New Roman" w:hAnsi="Times New Roman"/>
          <w:iCs/>
        </w:rPr>
        <w:t xml:space="preserve">The data sets match up well and show similar enrichments and depletions in </w:t>
      </w:r>
      <w:r w:rsidRPr="001C31A0">
        <w:rPr>
          <w:rFonts w:ascii="Times New Roman" w:hAnsi="Times New Roman"/>
          <w:iCs/>
          <w:vertAlign w:val="superscript"/>
        </w:rPr>
        <w:t>15</w:t>
      </w:r>
      <w:r>
        <w:rPr>
          <w:rFonts w:ascii="Times New Roman" w:hAnsi="Times New Roman"/>
          <w:iCs/>
        </w:rPr>
        <w:t xml:space="preserve">N with geologic time. The data sets and trends from the literature also appear to be independent of source rock type.  </w:t>
      </w:r>
    </w:p>
    <w:p w:rsidR="00AA30BB" w:rsidRDefault="0008061A">
      <w:pPr>
        <w:spacing w:line="240" w:lineRule="auto"/>
      </w:pPr>
      <w:r>
        <w:rPr>
          <w:noProof/>
          <w:lang w:bidi="ar-SA"/>
        </w:rPr>
        <w:lastRenderedPageBreak/>
        <mc:AlternateContent>
          <mc:Choice Requires="wps">
            <w:drawing>
              <wp:anchor distT="45720" distB="45720" distL="114300" distR="114300" simplePos="0" relativeHeight="251665408" behindDoc="0" locked="0" layoutInCell="1" allowOverlap="1">
                <wp:simplePos x="0" y="0"/>
                <wp:positionH relativeFrom="margin">
                  <wp:posOffset>-1434465</wp:posOffset>
                </wp:positionH>
                <wp:positionV relativeFrom="paragraph">
                  <wp:posOffset>1447800</wp:posOffset>
                </wp:positionV>
                <wp:extent cx="8256270" cy="5370830"/>
                <wp:effectExtent l="0" t="5080" r="25400" b="2540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256270" cy="5370830"/>
                        </a:xfrm>
                        <a:prstGeom prst="rect">
                          <a:avLst/>
                        </a:prstGeom>
                        <a:solidFill>
                          <a:schemeClr val="bg1"/>
                        </a:solidFill>
                        <a:ln w="9525">
                          <a:solidFill>
                            <a:schemeClr val="bg1"/>
                          </a:solidFill>
                          <a:miter lim="800000"/>
                          <a:headEnd/>
                          <a:tailEnd/>
                        </a:ln>
                      </wps:spPr>
                      <wps:txbx>
                        <w:txbxContent>
                          <w:p w:rsidR="0052763E" w:rsidRPr="0008061A" w:rsidRDefault="0052763E" w:rsidP="0008061A">
                            <w:pPr>
                              <w:keepNext/>
                              <w:spacing w:after="160" w:line="259" w:lineRule="auto"/>
                              <w:rPr>
                                <w:rFonts w:ascii="Calibri" w:eastAsia="DengXian" w:hAnsi="Calibri"/>
                                <w:sz w:val="22"/>
                                <w:szCs w:val="22"/>
                                <w:lang w:eastAsia="zh-CN" w:bidi="ar-SA"/>
                              </w:rPr>
                            </w:pPr>
                            <w:r>
                              <w:rPr>
                                <w:noProof/>
                                <w:lang w:bidi="ar-SA"/>
                              </w:rPr>
                              <w:drawing>
                                <wp:inline distT="0" distB="0" distL="0" distR="0" wp14:anchorId="7CB35A19" wp14:editId="4447238D">
                                  <wp:extent cx="8034074" cy="4627880"/>
                                  <wp:effectExtent l="0" t="0" r="5080" b="1270"/>
                                  <wp:docPr id="2" name="Chart 2">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52763E" w:rsidRPr="00F00C34" w:rsidRDefault="0052763E" w:rsidP="0008061A">
                            <w:pPr>
                              <w:spacing w:after="200" w:line="240" w:lineRule="auto"/>
                              <w:rPr>
                                <w:rFonts w:ascii="Times New Roman" w:eastAsia="DengXian" w:hAnsi="Times New Roman"/>
                                <w:iCs/>
                                <w:sz w:val="21"/>
                                <w:szCs w:val="21"/>
                                <w:lang w:eastAsia="zh-CN" w:bidi="ar-SA"/>
                              </w:rPr>
                            </w:pPr>
                            <w:r w:rsidRPr="00F00C34">
                              <w:rPr>
                                <w:rFonts w:ascii="Times New Roman" w:eastAsia="DengXian" w:hAnsi="Times New Roman"/>
                                <w:b/>
                                <w:iCs/>
                                <w:sz w:val="21"/>
                                <w:szCs w:val="21"/>
                                <w:lang w:eastAsia="zh-CN" w:bidi="ar-SA"/>
                              </w:rPr>
                              <w:t>Figure 22.</w:t>
                            </w:r>
                            <w:r w:rsidRPr="00F00C34">
                              <w:rPr>
                                <w:rFonts w:ascii="Times New Roman" w:eastAsia="DengXian" w:hAnsi="Times New Roman"/>
                                <w:iCs/>
                                <w:sz w:val="21"/>
                                <w:szCs w:val="21"/>
                                <w:lang w:eastAsia="zh-CN" w:bidi="ar-SA"/>
                              </w:rPr>
                              <w:t xml:space="preserve"> The sixty-two-crude oil NSO and asphaltene values compared to </w:t>
                            </w:r>
                            <w:r w:rsidRPr="00F00C34">
                              <w:rPr>
                                <w:rFonts w:ascii="Times New Roman" w:eastAsia="DengXian" w:hAnsi="Times New Roman"/>
                                <w:iCs/>
                                <w:sz w:val="21"/>
                                <w:szCs w:val="21"/>
                                <w:vertAlign w:val="superscript"/>
                                <w:lang w:eastAsia="zh-CN" w:bidi="ar-SA"/>
                              </w:rPr>
                              <w:t>15</w:t>
                            </w:r>
                            <w:r w:rsidRPr="00F00C34">
                              <w:rPr>
                                <w:rFonts w:ascii="Times New Roman" w:eastAsia="DengXian" w:hAnsi="Times New Roman"/>
                                <w:iCs/>
                                <w:sz w:val="21"/>
                                <w:szCs w:val="21"/>
                                <w:lang w:eastAsia="zh-CN" w:bidi="ar-SA"/>
                              </w:rPr>
                              <w:t xml:space="preserve">N values of shales and carbonates found in published literature: </w:t>
                            </w:r>
                            <w:proofErr w:type="spellStart"/>
                            <w:r w:rsidRPr="00F00C34">
                              <w:rPr>
                                <w:rFonts w:ascii="Times New Roman" w:eastAsia="DengXian" w:hAnsi="Times New Roman"/>
                                <w:iCs/>
                                <w:sz w:val="21"/>
                                <w:szCs w:val="21"/>
                                <w:lang w:eastAsia="zh-CN" w:bidi="ar-SA"/>
                              </w:rPr>
                              <w:t>Algeo</w:t>
                            </w:r>
                            <w:proofErr w:type="spellEnd"/>
                            <w:r w:rsidRPr="00F00C34">
                              <w:rPr>
                                <w:rFonts w:ascii="Times New Roman" w:eastAsia="DengXian" w:hAnsi="Times New Roman"/>
                                <w:iCs/>
                                <w:sz w:val="21"/>
                                <w:szCs w:val="21"/>
                                <w:lang w:eastAsia="zh-CN" w:bidi="ar-SA"/>
                              </w:rPr>
                              <w:t xml:space="preserve"> et al., 2012; </w:t>
                            </w:r>
                            <w:proofErr w:type="spellStart"/>
                            <w:r w:rsidRPr="00F00C34">
                              <w:rPr>
                                <w:rFonts w:ascii="Times New Roman" w:eastAsia="DengXian" w:hAnsi="Times New Roman"/>
                                <w:iCs/>
                                <w:sz w:val="21"/>
                                <w:szCs w:val="21"/>
                                <w:lang w:eastAsia="zh-CN" w:bidi="ar-SA"/>
                              </w:rPr>
                              <w:t>Schoepfer</w:t>
                            </w:r>
                            <w:proofErr w:type="spellEnd"/>
                            <w:r w:rsidRPr="00F00C34">
                              <w:rPr>
                                <w:rFonts w:ascii="Times New Roman" w:eastAsia="DengXian" w:hAnsi="Times New Roman"/>
                                <w:iCs/>
                                <w:sz w:val="21"/>
                                <w:szCs w:val="21"/>
                                <w:lang w:eastAsia="zh-CN" w:bidi="ar-SA"/>
                              </w:rPr>
                              <w:t xml:space="preserve"> et al., 2012; </w:t>
                            </w:r>
                            <w:proofErr w:type="spellStart"/>
                            <w:r w:rsidRPr="00F00C34">
                              <w:rPr>
                                <w:rFonts w:ascii="Times New Roman" w:eastAsia="DengXian" w:hAnsi="Times New Roman"/>
                                <w:iCs/>
                                <w:sz w:val="21"/>
                                <w:szCs w:val="21"/>
                                <w:lang w:eastAsia="zh-CN" w:bidi="ar-SA"/>
                              </w:rPr>
                              <w:t>Knies</w:t>
                            </w:r>
                            <w:proofErr w:type="spellEnd"/>
                            <w:r w:rsidRPr="00F00C34">
                              <w:rPr>
                                <w:rFonts w:ascii="Times New Roman" w:eastAsia="DengXian" w:hAnsi="Times New Roman"/>
                                <w:iCs/>
                                <w:sz w:val="21"/>
                                <w:szCs w:val="21"/>
                                <w:lang w:eastAsia="zh-CN" w:bidi="ar-SA"/>
                              </w:rPr>
                              <w:t xml:space="preserve"> et al., 2013; </w:t>
                            </w:r>
                            <w:proofErr w:type="spellStart"/>
                            <w:r w:rsidRPr="00F00C34">
                              <w:rPr>
                                <w:rFonts w:ascii="Times New Roman" w:eastAsia="DengXian" w:hAnsi="Times New Roman"/>
                                <w:iCs/>
                                <w:sz w:val="21"/>
                                <w:szCs w:val="21"/>
                                <w:lang w:eastAsia="zh-CN" w:bidi="ar-SA"/>
                              </w:rPr>
                              <w:t>Saitoh</w:t>
                            </w:r>
                            <w:proofErr w:type="spellEnd"/>
                            <w:r w:rsidRPr="00F00C34">
                              <w:rPr>
                                <w:rFonts w:ascii="Times New Roman" w:eastAsia="DengXian" w:hAnsi="Times New Roman"/>
                                <w:iCs/>
                                <w:sz w:val="21"/>
                                <w:szCs w:val="21"/>
                                <w:lang w:eastAsia="zh-CN" w:bidi="ar-SA"/>
                              </w:rPr>
                              <w:t xml:space="preserve"> et al., 2014; </w:t>
                            </w:r>
                            <w:proofErr w:type="spellStart"/>
                            <w:r w:rsidRPr="00F00C34">
                              <w:rPr>
                                <w:rFonts w:ascii="Times New Roman" w:eastAsia="DengXian" w:hAnsi="Times New Roman"/>
                                <w:iCs/>
                                <w:sz w:val="21"/>
                                <w:szCs w:val="21"/>
                                <w:lang w:eastAsia="zh-CN" w:bidi="ar-SA"/>
                              </w:rPr>
                              <w:t>Grasby</w:t>
                            </w:r>
                            <w:proofErr w:type="spellEnd"/>
                            <w:r w:rsidRPr="00F00C34">
                              <w:rPr>
                                <w:rFonts w:ascii="Times New Roman" w:eastAsia="DengXian" w:hAnsi="Times New Roman"/>
                                <w:iCs/>
                                <w:sz w:val="21"/>
                                <w:szCs w:val="21"/>
                                <w:lang w:eastAsia="zh-CN" w:bidi="ar-SA"/>
                              </w:rPr>
                              <w:t xml:space="preserve"> et al., 2015; and Stüeken et al., 2015 and references therein. Vertical lines represent mass extinction events at the Late Ordovician, Late Devonian, Late Permian, Late Triassic, and the Late Cretaceous, respectively.  </w:t>
                            </w:r>
                          </w:p>
                          <w:p w:rsidR="0052763E" w:rsidRPr="00F00C34" w:rsidRDefault="0052763E">
                            <w:pPr>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112.95pt;margin-top:114pt;width:650.1pt;height:422.9pt;rotation:-90;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" fillcolor="white [3212]" strokecolor="white [3212]">
                <v:textbox>
                  <w:txbxContent>
                    <w:p w:rsidR="0052763E" w:rsidRPr="0008061A" w:rsidRDefault="0052763E" w:rsidP="0008061A">
                      <w:pPr>
                        <w:keepNext/>
                        <w:spacing w:after="160" w:line="259" w:lineRule="auto"/>
                        <w:rPr>
                          <w:rFonts w:ascii="Calibri" w:eastAsia="DengXian" w:hAnsi="Calibri"/>
                          <w:sz w:val="22"/>
                          <w:szCs w:val="22"/>
                          <w:lang w:eastAsia="zh-CN" w:bidi="ar-SA"/>
                        </w:rPr>
                      </w:pPr>
                      <w:r>
                        <w:rPr>
                          <w:noProof/>
                          <w:lang w:bidi="ar-SA"/>
                        </w:rPr>
                        <w:drawing>
                          <wp:inline distT="0" distB="0" distL="0" distR="0" wp14:anchorId="7CB35A19" wp14:editId="4447238D">
                            <wp:extent cx="8034074" cy="4627880"/>
                            <wp:effectExtent l="0" t="0" r="5080" b="1270"/>
                            <wp:docPr id="2" name="Chart 2">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52763E" w:rsidRPr="00F00C34" w:rsidRDefault="0052763E" w:rsidP="0008061A">
                      <w:pPr>
                        <w:spacing w:after="200" w:line="240" w:lineRule="auto"/>
                        <w:rPr>
                          <w:rFonts w:ascii="Times New Roman" w:eastAsia="DengXian" w:hAnsi="Times New Roman"/>
                          <w:iCs/>
                          <w:sz w:val="21"/>
                          <w:szCs w:val="21"/>
                          <w:lang w:eastAsia="zh-CN" w:bidi="ar-SA"/>
                        </w:rPr>
                      </w:pPr>
                      <w:r w:rsidRPr="00F00C34">
                        <w:rPr>
                          <w:rFonts w:ascii="Times New Roman" w:eastAsia="DengXian" w:hAnsi="Times New Roman"/>
                          <w:b/>
                          <w:iCs/>
                          <w:sz w:val="21"/>
                          <w:szCs w:val="21"/>
                          <w:lang w:eastAsia="zh-CN" w:bidi="ar-SA"/>
                        </w:rPr>
                        <w:t>Figure 22.</w:t>
                      </w:r>
                      <w:r w:rsidRPr="00F00C34">
                        <w:rPr>
                          <w:rFonts w:ascii="Times New Roman" w:eastAsia="DengXian" w:hAnsi="Times New Roman"/>
                          <w:iCs/>
                          <w:sz w:val="21"/>
                          <w:szCs w:val="21"/>
                          <w:lang w:eastAsia="zh-CN" w:bidi="ar-SA"/>
                        </w:rPr>
                        <w:t xml:space="preserve"> The sixty-two-crude oil NSO and asphaltene values compared to </w:t>
                      </w:r>
                      <w:r w:rsidRPr="00F00C34">
                        <w:rPr>
                          <w:rFonts w:ascii="Times New Roman" w:eastAsia="DengXian" w:hAnsi="Times New Roman"/>
                          <w:iCs/>
                          <w:sz w:val="21"/>
                          <w:szCs w:val="21"/>
                          <w:vertAlign w:val="superscript"/>
                          <w:lang w:eastAsia="zh-CN" w:bidi="ar-SA"/>
                        </w:rPr>
                        <w:t>15</w:t>
                      </w:r>
                      <w:r w:rsidRPr="00F00C34">
                        <w:rPr>
                          <w:rFonts w:ascii="Times New Roman" w:eastAsia="DengXian" w:hAnsi="Times New Roman"/>
                          <w:iCs/>
                          <w:sz w:val="21"/>
                          <w:szCs w:val="21"/>
                          <w:lang w:eastAsia="zh-CN" w:bidi="ar-SA"/>
                        </w:rPr>
                        <w:t xml:space="preserve">N values of shales and carbonates found in published literature: </w:t>
                      </w:r>
                      <w:proofErr w:type="spellStart"/>
                      <w:r w:rsidRPr="00F00C34">
                        <w:rPr>
                          <w:rFonts w:ascii="Times New Roman" w:eastAsia="DengXian" w:hAnsi="Times New Roman"/>
                          <w:iCs/>
                          <w:sz w:val="21"/>
                          <w:szCs w:val="21"/>
                          <w:lang w:eastAsia="zh-CN" w:bidi="ar-SA"/>
                        </w:rPr>
                        <w:t>Algeo</w:t>
                      </w:r>
                      <w:proofErr w:type="spellEnd"/>
                      <w:r w:rsidRPr="00F00C34">
                        <w:rPr>
                          <w:rFonts w:ascii="Times New Roman" w:eastAsia="DengXian" w:hAnsi="Times New Roman"/>
                          <w:iCs/>
                          <w:sz w:val="21"/>
                          <w:szCs w:val="21"/>
                          <w:lang w:eastAsia="zh-CN" w:bidi="ar-SA"/>
                        </w:rPr>
                        <w:t xml:space="preserve"> et al., 2012; </w:t>
                      </w:r>
                      <w:proofErr w:type="spellStart"/>
                      <w:r w:rsidRPr="00F00C34">
                        <w:rPr>
                          <w:rFonts w:ascii="Times New Roman" w:eastAsia="DengXian" w:hAnsi="Times New Roman"/>
                          <w:iCs/>
                          <w:sz w:val="21"/>
                          <w:szCs w:val="21"/>
                          <w:lang w:eastAsia="zh-CN" w:bidi="ar-SA"/>
                        </w:rPr>
                        <w:t>Schoepfer</w:t>
                      </w:r>
                      <w:proofErr w:type="spellEnd"/>
                      <w:r w:rsidRPr="00F00C34">
                        <w:rPr>
                          <w:rFonts w:ascii="Times New Roman" w:eastAsia="DengXian" w:hAnsi="Times New Roman"/>
                          <w:iCs/>
                          <w:sz w:val="21"/>
                          <w:szCs w:val="21"/>
                          <w:lang w:eastAsia="zh-CN" w:bidi="ar-SA"/>
                        </w:rPr>
                        <w:t xml:space="preserve"> et al., 2012; </w:t>
                      </w:r>
                      <w:proofErr w:type="spellStart"/>
                      <w:r w:rsidRPr="00F00C34">
                        <w:rPr>
                          <w:rFonts w:ascii="Times New Roman" w:eastAsia="DengXian" w:hAnsi="Times New Roman"/>
                          <w:iCs/>
                          <w:sz w:val="21"/>
                          <w:szCs w:val="21"/>
                          <w:lang w:eastAsia="zh-CN" w:bidi="ar-SA"/>
                        </w:rPr>
                        <w:t>Knies</w:t>
                      </w:r>
                      <w:proofErr w:type="spellEnd"/>
                      <w:r w:rsidRPr="00F00C34">
                        <w:rPr>
                          <w:rFonts w:ascii="Times New Roman" w:eastAsia="DengXian" w:hAnsi="Times New Roman"/>
                          <w:iCs/>
                          <w:sz w:val="21"/>
                          <w:szCs w:val="21"/>
                          <w:lang w:eastAsia="zh-CN" w:bidi="ar-SA"/>
                        </w:rPr>
                        <w:t xml:space="preserve"> et al., 2013; </w:t>
                      </w:r>
                      <w:proofErr w:type="spellStart"/>
                      <w:r w:rsidRPr="00F00C34">
                        <w:rPr>
                          <w:rFonts w:ascii="Times New Roman" w:eastAsia="DengXian" w:hAnsi="Times New Roman"/>
                          <w:iCs/>
                          <w:sz w:val="21"/>
                          <w:szCs w:val="21"/>
                          <w:lang w:eastAsia="zh-CN" w:bidi="ar-SA"/>
                        </w:rPr>
                        <w:t>Saitoh</w:t>
                      </w:r>
                      <w:proofErr w:type="spellEnd"/>
                      <w:r w:rsidRPr="00F00C34">
                        <w:rPr>
                          <w:rFonts w:ascii="Times New Roman" w:eastAsia="DengXian" w:hAnsi="Times New Roman"/>
                          <w:iCs/>
                          <w:sz w:val="21"/>
                          <w:szCs w:val="21"/>
                          <w:lang w:eastAsia="zh-CN" w:bidi="ar-SA"/>
                        </w:rPr>
                        <w:t xml:space="preserve"> et al., 2014; </w:t>
                      </w:r>
                      <w:proofErr w:type="spellStart"/>
                      <w:r w:rsidRPr="00F00C34">
                        <w:rPr>
                          <w:rFonts w:ascii="Times New Roman" w:eastAsia="DengXian" w:hAnsi="Times New Roman"/>
                          <w:iCs/>
                          <w:sz w:val="21"/>
                          <w:szCs w:val="21"/>
                          <w:lang w:eastAsia="zh-CN" w:bidi="ar-SA"/>
                        </w:rPr>
                        <w:t>Grasby</w:t>
                      </w:r>
                      <w:proofErr w:type="spellEnd"/>
                      <w:r w:rsidRPr="00F00C34">
                        <w:rPr>
                          <w:rFonts w:ascii="Times New Roman" w:eastAsia="DengXian" w:hAnsi="Times New Roman"/>
                          <w:iCs/>
                          <w:sz w:val="21"/>
                          <w:szCs w:val="21"/>
                          <w:lang w:eastAsia="zh-CN" w:bidi="ar-SA"/>
                        </w:rPr>
                        <w:t xml:space="preserve"> et al., 2015; and Stüeken et al., 2015 and references therein. Vertical lines represent mass extinction events at the Late Ordovician, Late Devonian, Late Permian, Late Triassic, and the Late Cretaceous, respectively.  </w:t>
                      </w:r>
                    </w:p>
                    <w:p w:rsidR="0052763E" w:rsidRPr="00F00C34" w:rsidRDefault="0052763E">
                      <w:pPr>
                        <w:rPr>
                          <w:sz w:val="18"/>
                          <w:szCs w:val="18"/>
                        </w:rPr>
                      </w:pPr>
                    </w:p>
                  </w:txbxContent>
                </v:textbox>
                <w10:wrap type="square" anchorx="margin"/>
              </v:shape>
            </w:pict>
          </mc:Fallback>
        </mc:AlternateContent>
      </w:r>
      <w:r w:rsidR="00AA30BB">
        <w:br w:type="page"/>
      </w:r>
    </w:p>
    <w:p w:rsidR="004B0F1F" w:rsidRPr="001B289A" w:rsidRDefault="004B0F1F" w:rsidP="004B0F1F">
      <w:pPr>
        <w:autoSpaceDE w:val="0"/>
        <w:autoSpaceDN w:val="0"/>
        <w:adjustRightInd w:val="0"/>
        <w:ind w:firstLine="720"/>
        <w:rPr>
          <w:rFonts w:ascii="Times New Roman" w:hAnsi="Times New Roman"/>
        </w:rPr>
      </w:pPr>
      <w:r w:rsidRPr="001B289A">
        <w:rPr>
          <w:rFonts w:ascii="Times New Roman" w:hAnsi="Times New Roman"/>
        </w:rPr>
        <w:lastRenderedPageBreak/>
        <w:t>The oldest samples measured are from the Precambrian/Cambrian. Samples from siliciclastic and carbonate/marl plot similarly for both the NSO and asphaltene from the Precambrian/Cambrian to the Ordovician. The δ</w:t>
      </w:r>
      <w:r w:rsidRPr="001B289A">
        <w:rPr>
          <w:rFonts w:ascii="Times New Roman" w:hAnsi="Times New Roman"/>
          <w:vertAlign w:val="superscript"/>
        </w:rPr>
        <w:t>15</w:t>
      </w:r>
      <w:r w:rsidRPr="001B289A">
        <w:rPr>
          <w:rFonts w:ascii="Times New Roman" w:hAnsi="Times New Roman"/>
        </w:rPr>
        <w:t>N values range from 2.38 to 5.60‰. However, the bulk kerogen data from the literature have older Precambrian δ</w:t>
      </w:r>
      <w:r w:rsidRPr="001B289A">
        <w:rPr>
          <w:rFonts w:ascii="Times New Roman" w:hAnsi="Times New Roman"/>
          <w:vertAlign w:val="superscript"/>
        </w:rPr>
        <w:t>15</w:t>
      </w:r>
      <w:r w:rsidRPr="001B289A">
        <w:rPr>
          <w:rFonts w:ascii="Times New Roman" w:hAnsi="Times New Roman"/>
        </w:rPr>
        <w:t xml:space="preserve">N values that are enriched in </w:t>
      </w:r>
      <w:r w:rsidRPr="001B289A">
        <w:rPr>
          <w:rFonts w:ascii="Times New Roman" w:hAnsi="Times New Roman"/>
          <w:vertAlign w:val="superscript"/>
        </w:rPr>
        <w:t>15</w:t>
      </w:r>
      <w:r w:rsidRPr="001B289A">
        <w:rPr>
          <w:rFonts w:ascii="Times New Roman" w:hAnsi="Times New Roman"/>
        </w:rPr>
        <w:t>N relative to the Cambrian to Ordovician δ</w:t>
      </w:r>
      <w:r w:rsidRPr="001B289A">
        <w:rPr>
          <w:rFonts w:ascii="Times New Roman" w:hAnsi="Times New Roman"/>
          <w:vertAlign w:val="superscript"/>
        </w:rPr>
        <w:t>15</w:t>
      </w:r>
      <w:r w:rsidRPr="001B289A">
        <w:rPr>
          <w:rFonts w:ascii="Times New Roman" w:hAnsi="Times New Roman"/>
        </w:rPr>
        <w:t xml:space="preserve">N values. The depletion </w:t>
      </w:r>
      <w:r>
        <w:rPr>
          <w:rFonts w:ascii="Times New Roman" w:hAnsi="Times New Roman"/>
        </w:rPr>
        <w:t xml:space="preserve">in </w:t>
      </w:r>
      <w:r w:rsidRPr="001B289A">
        <w:rPr>
          <w:rFonts w:ascii="Times New Roman" w:hAnsi="Times New Roman"/>
          <w:vertAlign w:val="superscript"/>
        </w:rPr>
        <w:t>15</w:t>
      </w:r>
      <w:r w:rsidRPr="001B289A">
        <w:rPr>
          <w:rFonts w:ascii="Times New Roman" w:hAnsi="Times New Roman"/>
        </w:rPr>
        <w:t xml:space="preserve">N </w:t>
      </w:r>
      <w:r>
        <w:rPr>
          <w:rFonts w:ascii="Times New Roman" w:hAnsi="Times New Roman"/>
        </w:rPr>
        <w:t>of</w:t>
      </w:r>
      <w:r w:rsidRPr="001B289A">
        <w:rPr>
          <w:rFonts w:ascii="Times New Roman" w:hAnsi="Times New Roman"/>
        </w:rPr>
        <w:t xml:space="preserve"> the Cambrian</w:t>
      </w:r>
      <w:r>
        <w:rPr>
          <w:rFonts w:ascii="Times New Roman" w:hAnsi="Times New Roman"/>
        </w:rPr>
        <w:t xml:space="preserve"> samples is thought to reflect</w:t>
      </w:r>
      <w:r w:rsidRPr="001B289A">
        <w:rPr>
          <w:rFonts w:ascii="Times New Roman" w:hAnsi="Times New Roman"/>
        </w:rPr>
        <w:t xml:space="preserve"> the onset of the Cambrian “explosion” (</w:t>
      </w:r>
      <w:proofErr w:type="spellStart"/>
      <w:r w:rsidRPr="001B289A">
        <w:rPr>
          <w:rFonts w:ascii="Times New Roman" w:hAnsi="Times New Roman"/>
        </w:rPr>
        <w:t>Kikumoto</w:t>
      </w:r>
      <w:proofErr w:type="spellEnd"/>
      <w:r w:rsidRPr="001B289A">
        <w:rPr>
          <w:rFonts w:ascii="Times New Roman" w:hAnsi="Times New Roman"/>
        </w:rPr>
        <w:t xml:space="preserve"> et al., 2014</w:t>
      </w:r>
      <w:r>
        <w:rPr>
          <w:rFonts w:ascii="Times New Roman" w:hAnsi="Times New Roman"/>
        </w:rPr>
        <w:t>; Wang et al., 2015</w:t>
      </w:r>
      <w:r w:rsidRPr="001B289A">
        <w:rPr>
          <w:rFonts w:ascii="Times New Roman" w:hAnsi="Times New Roman"/>
        </w:rPr>
        <w:t>).</w:t>
      </w:r>
      <w:r>
        <w:rPr>
          <w:rFonts w:ascii="Times New Roman" w:hAnsi="Times New Roman"/>
        </w:rPr>
        <w:t xml:space="preserve"> New life, including</w:t>
      </w:r>
      <w:r w:rsidRPr="001B289A">
        <w:rPr>
          <w:rFonts w:ascii="Times New Roman" w:hAnsi="Times New Roman"/>
        </w:rPr>
        <w:t xml:space="preserve"> multicellular animals lead to a more biologically controlled geological record and more sophisticated feedback systems (</w:t>
      </w:r>
      <w:proofErr w:type="spellStart"/>
      <w:r>
        <w:rPr>
          <w:rFonts w:ascii="Times New Roman" w:hAnsi="Times New Roman"/>
        </w:rPr>
        <w:t>Ader</w:t>
      </w:r>
      <w:proofErr w:type="spellEnd"/>
      <w:r>
        <w:rPr>
          <w:rFonts w:ascii="Times New Roman" w:hAnsi="Times New Roman"/>
        </w:rPr>
        <w:t xml:space="preserve"> et al., 2014; </w:t>
      </w:r>
      <w:proofErr w:type="spellStart"/>
      <w:r w:rsidR="00F95643" w:rsidRPr="001B289A">
        <w:rPr>
          <w:rFonts w:ascii="Times New Roman" w:hAnsi="Times New Roman"/>
        </w:rPr>
        <w:t>Cremonese</w:t>
      </w:r>
      <w:proofErr w:type="spellEnd"/>
      <w:r w:rsidR="00F95643" w:rsidRPr="001B289A">
        <w:rPr>
          <w:rFonts w:ascii="Times New Roman" w:hAnsi="Times New Roman"/>
        </w:rPr>
        <w:t xml:space="preserve"> et al., 2013</w:t>
      </w:r>
      <w:r w:rsidR="00F95643">
        <w:rPr>
          <w:rFonts w:ascii="Times New Roman" w:hAnsi="Times New Roman"/>
        </w:rPr>
        <w:t xml:space="preserve">; </w:t>
      </w:r>
      <w:proofErr w:type="spellStart"/>
      <w:r w:rsidR="00F95643">
        <w:rPr>
          <w:rFonts w:ascii="Times New Roman" w:hAnsi="Times New Roman"/>
        </w:rPr>
        <w:t>Cremonese</w:t>
      </w:r>
      <w:proofErr w:type="spellEnd"/>
      <w:r w:rsidR="00F95643">
        <w:rPr>
          <w:rFonts w:ascii="Times New Roman" w:hAnsi="Times New Roman"/>
        </w:rPr>
        <w:t xml:space="preserve"> et al., 2014).</w:t>
      </w:r>
      <w:r w:rsidRPr="001B289A">
        <w:rPr>
          <w:rFonts w:ascii="Times New Roman" w:hAnsi="Times New Roman"/>
        </w:rPr>
        <w:t xml:space="preserve"> A shift to more oxic waters from anoxic waters in the Precambrian would shift nitrate limited waters to nitrate enriched waters (</w:t>
      </w:r>
      <w:proofErr w:type="spellStart"/>
      <w:r w:rsidRPr="001B289A">
        <w:rPr>
          <w:rFonts w:ascii="Times New Roman" w:hAnsi="Times New Roman"/>
        </w:rPr>
        <w:t>Kikumoto</w:t>
      </w:r>
      <w:proofErr w:type="spellEnd"/>
      <w:r w:rsidRPr="001B289A">
        <w:rPr>
          <w:rFonts w:ascii="Times New Roman" w:hAnsi="Times New Roman"/>
        </w:rPr>
        <w:t xml:space="preserve"> et al., 2014). When assimilation of nitrate takes place, the light isotope is preferentially taken up into organic matter, making the organic matter depleted in </w:t>
      </w:r>
      <w:r w:rsidRPr="001B289A">
        <w:rPr>
          <w:rFonts w:ascii="Times New Roman" w:hAnsi="Times New Roman"/>
          <w:vertAlign w:val="superscript"/>
        </w:rPr>
        <w:t>15</w:t>
      </w:r>
      <w:r w:rsidRPr="001B289A">
        <w:rPr>
          <w:rFonts w:ascii="Times New Roman" w:hAnsi="Times New Roman"/>
        </w:rPr>
        <w:t>N, thus decreasing the δ</w:t>
      </w:r>
      <w:r w:rsidRPr="001B289A">
        <w:rPr>
          <w:rFonts w:ascii="Times New Roman" w:hAnsi="Times New Roman"/>
          <w:vertAlign w:val="superscript"/>
        </w:rPr>
        <w:t>15</w:t>
      </w:r>
      <w:r w:rsidRPr="001B289A">
        <w:rPr>
          <w:rFonts w:ascii="Times New Roman" w:hAnsi="Times New Roman"/>
        </w:rPr>
        <w:t>N values (</w:t>
      </w:r>
      <w:proofErr w:type="spellStart"/>
      <w:r w:rsidRPr="001B289A">
        <w:rPr>
          <w:rFonts w:ascii="Times New Roman" w:hAnsi="Times New Roman"/>
        </w:rPr>
        <w:t>Kikumoto</w:t>
      </w:r>
      <w:proofErr w:type="spellEnd"/>
      <w:r w:rsidRPr="001B289A">
        <w:rPr>
          <w:rFonts w:ascii="Times New Roman" w:hAnsi="Times New Roman"/>
        </w:rPr>
        <w:t xml:space="preserve"> et al., 2014). </w:t>
      </w:r>
    </w:p>
    <w:p w:rsidR="004B0F1F" w:rsidRDefault="004B0F1F" w:rsidP="004B0F1F">
      <w:pPr>
        <w:ind w:firstLine="720"/>
        <w:rPr>
          <w:rFonts w:ascii="Times New Roman" w:hAnsi="Times New Roman"/>
        </w:rPr>
      </w:pPr>
      <w:r>
        <w:rPr>
          <w:rFonts w:ascii="Times New Roman" w:hAnsi="Times New Roman"/>
        </w:rPr>
        <w:t xml:space="preserve">Next, the Silurian to Devonian age samples are depleted in </w:t>
      </w:r>
      <w:r w:rsidRPr="00664C6E">
        <w:rPr>
          <w:rFonts w:ascii="Times New Roman" w:hAnsi="Times New Roman"/>
          <w:vertAlign w:val="superscript"/>
        </w:rPr>
        <w:t>15</w:t>
      </w:r>
      <w:r>
        <w:rPr>
          <w:rFonts w:ascii="Times New Roman" w:hAnsi="Times New Roman"/>
        </w:rPr>
        <w:t>N relative to the Cambrian to Ordovician δ</w:t>
      </w:r>
      <w:r w:rsidRPr="007A2C75">
        <w:rPr>
          <w:rFonts w:ascii="Times New Roman" w:hAnsi="Times New Roman"/>
          <w:vertAlign w:val="superscript"/>
        </w:rPr>
        <w:t>15</w:t>
      </w:r>
      <w:r>
        <w:rPr>
          <w:rFonts w:ascii="Times New Roman" w:hAnsi="Times New Roman"/>
        </w:rPr>
        <w:t>N values. S</w:t>
      </w:r>
      <w:r w:rsidRPr="003E7CA6">
        <w:rPr>
          <w:rFonts w:ascii="Times New Roman" w:hAnsi="Times New Roman"/>
        </w:rPr>
        <w:t>iliciclastic and carbonate/marl N</w:t>
      </w:r>
      <w:r>
        <w:rPr>
          <w:rFonts w:ascii="Times New Roman" w:hAnsi="Times New Roman"/>
        </w:rPr>
        <w:t>SO and asphaltene values range</w:t>
      </w:r>
      <w:r w:rsidRPr="003E7CA6">
        <w:rPr>
          <w:rFonts w:ascii="Times New Roman" w:hAnsi="Times New Roman"/>
        </w:rPr>
        <w:t xml:space="preserve"> from -1.30</w:t>
      </w:r>
      <w:r w:rsidRPr="00CC1A34">
        <w:rPr>
          <w:rFonts w:ascii="Times New Roman" w:hAnsi="Times New Roman"/>
        </w:rPr>
        <w:t>‰</w:t>
      </w:r>
      <w:r w:rsidRPr="003E7CA6">
        <w:rPr>
          <w:rFonts w:ascii="Times New Roman" w:hAnsi="Times New Roman"/>
        </w:rPr>
        <w:t xml:space="preserve"> to 2.40‰.</w:t>
      </w:r>
      <w:r>
        <w:rPr>
          <w:rFonts w:ascii="Times New Roman" w:hAnsi="Times New Roman"/>
        </w:rPr>
        <w:t xml:space="preserve"> These values are more consistent with δ</w:t>
      </w:r>
      <w:r w:rsidRPr="00994A92">
        <w:rPr>
          <w:rFonts w:ascii="Times New Roman" w:hAnsi="Times New Roman"/>
          <w:vertAlign w:val="superscript"/>
        </w:rPr>
        <w:t>15</w:t>
      </w:r>
      <w:r>
        <w:rPr>
          <w:rFonts w:ascii="Times New Roman" w:hAnsi="Times New Roman"/>
        </w:rPr>
        <w:t xml:space="preserve">N of atmospheric </w:t>
      </w:r>
      <w:r w:rsidRPr="00994A92">
        <w:rPr>
          <w:rFonts w:ascii="Times New Roman" w:hAnsi="Times New Roman"/>
        </w:rPr>
        <w:t>N</w:t>
      </w:r>
      <w:r w:rsidRPr="00994A92">
        <w:rPr>
          <w:rFonts w:ascii="Times New Roman" w:hAnsi="Times New Roman"/>
          <w:vertAlign w:val="subscript"/>
        </w:rPr>
        <w:t>2</w:t>
      </w:r>
      <w:r>
        <w:rPr>
          <w:rFonts w:ascii="Times New Roman" w:hAnsi="Times New Roman"/>
        </w:rPr>
        <w:t>, except the more enriched asphaltene fraction in sample 54, with a δ</w:t>
      </w:r>
      <w:r w:rsidRPr="00994A92">
        <w:rPr>
          <w:rFonts w:ascii="Times New Roman" w:hAnsi="Times New Roman"/>
          <w:vertAlign w:val="superscript"/>
        </w:rPr>
        <w:t>15</w:t>
      </w:r>
      <w:r>
        <w:rPr>
          <w:rFonts w:ascii="Times New Roman" w:hAnsi="Times New Roman"/>
        </w:rPr>
        <w:t>N value of 1.76</w:t>
      </w:r>
      <w:r w:rsidRPr="00CC1A34">
        <w:rPr>
          <w:rFonts w:ascii="Times New Roman" w:hAnsi="Times New Roman"/>
        </w:rPr>
        <w:t>‰</w:t>
      </w:r>
      <w:r>
        <w:rPr>
          <w:rFonts w:ascii="Times New Roman" w:hAnsi="Times New Roman"/>
        </w:rPr>
        <w:t>, and the more enriched NSO fraction in sample 59, with δ</w:t>
      </w:r>
      <w:r w:rsidRPr="00994A92">
        <w:rPr>
          <w:rFonts w:ascii="Times New Roman" w:hAnsi="Times New Roman"/>
          <w:vertAlign w:val="superscript"/>
        </w:rPr>
        <w:t>15</w:t>
      </w:r>
      <w:r>
        <w:rPr>
          <w:rFonts w:ascii="Times New Roman" w:hAnsi="Times New Roman"/>
        </w:rPr>
        <w:t>N value of 2.40</w:t>
      </w:r>
      <w:r w:rsidRPr="00CC1A34">
        <w:rPr>
          <w:rFonts w:ascii="Times New Roman" w:hAnsi="Times New Roman"/>
        </w:rPr>
        <w:t>‰</w:t>
      </w:r>
      <w:r>
        <w:rPr>
          <w:rFonts w:ascii="Times New Roman" w:hAnsi="Times New Roman"/>
        </w:rPr>
        <w:t>. This would suggest that</w:t>
      </w:r>
      <w:r w:rsidRPr="00994A92">
        <w:rPr>
          <w:rFonts w:ascii="Times New Roman" w:hAnsi="Times New Roman"/>
        </w:rPr>
        <w:t xml:space="preserve"> nitrogen fixation was the main source of biologically available nitrogen</w:t>
      </w:r>
      <w:r>
        <w:rPr>
          <w:rFonts w:ascii="Times New Roman" w:hAnsi="Times New Roman"/>
        </w:rPr>
        <w:t xml:space="preserve"> as nitrogen fixation isotope fractionation is small which result in</w:t>
      </w:r>
      <w:r w:rsidRPr="00CF4744">
        <w:rPr>
          <w:rFonts w:ascii="Times New Roman" w:hAnsi="Times New Roman"/>
        </w:rPr>
        <w:t xml:space="preserve"> </w:t>
      </w:r>
      <w:r>
        <w:rPr>
          <w:rFonts w:ascii="Times New Roman" w:hAnsi="Times New Roman"/>
        </w:rPr>
        <w:t>δ</w:t>
      </w:r>
      <w:r w:rsidRPr="00994A92">
        <w:rPr>
          <w:rFonts w:ascii="Times New Roman" w:hAnsi="Times New Roman"/>
          <w:vertAlign w:val="superscript"/>
        </w:rPr>
        <w:t>15</w:t>
      </w:r>
      <w:r>
        <w:rPr>
          <w:rFonts w:ascii="Times New Roman" w:hAnsi="Times New Roman"/>
        </w:rPr>
        <w:t>N values of -2 to 0</w:t>
      </w:r>
      <w:r w:rsidRPr="00CC1A34">
        <w:rPr>
          <w:rFonts w:ascii="Times New Roman" w:hAnsi="Times New Roman"/>
        </w:rPr>
        <w:t>‰</w:t>
      </w:r>
      <w:r>
        <w:rPr>
          <w:rFonts w:ascii="Times New Roman" w:hAnsi="Times New Roman"/>
        </w:rPr>
        <w:t xml:space="preserve"> (Meckler et al., 2011; </w:t>
      </w:r>
      <w:proofErr w:type="spellStart"/>
      <w:r>
        <w:rPr>
          <w:rFonts w:ascii="Times New Roman" w:hAnsi="Times New Roman"/>
        </w:rPr>
        <w:t>Kilumoto</w:t>
      </w:r>
      <w:proofErr w:type="spellEnd"/>
      <w:r>
        <w:rPr>
          <w:rFonts w:ascii="Times New Roman" w:hAnsi="Times New Roman"/>
        </w:rPr>
        <w:t xml:space="preserve"> et al., 2014; Luo et al., 2016). </w:t>
      </w:r>
    </w:p>
    <w:p w:rsidR="004B0F1F" w:rsidRDefault="004B0F1F" w:rsidP="004B0F1F">
      <w:pPr>
        <w:ind w:firstLine="720"/>
        <w:rPr>
          <w:rFonts w:ascii="Times New Roman" w:hAnsi="Times New Roman"/>
        </w:rPr>
      </w:pPr>
      <w:r>
        <w:rPr>
          <w:rFonts w:ascii="Times New Roman" w:hAnsi="Times New Roman"/>
        </w:rPr>
        <w:lastRenderedPageBreak/>
        <w:t xml:space="preserve">A shift from nitrification and assimilation in oxic waters during the Cambrian and the Ordovician to </w:t>
      </w:r>
      <w:r w:rsidRPr="00994A92">
        <w:rPr>
          <w:rFonts w:ascii="Times New Roman" w:hAnsi="Times New Roman"/>
        </w:rPr>
        <w:t>nitrogen fi</w:t>
      </w:r>
      <w:r>
        <w:rPr>
          <w:rFonts w:ascii="Times New Roman" w:hAnsi="Times New Roman"/>
        </w:rPr>
        <w:t>xation in anoxic waters during the Silurian through the Devonian is thought to have occurred when the Late Ordovician underwent mass extinctions (Zhang et al</w:t>
      </w:r>
      <w:r w:rsidR="00407C66">
        <w:rPr>
          <w:rFonts w:ascii="Times New Roman" w:hAnsi="Times New Roman"/>
        </w:rPr>
        <w:t>.</w:t>
      </w:r>
      <w:r>
        <w:rPr>
          <w:rFonts w:ascii="Times New Roman" w:hAnsi="Times New Roman"/>
        </w:rPr>
        <w:t>, 2009) due to severe climate change causing significant fluctuations in the marine environment (</w:t>
      </w:r>
      <w:proofErr w:type="spellStart"/>
      <w:r>
        <w:rPr>
          <w:rFonts w:ascii="Times New Roman" w:hAnsi="Times New Roman"/>
        </w:rPr>
        <w:t>Melchin</w:t>
      </w:r>
      <w:proofErr w:type="spellEnd"/>
      <w:r>
        <w:rPr>
          <w:rFonts w:ascii="Times New Roman" w:hAnsi="Times New Roman"/>
        </w:rPr>
        <w:t xml:space="preserve"> et al., 2013; Zhou et al</w:t>
      </w:r>
      <w:r w:rsidR="00407C66">
        <w:rPr>
          <w:rFonts w:ascii="Times New Roman" w:hAnsi="Times New Roman"/>
        </w:rPr>
        <w:t>.</w:t>
      </w:r>
      <w:r>
        <w:rPr>
          <w:rFonts w:ascii="Times New Roman" w:hAnsi="Times New Roman"/>
        </w:rPr>
        <w:t xml:space="preserve">, 2015; Luo et al., 2016). Global cooling lead to a short glacial period during the Late Ordovician (Sheehan, 2001; </w:t>
      </w:r>
      <w:proofErr w:type="spellStart"/>
      <w:r>
        <w:rPr>
          <w:rFonts w:ascii="Times New Roman" w:hAnsi="Times New Roman"/>
        </w:rPr>
        <w:t>Melchin</w:t>
      </w:r>
      <w:proofErr w:type="spellEnd"/>
      <w:r>
        <w:rPr>
          <w:rFonts w:ascii="Times New Roman" w:hAnsi="Times New Roman"/>
        </w:rPr>
        <w:t xml:space="preserve"> et al., 2013; Zhou et al., 2015). After glaciation, an onset of rapid global warming resulted in a rapid sea level rise, decreased ocean circulation and intensified the oceanic chemocline contributing to the growth of anoxia in ocean waters (</w:t>
      </w:r>
      <w:proofErr w:type="spellStart"/>
      <w:r>
        <w:rPr>
          <w:rFonts w:ascii="Times New Roman" w:hAnsi="Times New Roman"/>
        </w:rPr>
        <w:t>Melchin</w:t>
      </w:r>
      <w:proofErr w:type="spellEnd"/>
      <w:r>
        <w:rPr>
          <w:rFonts w:ascii="Times New Roman" w:hAnsi="Times New Roman"/>
        </w:rPr>
        <w:t xml:space="preserve"> et al., 2013; Zhou et al., 2015). In stratified anoxic marine environments, </w:t>
      </w:r>
      <w:r>
        <w:rPr>
          <w:rFonts w:ascii="Times New Roman" w:hAnsi="Times New Roman"/>
          <w:color w:val="231F20"/>
        </w:rPr>
        <w:t>n</w:t>
      </w:r>
      <w:r>
        <w:rPr>
          <w:rFonts w:ascii="Times New Roman" w:hAnsi="Times New Roman"/>
        </w:rPr>
        <w:t>itrogen fixation is the dominant process where biologically available fixed nitrogen is scarce due to the</w:t>
      </w:r>
      <w:r w:rsidRPr="004E5211">
        <w:rPr>
          <w:rFonts w:ascii="Times New Roman" w:hAnsi="Times New Roman"/>
        </w:rPr>
        <w:t xml:space="preserve"> significant loss of fixed nitrogen</w:t>
      </w:r>
      <w:r>
        <w:rPr>
          <w:rFonts w:ascii="Times New Roman" w:hAnsi="Times New Roman"/>
        </w:rPr>
        <w:t xml:space="preserve"> </w:t>
      </w:r>
      <w:r w:rsidRPr="004E5211">
        <w:rPr>
          <w:rFonts w:ascii="Times New Roman" w:hAnsi="Times New Roman"/>
        </w:rPr>
        <w:t>through</w:t>
      </w:r>
      <w:r>
        <w:rPr>
          <w:rFonts w:ascii="Times New Roman" w:hAnsi="Times New Roman"/>
        </w:rPr>
        <w:t xml:space="preserve"> the</w:t>
      </w:r>
      <w:r w:rsidRPr="004E5211">
        <w:rPr>
          <w:rFonts w:ascii="Times New Roman" w:hAnsi="Times New Roman"/>
        </w:rPr>
        <w:t xml:space="preserve"> denitrification and anammox processes</w:t>
      </w:r>
      <w:r>
        <w:rPr>
          <w:rFonts w:ascii="Times New Roman" w:hAnsi="Times New Roman"/>
        </w:rPr>
        <w:t xml:space="preserve"> (Luo et al., 2016 and references therein). Low δ</w:t>
      </w:r>
      <w:r w:rsidRPr="00994A92">
        <w:rPr>
          <w:rFonts w:ascii="Times New Roman" w:hAnsi="Times New Roman"/>
          <w:vertAlign w:val="superscript"/>
        </w:rPr>
        <w:t>15</w:t>
      </w:r>
      <w:r>
        <w:rPr>
          <w:rFonts w:ascii="Times New Roman" w:hAnsi="Times New Roman"/>
        </w:rPr>
        <w:t>N values could therefore</w:t>
      </w:r>
      <w:r w:rsidRPr="00066B29">
        <w:rPr>
          <w:rFonts w:ascii="Times New Roman" w:hAnsi="Times New Roman"/>
        </w:rPr>
        <w:t xml:space="preserve"> refl</w:t>
      </w:r>
      <w:r>
        <w:rPr>
          <w:rFonts w:ascii="Times New Roman" w:hAnsi="Times New Roman"/>
        </w:rPr>
        <w:t xml:space="preserve">ect the development </w:t>
      </w:r>
      <w:r w:rsidRPr="00066B29">
        <w:rPr>
          <w:rFonts w:ascii="Times New Roman" w:hAnsi="Times New Roman"/>
        </w:rPr>
        <w:t>of extensive oceanic anoxia during the post-glacial eustatic</w:t>
      </w:r>
      <w:r>
        <w:rPr>
          <w:rFonts w:ascii="Times New Roman" w:hAnsi="Times New Roman"/>
        </w:rPr>
        <w:t xml:space="preserve"> sea level </w:t>
      </w:r>
      <w:r w:rsidRPr="00066B29">
        <w:rPr>
          <w:rFonts w:ascii="Times New Roman" w:hAnsi="Times New Roman"/>
        </w:rPr>
        <w:t>rise</w:t>
      </w:r>
      <w:r>
        <w:rPr>
          <w:rFonts w:ascii="Times New Roman" w:hAnsi="Times New Roman"/>
        </w:rPr>
        <w:t xml:space="preserve"> in the Late Ordovician.</w:t>
      </w:r>
    </w:p>
    <w:p w:rsidR="004B0F1F" w:rsidRDefault="004B0F1F" w:rsidP="00564BAC">
      <w:pPr>
        <w:ind w:firstLine="720"/>
        <w:rPr>
          <w:rFonts w:ascii="Times New Roman" w:hAnsi="Times New Roman"/>
        </w:rPr>
      </w:pPr>
      <w:r>
        <w:rPr>
          <w:rFonts w:ascii="Times New Roman" w:hAnsi="Times New Roman"/>
        </w:rPr>
        <w:t>The Devonian age is also characteristic of anoxic waters (Calvert et al., 1996) and reduced surface- water productivity (</w:t>
      </w:r>
      <w:proofErr w:type="spellStart"/>
      <w:r>
        <w:rPr>
          <w:rFonts w:ascii="Times New Roman" w:hAnsi="Times New Roman"/>
        </w:rPr>
        <w:t>Levman</w:t>
      </w:r>
      <w:proofErr w:type="spellEnd"/>
      <w:r>
        <w:rPr>
          <w:rFonts w:ascii="Times New Roman" w:hAnsi="Times New Roman"/>
        </w:rPr>
        <w:t xml:space="preserve"> and von Bitter, 2002) as observed by low δ</w:t>
      </w:r>
      <w:r w:rsidRPr="00994A92">
        <w:rPr>
          <w:rFonts w:ascii="Times New Roman" w:hAnsi="Times New Roman"/>
          <w:vertAlign w:val="superscript"/>
        </w:rPr>
        <w:t>15</w:t>
      </w:r>
      <w:r>
        <w:rPr>
          <w:rFonts w:ascii="Times New Roman" w:hAnsi="Times New Roman"/>
        </w:rPr>
        <w:t>N values. Again, there was a mass extinction in the Late Devonian (Bingham-</w:t>
      </w:r>
      <w:proofErr w:type="spellStart"/>
      <w:r>
        <w:rPr>
          <w:rFonts w:ascii="Times New Roman" w:hAnsi="Times New Roman"/>
        </w:rPr>
        <w:t>Koslowski</w:t>
      </w:r>
      <w:proofErr w:type="spellEnd"/>
      <w:r>
        <w:rPr>
          <w:rFonts w:ascii="Times New Roman" w:hAnsi="Times New Roman"/>
        </w:rPr>
        <w:t xml:space="preserve"> et al., 2016) thought to have been caused by the extensive anoxia in the water column (Liu et al., 2016 and references therein). As described above, nitrogen fixation is the dominant process in anoxic waters and reflect</w:t>
      </w:r>
      <w:r w:rsidRPr="00CF0664">
        <w:rPr>
          <w:rFonts w:ascii="Times New Roman" w:hAnsi="Times New Roman"/>
        </w:rPr>
        <w:t xml:space="preserve"> </w:t>
      </w:r>
      <w:r>
        <w:rPr>
          <w:rFonts w:ascii="Times New Roman" w:hAnsi="Times New Roman"/>
        </w:rPr>
        <w:t>δ</w:t>
      </w:r>
      <w:r w:rsidRPr="00994A92">
        <w:rPr>
          <w:rFonts w:ascii="Times New Roman" w:hAnsi="Times New Roman"/>
          <w:vertAlign w:val="superscript"/>
        </w:rPr>
        <w:t>15</w:t>
      </w:r>
      <w:r>
        <w:rPr>
          <w:rFonts w:ascii="Times New Roman" w:hAnsi="Times New Roman"/>
        </w:rPr>
        <w:t>N values of -2</w:t>
      </w:r>
      <w:r w:rsidRPr="00CC1A34">
        <w:rPr>
          <w:rFonts w:ascii="Times New Roman" w:hAnsi="Times New Roman"/>
        </w:rPr>
        <w:t>‰</w:t>
      </w:r>
      <w:r>
        <w:rPr>
          <w:rFonts w:ascii="Times New Roman" w:hAnsi="Times New Roman"/>
        </w:rPr>
        <w:t xml:space="preserve"> to 0</w:t>
      </w:r>
      <w:r w:rsidRPr="00CC1A34">
        <w:rPr>
          <w:rFonts w:ascii="Times New Roman" w:hAnsi="Times New Roman"/>
        </w:rPr>
        <w:t>‰</w:t>
      </w:r>
      <w:r>
        <w:rPr>
          <w:rFonts w:ascii="Times New Roman" w:hAnsi="Times New Roman"/>
        </w:rPr>
        <w:t xml:space="preserve"> (</w:t>
      </w:r>
      <w:proofErr w:type="spellStart"/>
      <w:r w:rsidRPr="00994A92">
        <w:rPr>
          <w:rFonts w:ascii="Times New Roman" w:hAnsi="Times New Roman"/>
        </w:rPr>
        <w:t>Strąpo</w:t>
      </w:r>
      <w:r>
        <w:rPr>
          <w:rFonts w:ascii="Times New Roman" w:hAnsi="Times New Roman"/>
        </w:rPr>
        <w:t>ć</w:t>
      </w:r>
      <w:proofErr w:type="spellEnd"/>
      <w:r>
        <w:rPr>
          <w:rFonts w:ascii="Times New Roman" w:hAnsi="Times New Roman"/>
        </w:rPr>
        <w:t xml:space="preserve"> et al., </w:t>
      </w:r>
      <w:r w:rsidRPr="00994A92">
        <w:rPr>
          <w:rFonts w:ascii="Times New Roman" w:hAnsi="Times New Roman"/>
        </w:rPr>
        <w:t>2010</w:t>
      </w:r>
      <w:r>
        <w:rPr>
          <w:rFonts w:ascii="Times New Roman" w:hAnsi="Times New Roman"/>
        </w:rPr>
        <w:t xml:space="preserve">; Meckler et al., 2011; </w:t>
      </w:r>
      <w:proofErr w:type="spellStart"/>
      <w:r>
        <w:rPr>
          <w:rFonts w:ascii="Times New Roman" w:hAnsi="Times New Roman"/>
        </w:rPr>
        <w:t>Kilumoto</w:t>
      </w:r>
      <w:proofErr w:type="spellEnd"/>
      <w:r>
        <w:rPr>
          <w:rFonts w:ascii="Times New Roman" w:hAnsi="Times New Roman"/>
        </w:rPr>
        <w:t xml:space="preserve"> et al., 2014; Luo et al., 2016). Intensification of the marine anoxic water column is generally associated with global </w:t>
      </w:r>
      <w:r>
        <w:rPr>
          <w:rFonts w:ascii="Times New Roman" w:hAnsi="Times New Roman"/>
        </w:rPr>
        <w:lastRenderedPageBreak/>
        <w:t>warming and a more intense oceanic stratification. A compilation of δ</w:t>
      </w:r>
      <w:r w:rsidRPr="00994A92">
        <w:rPr>
          <w:rFonts w:ascii="Times New Roman" w:hAnsi="Times New Roman"/>
          <w:vertAlign w:val="superscript"/>
        </w:rPr>
        <w:t>15</w:t>
      </w:r>
      <w:r>
        <w:rPr>
          <w:rFonts w:ascii="Times New Roman" w:hAnsi="Times New Roman"/>
        </w:rPr>
        <w:t>N values for marine sediments indicated</w:t>
      </w:r>
      <w:r w:rsidR="00B711DA">
        <w:rPr>
          <w:rFonts w:ascii="Times New Roman" w:hAnsi="Times New Roman"/>
        </w:rPr>
        <w:t xml:space="preserve"> that</w:t>
      </w:r>
      <w:r>
        <w:rPr>
          <w:rFonts w:ascii="Times New Roman" w:hAnsi="Times New Roman"/>
        </w:rPr>
        <w:t xml:space="preserve"> greenhouse climates are characterized by low δ</w:t>
      </w:r>
      <w:r w:rsidRPr="00994A92">
        <w:rPr>
          <w:rFonts w:ascii="Times New Roman" w:hAnsi="Times New Roman"/>
          <w:vertAlign w:val="superscript"/>
        </w:rPr>
        <w:t>15</w:t>
      </w:r>
      <w:r>
        <w:rPr>
          <w:rFonts w:ascii="Times New Roman" w:hAnsi="Times New Roman"/>
        </w:rPr>
        <w:t>N values ranging from -2</w:t>
      </w:r>
      <w:r w:rsidRPr="00CC1A34">
        <w:rPr>
          <w:rFonts w:ascii="Times New Roman" w:hAnsi="Times New Roman"/>
        </w:rPr>
        <w:t>‰</w:t>
      </w:r>
      <w:r>
        <w:rPr>
          <w:rFonts w:ascii="Times New Roman" w:hAnsi="Times New Roman"/>
        </w:rPr>
        <w:t xml:space="preserve"> to 2</w:t>
      </w:r>
      <w:r w:rsidRPr="00CC1A34">
        <w:rPr>
          <w:rFonts w:ascii="Times New Roman" w:hAnsi="Times New Roman"/>
        </w:rPr>
        <w:t>‰</w:t>
      </w:r>
      <w:r>
        <w:rPr>
          <w:rFonts w:ascii="Times New Roman" w:hAnsi="Times New Roman"/>
        </w:rPr>
        <w:t xml:space="preserve"> (</w:t>
      </w:r>
      <w:proofErr w:type="spellStart"/>
      <w:r>
        <w:rPr>
          <w:rFonts w:ascii="Times New Roman" w:hAnsi="Times New Roman"/>
        </w:rPr>
        <w:t>Algeo</w:t>
      </w:r>
      <w:proofErr w:type="spellEnd"/>
      <w:r>
        <w:rPr>
          <w:rFonts w:ascii="Times New Roman" w:hAnsi="Times New Roman"/>
        </w:rPr>
        <w:t xml:space="preserve"> et al., 2014). These values fit the values seen in the Devonian of the present study very well. </w:t>
      </w:r>
    </w:p>
    <w:p w:rsidR="00794CBA" w:rsidRDefault="004B0F1F" w:rsidP="004D14F0">
      <w:pPr>
        <w:ind w:firstLine="720"/>
        <w:rPr>
          <w:rFonts w:ascii="Times New Roman" w:hAnsi="Times New Roman"/>
        </w:rPr>
      </w:pPr>
      <w:r>
        <w:rPr>
          <w:rFonts w:ascii="Times New Roman" w:hAnsi="Times New Roman"/>
        </w:rPr>
        <w:t xml:space="preserve">Entering the Upper Mississippian, the samples are enriched in </w:t>
      </w:r>
      <w:r w:rsidRPr="00994A92">
        <w:rPr>
          <w:rFonts w:ascii="Times New Roman" w:hAnsi="Times New Roman"/>
          <w:vertAlign w:val="superscript"/>
        </w:rPr>
        <w:t>15</w:t>
      </w:r>
      <w:r>
        <w:rPr>
          <w:rFonts w:ascii="Times New Roman" w:hAnsi="Times New Roman"/>
        </w:rPr>
        <w:t xml:space="preserve">N relative to the Silurian and Devonian times. The </w:t>
      </w:r>
      <w:r w:rsidRPr="00880594">
        <w:rPr>
          <w:rFonts w:ascii="Times New Roman" w:hAnsi="Times New Roman"/>
        </w:rPr>
        <w:t>samples</w:t>
      </w:r>
      <w:r>
        <w:rPr>
          <w:rFonts w:ascii="Times New Roman" w:hAnsi="Times New Roman"/>
        </w:rPr>
        <w:t xml:space="preserve"> are progressively enriched in </w:t>
      </w:r>
      <w:r w:rsidRPr="00994A92">
        <w:rPr>
          <w:rFonts w:ascii="Times New Roman" w:hAnsi="Times New Roman"/>
          <w:vertAlign w:val="superscript"/>
        </w:rPr>
        <w:t>15</w:t>
      </w:r>
      <w:r>
        <w:rPr>
          <w:rFonts w:ascii="Times New Roman" w:hAnsi="Times New Roman"/>
        </w:rPr>
        <w:t>N with decreasing age until the Late Permian. The δ</w:t>
      </w:r>
      <w:r w:rsidRPr="00994A92">
        <w:rPr>
          <w:rFonts w:ascii="Times New Roman" w:hAnsi="Times New Roman"/>
          <w:vertAlign w:val="superscript"/>
        </w:rPr>
        <w:t>15</w:t>
      </w:r>
      <w:r>
        <w:rPr>
          <w:rFonts w:ascii="Times New Roman" w:hAnsi="Times New Roman"/>
        </w:rPr>
        <w:t xml:space="preserve">N values for this time interval range from </w:t>
      </w:r>
      <w:r w:rsidRPr="003E7CA6">
        <w:rPr>
          <w:rFonts w:ascii="Times New Roman" w:hAnsi="Times New Roman"/>
        </w:rPr>
        <w:t>1.53‰ to 16.00‰</w:t>
      </w:r>
      <w:r w:rsidR="00722FF5">
        <w:rPr>
          <w:rFonts w:ascii="Times New Roman" w:hAnsi="Times New Roman"/>
        </w:rPr>
        <w:t xml:space="preserve"> (Figure 23)</w:t>
      </w:r>
      <w:r>
        <w:rPr>
          <w:rFonts w:ascii="Times New Roman" w:hAnsi="Times New Roman"/>
        </w:rPr>
        <w:t xml:space="preserve">. </w:t>
      </w:r>
      <w:proofErr w:type="spellStart"/>
      <w:r>
        <w:rPr>
          <w:rFonts w:ascii="Times New Roman" w:hAnsi="Times New Roman"/>
        </w:rPr>
        <w:t>Algeo</w:t>
      </w:r>
      <w:proofErr w:type="spellEnd"/>
      <w:r>
        <w:rPr>
          <w:rFonts w:ascii="Times New Roman" w:hAnsi="Times New Roman"/>
        </w:rPr>
        <w:t xml:space="preserve"> et al. (2008) also observed high δ</w:t>
      </w:r>
      <w:r w:rsidRPr="00994A92">
        <w:rPr>
          <w:rFonts w:ascii="Times New Roman" w:hAnsi="Times New Roman"/>
          <w:vertAlign w:val="superscript"/>
        </w:rPr>
        <w:t>15</w:t>
      </w:r>
      <w:r>
        <w:rPr>
          <w:rFonts w:ascii="Times New Roman" w:hAnsi="Times New Roman"/>
        </w:rPr>
        <w:t>N values for bulk sediment (10</w:t>
      </w:r>
      <w:r w:rsidRPr="003E7CA6">
        <w:rPr>
          <w:rFonts w:ascii="Times New Roman" w:hAnsi="Times New Roman"/>
        </w:rPr>
        <w:t>‰</w:t>
      </w:r>
      <w:r>
        <w:rPr>
          <w:rFonts w:ascii="Times New Roman" w:hAnsi="Times New Roman"/>
        </w:rPr>
        <w:t xml:space="preserve"> to 14</w:t>
      </w:r>
      <w:r w:rsidRPr="003E7CA6">
        <w:rPr>
          <w:rFonts w:ascii="Times New Roman" w:hAnsi="Times New Roman"/>
        </w:rPr>
        <w:t>‰</w:t>
      </w:r>
      <w:r>
        <w:rPr>
          <w:rFonts w:ascii="Times New Roman" w:hAnsi="Times New Roman"/>
        </w:rPr>
        <w:t xml:space="preserve">) in the Upper Carboniferous. The nitrogen values indicate a trend towards global cooling and continental glaciation (Liu et al., 2016). </w:t>
      </w:r>
      <w:r w:rsidRPr="00E87DE4">
        <w:rPr>
          <w:rFonts w:ascii="Times New Roman" w:hAnsi="Times New Roman"/>
        </w:rPr>
        <w:t>This is</w:t>
      </w:r>
      <w:r>
        <w:rPr>
          <w:rFonts w:ascii="Times New Roman" w:hAnsi="Times New Roman"/>
        </w:rPr>
        <w:t xml:space="preserve"> also</w:t>
      </w:r>
      <w:r w:rsidRPr="00E87DE4">
        <w:rPr>
          <w:rFonts w:ascii="Times New Roman" w:hAnsi="Times New Roman"/>
        </w:rPr>
        <w:t xml:space="preserve"> supported by </w:t>
      </w:r>
      <w:r>
        <w:rPr>
          <w:rFonts w:ascii="Times New Roman" w:hAnsi="Times New Roman"/>
        </w:rPr>
        <w:t xml:space="preserve">well-preserved </w:t>
      </w:r>
      <w:r w:rsidRPr="00E87DE4">
        <w:rPr>
          <w:rFonts w:ascii="Times New Roman" w:hAnsi="Times New Roman"/>
        </w:rPr>
        <w:t>oxygen isotopes</w:t>
      </w:r>
      <w:r>
        <w:rPr>
          <w:rFonts w:ascii="Times New Roman" w:hAnsi="Times New Roman"/>
        </w:rPr>
        <w:t xml:space="preserve"> that show an enrichment in </w:t>
      </w:r>
      <w:r w:rsidRPr="004F1EF4">
        <w:rPr>
          <w:rFonts w:ascii="Times New Roman" w:hAnsi="Times New Roman"/>
          <w:vertAlign w:val="superscript"/>
        </w:rPr>
        <w:t>18</w:t>
      </w:r>
      <w:r w:rsidR="00B711DA">
        <w:rPr>
          <w:rFonts w:ascii="Times New Roman" w:hAnsi="Times New Roman"/>
        </w:rPr>
        <w:t>O for</w:t>
      </w:r>
      <w:r>
        <w:rPr>
          <w:rFonts w:ascii="Times New Roman" w:hAnsi="Times New Roman"/>
        </w:rPr>
        <w:t xml:space="preserve"> brachiopod calcite, and conodont apatite, reflecting temperature and ice volume effects </w:t>
      </w:r>
      <w:r w:rsidRPr="00E87DE4">
        <w:rPr>
          <w:rFonts w:ascii="Times New Roman" w:hAnsi="Times New Roman"/>
        </w:rPr>
        <w:t>(Saltzman, 2002 and references therein</w:t>
      </w:r>
      <w:r>
        <w:rPr>
          <w:rFonts w:ascii="Times New Roman" w:hAnsi="Times New Roman"/>
        </w:rPr>
        <w:t xml:space="preserve">; Wallace and </w:t>
      </w:r>
      <w:proofErr w:type="spellStart"/>
      <w:r>
        <w:rPr>
          <w:rFonts w:ascii="Times New Roman" w:hAnsi="Times New Roman"/>
        </w:rPr>
        <w:t>Elrick</w:t>
      </w:r>
      <w:proofErr w:type="spellEnd"/>
      <w:r>
        <w:rPr>
          <w:rFonts w:ascii="Times New Roman" w:hAnsi="Times New Roman"/>
        </w:rPr>
        <w:t>, 2014</w:t>
      </w:r>
      <w:r w:rsidRPr="00E87DE4">
        <w:rPr>
          <w:rFonts w:ascii="Times New Roman" w:hAnsi="Times New Roman"/>
        </w:rPr>
        <w:t>)</w:t>
      </w:r>
      <w:r>
        <w:rPr>
          <w:rFonts w:ascii="Times New Roman" w:hAnsi="Times New Roman"/>
        </w:rPr>
        <w:t xml:space="preserve">. </w:t>
      </w:r>
      <w:r w:rsidRPr="00900E1D">
        <w:rPr>
          <w:rFonts w:ascii="Times New Roman" w:hAnsi="Times New Roman"/>
        </w:rPr>
        <w:t xml:space="preserve">An explanation for the enrichment in </w:t>
      </w:r>
      <w:r w:rsidRPr="00900E1D">
        <w:rPr>
          <w:rFonts w:ascii="Times New Roman" w:hAnsi="Times New Roman"/>
          <w:vertAlign w:val="superscript"/>
        </w:rPr>
        <w:t>15</w:t>
      </w:r>
      <w:r w:rsidR="00722FF5" w:rsidRPr="00900E1D">
        <w:rPr>
          <w:rFonts w:ascii="Times New Roman" w:hAnsi="Times New Roman"/>
        </w:rPr>
        <w:t>N could be</w:t>
      </w:r>
      <w:r w:rsidRPr="00900E1D">
        <w:rPr>
          <w:rFonts w:ascii="Times New Roman" w:hAnsi="Times New Roman"/>
        </w:rPr>
        <w:t xml:space="preserve"> eustatic sea level fall related to increased continental ice mass. This would cause a reduction in the amount of denitrification</w:t>
      </w:r>
      <w:r w:rsidR="000324AD" w:rsidRPr="00900E1D">
        <w:rPr>
          <w:rFonts w:ascii="Times New Roman" w:hAnsi="Times New Roman"/>
        </w:rPr>
        <w:t xml:space="preserve"> present in the shelf sediments, and shift the denitrification process into continental slope oxygen minimum zones leading to higher fractionation effects</w:t>
      </w:r>
      <w:r w:rsidRPr="00900E1D">
        <w:rPr>
          <w:rFonts w:ascii="Times New Roman" w:hAnsi="Times New Roman"/>
        </w:rPr>
        <w:t xml:space="preserve"> (Liu et al., 2016). Also, global changes in ocean circulation patterns could have led to strengthened cold-water upwelling on continental margins, creating an expanse of the oxygen-minimum zones. </w:t>
      </w:r>
      <w:r w:rsidR="000324AD" w:rsidRPr="00900E1D">
        <w:rPr>
          <w:rFonts w:ascii="Times New Roman" w:hAnsi="Times New Roman"/>
        </w:rPr>
        <w:t>Anoxic waters from the Devonian period would start to subside, which</w:t>
      </w:r>
      <w:r w:rsidRPr="00900E1D">
        <w:rPr>
          <w:rFonts w:ascii="Times New Roman" w:hAnsi="Times New Roman"/>
        </w:rPr>
        <w:t xml:space="preserve"> would then lead to an increase in water column denitrification and higher δ</w:t>
      </w:r>
      <w:r w:rsidRPr="00900E1D">
        <w:rPr>
          <w:rFonts w:ascii="Times New Roman" w:hAnsi="Times New Roman"/>
          <w:vertAlign w:val="superscript"/>
        </w:rPr>
        <w:t>15</w:t>
      </w:r>
      <w:r w:rsidRPr="00900E1D">
        <w:rPr>
          <w:rFonts w:ascii="Times New Roman" w:hAnsi="Times New Roman"/>
        </w:rPr>
        <w:t>N values</w:t>
      </w:r>
      <w:r>
        <w:rPr>
          <w:rFonts w:ascii="Times New Roman" w:hAnsi="Times New Roman"/>
        </w:rPr>
        <w:t xml:space="preserve"> (</w:t>
      </w:r>
      <w:proofErr w:type="spellStart"/>
      <w:r>
        <w:rPr>
          <w:rFonts w:ascii="Times New Roman" w:hAnsi="Times New Roman"/>
        </w:rPr>
        <w:t>Algeo</w:t>
      </w:r>
      <w:proofErr w:type="spellEnd"/>
      <w:r>
        <w:rPr>
          <w:rFonts w:ascii="Times New Roman" w:hAnsi="Times New Roman"/>
        </w:rPr>
        <w:t xml:space="preserve"> et al., 2008 and references therein; </w:t>
      </w:r>
      <w:proofErr w:type="spellStart"/>
      <w:r>
        <w:rPr>
          <w:rFonts w:ascii="Times New Roman" w:hAnsi="Times New Roman"/>
        </w:rPr>
        <w:t>Schoepfer</w:t>
      </w:r>
      <w:proofErr w:type="spellEnd"/>
      <w:r>
        <w:rPr>
          <w:rFonts w:ascii="Times New Roman" w:hAnsi="Times New Roman"/>
        </w:rPr>
        <w:t xml:space="preserve"> et al., 2012; </w:t>
      </w:r>
      <w:proofErr w:type="spellStart"/>
      <w:r>
        <w:rPr>
          <w:rFonts w:ascii="Times New Roman" w:hAnsi="Times New Roman"/>
        </w:rPr>
        <w:t>Grasby</w:t>
      </w:r>
      <w:proofErr w:type="spellEnd"/>
      <w:r>
        <w:rPr>
          <w:rFonts w:ascii="Times New Roman" w:hAnsi="Times New Roman"/>
        </w:rPr>
        <w:t xml:space="preserve"> et al., 2016; Liu et al., 2016). </w:t>
      </w:r>
      <w:r w:rsidR="003A7D22">
        <w:rPr>
          <w:rFonts w:ascii="Times New Roman" w:hAnsi="Times New Roman"/>
        </w:rPr>
        <w:t>A compilation of δ</w:t>
      </w:r>
      <w:r w:rsidR="003A7D22" w:rsidRPr="00994A92">
        <w:rPr>
          <w:rFonts w:ascii="Times New Roman" w:hAnsi="Times New Roman"/>
          <w:vertAlign w:val="superscript"/>
        </w:rPr>
        <w:t>15</w:t>
      </w:r>
      <w:r w:rsidR="003A7D22">
        <w:rPr>
          <w:rFonts w:ascii="Times New Roman" w:hAnsi="Times New Roman"/>
        </w:rPr>
        <w:t xml:space="preserve">N values for marine sediments indicated that icehouse climates are </w:t>
      </w:r>
    </w:p>
    <w:p w:rsidR="00794CBA" w:rsidRDefault="00F00C34" w:rsidP="00794CBA">
      <w:pPr>
        <w:rPr>
          <w:rFonts w:ascii="Times New Roman" w:hAnsi="Times New Roman"/>
        </w:rPr>
      </w:pPr>
      <w:r w:rsidRPr="00794CBA">
        <w:rPr>
          <w:rFonts w:ascii="Times New Roman" w:hAnsi="Times New Roman"/>
          <w:noProof/>
          <w:lang w:bidi="ar-SA"/>
        </w:rPr>
        <w:lastRenderedPageBreak/>
        <mc:AlternateContent>
          <mc:Choice Requires="wps">
            <w:drawing>
              <wp:anchor distT="45720" distB="45720" distL="114300" distR="114300" simplePos="0" relativeHeight="251669504" behindDoc="0" locked="0" layoutInCell="1" allowOverlap="1">
                <wp:simplePos x="0" y="0"/>
                <wp:positionH relativeFrom="column">
                  <wp:posOffset>-1479550</wp:posOffset>
                </wp:positionH>
                <wp:positionV relativeFrom="paragraph">
                  <wp:posOffset>1485900</wp:posOffset>
                </wp:positionV>
                <wp:extent cx="8343900" cy="5379085"/>
                <wp:effectExtent l="0" t="3493" r="15558" b="15557"/>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343900" cy="5379085"/>
                        </a:xfrm>
                        <a:prstGeom prst="rect">
                          <a:avLst/>
                        </a:prstGeom>
                        <a:solidFill>
                          <a:schemeClr val="bg1"/>
                        </a:solidFill>
                        <a:ln w="9525">
                          <a:solidFill>
                            <a:schemeClr val="bg1"/>
                          </a:solidFill>
                          <a:miter lim="800000"/>
                          <a:headEnd/>
                          <a:tailEnd/>
                        </a:ln>
                      </wps:spPr>
                      <wps:txbx>
                        <w:txbxContent>
                          <w:p w:rsidR="0052763E" w:rsidRDefault="0052763E" w:rsidP="005A020C">
                            <w:pPr>
                              <w:spacing w:line="240" w:lineRule="auto"/>
                            </w:pPr>
                            <w:r>
                              <w:rPr>
                                <w:noProof/>
                                <w:lang w:bidi="ar-SA"/>
                              </w:rPr>
                              <w:drawing>
                                <wp:inline distT="0" distB="0" distL="0" distR="0" wp14:anchorId="468E2F13" wp14:editId="055F57BA">
                                  <wp:extent cx="8175625" cy="5092430"/>
                                  <wp:effectExtent l="0" t="0" r="15875" b="13335"/>
                                  <wp:docPr id="3" name="Chart 3">
                                    <a:extLst xmlns:a="http://schemas.openxmlformats.org/drawingml/2006/main">
                                      <a:ext uri="{FF2B5EF4-FFF2-40B4-BE49-F238E27FC236}">
                                        <a16:creationId xmlns:a16="http://schemas.microsoft.com/office/drawing/2014/main" id="{B831C9D7-119F-45DF-9059-1F638029E8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52763E" w:rsidRDefault="0052763E" w:rsidP="005A020C">
                            <w:pPr>
                              <w:spacing w:line="240" w:lineRule="auto"/>
                            </w:pPr>
                            <w:r w:rsidRPr="005A020C">
                              <w:rPr>
                                <w:b/>
                              </w:rPr>
                              <w:t>Figure 23</w:t>
                            </w:r>
                            <w:r>
                              <w:t xml:space="preserve">. The Upper Mississippian to the Middle Triassic oils of both NSO and asphaltene fractions in high resolution.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116.5pt;margin-top:117pt;width:657pt;height:423.55pt;rotation:-90;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" fillcolor="white [3212]" strokecolor="white [3212]">
                <v:textbox>
                  <w:txbxContent>
                    <w:p w:rsidR="0052763E" w:rsidRDefault="0052763E" w:rsidP="005A020C">
                      <w:pPr>
                        <w:spacing w:line="240" w:lineRule="auto"/>
                      </w:pPr>
                      <w:r>
                        <w:rPr>
                          <w:noProof/>
                          <w:lang w:bidi="ar-SA"/>
                        </w:rPr>
                        <w:drawing>
                          <wp:inline distT="0" distB="0" distL="0" distR="0" wp14:anchorId="468E2F13" wp14:editId="055F57BA">
                            <wp:extent cx="8175625" cy="5092430"/>
                            <wp:effectExtent l="0" t="0" r="15875" b="13335"/>
                            <wp:docPr id="3" name="Chart 3">
                              <a:extLst xmlns:a="http://schemas.openxmlformats.org/drawingml/2006/main">
                                <a:ext uri="{FF2B5EF4-FFF2-40B4-BE49-F238E27FC236}">
                                  <a16:creationId xmlns:a16="http://schemas.microsoft.com/office/drawing/2014/main" id="{B831C9D7-119F-45DF-9059-1F638029E8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52763E" w:rsidRDefault="0052763E" w:rsidP="005A020C">
                      <w:pPr>
                        <w:spacing w:line="240" w:lineRule="auto"/>
                      </w:pPr>
                      <w:r w:rsidRPr="005A020C">
                        <w:rPr>
                          <w:b/>
                        </w:rPr>
                        <w:t>Figure 23</w:t>
                      </w:r>
                      <w:r>
                        <w:t xml:space="preserve">. The Upper Mississippian to the Middle Triassic oils of both NSO and asphaltene fractions in high resolution.  </w:t>
                      </w:r>
                    </w:p>
                  </w:txbxContent>
                </v:textbox>
                <w10:wrap type="square"/>
              </v:shape>
            </w:pict>
          </mc:Fallback>
        </mc:AlternateContent>
      </w:r>
    </w:p>
    <w:p w:rsidR="004B0F1F" w:rsidRDefault="003A7D22" w:rsidP="00794CBA">
      <w:pPr>
        <w:rPr>
          <w:rFonts w:ascii="Times New Roman" w:hAnsi="Times New Roman"/>
        </w:rPr>
      </w:pPr>
      <w:r>
        <w:rPr>
          <w:rFonts w:ascii="Times New Roman" w:hAnsi="Times New Roman"/>
        </w:rPr>
        <w:lastRenderedPageBreak/>
        <w:t>characterized by high δ</w:t>
      </w:r>
      <w:r w:rsidRPr="00994A92">
        <w:rPr>
          <w:rFonts w:ascii="Times New Roman" w:hAnsi="Times New Roman"/>
          <w:vertAlign w:val="superscript"/>
        </w:rPr>
        <w:t>15</w:t>
      </w:r>
      <w:r>
        <w:rPr>
          <w:rFonts w:ascii="Times New Roman" w:hAnsi="Times New Roman"/>
        </w:rPr>
        <w:t>N values ranging from 4</w:t>
      </w:r>
      <w:r w:rsidRPr="00CC1A34">
        <w:rPr>
          <w:rFonts w:ascii="Times New Roman" w:hAnsi="Times New Roman"/>
        </w:rPr>
        <w:t>‰</w:t>
      </w:r>
      <w:r>
        <w:rPr>
          <w:rFonts w:ascii="Times New Roman" w:hAnsi="Times New Roman"/>
        </w:rPr>
        <w:t xml:space="preserve"> to 8</w:t>
      </w:r>
      <w:r w:rsidRPr="00CC1A34">
        <w:rPr>
          <w:rFonts w:ascii="Times New Roman" w:hAnsi="Times New Roman"/>
        </w:rPr>
        <w:t>‰</w:t>
      </w:r>
      <w:r>
        <w:rPr>
          <w:rFonts w:ascii="Times New Roman" w:hAnsi="Times New Roman"/>
        </w:rPr>
        <w:t xml:space="preserve"> (</w:t>
      </w:r>
      <w:proofErr w:type="spellStart"/>
      <w:r>
        <w:rPr>
          <w:rFonts w:ascii="Times New Roman" w:hAnsi="Times New Roman"/>
        </w:rPr>
        <w:t>Algeo</w:t>
      </w:r>
      <w:proofErr w:type="spellEnd"/>
      <w:r>
        <w:rPr>
          <w:rFonts w:ascii="Times New Roman" w:hAnsi="Times New Roman"/>
        </w:rPr>
        <w:t xml:space="preserve"> et al., 2014). </w:t>
      </w:r>
      <w:r w:rsidR="004D14F0" w:rsidRPr="000E2188">
        <w:rPr>
          <w:rFonts w:ascii="Times New Roman" w:hAnsi="Times New Roman"/>
        </w:rPr>
        <w:t>The high variation</w:t>
      </w:r>
      <w:r>
        <w:rPr>
          <w:rFonts w:ascii="Times New Roman" w:hAnsi="Times New Roman"/>
        </w:rPr>
        <w:t xml:space="preserve"> observed</w:t>
      </w:r>
      <w:r w:rsidR="004D14F0" w:rsidRPr="000E2188">
        <w:rPr>
          <w:rFonts w:ascii="Times New Roman" w:hAnsi="Times New Roman"/>
        </w:rPr>
        <w:t xml:space="preserve"> in the δ</w:t>
      </w:r>
      <w:r w:rsidR="004D14F0" w:rsidRPr="000E2188">
        <w:rPr>
          <w:rFonts w:ascii="Times New Roman" w:hAnsi="Times New Roman"/>
          <w:vertAlign w:val="superscript"/>
        </w:rPr>
        <w:t>15</w:t>
      </w:r>
      <w:r w:rsidR="004D14F0" w:rsidRPr="000E2188">
        <w:rPr>
          <w:rFonts w:ascii="Times New Roman" w:hAnsi="Times New Roman"/>
        </w:rPr>
        <w:t>N values during the Upper Mississippian to the Permian</w:t>
      </w:r>
      <w:r w:rsidR="00900E1D" w:rsidRPr="000E2188">
        <w:rPr>
          <w:rFonts w:ascii="Times New Roman" w:hAnsi="Times New Roman"/>
        </w:rPr>
        <w:t xml:space="preserve"> (Figure 23)</w:t>
      </w:r>
      <w:r w:rsidR="004D14F0" w:rsidRPr="000E2188">
        <w:rPr>
          <w:rFonts w:ascii="Times New Roman" w:hAnsi="Times New Roman"/>
        </w:rPr>
        <w:t xml:space="preserve"> could have been caused by the growth and decline of the continental ice mass, which caused global sea level to vary. The δ</w:t>
      </w:r>
      <w:r w:rsidR="004D14F0" w:rsidRPr="000E2188">
        <w:rPr>
          <w:rFonts w:ascii="Times New Roman" w:hAnsi="Times New Roman"/>
          <w:vertAlign w:val="superscript"/>
        </w:rPr>
        <w:t>15</w:t>
      </w:r>
      <w:r w:rsidR="004D14F0" w:rsidRPr="000E2188">
        <w:rPr>
          <w:rFonts w:ascii="Times New Roman" w:hAnsi="Times New Roman"/>
        </w:rPr>
        <w:t>N values</w:t>
      </w:r>
      <w:r>
        <w:rPr>
          <w:rFonts w:ascii="Times New Roman" w:hAnsi="Times New Roman"/>
        </w:rPr>
        <w:t xml:space="preserve"> are thought to peak</w:t>
      </w:r>
      <w:r w:rsidR="004D14F0" w:rsidRPr="000E2188">
        <w:rPr>
          <w:rFonts w:ascii="Times New Roman" w:hAnsi="Times New Roman"/>
        </w:rPr>
        <w:t xml:space="preserve"> in concurrence with deglacial transgression, and</w:t>
      </w:r>
      <w:r>
        <w:rPr>
          <w:rFonts w:ascii="Times New Roman" w:hAnsi="Times New Roman"/>
        </w:rPr>
        <w:t xml:space="preserve"> gradually</w:t>
      </w:r>
      <w:r w:rsidR="004D14F0" w:rsidRPr="000E2188">
        <w:rPr>
          <w:rFonts w:ascii="Times New Roman" w:hAnsi="Times New Roman"/>
        </w:rPr>
        <w:t xml:space="preserve"> return to normal sea values</w:t>
      </w:r>
      <w:r>
        <w:rPr>
          <w:rFonts w:ascii="Times New Roman" w:hAnsi="Times New Roman"/>
        </w:rPr>
        <w:t xml:space="preserve"> (4</w:t>
      </w:r>
      <w:r w:rsidRPr="00CC1A34">
        <w:rPr>
          <w:rFonts w:ascii="Times New Roman" w:hAnsi="Times New Roman"/>
        </w:rPr>
        <w:t>‰</w:t>
      </w:r>
      <w:r>
        <w:rPr>
          <w:rFonts w:ascii="Times New Roman" w:hAnsi="Times New Roman"/>
        </w:rPr>
        <w:t xml:space="preserve"> to 8</w:t>
      </w:r>
      <w:r w:rsidRPr="00CC1A34">
        <w:rPr>
          <w:rFonts w:ascii="Times New Roman" w:hAnsi="Times New Roman"/>
        </w:rPr>
        <w:t>‰</w:t>
      </w:r>
      <w:r>
        <w:rPr>
          <w:rFonts w:ascii="Times New Roman" w:hAnsi="Times New Roman"/>
        </w:rPr>
        <w:t>) before</w:t>
      </w:r>
      <w:r w:rsidR="00900E1D" w:rsidRPr="000E2188">
        <w:rPr>
          <w:rFonts w:ascii="Times New Roman" w:hAnsi="Times New Roman"/>
        </w:rPr>
        <w:t xml:space="preserve"> fully interglacial conditions</w:t>
      </w:r>
      <w:r>
        <w:rPr>
          <w:rFonts w:ascii="Times New Roman" w:hAnsi="Times New Roman"/>
        </w:rPr>
        <w:t xml:space="preserve"> are reached</w:t>
      </w:r>
      <w:r w:rsidR="00900E1D" w:rsidRPr="000E2188">
        <w:rPr>
          <w:rFonts w:ascii="Times New Roman" w:hAnsi="Times New Roman"/>
        </w:rPr>
        <w:t xml:space="preserve"> </w:t>
      </w:r>
      <w:r w:rsidR="004D14F0">
        <w:rPr>
          <w:rFonts w:ascii="Times New Roman" w:hAnsi="Times New Roman"/>
        </w:rPr>
        <w:t>(</w:t>
      </w:r>
      <w:proofErr w:type="spellStart"/>
      <w:r w:rsidR="004D14F0">
        <w:rPr>
          <w:rFonts w:ascii="Times New Roman" w:hAnsi="Times New Roman"/>
        </w:rPr>
        <w:t>Algeo</w:t>
      </w:r>
      <w:proofErr w:type="spellEnd"/>
      <w:r w:rsidR="004D14F0">
        <w:rPr>
          <w:rFonts w:ascii="Times New Roman" w:hAnsi="Times New Roman"/>
        </w:rPr>
        <w:t xml:space="preserve"> et al., 2008</w:t>
      </w:r>
      <w:r w:rsidR="00900E1D">
        <w:rPr>
          <w:rFonts w:ascii="Times New Roman" w:hAnsi="Times New Roman"/>
        </w:rPr>
        <w:t>)</w:t>
      </w:r>
      <w:r w:rsidR="004D14F0">
        <w:rPr>
          <w:rFonts w:ascii="Times New Roman" w:hAnsi="Times New Roman"/>
        </w:rPr>
        <w:t>.</w:t>
      </w:r>
    </w:p>
    <w:p w:rsidR="004B0F1F" w:rsidRDefault="004B0F1F" w:rsidP="004B0F1F">
      <w:pPr>
        <w:ind w:firstLine="720"/>
        <w:rPr>
          <w:rFonts w:ascii="Times New Roman" w:hAnsi="Times New Roman"/>
        </w:rPr>
      </w:pPr>
      <w:r>
        <w:rPr>
          <w:rFonts w:ascii="Times New Roman" w:hAnsi="Times New Roman"/>
        </w:rPr>
        <w:t>After the Late Permian, a progressive decrease in the δ15N values continues until the Neogene.  The Late Permian extinction could have caused the fall in δ</w:t>
      </w:r>
      <w:r w:rsidRPr="00994A92">
        <w:rPr>
          <w:rFonts w:ascii="Times New Roman" w:hAnsi="Times New Roman"/>
          <w:vertAlign w:val="superscript"/>
        </w:rPr>
        <w:t>15</w:t>
      </w:r>
      <w:r>
        <w:rPr>
          <w:rFonts w:ascii="Times New Roman" w:hAnsi="Times New Roman"/>
        </w:rPr>
        <w:t>N values in the Triassic period. The Late Permian extinction is characterized by being the worst mass extinction in Earth history (</w:t>
      </w:r>
      <w:proofErr w:type="spellStart"/>
      <w:r>
        <w:rPr>
          <w:rFonts w:ascii="Times New Roman" w:hAnsi="Times New Roman"/>
        </w:rPr>
        <w:t>Schoepfer</w:t>
      </w:r>
      <w:proofErr w:type="spellEnd"/>
      <w:r>
        <w:rPr>
          <w:rFonts w:ascii="Times New Roman" w:hAnsi="Times New Roman"/>
        </w:rPr>
        <w:t xml:space="preserve"> et al., 2012;</w:t>
      </w:r>
      <w:r w:rsidRPr="001B2B7A">
        <w:rPr>
          <w:rFonts w:ascii="Times New Roman" w:hAnsi="Times New Roman"/>
        </w:rPr>
        <w:t xml:space="preserve"> </w:t>
      </w:r>
      <w:proofErr w:type="spellStart"/>
      <w:r>
        <w:rPr>
          <w:rFonts w:ascii="Times New Roman" w:hAnsi="Times New Roman"/>
        </w:rPr>
        <w:t>Grasby</w:t>
      </w:r>
      <w:proofErr w:type="spellEnd"/>
      <w:r>
        <w:rPr>
          <w:rFonts w:ascii="Times New Roman" w:hAnsi="Times New Roman"/>
        </w:rPr>
        <w:t xml:space="preserve"> et al., 2015; </w:t>
      </w:r>
      <w:proofErr w:type="spellStart"/>
      <w:r>
        <w:rPr>
          <w:rFonts w:ascii="Times New Roman" w:hAnsi="Times New Roman"/>
        </w:rPr>
        <w:t>Grasby</w:t>
      </w:r>
      <w:proofErr w:type="spellEnd"/>
      <w:r>
        <w:rPr>
          <w:rFonts w:ascii="Times New Roman" w:hAnsi="Times New Roman"/>
        </w:rPr>
        <w:t xml:space="preserve"> et al., 2016) which eliminated 90% of marine species and 70% of terrestrial species (Luo et al., 2011; </w:t>
      </w:r>
      <w:proofErr w:type="spellStart"/>
      <w:r>
        <w:rPr>
          <w:rFonts w:ascii="Times New Roman" w:hAnsi="Times New Roman"/>
        </w:rPr>
        <w:t>Grasby</w:t>
      </w:r>
      <w:proofErr w:type="spellEnd"/>
      <w:r>
        <w:rPr>
          <w:rFonts w:ascii="Times New Roman" w:hAnsi="Times New Roman"/>
        </w:rPr>
        <w:t xml:space="preserve"> et al., 2015). The cause of the extinction is thought to have occurred with the eruption of the Siberian Traps (</w:t>
      </w:r>
      <w:proofErr w:type="spellStart"/>
      <w:r>
        <w:rPr>
          <w:rFonts w:ascii="Times New Roman" w:hAnsi="Times New Roman"/>
        </w:rPr>
        <w:t>Schoepfer</w:t>
      </w:r>
      <w:proofErr w:type="spellEnd"/>
      <w:r>
        <w:rPr>
          <w:rFonts w:ascii="Times New Roman" w:hAnsi="Times New Roman"/>
        </w:rPr>
        <w:t xml:space="preserve"> et al., 2012; Sun et al., 2012; </w:t>
      </w:r>
      <w:proofErr w:type="spellStart"/>
      <w:r>
        <w:rPr>
          <w:rFonts w:ascii="Times New Roman" w:hAnsi="Times New Roman"/>
        </w:rPr>
        <w:t>Saitoh</w:t>
      </w:r>
      <w:proofErr w:type="spellEnd"/>
      <w:r>
        <w:rPr>
          <w:rFonts w:ascii="Times New Roman" w:hAnsi="Times New Roman"/>
        </w:rPr>
        <w:t xml:space="preserve"> et al., 2014; </w:t>
      </w:r>
      <w:proofErr w:type="spellStart"/>
      <w:r>
        <w:rPr>
          <w:rFonts w:ascii="Times New Roman" w:hAnsi="Times New Roman"/>
        </w:rPr>
        <w:t>Grasby</w:t>
      </w:r>
      <w:proofErr w:type="spellEnd"/>
      <w:r>
        <w:rPr>
          <w:rFonts w:ascii="Times New Roman" w:hAnsi="Times New Roman"/>
        </w:rPr>
        <w:t xml:space="preserve"> et al., 2015), which caused global warming due to the expulsion of CO</w:t>
      </w:r>
      <w:r w:rsidRPr="001B2B7A">
        <w:rPr>
          <w:rFonts w:ascii="Times New Roman" w:hAnsi="Times New Roman"/>
          <w:vertAlign w:val="subscript"/>
        </w:rPr>
        <w:t>2</w:t>
      </w:r>
      <w:r>
        <w:rPr>
          <w:rFonts w:ascii="Times New Roman" w:hAnsi="Times New Roman"/>
        </w:rPr>
        <w:t xml:space="preserve"> into the air. Well-preserved oxygen isotopes in conodont apatite show depleted </w:t>
      </w:r>
      <w:r w:rsidRPr="00C17718">
        <w:rPr>
          <w:rFonts w:ascii="Times New Roman" w:hAnsi="Times New Roman"/>
          <w:vertAlign w:val="superscript"/>
        </w:rPr>
        <w:t>18</w:t>
      </w:r>
      <w:r>
        <w:rPr>
          <w:rFonts w:ascii="Times New Roman" w:hAnsi="Times New Roman"/>
        </w:rPr>
        <w:t>O</w:t>
      </w:r>
      <w:r w:rsidR="00B711DA">
        <w:rPr>
          <w:rFonts w:ascii="Times New Roman" w:hAnsi="Times New Roman"/>
        </w:rPr>
        <w:t>,</w:t>
      </w:r>
      <w:r>
        <w:rPr>
          <w:rFonts w:ascii="Times New Roman" w:hAnsi="Times New Roman"/>
        </w:rPr>
        <w:t xml:space="preserve"> supporting rapid warming and extremely high oceanic temperatures during this mass extinction</w:t>
      </w:r>
      <w:r w:rsidRPr="00CD755D">
        <w:rPr>
          <w:rFonts w:ascii="Times New Roman" w:hAnsi="Times New Roman"/>
        </w:rPr>
        <w:t xml:space="preserve"> (Sun et al., 2012).</w:t>
      </w:r>
      <w:r>
        <w:rPr>
          <w:rFonts w:ascii="Times New Roman" w:hAnsi="Times New Roman"/>
        </w:rPr>
        <w:t xml:space="preserve"> Acidic ocean conditions could therefore have developed, and global anoxia has been well established for this time (Luo et al., 2011; </w:t>
      </w:r>
      <w:proofErr w:type="spellStart"/>
      <w:r>
        <w:rPr>
          <w:rFonts w:ascii="Times New Roman" w:hAnsi="Times New Roman"/>
        </w:rPr>
        <w:t>Schoepfer</w:t>
      </w:r>
      <w:proofErr w:type="spellEnd"/>
      <w:r>
        <w:rPr>
          <w:rFonts w:ascii="Times New Roman" w:hAnsi="Times New Roman"/>
        </w:rPr>
        <w:t xml:space="preserve"> et al., 2012;</w:t>
      </w:r>
      <w:r w:rsidRPr="001B2B7A">
        <w:rPr>
          <w:rFonts w:ascii="Times New Roman" w:hAnsi="Times New Roman"/>
        </w:rPr>
        <w:t xml:space="preserve"> </w:t>
      </w:r>
      <w:proofErr w:type="spellStart"/>
      <w:r>
        <w:rPr>
          <w:rFonts w:ascii="Times New Roman" w:hAnsi="Times New Roman"/>
        </w:rPr>
        <w:t>Grasby</w:t>
      </w:r>
      <w:proofErr w:type="spellEnd"/>
      <w:r>
        <w:rPr>
          <w:rFonts w:ascii="Times New Roman" w:hAnsi="Times New Roman"/>
        </w:rPr>
        <w:t xml:space="preserve"> et al., 2015). Upwelling along the northwest margin of Pangea would have stopped due to increased sea-surface temperature (Sun et al., 2012; </w:t>
      </w:r>
      <w:proofErr w:type="spellStart"/>
      <w:r>
        <w:rPr>
          <w:rFonts w:ascii="Times New Roman" w:hAnsi="Times New Roman"/>
        </w:rPr>
        <w:t>Grasby</w:t>
      </w:r>
      <w:proofErr w:type="spellEnd"/>
      <w:r>
        <w:rPr>
          <w:rFonts w:ascii="Times New Roman" w:hAnsi="Times New Roman"/>
        </w:rPr>
        <w:t xml:space="preserve"> et al., 2016) further stratifying the water column. Decreased upwelling coupled with anoxic waters would lead to nitrate limited waters and enhanced nitrogen </w:t>
      </w:r>
      <w:r>
        <w:rPr>
          <w:rFonts w:ascii="Times New Roman" w:hAnsi="Times New Roman"/>
        </w:rPr>
        <w:lastRenderedPageBreak/>
        <w:t xml:space="preserve">fixation (Luo et al., 2011; </w:t>
      </w:r>
      <w:proofErr w:type="spellStart"/>
      <w:r>
        <w:rPr>
          <w:rFonts w:ascii="Times New Roman" w:hAnsi="Times New Roman"/>
        </w:rPr>
        <w:t>Schoepfer</w:t>
      </w:r>
      <w:proofErr w:type="spellEnd"/>
      <w:r>
        <w:rPr>
          <w:rFonts w:ascii="Times New Roman" w:hAnsi="Times New Roman"/>
        </w:rPr>
        <w:t xml:space="preserve"> et al., 2012; </w:t>
      </w:r>
      <w:proofErr w:type="spellStart"/>
      <w:r>
        <w:rPr>
          <w:rFonts w:ascii="Times New Roman" w:hAnsi="Times New Roman"/>
        </w:rPr>
        <w:t>Knies</w:t>
      </w:r>
      <w:proofErr w:type="spellEnd"/>
      <w:r>
        <w:rPr>
          <w:rFonts w:ascii="Times New Roman" w:hAnsi="Times New Roman"/>
        </w:rPr>
        <w:t xml:space="preserve"> et al., 2013; </w:t>
      </w:r>
      <w:proofErr w:type="spellStart"/>
      <w:r>
        <w:rPr>
          <w:rFonts w:ascii="Times New Roman" w:hAnsi="Times New Roman"/>
        </w:rPr>
        <w:t>Grasby</w:t>
      </w:r>
      <w:proofErr w:type="spellEnd"/>
      <w:r>
        <w:rPr>
          <w:rFonts w:ascii="Times New Roman" w:hAnsi="Times New Roman"/>
        </w:rPr>
        <w:t xml:space="preserve"> et al., 2016).</w:t>
      </w:r>
    </w:p>
    <w:p w:rsidR="004B0F1F" w:rsidRDefault="004B0F1F" w:rsidP="004B0F1F">
      <w:pPr>
        <w:ind w:firstLine="720"/>
        <w:rPr>
          <w:rFonts w:ascii="Times New Roman" w:hAnsi="Times New Roman"/>
        </w:rPr>
      </w:pPr>
      <w:r>
        <w:rPr>
          <w:rFonts w:ascii="Times New Roman" w:hAnsi="Times New Roman"/>
        </w:rPr>
        <w:t>After the progressive depletion of δ</w:t>
      </w:r>
      <w:r w:rsidRPr="00994A92">
        <w:rPr>
          <w:rFonts w:ascii="Times New Roman" w:hAnsi="Times New Roman"/>
          <w:vertAlign w:val="superscript"/>
        </w:rPr>
        <w:t>15</w:t>
      </w:r>
      <w:r>
        <w:rPr>
          <w:rFonts w:ascii="Times New Roman" w:hAnsi="Times New Roman"/>
        </w:rPr>
        <w:t>N values in the Triassic, δ</w:t>
      </w:r>
      <w:r w:rsidRPr="00994A92">
        <w:rPr>
          <w:rFonts w:ascii="Times New Roman" w:hAnsi="Times New Roman"/>
          <w:vertAlign w:val="superscript"/>
        </w:rPr>
        <w:t>15</w:t>
      </w:r>
      <w:r>
        <w:rPr>
          <w:rFonts w:ascii="Times New Roman" w:hAnsi="Times New Roman"/>
        </w:rPr>
        <w:t xml:space="preserve">N values remain </w:t>
      </w:r>
      <w:proofErr w:type="gramStart"/>
      <w:r>
        <w:rPr>
          <w:rFonts w:ascii="Times New Roman" w:hAnsi="Times New Roman"/>
        </w:rPr>
        <w:t>fairly consistent</w:t>
      </w:r>
      <w:proofErr w:type="gramEnd"/>
      <w:r>
        <w:rPr>
          <w:rFonts w:ascii="Times New Roman" w:hAnsi="Times New Roman"/>
        </w:rPr>
        <w:t xml:space="preserve"> in the Jurassic up until the Paleogene. The δ</w:t>
      </w:r>
      <w:r w:rsidRPr="00994A92">
        <w:rPr>
          <w:rFonts w:ascii="Times New Roman" w:hAnsi="Times New Roman"/>
          <w:vertAlign w:val="superscript"/>
        </w:rPr>
        <w:t>15</w:t>
      </w:r>
      <w:r w:rsidR="00B711DA">
        <w:rPr>
          <w:rFonts w:ascii="Times New Roman" w:hAnsi="Times New Roman"/>
        </w:rPr>
        <w:t>N values range from</w:t>
      </w:r>
      <w:r w:rsidRPr="003E7CA6">
        <w:rPr>
          <w:rFonts w:ascii="Times New Roman" w:hAnsi="Times New Roman"/>
        </w:rPr>
        <w:t xml:space="preserve"> -1.60‰ to 2.65‰.</w:t>
      </w:r>
      <w:r>
        <w:rPr>
          <w:rFonts w:ascii="Times New Roman" w:hAnsi="Times New Roman"/>
        </w:rPr>
        <w:t xml:space="preserve"> Samples 11 and 13 are enriched in </w:t>
      </w:r>
      <w:r w:rsidRPr="008108BB">
        <w:rPr>
          <w:rFonts w:ascii="Times New Roman" w:hAnsi="Times New Roman"/>
          <w:vertAlign w:val="superscript"/>
        </w:rPr>
        <w:t>15</w:t>
      </w:r>
      <w:r>
        <w:rPr>
          <w:rFonts w:ascii="Times New Roman" w:hAnsi="Times New Roman"/>
        </w:rPr>
        <w:t>N compared to the other samples in the Late Cretaceous. The boundary between the Late Triassic and Early Jurassic is marked by yet another extinction event which is then followed by the Toarcian Oceanic Anoxic Event (</w:t>
      </w:r>
      <w:proofErr w:type="spellStart"/>
      <w:r>
        <w:rPr>
          <w:rFonts w:ascii="Times New Roman" w:hAnsi="Times New Roman"/>
        </w:rPr>
        <w:t>Jenkyn</w:t>
      </w:r>
      <w:r w:rsidR="002A4CD5">
        <w:rPr>
          <w:rFonts w:ascii="Times New Roman" w:hAnsi="Times New Roman"/>
        </w:rPr>
        <w:t>s</w:t>
      </w:r>
      <w:proofErr w:type="spellEnd"/>
      <w:r>
        <w:rPr>
          <w:rFonts w:ascii="Times New Roman" w:hAnsi="Times New Roman"/>
        </w:rPr>
        <w:t xml:space="preserve"> et al., 2001 and references therein; Fujisaki et al., 2016; </w:t>
      </w:r>
      <w:proofErr w:type="spellStart"/>
      <w:r>
        <w:rPr>
          <w:rFonts w:ascii="Times New Roman" w:hAnsi="Times New Roman"/>
        </w:rPr>
        <w:t>Schoepfer</w:t>
      </w:r>
      <w:proofErr w:type="spellEnd"/>
      <w:r>
        <w:rPr>
          <w:rFonts w:ascii="Times New Roman" w:hAnsi="Times New Roman"/>
        </w:rPr>
        <w:t xml:space="preserve"> et al., 2016). Again, the Jurassic is characterized by widespread anoxia and euxinic water column conditions by the Late Jurassic (Fujisaki et al., 2016; </w:t>
      </w:r>
      <w:proofErr w:type="spellStart"/>
      <w:r>
        <w:rPr>
          <w:rFonts w:ascii="Times New Roman" w:hAnsi="Times New Roman"/>
        </w:rPr>
        <w:t>Schoepfer</w:t>
      </w:r>
      <w:proofErr w:type="spellEnd"/>
      <w:r>
        <w:rPr>
          <w:rFonts w:ascii="Times New Roman" w:hAnsi="Times New Roman"/>
        </w:rPr>
        <w:t xml:space="preserve"> et al., 2016). </w:t>
      </w:r>
      <w:r w:rsidRPr="00CA133B">
        <w:rPr>
          <w:rFonts w:ascii="Times New Roman" w:hAnsi="Times New Roman"/>
        </w:rPr>
        <w:t>The nitrate supply would again be limited, making nitrogen fixation the primary process with a fractionation close to</w:t>
      </w:r>
      <w:r w:rsidR="00B711DA">
        <w:rPr>
          <w:rFonts w:ascii="Times New Roman" w:hAnsi="Times New Roman"/>
        </w:rPr>
        <w:t xml:space="preserve"> the</w:t>
      </w:r>
      <w:r w:rsidRPr="00CA133B">
        <w:rPr>
          <w:rFonts w:ascii="Times New Roman" w:hAnsi="Times New Roman"/>
        </w:rPr>
        <w:t xml:space="preserve"> δ</w:t>
      </w:r>
      <w:r w:rsidRPr="00CA133B">
        <w:rPr>
          <w:rFonts w:ascii="Times New Roman" w:hAnsi="Times New Roman"/>
          <w:vertAlign w:val="superscript"/>
        </w:rPr>
        <w:t>15</w:t>
      </w:r>
      <w:r w:rsidR="00B711DA">
        <w:rPr>
          <w:rFonts w:ascii="Times New Roman" w:hAnsi="Times New Roman"/>
        </w:rPr>
        <w:t>N value for</w:t>
      </w:r>
      <w:r w:rsidRPr="00CA133B">
        <w:rPr>
          <w:rFonts w:ascii="Times New Roman" w:hAnsi="Times New Roman"/>
        </w:rPr>
        <w:t xml:space="preserve"> atmospheric N</w:t>
      </w:r>
      <w:r w:rsidRPr="00CA133B">
        <w:rPr>
          <w:rFonts w:ascii="Times New Roman" w:hAnsi="Times New Roman"/>
          <w:vertAlign w:val="subscript"/>
        </w:rPr>
        <w:t>2</w:t>
      </w:r>
      <w:r w:rsidRPr="00CA133B">
        <w:rPr>
          <w:rFonts w:ascii="Times New Roman" w:hAnsi="Times New Roman"/>
        </w:rPr>
        <w:t>.</w:t>
      </w:r>
      <w:r>
        <w:rPr>
          <w:rFonts w:ascii="Times New Roman" w:hAnsi="Times New Roman"/>
        </w:rPr>
        <w:t xml:space="preserve"> </w:t>
      </w:r>
    </w:p>
    <w:p w:rsidR="004B0F1F" w:rsidRDefault="004B0F1F" w:rsidP="004B0F1F">
      <w:pPr>
        <w:ind w:firstLine="720"/>
        <w:rPr>
          <w:rFonts w:ascii="Times New Roman" w:hAnsi="Times New Roman"/>
        </w:rPr>
      </w:pPr>
      <w:r>
        <w:rPr>
          <w:rFonts w:ascii="Times New Roman" w:hAnsi="Times New Roman"/>
        </w:rPr>
        <w:t>The Cenomanian and Turonian boundary is also characterized by an Oceanic Anoxic Event (</w:t>
      </w:r>
      <w:proofErr w:type="spellStart"/>
      <w:r>
        <w:rPr>
          <w:rFonts w:ascii="Times New Roman" w:hAnsi="Times New Roman"/>
        </w:rPr>
        <w:t>Junium</w:t>
      </w:r>
      <w:proofErr w:type="spellEnd"/>
      <w:r>
        <w:rPr>
          <w:rFonts w:ascii="Times New Roman" w:hAnsi="Times New Roman"/>
        </w:rPr>
        <w:t xml:space="preserve"> and Arthur, 2007; </w:t>
      </w:r>
      <w:proofErr w:type="spellStart"/>
      <w:r>
        <w:rPr>
          <w:rFonts w:ascii="Times New Roman" w:hAnsi="Times New Roman"/>
        </w:rPr>
        <w:t>Núñez-Useche</w:t>
      </w:r>
      <w:proofErr w:type="spellEnd"/>
      <w:r>
        <w:rPr>
          <w:rFonts w:ascii="Times New Roman" w:hAnsi="Times New Roman"/>
        </w:rPr>
        <w:t xml:space="preserve"> et al., 2016 and references therein).</w:t>
      </w:r>
      <w:r w:rsidR="00B711DA">
        <w:rPr>
          <w:rFonts w:ascii="Times New Roman" w:hAnsi="Times New Roman"/>
        </w:rPr>
        <w:t xml:space="preserve"> As with the Jurassic, this</w:t>
      </w:r>
      <w:r>
        <w:rPr>
          <w:rFonts w:ascii="Times New Roman" w:hAnsi="Times New Roman"/>
        </w:rPr>
        <w:t xml:space="preserve"> lead to widespread anoxia and euxinic waters as seen in the Jurassic. The primary process is</w:t>
      </w:r>
      <w:r w:rsidR="00B711DA">
        <w:rPr>
          <w:rFonts w:ascii="Times New Roman" w:hAnsi="Times New Roman"/>
        </w:rPr>
        <w:t>,</w:t>
      </w:r>
      <w:r>
        <w:rPr>
          <w:rFonts w:ascii="Times New Roman" w:hAnsi="Times New Roman"/>
        </w:rPr>
        <w:t xml:space="preserve"> therefore</w:t>
      </w:r>
      <w:r w:rsidR="00B711DA">
        <w:rPr>
          <w:rFonts w:ascii="Times New Roman" w:hAnsi="Times New Roman"/>
        </w:rPr>
        <w:t>,</w:t>
      </w:r>
      <w:r>
        <w:rPr>
          <w:rFonts w:ascii="Times New Roman" w:hAnsi="Times New Roman"/>
        </w:rPr>
        <w:t xml:space="preserve"> nitrogen fixation (Rau et al., 1987; </w:t>
      </w:r>
      <w:proofErr w:type="spellStart"/>
      <w:r>
        <w:rPr>
          <w:rFonts w:ascii="Times New Roman" w:hAnsi="Times New Roman"/>
        </w:rPr>
        <w:t>Kuypers</w:t>
      </w:r>
      <w:proofErr w:type="spellEnd"/>
      <w:r>
        <w:rPr>
          <w:rFonts w:ascii="Times New Roman" w:hAnsi="Times New Roman"/>
        </w:rPr>
        <w:t xml:space="preserve"> et al., 2004; </w:t>
      </w:r>
      <w:proofErr w:type="spellStart"/>
      <w:r>
        <w:rPr>
          <w:rFonts w:ascii="Times New Roman" w:hAnsi="Times New Roman"/>
        </w:rPr>
        <w:t>Junium</w:t>
      </w:r>
      <w:proofErr w:type="spellEnd"/>
      <w:r>
        <w:rPr>
          <w:rFonts w:ascii="Times New Roman" w:hAnsi="Times New Roman"/>
        </w:rPr>
        <w:t xml:space="preserve"> and Arthur, 2007;</w:t>
      </w:r>
      <w:r w:rsidRPr="00330FD7">
        <w:rPr>
          <w:rFonts w:ascii="Times New Roman" w:hAnsi="Times New Roman"/>
        </w:rPr>
        <w:t xml:space="preserve"> </w:t>
      </w:r>
      <w:proofErr w:type="spellStart"/>
      <w:r w:rsidRPr="00BC7309">
        <w:rPr>
          <w:rFonts w:ascii="Times New Roman" w:hAnsi="Times New Roman"/>
        </w:rPr>
        <w:t>Algeo</w:t>
      </w:r>
      <w:proofErr w:type="spellEnd"/>
      <w:r w:rsidRPr="00BC7309">
        <w:rPr>
          <w:rFonts w:ascii="Times New Roman" w:hAnsi="Times New Roman"/>
        </w:rPr>
        <w:t xml:space="preserve"> et al., 2008</w:t>
      </w:r>
      <w:r>
        <w:rPr>
          <w:rFonts w:ascii="Times New Roman" w:hAnsi="Times New Roman"/>
        </w:rPr>
        <w:t xml:space="preserve">). Sample 13 is enriched in </w:t>
      </w:r>
      <w:r w:rsidRPr="0075018E">
        <w:rPr>
          <w:rFonts w:ascii="Times New Roman" w:hAnsi="Times New Roman"/>
          <w:vertAlign w:val="superscript"/>
        </w:rPr>
        <w:t>15</w:t>
      </w:r>
      <w:r>
        <w:rPr>
          <w:rFonts w:ascii="Times New Roman" w:hAnsi="Times New Roman"/>
        </w:rPr>
        <w:t>N compared to the other values at the Cenomanian-Turonian time. However, the asphaltene value (2.38</w:t>
      </w:r>
      <w:r w:rsidRPr="00CC1A34">
        <w:rPr>
          <w:rFonts w:ascii="Times New Roman" w:hAnsi="Times New Roman"/>
        </w:rPr>
        <w:t>‰</w:t>
      </w:r>
      <w:r>
        <w:rPr>
          <w:rFonts w:ascii="Times New Roman" w:hAnsi="Times New Roman"/>
        </w:rPr>
        <w:t>) in sample 13 is only slightly enriched from δ</w:t>
      </w:r>
      <w:r w:rsidRPr="00994A92">
        <w:rPr>
          <w:rFonts w:ascii="Times New Roman" w:hAnsi="Times New Roman"/>
          <w:vertAlign w:val="superscript"/>
        </w:rPr>
        <w:t>15</w:t>
      </w:r>
      <w:r>
        <w:rPr>
          <w:rFonts w:ascii="Times New Roman" w:hAnsi="Times New Roman"/>
        </w:rPr>
        <w:t>N values seen for greenhouse climates ranging from -2</w:t>
      </w:r>
      <w:r w:rsidRPr="00CC1A34">
        <w:rPr>
          <w:rFonts w:ascii="Times New Roman" w:hAnsi="Times New Roman"/>
        </w:rPr>
        <w:t>‰</w:t>
      </w:r>
      <w:r>
        <w:rPr>
          <w:rFonts w:ascii="Times New Roman" w:hAnsi="Times New Roman"/>
        </w:rPr>
        <w:t xml:space="preserve"> to 2</w:t>
      </w:r>
      <w:r w:rsidRPr="00CC1A34">
        <w:rPr>
          <w:rFonts w:ascii="Times New Roman" w:hAnsi="Times New Roman"/>
        </w:rPr>
        <w:t>‰</w:t>
      </w:r>
      <w:r>
        <w:rPr>
          <w:rFonts w:ascii="Times New Roman" w:hAnsi="Times New Roman"/>
        </w:rPr>
        <w:t xml:space="preserve"> (</w:t>
      </w:r>
      <w:proofErr w:type="spellStart"/>
      <w:r>
        <w:rPr>
          <w:rFonts w:ascii="Times New Roman" w:hAnsi="Times New Roman"/>
        </w:rPr>
        <w:t>Algeo</w:t>
      </w:r>
      <w:proofErr w:type="spellEnd"/>
      <w:r>
        <w:rPr>
          <w:rFonts w:ascii="Times New Roman" w:hAnsi="Times New Roman"/>
        </w:rPr>
        <w:t xml:space="preserve"> et al., 2014). The enrichment of the NSO fraction relative to the asph</w:t>
      </w:r>
      <w:r w:rsidR="00D413EC">
        <w:rPr>
          <w:rFonts w:ascii="Times New Roman" w:hAnsi="Times New Roman"/>
        </w:rPr>
        <w:t>altene fraction for sample 13</w:t>
      </w:r>
      <w:r>
        <w:rPr>
          <w:rFonts w:ascii="Times New Roman" w:hAnsi="Times New Roman"/>
        </w:rPr>
        <w:t xml:space="preserve"> could be due to diagenesis. Sample 11 is enriched in </w:t>
      </w:r>
      <w:r w:rsidRPr="005D1B26">
        <w:rPr>
          <w:rFonts w:ascii="Times New Roman" w:hAnsi="Times New Roman"/>
          <w:vertAlign w:val="superscript"/>
        </w:rPr>
        <w:t>15</w:t>
      </w:r>
      <w:r>
        <w:rPr>
          <w:rFonts w:ascii="Times New Roman" w:hAnsi="Times New Roman"/>
        </w:rPr>
        <w:t xml:space="preserve">N for both the NSO and </w:t>
      </w:r>
      <w:r>
        <w:rPr>
          <w:rFonts w:ascii="Times New Roman" w:hAnsi="Times New Roman"/>
        </w:rPr>
        <w:lastRenderedPageBreak/>
        <w:t xml:space="preserve">asphaltene fractions compared to other samples of the Late Cretaceous. This is perhaps an isolated signal to this specific location </w:t>
      </w:r>
      <w:r w:rsidR="00A5070D">
        <w:rPr>
          <w:rFonts w:ascii="Times New Roman" w:hAnsi="Times New Roman"/>
        </w:rPr>
        <w:t xml:space="preserve">(Sirte Basin, Libya) </w:t>
      </w:r>
      <w:r>
        <w:rPr>
          <w:rFonts w:ascii="Times New Roman" w:hAnsi="Times New Roman"/>
        </w:rPr>
        <w:t xml:space="preserve">where denitrification is more abundant due to reduced anoxia in the area or better water circulation and upwelling. </w:t>
      </w:r>
      <w:r w:rsidRPr="00A5070D">
        <w:rPr>
          <w:rFonts w:ascii="Times New Roman" w:hAnsi="Times New Roman"/>
        </w:rPr>
        <w:t>Another possibility could include more terrestrial organic matter input. R</w:t>
      </w:r>
      <w:r w:rsidR="002A4CD5">
        <w:rPr>
          <w:rFonts w:ascii="Times New Roman" w:hAnsi="Times New Roman"/>
        </w:rPr>
        <w:t>au et al. (1987</w:t>
      </w:r>
      <w:r w:rsidRPr="00A5070D">
        <w:rPr>
          <w:rFonts w:ascii="Times New Roman" w:hAnsi="Times New Roman"/>
        </w:rPr>
        <w:t xml:space="preserve">) found </w:t>
      </w:r>
      <w:r w:rsidR="002A4CD5">
        <w:rPr>
          <w:rFonts w:ascii="Times New Roman" w:hAnsi="Times New Roman"/>
        </w:rPr>
        <w:t xml:space="preserve">that </w:t>
      </w:r>
      <w:r w:rsidRPr="00A5070D">
        <w:rPr>
          <w:rFonts w:ascii="Times New Roman" w:hAnsi="Times New Roman"/>
        </w:rPr>
        <w:t>δ</w:t>
      </w:r>
      <w:r w:rsidRPr="00A5070D">
        <w:rPr>
          <w:rFonts w:ascii="Times New Roman" w:hAnsi="Times New Roman"/>
          <w:vertAlign w:val="superscript"/>
        </w:rPr>
        <w:t>15</w:t>
      </w:r>
      <w:r w:rsidRPr="00A5070D">
        <w:rPr>
          <w:rFonts w:ascii="Times New Roman" w:hAnsi="Times New Roman"/>
        </w:rPr>
        <w:t>N values were higher for Cretaceous samples containing more terrigenous organic matter input.</w:t>
      </w:r>
      <w:r>
        <w:rPr>
          <w:rFonts w:ascii="Times New Roman" w:hAnsi="Times New Roman"/>
        </w:rPr>
        <w:t xml:space="preserve"> More research at this </w:t>
      </w:r>
      <w:proofErr w:type="gramStart"/>
      <w:r>
        <w:rPr>
          <w:rFonts w:ascii="Times New Roman" w:hAnsi="Times New Roman"/>
        </w:rPr>
        <w:t>particular sig</w:t>
      </w:r>
      <w:r w:rsidR="002A4CD5">
        <w:rPr>
          <w:rFonts w:ascii="Times New Roman" w:hAnsi="Times New Roman"/>
        </w:rPr>
        <w:t>ht</w:t>
      </w:r>
      <w:proofErr w:type="gramEnd"/>
      <w:r w:rsidR="002A4CD5">
        <w:rPr>
          <w:rFonts w:ascii="Times New Roman" w:hAnsi="Times New Roman"/>
        </w:rPr>
        <w:t xml:space="preserve"> would need to be </w:t>
      </w:r>
      <w:r w:rsidR="006B1896">
        <w:rPr>
          <w:rFonts w:ascii="Times New Roman" w:hAnsi="Times New Roman"/>
        </w:rPr>
        <w:t>performed</w:t>
      </w:r>
      <w:r>
        <w:rPr>
          <w:rFonts w:ascii="Times New Roman" w:hAnsi="Times New Roman"/>
        </w:rPr>
        <w:t xml:space="preserve"> to further understand the nitrogen cycle, the organic source material, and redox potentials which lead to an enrichment in </w:t>
      </w:r>
      <w:r w:rsidRPr="00CA133B">
        <w:rPr>
          <w:rFonts w:ascii="Times New Roman" w:hAnsi="Times New Roman"/>
          <w:vertAlign w:val="superscript"/>
        </w:rPr>
        <w:t>15</w:t>
      </w:r>
      <w:r>
        <w:rPr>
          <w:rFonts w:ascii="Times New Roman" w:hAnsi="Times New Roman"/>
        </w:rPr>
        <w:t xml:space="preserve">N. </w:t>
      </w:r>
    </w:p>
    <w:p w:rsidR="004B0F1F" w:rsidRDefault="004B0F1F" w:rsidP="004B0F1F">
      <w:pPr>
        <w:autoSpaceDE w:val="0"/>
        <w:autoSpaceDN w:val="0"/>
        <w:adjustRightInd w:val="0"/>
        <w:ind w:firstLine="720"/>
        <w:rPr>
          <w:rFonts w:ascii="Times New Roman" w:hAnsi="Times New Roman"/>
        </w:rPr>
      </w:pPr>
      <w:r w:rsidRPr="009F7127">
        <w:rPr>
          <w:rFonts w:ascii="Times New Roman" w:hAnsi="Times New Roman"/>
        </w:rPr>
        <w:t>The transition from the Cretaceous to the Paleogene was mark</w:t>
      </w:r>
      <w:r>
        <w:rPr>
          <w:rFonts w:ascii="Times New Roman" w:hAnsi="Times New Roman"/>
        </w:rPr>
        <w:t>ed by another mass extinction</w:t>
      </w:r>
      <w:r w:rsidRPr="009F7127">
        <w:rPr>
          <w:rFonts w:ascii="Times New Roman" w:hAnsi="Times New Roman"/>
        </w:rPr>
        <w:t xml:space="preserve"> thought to have been caused by </w:t>
      </w:r>
      <w:r>
        <w:rPr>
          <w:rFonts w:ascii="Times New Roman" w:hAnsi="Times New Roman"/>
        </w:rPr>
        <w:t>an impact from an asteroid or other extraterrestrial body (</w:t>
      </w:r>
      <w:r w:rsidRPr="00F87198">
        <w:rPr>
          <w:rFonts w:ascii="Times New Roman" w:hAnsi="Times New Roman"/>
        </w:rPr>
        <w:t xml:space="preserve">Glasby and </w:t>
      </w:r>
      <w:proofErr w:type="spellStart"/>
      <w:r w:rsidRPr="00F87198">
        <w:rPr>
          <w:rFonts w:ascii="Times New Roman" w:hAnsi="Times New Roman"/>
        </w:rPr>
        <w:t>Kunzendorf</w:t>
      </w:r>
      <w:proofErr w:type="spellEnd"/>
      <w:r>
        <w:rPr>
          <w:rFonts w:ascii="Times New Roman" w:hAnsi="Times New Roman"/>
        </w:rPr>
        <w:t xml:space="preserve">, 1996 and references therein; </w:t>
      </w:r>
      <w:proofErr w:type="spellStart"/>
      <w:r>
        <w:rPr>
          <w:rFonts w:ascii="Times New Roman" w:hAnsi="Times New Roman"/>
        </w:rPr>
        <w:t>Sepúleda</w:t>
      </w:r>
      <w:proofErr w:type="spellEnd"/>
      <w:r>
        <w:rPr>
          <w:rFonts w:ascii="Times New Roman" w:hAnsi="Times New Roman"/>
        </w:rPr>
        <w:t xml:space="preserve"> et al., 2009 and references therein; Beckwith, 2013 and references therein; </w:t>
      </w:r>
      <w:r w:rsidRPr="00F87198">
        <w:rPr>
          <w:rFonts w:ascii="Times New Roman" w:hAnsi="Times New Roman"/>
        </w:rPr>
        <w:t>Mizukami et al., 2013</w:t>
      </w:r>
      <w:r>
        <w:rPr>
          <w:rFonts w:ascii="Times New Roman" w:hAnsi="Times New Roman"/>
        </w:rPr>
        <w:t xml:space="preserve"> and references therein). The δ</w:t>
      </w:r>
      <w:r w:rsidRPr="00994A92">
        <w:rPr>
          <w:rFonts w:ascii="Times New Roman" w:hAnsi="Times New Roman"/>
          <w:vertAlign w:val="superscript"/>
        </w:rPr>
        <w:t>15</w:t>
      </w:r>
      <w:r>
        <w:rPr>
          <w:rFonts w:ascii="Times New Roman" w:hAnsi="Times New Roman"/>
        </w:rPr>
        <w:t xml:space="preserve">N values for this time are low and are </w:t>
      </w:r>
      <w:proofErr w:type="gramStart"/>
      <w:r>
        <w:rPr>
          <w:rFonts w:ascii="Times New Roman" w:hAnsi="Times New Roman"/>
        </w:rPr>
        <w:t>similar to</w:t>
      </w:r>
      <w:proofErr w:type="gramEnd"/>
      <w:r>
        <w:rPr>
          <w:rFonts w:ascii="Times New Roman" w:hAnsi="Times New Roman"/>
        </w:rPr>
        <w:t xml:space="preserve"> δ</w:t>
      </w:r>
      <w:r w:rsidRPr="00994A92">
        <w:rPr>
          <w:rFonts w:ascii="Times New Roman" w:hAnsi="Times New Roman"/>
          <w:vertAlign w:val="superscript"/>
        </w:rPr>
        <w:t>15</w:t>
      </w:r>
      <w:r>
        <w:rPr>
          <w:rFonts w:ascii="Times New Roman" w:hAnsi="Times New Roman"/>
        </w:rPr>
        <w:t>N values from the Jurassic and the Cretaceo</w:t>
      </w:r>
      <w:r w:rsidR="002A4CD5">
        <w:rPr>
          <w:rFonts w:ascii="Times New Roman" w:hAnsi="Times New Roman"/>
        </w:rPr>
        <w:t>us.  The impact of the</w:t>
      </w:r>
      <w:r>
        <w:rPr>
          <w:rFonts w:ascii="Times New Roman" w:hAnsi="Times New Roman"/>
        </w:rPr>
        <w:t xml:space="preserve"> asteroid would have caused atmospheric dust and sulfate aerosols leading to global cooling and darkening of the planet (</w:t>
      </w:r>
      <w:proofErr w:type="spellStart"/>
      <w:r>
        <w:rPr>
          <w:rFonts w:ascii="Times New Roman" w:hAnsi="Times New Roman"/>
        </w:rPr>
        <w:t>Sepúleda</w:t>
      </w:r>
      <w:proofErr w:type="spellEnd"/>
      <w:r>
        <w:rPr>
          <w:rFonts w:ascii="Times New Roman" w:hAnsi="Times New Roman"/>
        </w:rPr>
        <w:t xml:space="preserve"> et al., 2009 and references therein;</w:t>
      </w:r>
      <w:r w:rsidRPr="005B0B75">
        <w:rPr>
          <w:rFonts w:ascii="Times New Roman" w:hAnsi="Times New Roman"/>
        </w:rPr>
        <w:t xml:space="preserve"> </w:t>
      </w:r>
      <w:r w:rsidRPr="00F87198">
        <w:rPr>
          <w:rFonts w:ascii="Times New Roman" w:hAnsi="Times New Roman"/>
        </w:rPr>
        <w:t>Mizukami et al., 2013</w:t>
      </w:r>
      <w:r>
        <w:rPr>
          <w:rFonts w:ascii="Times New Roman" w:hAnsi="Times New Roman"/>
        </w:rPr>
        <w:t xml:space="preserve"> and references therein) Many models are proposed for the oceanic chemistry that followed afterwards; including a large dep</w:t>
      </w:r>
      <w:r w:rsidR="007D05EA">
        <w:rPr>
          <w:rFonts w:ascii="Times New Roman" w:hAnsi="Times New Roman"/>
        </w:rPr>
        <w:t xml:space="preserve">letion in primary productivity, limiting </w:t>
      </w:r>
      <w:r>
        <w:rPr>
          <w:rFonts w:ascii="Times New Roman" w:hAnsi="Times New Roman"/>
        </w:rPr>
        <w:t>the rate of supply of organic matter to the sea floor</w:t>
      </w:r>
      <w:r w:rsidR="007D05EA">
        <w:rPr>
          <w:rFonts w:ascii="Times New Roman" w:hAnsi="Times New Roman"/>
        </w:rPr>
        <w:t xml:space="preserve"> </w:t>
      </w:r>
      <w:r>
        <w:rPr>
          <w:rFonts w:ascii="Times New Roman" w:hAnsi="Times New Roman"/>
        </w:rPr>
        <w:t>(</w:t>
      </w:r>
      <w:proofErr w:type="spellStart"/>
      <w:r>
        <w:rPr>
          <w:rFonts w:ascii="Times New Roman" w:hAnsi="Times New Roman"/>
        </w:rPr>
        <w:t>Sepúleda</w:t>
      </w:r>
      <w:proofErr w:type="spellEnd"/>
      <w:r>
        <w:rPr>
          <w:rFonts w:ascii="Times New Roman" w:hAnsi="Times New Roman"/>
        </w:rPr>
        <w:t xml:space="preserve"> et al., 2009 and references therein; Beckwith, 2013 and references therein). Darkening of the skies would have inhibited photosynthesis causing the extinction of many marine animals (</w:t>
      </w:r>
      <w:r w:rsidRPr="00F87198">
        <w:rPr>
          <w:rFonts w:ascii="Times New Roman" w:hAnsi="Times New Roman"/>
        </w:rPr>
        <w:t xml:space="preserve">Glasby and </w:t>
      </w:r>
      <w:proofErr w:type="spellStart"/>
      <w:r w:rsidRPr="00F87198">
        <w:rPr>
          <w:rFonts w:ascii="Times New Roman" w:hAnsi="Times New Roman"/>
        </w:rPr>
        <w:t>Kunzendorf</w:t>
      </w:r>
      <w:proofErr w:type="spellEnd"/>
      <w:r>
        <w:rPr>
          <w:rFonts w:ascii="Times New Roman" w:hAnsi="Times New Roman"/>
        </w:rPr>
        <w:t xml:space="preserve">, 1996; </w:t>
      </w:r>
      <w:proofErr w:type="spellStart"/>
      <w:r>
        <w:rPr>
          <w:rFonts w:ascii="Times New Roman" w:hAnsi="Times New Roman"/>
        </w:rPr>
        <w:t>Sepúleda</w:t>
      </w:r>
      <w:proofErr w:type="spellEnd"/>
      <w:r>
        <w:rPr>
          <w:rFonts w:ascii="Times New Roman" w:hAnsi="Times New Roman"/>
        </w:rPr>
        <w:t xml:space="preserve"> et al., 2009 and references therein;</w:t>
      </w:r>
      <w:r w:rsidRPr="005B0B75">
        <w:rPr>
          <w:rFonts w:ascii="Times New Roman" w:hAnsi="Times New Roman"/>
        </w:rPr>
        <w:t xml:space="preserve"> </w:t>
      </w:r>
      <w:r w:rsidRPr="00F87198">
        <w:rPr>
          <w:rFonts w:ascii="Times New Roman" w:hAnsi="Times New Roman"/>
        </w:rPr>
        <w:t>Mizukami et al., 2013</w:t>
      </w:r>
      <w:r>
        <w:rPr>
          <w:rFonts w:ascii="Times New Roman" w:hAnsi="Times New Roman"/>
        </w:rPr>
        <w:t xml:space="preserve"> and references therein). </w:t>
      </w:r>
    </w:p>
    <w:p w:rsidR="004B0F1F" w:rsidRDefault="004B0F1F" w:rsidP="004B0F1F">
      <w:pPr>
        <w:autoSpaceDE w:val="0"/>
        <w:autoSpaceDN w:val="0"/>
        <w:adjustRightInd w:val="0"/>
        <w:ind w:firstLine="720"/>
        <w:rPr>
          <w:rFonts w:ascii="Times New Roman" w:hAnsi="Times New Roman"/>
        </w:rPr>
      </w:pPr>
      <w:r>
        <w:rPr>
          <w:rFonts w:ascii="Times New Roman" w:hAnsi="Times New Roman"/>
        </w:rPr>
        <w:lastRenderedPageBreak/>
        <w:t>Low oxygen conditions</w:t>
      </w:r>
      <w:r w:rsidR="007D05EA">
        <w:rPr>
          <w:rFonts w:ascii="Times New Roman" w:hAnsi="Times New Roman"/>
        </w:rPr>
        <w:t xml:space="preserve"> in the oceans</w:t>
      </w:r>
      <w:r>
        <w:rPr>
          <w:rFonts w:ascii="Times New Roman" w:hAnsi="Times New Roman"/>
        </w:rPr>
        <w:t xml:space="preserve"> are characteristic in low to mid latitude</w:t>
      </w:r>
      <w:r w:rsidR="007D05EA">
        <w:rPr>
          <w:rFonts w:ascii="Times New Roman" w:hAnsi="Times New Roman"/>
        </w:rPr>
        <w:t>s during the Cretaceous/Paleogene boundary</w:t>
      </w:r>
      <w:r>
        <w:rPr>
          <w:rFonts w:ascii="Times New Roman" w:hAnsi="Times New Roman"/>
        </w:rPr>
        <w:t xml:space="preserve"> with anoxic bottom waters and </w:t>
      </w:r>
      <w:proofErr w:type="spellStart"/>
      <w:r w:rsidRPr="00F7736A">
        <w:rPr>
          <w:rFonts w:ascii="Times New Roman" w:hAnsi="Times New Roman"/>
        </w:rPr>
        <w:t>euxinia</w:t>
      </w:r>
      <w:proofErr w:type="spellEnd"/>
      <w:r>
        <w:rPr>
          <w:rFonts w:ascii="Times New Roman" w:hAnsi="Times New Roman"/>
        </w:rPr>
        <w:t xml:space="preserve"> reported in some areas (</w:t>
      </w:r>
      <w:proofErr w:type="spellStart"/>
      <w:r>
        <w:rPr>
          <w:rFonts w:ascii="Times New Roman" w:hAnsi="Times New Roman"/>
        </w:rPr>
        <w:t>Sepúleda</w:t>
      </w:r>
      <w:proofErr w:type="spellEnd"/>
      <w:r>
        <w:rPr>
          <w:rFonts w:ascii="Times New Roman" w:hAnsi="Times New Roman"/>
        </w:rPr>
        <w:t xml:space="preserve"> et al., 2009;</w:t>
      </w:r>
      <w:r w:rsidRPr="009E37B9">
        <w:rPr>
          <w:rFonts w:ascii="Times New Roman" w:hAnsi="Times New Roman"/>
        </w:rPr>
        <w:t xml:space="preserve"> </w:t>
      </w:r>
      <w:r w:rsidRPr="00F87198">
        <w:rPr>
          <w:rFonts w:ascii="Times New Roman" w:hAnsi="Times New Roman"/>
        </w:rPr>
        <w:t>Mizukami et al., 2013</w:t>
      </w:r>
      <w:r>
        <w:rPr>
          <w:rFonts w:ascii="Times New Roman" w:hAnsi="Times New Roman"/>
        </w:rPr>
        <w:t xml:space="preserve"> and references therein). High latitudes show less </w:t>
      </w:r>
      <w:r w:rsidR="007D05EA">
        <w:rPr>
          <w:rFonts w:ascii="Times New Roman" w:hAnsi="Times New Roman"/>
        </w:rPr>
        <w:t>anoxia and Beckwith (2013), report</w:t>
      </w:r>
      <w:r w:rsidRPr="00CB5790">
        <w:rPr>
          <w:rFonts w:ascii="Times New Roman" w:hAnsi="Times New Roman"/>
        </w:rPr>
        <w:t xml:space="preserve"> </w:t>
      </w:r>
      <w:r>
        <w:rPr>
          <w:rFonts w:ascii="Times New Roman" w:hAnsi="Times New Roman"/>
        </w:rPr>
        <w:t>δ</w:t>
      </w:r>
      <w:r w:rsidRPr="00994A92">
        <w:rPr>
          <w:rFonts w:ascii="Times New Roman" w:hAnsi="Times New Roman"/>
          <w:vertAlign w:val="superscript"/>
        </w:rPr>
        <w:t>15</w:t>
      </w:r>
      <w:r>
        <w:rPr>
          <w:rFonts w:ascii="Times New Roman" w:hAnsi="Times New Roman"/>
        </w:rPr>
        <w:t>N</w:t>
      </w:r>
      <w:r w:rsidR="007D05EA">
        <w:rPr>
          <w:rFonts w:ascii="Times New Roman" w:hAnsi="Times New Roman"/>
        </w:rPr>
        <w:t xml:space="preserve"> values</w:t>
      </w:r>
      <w:r>
        <w:rPr>
          <w:rFonts w:ascii="Times New Roman" w:hAnsi="Times New Roman"/>
        </w:rPr>
        <w:t xml:space="preserve"> that are higher than those from low to mid latitudes. Cyanobacteria were less affected by the extinction (</w:t>
      </w:r>
      <w:proofErr w:type="spellStart"/>
      <w:r>
        <w:rPr>
          <w:rFonts w:ascii="Times New Roman" w:hAnsi="Times New Roman"/>
        </w:rPr>
        <w:t>Sepúleda</w:t>
      </w:r>
      <w:proofErr w:type="spellEnd"/>
      <w:r>
        <w:rPr>
          <w:rFonts w:ascii="Times New Roman" w:hAnsi="Times New Roman"/>
        </w:rPr>
        <w:t xml:space="preserve"> et al., 2009), so nitrogen fixation could still take place. This is thought to be the primary control over the δ</w:t>
      </w:r>
      <w:r w:rsidRPr="00994A92">
        <w:rPr>
          <w:rFonts w:ascii="Times New Roman" w:hAnsi="Times New Roman"/>
          <w:vertAlign w:val="superscript"/>
        </w:rPr>
        <w:t>15</w:t>
      </w:r>
      <w:r>
        <w:rPr>
          <w:rFonts w:ascii="Times New Roman" w:hAnsi="Times New Roman"/>
        </w:rPr>
        <w:t>N values for this time</w:t>
      </w:r>
      <w:r w:rsidR="007D05EA">
        <w:rPr>
          <w:rFonts w:ascii="Times New Roman" w:hAnsi="Times New Roman"/>
        </w:rPr>
        <w:t>,</w:t>
      </w:r>
      <w:r>
        <w:rPr>
          <w:rFonts w:ascii="Times New Roman" w:hAnsi="Times New Roman"/>
        </w:rPr>
        <w:t xml:space="preserve"> not because of an increase</w:t>
      </w:r>
      <w:r w:rsidR="0077328F">
        <w:rPr>
          <w:rFonts w:ascii="Times New Roman" w:hAnsi="Times New Roman"/>
        </w:rPr>
        <w:t xml:space="preserve"> in nitrogen fixation but because of</w:t>
      </w:r>
      <w:r>
        <w:rPr>
          <w:rFonts w:ascii="Times New Roman" w:hAnsi="Times New Roman"/>
        </w:rPr>
        <w:t xml:space="preserve"> the decrease of eukaryotic productivity and nitrogen assimilation (</w:t>
      </w:r>
      <w:proofErr w:type="spellStart"/>
      <w:r w:rsidR="00287A33">
        <w:rPr>
          <w:rFonts w:ascii="Times New Roman" w:hAnsi="Times New Roman"/>
        </w:rPr>
        <w:t>Brisman</w:t>
      </w:r>
      <w:proofErr w:type="spellEnd"/>
      <w:r w:rsidR="00287A33">
        <w:rPr>
          <w:rFonts w:ascii="Times New Roman" w:hAnsi="Times New Roman"/>
        </w:rPr>
        <w:t xml:space="preserve"> et al., 2001; </w:t>
      </w:r>
      <w:proofErr w:type="spellStart"/>
      <w:r w:rsidR="00287A33">
        <w:rPr>
          <w:rFonts w:ascii="Times New Roman" w:hAnsi="Times New Roman"/>
        </w:rPr>
        <w:t>Sepúleda</w:t>
      </w:r>
      <w:proofErr w:type="spellEnd"/>
      <w:r w:rsidR="00287A33">
        <w:rPr>
          <w:rFonts w:ascii="Times New Roman" w:hAnsi="Times New Roman"/>
        </w:rPr>
        <w:t xml:space="preserve"> et al., 2009</w:t>
      </w:r>
      <w:r>
        <w:rPr>
          <w:rFonts w:ascii="Times New Roman" w:hAnsi="Times New Roman"/>
        </w:rPr>
        <w:t xml:space="preserve">)    </w:t>
      </w:r>
    </w:p>
    <w:p w:rsidR="004B0F1F" w:rsidRDefault="004B0F1F" w:rsidP="004B0F1F">
      <w:pPr>
        <w:autoSpaceDE w:val="0"/>
        <w:autoSpaceDN w:val="0"/>
        <w:adjustRightInd w:val="0"/>
        <w:spacing w:line="240" w:lineRule="auto"/>
        <w:rPr>
          <w:rFonts w:ascii="AdvTT3713a231" w:hAnsi="AdvTT3713a231" w:cs="AdvTT3713a231"/>
          <w:sz w:val="18"/>
          <w:szCs w:val="18"/>
        </w:rPr>
      </w:pPr>
      <w:r>
        <w:rPr>
          <w:rFonts w:ascii="AdvTT3713a231" w:hAnsi="AdvTT3713a231" w:cs="AdvTT3713a231"/>
          <w:sz w:val="18"/>
          <w:szCs w:val="18"/>
        </w:rPr>
        <w:tab/>
      </w:r>
    </w:p>
    <w:p w:rsidR="004B0F1F" w:rsidRDefault="004B0F1F" w:rsidP="004B0F1F">
      <w:pPr>
        <w:ind w:firstLine="720"/>
        <w:rPr>
          <w:rFonts w:ascii="Times New Roman" w:hAnsi="Times New Roman"/>
        </w:rPr>
      </w:pPr>
      <w:r>
        <w:rPr>
          <w:rFonts w:ascii="Times New Roman" w:hAnsi="Times New Roman"/>
        </w:rPr>
        <w:t>The δ</w:t>
      </w:r>
      <w:r w:rsidRPr="00994A92">
        <w:rPr>
          <w:rFonts w:ascii="Times New Roman" w:hAnsi="Times New Roman"/>
          <w:vertAlign w:val="superscript"/>
        </w:rPr>
        <w:t>15</w:t>
      </w:r>
      <w:r>
        <w:rPr>
          <w:rFonts w:ascii="Times New Roman" w:hAnsi="Times New Roman"/>
        </w:rPr>
        <w:t xml:space="preserve">N values become enriched in the Miocene. However, only the oils derived from siliciclastic source rocks show an enrichment. The one carbonate/marl </w:t>
      </w:r>
      <w:r w:rsidR="002A4CD5">
        <w:rPr>
          <w:rFonts w:ascii="Times New Roman" w:hAnsi="Times New Roman"/>
        </w:rPr>
        <w:t xml:space="preserve">sample </w:t>
      </w:r>
      <w:r>
        <w:rPr>
          <w:rFonts w:ascii="Times New Roman" w:hAnsi="Times New Roman"/>
        </w:rPr>
        <w:t xml:space="preserve">does not show an enrichment in </w:t>
      </w:r>
      <w:r w:rsidRPr="007558B8">
        <w:rPr>
          <w:rFonts w:ascii="Times New Roman" w:hAnsi="Times New Roman"/>
          <w:vertAlign w:val="superscript"/>
        </w:rPr>
        <w:t>15</w:t>
      </w:r>
      <w:r>
        <w:rPr>
          <w:rFonts w:ascii="Times New Roman" w:hAnsi="Times New Roman"/>
        </w:rPr>
        <w:t>N. The beginning of the Miocene is characterized by warm waters but a sudden shift towards glaciation and global cooling is seen around</w:t>
      </w:r>
      <w:r w:rsidR="002A4CD5">
        <w:rPr>
          <w:rFonts w:ascii="Times New Roman" w:hAnsi="Times New Roman"/>
        </w:rPr>
        <w:t xml:space="preserve"> 14.7 to 13.9 million years</w:t>
      </w:r>
      <w:r>
        <w:rPr>
          <w:rFonts w:ascii="Times New Roman" w:hAnsi="Times New Roman"/>
        </w:rPr>
        <w:t xml:space="preserve"> (</w:t>
      </w:r>
      <w:proofErr w:type="spellStart"/>
      <w:r>
        <w:rPr>
          <w:rFonts w:ascii="Times New Roman" w:hAnsi="Times New Roman"/>
        </w:rPr>
        <w:t>Holbourn</w:t>
      </w:r>
      <w:proofErr w:type="spellEnd"/>
      <w:r>
        <w:rPr>
          <w:rFonts w:ascii="Times New Roman" w:hAnsi="Times New Roman"/>
        </w:rPr>
        <w:t xml:space="preserve"> et al., 2007; </w:t>
      </w:r>
      <w:proofErr w:type="spellStart"/>
      <w:r w:rsidRPr="00285EFE">
        <w:rPr>
          <w:rFonts w:ascii="Times New Roman" w:hAnsi="Times New Roman"/>
        </w:rPr>
        <w:t>Verducci</w:t>
      </w:r>
      <w:proofErr w:type="spellEnd"/>
      <w:r w:rsidRPr="00285EFE">
        <w:rPr>
          <w:rFonts w:ascii="Times New Roman" w:hAnsi="Times New Roman"/>
        </w:rPr>
        <w:t xml:space="preserve"> et al., 2009</w:t>
      </w:r>
      <w:r>
        <w:rPr>
          <w:rFonts w:ascii="Times New Roman" w:hAnsi="Times New Roman"/>
        </w:rPr>
        <w:t xml:space="preserve"> and references therein;</w:t>
      </w:r>
      <w:r w:rsidRPr="00285EFE">
        <w:rPr>
          <w:rFonts w:ascii="Times New Roman" w:hAnsi="Times New Roman"/>
        </w:rPr>
        <w:t xml:space="preserve"> </w:t>
      </w:r>
      <w:proofErr w:type="spellStart"/>
      <w:r w:rsidRPr="00285EFE">
        <w:rPr>
          <w:rFonts w:ascii="Times New Roman" w:hAnsi="Times New Roman"/>
        </w:rPr>
        <w:t>Majewski</w:t>
      </w:r>
      <w:proofErr w:type="spellEnd"/>
      <w:r w:rsidRPr="00285EFE">
        <w:rPr>
          <w:rFonts w:ascii="Times New Roman" w:hAnsi="Times New Roman"/>
        </w:rPr>
        <w:t xml:space="preserve"> and </w:t>
      </w:r>
      <w:proofErr w:type="spellStart"/>
      <w:r w:rsidRPr="00285EFE">
        <w:rPr>
          <w:rFonts w:ascii="Times New Roman" w:hAnsi="Times New Roman"/>
        </w:rPr>
        <w:t>Bohaty</w:t>
      </w:r>
      <w:proofErr w:type="spellEnd"/>
      <w:r w:rsidRPr="00285EFE">
        <w:rPr>
          <w:rFonts w:ascii="Times New Roman" w:hAnsi="Times New Roman"/>
        </w:rPr>
        <w:t>, 2010</w:t>
      </w:r>
      <w:r>
        <w:rPr>
          <w:rFonts w:ascii="Times New Roman" w:hAnsi="Times New Roman"/>
        </w:rPr>
        <w:t xml:space="preserve"> and references therein). Global cooling and the advancement of ice sheets cooled sea surface temperatures and increased circulation. (</w:t>
      </w:r>
      <w:proofErr w:type="spellStart"/>
      <w:r>
        <w:rPr>
          <w:rFonts w:ascii="Times New Roman" w:hAnsi="Times New Roman"/>
        </w:rPr>
        <w:t>Holbourn</w:t>
      </w:r>
      <w:proofErr w:type="spellEnd"/>
      <w:r>
        <w:rPr>
          <w:rFonts w:ascii="Times New Roman" w:hAnsi="Times New Roman"/>
        </w:rPr>
        <w:t xml:space="preserve"> et al., 2007; </w:t>
      </w:r>
      <w:proofErr w:type="spellStart"/>
      <w:r w:rsidRPr="00285EFE">
        <w:rPr>
          <w:rFonts w:ascii="Times New Roman" w:hAnsi="Times New Roman"/>
        </w:rPr>
        <w:t>Verducci</w:t>
      </w:r>
      <w:proofErr w:type="spellEnd"/>
      <w:r w:rsidRPr="00285EFE">
        <w:rPr>
          <w:rFonts w:ascii="Times New Roman" w:hAnsi="Times New Roman"/>
        </w:rPr>
        <w:t xml:space="preserve"> et al., 2009</w:t>
      </w:r>
      <w:r>
        <w:rPr>
          <w:rFonts w:ascii="Times New Roman" w:hAnsi="Times New Roman"/>
        </w:rPr>
        <w:t xml:space="preserve"> and references therein;</w:t>
      </w:r>
      <w:r w:rsidRPr="00285EFE">
        <w:rPr>
          <w:rFonts w:ascii="Times New Roman" w:hAnsi="Times New Roman"/>
        </w:rPr>
        <w:t xml:space="preserve"> </w:t>
      </w:r>
      <w:proofErr w:type="spellStart"/>
      <w:r w:rsidRPr="00285EFE">
        <w:rPr>
          <w:rFonts w:ascii="Times New Roman" w:hAnsi="Times New Roman"/>
        </w:rPr>
        <w:t>Majewski</w:t>
      </w:r>
      <w:proofErr w:type="spellEnd"/>
      <w:r w:rsidRPr="00285EFE">
        <w:rPr>
          <w:rFonts w:ascii="Times New Roman" w:hAnsi="Times New Roman"/>
        </w:rPr>
        <w:t xml:space="preserve"> and </w:t>
      </w:r>
      <w:proofErr w:type="spellStart"/>
      <w:r w:rsidRPr="00285EFE">
        <w:rPr>
          <w:rFonts w:ascii="Times New Roman" w:hAnsi="Times New Roman"/>
        </w:rPr>
        <w:t>Bohaty</w:t>
      </w:r>
      <w:proofErr w:type="spellEnd"/>
      <w:r w:rsidRPr="00285EFE">
        <w:rPr>
          <w:rFonts w:ascii="Times New Roman" w:hAnsi="Times New Roman"/>
        </w:rPr>
        <w:t>, 2010</w:t>
      </w:r>
      <w:r>
        <w:rPr>
          <w:rFonts w:ascii="Times New Roman" w:hAnsi="Times New Roman"/>
        </w:rPr>
        <w:t xml:space="preserve"> and references therein). M</w:t>
      </w:r>
      <w:r w:rsidR="002A4CD5">
        <w:rPr>
          <w:rFonts w:ascii="Times New Roman" w:hAnsi="Times New Roman"/>
        </w:rPr>
        <w:t>acko et al. (1990), also reported</w:t>
      </w:r>
      <w:r w:rsidR="0077328F">
        <w:rPr>
          <w:rFonts w:ascii="Times New Roman" w:hAnsi="Times New Roman"/>
        </w:rPr>
        <w:t xml:space="preserve"> an</w:t>
      </w:r>
      <w:r>
        <w:rPr>
          <w:rFonts w:ascii="Times New Roman" w:hAnsi="Times New Roman"/>
        </w:rPr>
        <w:t xml:space="preserve"> enrichment of δ</w:t>
      </w:r>
      <w:r w:rsidRPr="00994A92">
        <w:rPr>
          <w:rFonts w:ascii="Times New Roman" w:hAnsi="Times New Roman"/>
          <w:vertAlign w:val="superscript"/>
        </w:rPr>
        <w:t>15</w:t>
      </w:r>
      <w:r>
        <w:rPr>
          <w:rFonts w:ascii="Times New Roman" w:hAnsi="Times New Roman"/>
        </w:rPr>
        <w:t>N values from the m</w:t>
      </w:r>
      <w:r w:rsidR="00287A33">
        <w:rPr>
          <w:rFonts w:ascii="Times New Roman" w:hAnsi="Times New Roman"/>
        </w:rPr>
        <w:t>iddle Miocene. They</w:t>
      </w:r>
      <w:r w:rsidR="0077328F">
        <w:rPr>
          <w:rFonts w:ascii="Times New Roman" w:hAnsi="Times New Roman"/>
        </w:rPr>
        <w:t xml:space="preserve"> suggested that the enrichment was because of</w:t>
      </w:r>
      <w:r>
        <w:rPr>
          <w:rFonts w:ascii="Times New Roman" w:hAnsi="Times New Roman"/>
        </w:rPr>
        <w:t xml:space="preserve"> recycling of organic matter. The shift from greenhouse to icehouse conditions in the Middle Miocene would enrich</w:t>
      </w:r>
      <w:r w:rsidRPr="00780933">
        <w:rPr>
          <w:rFonts w:ascii="Times New Roman" w:hAnsi="Times New Roman"/>
        </w:rPr>
        <w:t xml:space="preserve"> </w:t>
      </w:r>
      <w:r>
        <w:rPr>
          <w:rFonts w:ascii="Times New Roman" w:hAnsi="Times New Roman"/>
        </w:rPr>
        <w:t>δ</w:t>
      </w:r>
      <w:r w:rsidRPr="00994A92">
        <w:rPr>
          <w:rFonts w:ascii="Times New Roman" w:hAnsi="Times New Roman"/>
          <w:vertAlign w:val="superscript"/>
        </w:rPr>
        <w:t>15</w:t>
      </w:r>
      <w:r>
        <w:rPr>
          <w:rFonts w:ascii="Times New Roman" w:hAnsi="Times New Roman"/>
        </w:rPr>
        <w:t>N values to 4</w:t>
      </w:r>
      <w:r w:rsidRPr="003E7CA6">
        <w:rPr>
          <w:rFonts w:ascii="Times New Roman" w:hAnsi="Times New Roman"/>
        </w:rPr>
        <w:t>‰</w:t>
      </w:r>
      <w:r>
        <w:rPr>
          <w:rFonts w:ascii="Times New Roman" w:hAnsi="Times New Roman"/>
        </w:rPr>
        <w:t xml:space="preserve"> to 8</w:t>
      </w:r>
      <w:r w:rsidRPr="003E7CA6">
        <w:rPr>
          <w:rFonts w:ascii="Times New Roman" w:hAnsi="Times New Roman"/>
        </w:rPr>
        <w:t>‰</w:t>
      </w:r>
      <w:r>
        <w:rPr>
          <w:rFonts w:ascii="Times New Roman" w:hAnsi="Times New Roman"/>
        </w:rPr>
        <w:t xml:space="preserve"> (</w:t>
      </w:r>
      <w:proofErr w:type="spellStart"/>
      <w:r>
        <w:rPr>
          <w:rFonts w:ascii="Times New Roman" w:hAnsi="Times New Roman"/>
        </w:rPr>
        <w:t>Algeo</w:t>
      </w:r>
      <w:proofErr w:type="spellEnd"/>
      <w:r>
        <w:rPr>
          <w:rFonts w:ascii="Times New Roman" w:hAnsi="Times New Roman"/>
        </w:rPr>
        <w:t xml:space="preserve"> et al., 2014). Values in the Middle Miocene for this study</w:t>
      </w:r>
      <w:r w:rsidRPr="003A5007">
        <w:rPr>
          <w:rFonts w:ascii="Times New Roman" w:hAnsi="Times New Roman"/>
        </w:rPr>
        <w:t xml:space="preserve"> </w:t>
      </w:r>
      <w:r>
        <w:rPr>
          <w:rFonts w:ascii="Times New Roman" w:hAnsi="Times New Roman"/>
        </w:rPr>
        <w:t xml:space="preserve">range from 3.04‰ to 7.92‰ and correlate well to icehouse values. Increased nitrate supply would enable </w:t>
      </w:r>
      <w:r>
        <w:rPr>
          <w:rFonts w:ascii="Times New Roman" w:hAnsi="Times New Roman"/>
        </w:rPr>
        <w:lastRenderedPageBreak/>
        <w:t>denitrification to preferentially select the light isotope (</w:t>
      </w:r>
      <w:r w:rsidRPr="003A5007">
        <w:rPr>
          <w:rFonts w:ascii="Times New Roman" w:hAnsi="Times New Roman"/>
          <w:vertAlign w:val="superscript"/>
        </w:rPr>
        <w:t>14</w:t>
      </w:r>
      <w:r>
        <w:rPr>
          <w:rFonts w:ascii="Times New Roman" w:hAnsi="Times New Roman"/>
        </w:rPr>
        <w:t xml:space="preserve">N) thus enriching the remaining substrate. Increased circulation in the ocean leading to upwelling and recycling of nitrate in organic matter would therefore be enriched in </w:t>
      </w:r>
      <w:r w:rsidRPr="003A5007">
        <w:rPr>
          <w:rFonts w:ascii="Times New Roman" w:hAnsi="Times New Roman"/>
          <w:vertAlign w:val="superscript"/>
        </w:rPr>
        <w:t>15</w:t>
      </w:r>
      <w:r>
        <w:rPr>
          <w:rFonts w:ascii="Times New Roman" w:hAnsi="Times New Roman"/>
        </w:rPr>
        <w:t>N.</w:t>
      </w:r>
    </w:p>
    <w:p w:rsidR="004B0F1F" w:rsidRPr="00C8358B" w:rsidRDefault="004B0F1F" w:rsidP="004B0F1F">
      <w:pPr>
        <w:ind w:firstLine="720"/>
        <w:rPr>
          <w:rFonts w:ascii="Times New Roman" w:hAnsi="Times New Roman"/>
        </w:rPr>
      </w:pPr>
      <w:r>
        <w:rPr>
          <w:rFonts w:ascii="Times New Roman" w:hAnsi="Times New Roman"/>
        </w:rPr>
        <w:t>A possible explanation for the carbonate/marl that doesn’t show the enrichment in the Neogene could be because the carbonate/marl is slightly older than the siliciclastic samples from this time</w:t>
      </w:r>
      <w:r w:rsidR="0077328F">
        <w:rPr>
          <w:rFonts w:ascii="Times New Roman" w:hAnsi="Times New Roman"/>
        </w:rPr>
        <w:t>, reflecting</w:t>
      </w:r>
      <w:r>
        <w:rPr>
          <w:rFonts w:ascii="Times New Roman" w:hAnsi="Times New Roman"/>
        </w:rPr>
        <w:t xml:space="preserve"> the warmer global climate</w:t>
      </w:r>
      <w:r w:rsidR="0077328F">
        <w:rPr>
          <w:rFonts w:ascii="Times New Roman" w:hAnsi="Times New Roman"/>
        </w:rPr>
        <w:t>,</w:t>
      </w:r>
      <w:r>
        <w:rPr>
          <w:rFonts w:ascii="Times New Roman" w:hAnsi="Times New Roman"/>
        </w:rPr>
        <w:t xml:space="preserve"> thus </w:t>
      </w:r>
      <w:r w:rsidR="0077328F">
        <w:rPr>
          <w:rFonts w:ascii="Times New Roman" w:hAnsi="Times New Roman"/>
        </w:rPr>
        <w:t>having</w:t>
      </w:r>
      <w:r>
        <w:rPr>
          <w:rFonts w:ascii="Times New Roman" w:hAnsi="Times New Roman"/>
        </w:rPr>
        <w:t xml:space="preserve"> δ</w:t>
      </w:r>
      <w:r w:rsidRPr="00994A92">
        <w:rPr>
          <w:rFonts w:ascii="Times New Roman" w:hAnsi="Times New Roman"/>
          <w:vertAlign w:val="superscript"/>
        </w:rPr>
        <w:t>15</w:t>
      </w:r>
      <w:r>
        <w:rPr>
          <w:rFonts w:ascii="Times New Roman" w:hAnsi="Times New Roman"/>
        </w:rPr>
        <w:t>N values (</w:t>
      </w:r>
      <w:r w:rsidRPr="003E7CA6">
        <w:rPr>
          <w:rFonts w:ascii="Times New Roman" w:hAnsi="Times New Roman"/>
        </w:rPr>
        <w:t>NSO value of 1.23‰ a</w:t>
      </w:r>
      <w:r>
        <w:rPr>
          <w:rFonts w:ascii="Times New Roman" w:hAnsi="Times New Roman"/>
        </w:rPr>
        <w:t>nd an asphaltene value of 0.96‰) that correspond to greenhouse δ</w:t>
      </w:r>
      <w:r w:rsidRPr="00994A92">
        <w:rPr>
          <w:rFonts w:ascii="Times New Roman" w:hAnsi="Times New Roman"/>
          <w:vertAlign w:val="superscript"/>
        </w:rPr>
        <w:t>15</w:t>
      </w:r>
      <w:r>
        <w:rPr>
          <w:rFonts w:ascii="Times New Roman" w:hAnsi="Times New Roman"/>
        </w:rPr>
        <w:t>N values (</w:t>
      </w:r>
      <w:proofErr w:type="spellStart"/>
      <w:r>
        <w:rPr>
          <w:rFonts w:ascii="Times New Roman" w:hAnsi="Times New Roman"/>
        </w:rPr>
        <w:t>Algeo</w:t>
      </w:r>
      <w:proofErr w:type="spellEnd"/>
      <w:r>
        <w:rPr>
          <w:rFonts w:ascii="Times New Roman" w:hAnsi="Times New Roman"/>
        </w:rPr>
        <w:t xml:space="preserve"> et al., 2014). Another explanation could be</w:t>
      </w:r>
      <w:r w:rsidR="0077328F">
        <w:rPr>
          <w:rFonts w:ascii="Times New Roman" w:hAnsi="Times New Roman"/>
        </w:rPr>
        <w:t xml:space="preserve"> that</w:t>
      </w:r>
      <w:r>
        <w:rPr>
          <w:rFonts w:ascii="Times New Roman" w:hAnsi="Times New Roman"/>
        </w:rPr>
        <w:t xml:space="preserve"> the carbonate/marl was deposited in low latitudes</w:t>
      </w:r>
      <w:r w:rsidR="0077328F">
        <w:rPr>
          <w:rFonts w:ascii="Times New Roman" w:hAnsi="Times New Roman"/>
        </w:rPr>
        <w:t xml:space="preserve"> (Palawan Shelf, Philippines)</w:t>
      </w:r>
      <w:r>
        <w:rPr>
          <w:rFonts w:ascii="Times New Roman" w:hAnsi="Times New Roman"/>
        </w:rPr>
        <w:t xml:space="preserve"> while the siliciclastic samples from the Miocene were deposited in high latitudes</w:t>
      </w:r>
      <w:r w:rsidR="0077328F">
        <w:rPr>
          <w:rFonts w:ascii="Times New Roman" w:hAnsi="Times New Roman"/>
        </w:rPr>
        <w:t xml:space="preserve"> (San Joaquin Basin, United States</w:t>
      </w:r>
      <w:r w:rsidR="0077328F" w:rsidRPr="003A7D22">
        <w:rPr>
          <w:rFonts w:ascii="Times New Roman" w:hAnsi="Times New Roman"/>
        </w:rPr>
        <w:t>)</w:t>
      </w:r>
      <w:r w:rsidR="00287A33" w:rsidRPr="003A7D22">
        <w:rPr>
          <w:rFonts w:ascii="Times New Roman" w:hAnsi="Times New Roman"/>
        </w:rPr>
        <w:t>. With increasing latitude,</w:t>
      </w:r>
      <w:r w:rsidRPr="003A7D22">
        <w:rPr>
          <w:rFonts w:ascii="Times New Roman" w:hAnsi="Times New Roman"/>
        </w:rPr>
        <w:t xml:space="preserve"> there is a decrease in </w:t>
      </w:r>
      <w:r w:rsidR="001E68B6" w:rsidRPr="003A7D22">
        <w:rPr>
          <w:rFonts w:ascii="Times New Roman" w:hAnsi="Times New Roman"/>
        </w:rPr>
        <w:t>[</w:t>
      </w:r>
      <w:r w:rsidRPr="003A7D22">
        <w:rPr>
          <w:rFonts w:ascii="Times New Roman" w:hAnsi="Times New Roman"/>
        </w:rPr>
        <w:t>NO</w:t>
      </w:r>
      <w:r w:rsidRPr="003A7D22">
        <w:rPr>
          <w:rFonts w:ascii="Times New Roman" w:hAnsi="Times New Roman"/>
          <w:vertAlign w:val="subscript"/>
        </w:rPr>
        <w:t>3</w:t>
      </w:r>
      <w:r w:rsidRPr="003A7D22">
        <w:rPr>
          <w:rFonts w:ascii="Times New Roman" w:hAnsi="Times New Roman"/>
          <w:vertAlign w:val="superscript"/>
        </w:rPr>
        <w:t>-</w:t>
      </w:r>
      <w:r w:rsidR="001E68B6" w:rsidRPr="003A7D22">
        <w:rPr>
          <w:rFonts w:ascii="Times New Roman" w:hAnsi="Times New Roman"/>
        </w:rPr>
        <w:t xml:space="preserve">] from increased production and assimilation. Therefore, </w:t>
      </w:r>
      <w:bookmarkStart w:id="13" w:name="_Hlk481403151"/>
      <w:r w:rsidR="001E68B6" w:rsidRPr="003A7D22">
        <w:rPr>
          <w:rFonts w:ascii="Times New Roman" w:hAnsi="Times New Roman"/>
        </w:rPr>
        <w:t>the δ</w:t>
      </w:r>
      <w:r w:rsidR="001E68B6" w:rsidRPr="003A7D22">
        <w:rPr>
          <w:rFonts w:ascii="Times New Roman" w:hAnsi="Times New Roman"/>
          <w:vertAlign w:val="superscript"/>
        </w:rPr>
        <w:t>15</w:t>
      </w:r>
      <w:r w:rsidR="001E68B6" w:rsidRPr="003A7D22">
        <w:rPr>
          <w:rFonts w:ascii="Times New Roman" w:hAnsi="Times New Roman"/>
        </w:rPr>
        <w:t xml:space="preserve">N values </w:t>
      </w:r>
      <w:bookmarkEnd w:id="13"/>
      <w:r w:rsidR="001E68B6" w:rsidRPr="003A7D22">
        <w:rPr>
          <w:rFonts w:ascii="Times New Roman" w:hAnsi="Times New Roman"/>
        </w:rPr>
        <w:t>are higher in higher latitudes and the δ</w:t>
      </w:r>
      <w:r w:rsidR="001E68B6" w:rsidRPr="003A7D22">
        <w:rPr>
          <w:rFonts w:ascii="Times New Roman" w:hAnsi="Times New Roman"/>
          <w:vertAlign w:val="superscript"/>
        </w:rPr>
        <w:t>15</w:t>
      </w:r>
      <w:r w:rsidR="001E68B6" w:rsidRPr="003A7D22">
        <w:rPr>
          <w:rFonts w:ascii="Times New Roman" w:hAnsi="Times New Roman"/>
        </w:rPr>
        <w:t>N values are lower in lower latitudes</w:t>
      </w:r>
      <w:r w:rsidR="001E68B6">
        <w:rPr>
          <w:rFonts w:ascii="Times New Roman" w:hAnsi="Times New Roman"/>
        </w:rPr>
        <w:t xml:space="preserve"> </w:t>
      </w:r>
      <w:r>
        <w:rPr>
          <w:rFonts w:ascii="Times New Roman" w:hAnsi="Times New Roman"/>
        </w:rPr>
        <w:t xml:space="preserve">(Altabet and Francois, </w:t>
      </w:r>
      <w:r w:rsidRPr="00CC1A34">
        <w:rPr>
          <w:rFonts w:ascii="Times New Roman" w:hAnsi="Times New Roman"/>
        </w:rPr>
        <w:t>1994</w:t>
      </w:r>
      <w:r>
        <w:rPr>
          <w:rFonts w:ascii="Times New Roman" w:hAnsi="Times New Roman"/>
        </w:rPr>
        <w:t xml:space="preserve">; </w:t>
      </w:r>
      <w:proofErr w:type="spellStart"/>
      <w:r>
        <w:rPr>
          <w:rFonts w:ascii="Times New Roman" w:hAnsi="Times New Roman"/>
        </w:rPr>
        <w:t>Saitoh</w:t>
      </w:r>
      <w:proofErr w:type="spellEnd"/>
      <w:r>
        <w:rPr>
          <w:rFonts w:ascii="Times New Roman" w:hAnsi="Times New Roman"/>
        </w:rPr>
        <w:t xml:space="preserve"> et al., 2014). </w:t>
      </w:r>
    </w:p>
    <w:p w:rsidR="006F7CD0" w:rsidRDefault="006F7CD0" w:rsidP="008D4F69"/>
    <w:p w:rsidR="008D4F69" w:rsidRPr="008D4F69" w:rsidRDefault="006F7CD0" w:rsidP="003A7D22">
      <w:pPr>
        <w:spacing w:line="240" w:lineRule="auto"/>
      </w:pPr>
      <w:r>
        <w:br w:type="page"/>
      </w:r>
    </w:p>
    <w:p w:rsidR="006F7CD0" w:rsidRPr="006F7CD0" w:rsidRDefault="006F7CD0" w:rsidP="006F7CD0">
      <w:pPr>
        <w:jc w:val="center"/>
        <w:rPr>
          <w:rFonts w:ascii="Times New Roman" w:hAnsi="Times New Roman"/>
          <w:b/>
          <w:sz w:val="28"/>
          <w:szCs w:val="28"/>
        </w:rPr>
      </w:pPr>
      <w:r w:rsidRPr="006F7CD0">
        <w:rPr>
          <w:rFonts w:ascii="Times New Roman" w:hAnsi="Times New Roman"/>
          <w:b/>
          <w:sz w:val="28"/>
          <w:szCs w:val="28"/>
        </w:rPr>
        <w:lastRenderedPageBreak/>
        <w:t xml:space="preserve">Conclusions </w:t>
      </w:r>
    </w:p>
    <w:p w:rsidR="006F7CD0" w:rsidRDefault="006F7CD0" w:rsidP="006F7CD0">
      <w:pPr>
        <w:ind w:firstLine="720"/>
        <w:rPr>
          <w:rFonts w:ascii="Times New Roman" w:hAnsi="Times New Roman"/>
        </w:rPr>
      </w:pPr>
      <w:r>
        <w:rPr>
          <w:rFonts w:ascii="Times New Roman" w:hAnsi="Times New Roman"/>
        </w:rPr>
        <w:tab/>
        <w:t>The sixty-two crude oils derived from source rocks of known geologic age compared to the bulk δ</w:t>
      </w:r>
      <w:r w:rsidRPr="00F44F74">
        <w:rPr>
          <w:rFonts w:ascii="Times New Roman" w:hAnsi="Times New Roman"/>
          <w:vertAlign w:val="superscript"/>
        </w:rPr>
        <w:t>15</w:t>
      </w:r>
      <w:r>
        <w:rPr>
          <w:rFonts w:ascii="Times New Roman" w:hAnsi="Times New Roman"/>
        </w:rPr>
        <w:t>N values previously reported for kerogens and sediments of similar geologic age</w:t>
      </w:r>
      <w:r w:rsidRPr="00F44F74">
        <w:rPr>
          <w:rFonts w:ascii="Times New Roman" w:hAnsi="Times New Roman"/>
          <w:i/>
        </w:rPr>
        <w:t xml:space="preserve"> </w:t>
      </w:r>
      <w:r>
        <w:rPr>
          <w:rFonts w:ascii="Times New Roman" w:hAnsi="Times New Roman"/>
        </w:rPr>
        <w:t>(</w:t>
      </w:r>
      <w:proofErr w:type="spellStart"/>
      <w:r>
        <w:rPr>
          <w:rFonts w:ascii="Times New Roman" w:hAnsi="Times New Roman"/>
          <w:iCs/>
        </w:rPr>
        <w:t>Algeo</w:t>
      </w:r>
      <w:proofErr w:type="spellEnd"/>
      <w:r>
        <w:rPr>
          <w:rFonts w:ascii="Times New Roman" w:hAnsi="Times New Roman"/>
          <w:iCs/>
        </w:rPr>
        <w:t xml:space="preserve"> et al., 2012; </w:t>
      </w:r>
      <w:proofErr w:type="spellStart"/>
      <w:r w:rsidRPr="00F44F74">
        <w:rPr>
          <w:rFonts w:ascii="Times New Roman" w:hAnsi="Times New Roman"/>
          <w:iCs/>
        </w:rPr>
        <w:t>Schoepf</w:t>
      </w:r>
      <w:r>
        <w:rPr>
          <w:rFonts w:ascii="Times New Roman" w:hAnsi="Times New Roman"/>
          <w:iCs/>
        </w:rPr>
        <w:t>er</w:t>
      </w:r>
      <w:proofErr w:type="spellEnd"/>
      <w:r>
        <w:rPr>
          <w:rFonts w:ascii="Times New Roman" w:hAnsi="Times New Roman"/>
          <w:iCs/>
        </w:rPr>
        <w:t xml:space="preserve"> et al., 2012; </w:t>
      </w:r>
      <w:proofErr w:type="spellStart"/>
      <w:r>
        <w:rPr>
          <w:rFonts w:ascii="Times New Roman" w:hAnsi="Times New Roman"/>
          <w:iCs/>
        </w:rPr>
        <w:t>Knies</w:t>
      </w:r>
      <w:proofErr w:type="spellEnd"/>
      <w:r>
        <w:rPr>
          <w:rFonts w:ascii="Times New Roman" w:hAnsi="Times New Roman"/>
          <w:iCs/>
        </w:rPr>
        <w:t xml:space="preserve"> et al., 2013</w:t>
      </w:r>
      <w:r w:rsidRPr="00F44F74">
        <w:rPr>
          <w:rFonts w:ascii="Times New Roman" w:hAnsi="Times New Roman"/>
          <w:iCs/>
        </w:rPr>
        <w:t xml:space="preserve">; </w:t>
      </w:r>
      <w:proofErr w:type="spellStart"/>
      <w:r w:rsidRPr="00F44F74">
        <w:rPr>
          <w:rFonts w:ascii="Times New Roman" w:hAnsi="Times New Roman"/>
          <w:iCs/>
        </w:rPr>
        <w:t>Saitoh</w:t>
      </w:r>
      <w:proofErr w:type="spellEnd"/>
      <w:r w:rsidRPr="00F44F74">
        <w:rPr>
          <w:rFonts w:ascii="Times New Roman" w:hAnsi="Times New Roman"/>
          <w:iCs/>
        </w:rPr>
        <w:t xml:space="preserve"> et al.</w:t>
      </w:r>
      <w:r>
        <w:rPr>
          <w:rFonts w:ascii="Times New Roman" w:hAnsi="Times New Roman"/>
          <w:iCs/>
        </w:rPr>
        <w:t>, 2014</w:t>
      </w:r>
      <w:r w:rsidRPr="00F44F74">
        <w:rPr>
          <w:rFonts w:ascii="Times New Roman" w:hAnsi="Times New Roman"/>
          <w:iCs/>
        </w:rPr>
        <w:t xml:space="preserve">; </w:t>
      </w:r>
      <w:proofErr w:type="spellStart"/>
      <w:r w:rsidRPr="00F44F74">
        <w:rPr>
          <w:rFonts w:ascii="Times New Roman" w:hAnsi="Times New Roman"/>
          <w:iCs/>
        </w:rPr>
        <w:t>Grasby</w:t>
      </w:r>
      <w:proofErr w:type="spellEnd"/>
      <w:r w:rsidRPr="00F44F74">
        <w:rPr>
          <w:rFonts w:ascii="Times New Roman" w:hAnsi="Times New Roman"/>
          <w:iCs/>
        </w:rPr>
        <w:t xml:space="preserve"> et al.</w:t>
      </w:r>
      <w:r>
        <w:rPr>
          <w:rFonts w:ascii="Times New Roman" w:hAnsi="Times New Roman"/>
          <w:iCs/>
        </w:rPr>
        <w:t>, 2015</w:t>
      </w:r>
      <w:r w:rsidRPr="00F44F74">
        <w:rPr>
          <w:rFonts w:ascii="Times New Roman" w:hAnsi="Times New Roman"/>
          <w:iCs/>
        </w:rPr>
        <w:t>; and Stüeken et al.</w:t>
      </w:r>
      <w:r>
        <w:rPr>
          <w:rFonts w:ascii="Times New Roman" w:hAnsi="Times New Roman"/>
          <w:iCs/>
        </w:rPr>
        <w:t xml:space="preserve">, 2015 and references therein) appear to match up and show similar enrichments and depletions in </w:t>
      </w:r>
      <w:r w:rsidRPr="001C31A0">
        <w:rPr>
          <w:rFonts w:ascii="Times New Roman" w:hAnsi="Times New Roman"/>
          <w:iCs/>
          <w:vertAlign w:val="superscript"/>
        </w:rPr>
        <w:t>15</w:t>
      </w:r>
      <w:r>
        <w:rPr>
          <w:rFonts w:ascii="Times New Roman" w:hAnsi="Times New Roman"/>
          <w:iCs/>
        </w:rPr>
        <w:t xml:space="preserve">N with geologic time. Therefore, the </w:t>
      </w:r>
      <w:r>
        <w:rPr>
          <w:rFonts w:ascii="Times New Roman" w:hAnsi="Times New Roman"/>
        </w:rPr>
        <w:t>n</w:t>
      </w:r>
      <w:r w:rsidRPr="00CC1A34">
        <w:rPr>
          <w:rFonts w:ascii="Times New Roman" w:hAnsi="Times New Roman"/>
        </w:rPr>
        <w:t>itrogen isotop</w:t>
      </w:r>
      <w:r>
        <w:rPr>
          <w:rFonts w:ascii="Times New Roman" w:hAnsi="Times New Roman"/>
        </w:rPr>
        <w:t>e composition of crude oils appears to</w:t>
      </w:r>
      <w:r w:rsidRPr="00CC1A34">
        <w:rPr>
          <w:rFonts w:ascii="Times New Roman" w:hAnsi="Times New Roman"/>
        </w:rPr>
        <w:t xml:space="preserve"> reflect that of the kerogens from which they were derived</w:t>
      </w:r>
      <w:r>
        <w:rPr>
          <w:rFonts w:ascii="Times New Roman" w:hAnsi="Times New Roman"/>
        </w:rPr>
        <w:t>.</w:t>
      </w:r>
    </w:p>
    <w:p w:rsidR="006F7CD0" w:rsidRDefault="006F7CD0" w:rsidP="006F7CD0">
      <w:pPr>
        <w:ind w:firstLine="720"/>
        <w:rPr>
          <w:rFonts w:ascii="Times New Roman" w:hAnsi="Times New Roman"/>
          <w:iCs/>
        </w:rPr>
      </w:pPr>
      <w:r>
        <w:rPr>
          <w:rFonts w:ascii="Times New Roman" w:hAnsi="Times New Roman"/>
        </w:rPr>
        <w:t xml:space="preserve">Two enrichments in </w:t>
      </w:r>
      <w:r w:rsidRPr="004330B5">
        <w:rPr>
          <w:rFonts w:ascii="Times New Roman" w:hAnsi="Times New Roman"/>
          <w:vertAlign w:val="superscript"/>
        </w:rPr>
        <w:t>15</w:t>
      </w:r>
      <w:r>
        <w:rPr>
          <w:rFonts w:ascii="Times New Roman" w:hAnsi="Times New Roman"/>
        </w:rPr>
        <w:t>N occur in the Carboniferous/Permian, and Miocene. The enrichment of the δ</w:t>
      </w:r>
      <w:r w:rsidRPr="00994A92">
        <w:rPr>
          <w:rFonts w:ascii="Times New Roman" w:hAnsi="Times New Roman"/>
          <w:vertAlign w:val="superscript"/>
        </w:rPr>
        <w:t>15</w:t>
      </w:r>
      <w:r>
        <w:rPr>
          <w:rFonts w:ascii="Times New Roman" w:hAnsi="Times New Roman"/>
        </w:rPr>
        <w:t xml:space="preserve">N values from the Carboniferous/Permian age and the Miocene age is thought to originate from icehouse global conditions. Circulation in the ocean waters increased leading to enhanced upwelling and recycling of organic matter. The nitrate supply would be abundant thus allowing denitrification to preferentially take up </w:t>
      </w:r>
      <w:r w:rsidRPr="00E16547">
        <w:rPr>
          <w:rFonts w:ascii="Times New Roman" w:hAnsi="Times New Roman"/>
          <w:vertAlign w:val="superscript"/>
        </w:rPr>
        <w:t>14</w:t>
      </w:r>
      <w:r>
        <w:rPr>
          <w:rFonts w:ascii="Times New Roman" w:hAnsi="Times New Roman"/>
        </w:rPr>
        <w:t>N</w:t>
      </w:r>
      <w:r w:rsidR="0057676C">
        <w:rPr>
          <w:rFonts w:ascii="Times New Roman" w:hAnsi="Times New Roman"/>
        </w:rPr>
        <w:t>,</w:t>
      </w:r>
      <w:r>
        <w:rPr>
          <w:rFonts w:ascii="Times New Roman" w:hAnsi="Times New Roman"/>
        </w:rPr>
        <w:t xml:space="preserve"> enriching the r</w:t>
      </w:r>
      <w:r w:rsidR="0057676C">
        <w:rPr>
          <w:rFonts w:ascii="Times New Roman" w:hAnsi="Times New Roman"/>
        </w:rPr>
        <w:t>emaining organic matter</w:t>
      </w:r>
      <w:r>
        <w:rPr>
          <w:rFonts w:ascii="Times New Roman" w:hAnsi="Times New Roman"/>
        </w:rPr>
        <w:t xml:space="preserve"> in </w:t>
      </w:r>
      <w:r w:rsidRPr="00E16547">
        <w:rPr>
          <w:rFonts w:ascii="Times New Roman" w:hAnsi="Times New Roman"/>
          <w:vertAlign w:val="superscript"/>
        </w:rPr>
        <w:t>15</w:t>
      </w:r>
      <w:r>
        <w:rPr>
          <w:rFonts w:ascii="Times New Roman" w:hAnsi="Times New Roman"/>
        </w:rPr>
        <w:t xml:space="preserve">N.  </w:t>
      </w:r>
    </w:p>
    <w:p w:rsidR="006F7CD0" w:rsidRDefault="006F7CD0" w:rsidP="006F7CD0">
      <w:pPr>
        <w:rPr>
          <w:rFonts w:ascii="Times New Roman" w:hAnsi="Times New Roman"/>
        </w:rPr>
      </w:pPr>
      <w:r>
        <w:rPr>
          <w:rFonts w:ascii="Times New Roman" w:hAnsi="Times New Roman"/>
          <w:b/>
        </w:rPr>
        <w:tab/>
      </w:r>
      <w:r>
        <w:rPr>
          <w:rFonts w:ascii="Times New Roman" w:hAnsi="Times New Roman"/>
        </w:rPr>
        <w:t xml:space="preserve">Three depletions in </w:t>
      </w:r>
      <w:r w:rsidRPr="004330B5">
        <w:rPr>
          <w:rFonts w:ascii="Times New Roman" w:hAnsi="Times New Roman"/>
          <w:vertAlign w:val="superscript"/>
        </w:rPr>
        <w:t>15</w:t>
      </w:r>
      <w:r>
        <w:rPr>
          <w:rFonts w:ascii="Times New Roman" w:hAnsi="Times New Roman"/>
        </w:rPr>
        <w:t>N occur in the Cambrian/Ordovician, Silurian/Devonian, and Triassic through the Paleogene. The depletions of the δ</w:t>
      </w:r>
      <w:r w:rsidRPr="00994A92">
        <w:rPr>
          <w:rFonts w:ascii="Times New Roman" w:hAnsi="Times New Roman"/>
          <w:vertAlign w:val="superscript"/>
        </w:rPr>
        <w:t>15</w:t>
      </w:r>
      <w:r>
        <w:rPr>
          <w:rFonts w:ascii="Times New Roman" w:hAnsi="Times New Roman"/>
        </w:rPr>
        <w:t xml:space="preserve">N values in the Cambrian/Ordovician (depleted compared to Precambrian values found in the literature Stüeken et al., 2015) is thought to originate from the Cambrian “explosion” </w:t>
      </w:r>
      <w:r w:rsidR="0057676C">
        <w:rPr>
          <w:rFonts w:ascii="Times New Roman" w:hAnsi="Times New Roman"/>
        </w:rPr>
        <w:t>characterized by n</w:t>
      </w:r>
      <w:r>
        <w:rPr>
          <w:rFonts w:ascii="Times New Roman" w:hAnsi="Times New Roman"/>
        </w:rPr>
        <w:t>e</w:t>
      </w:r>
      <w:r w:rsidR="0057676C">
        <w:rPr>
          <w:rFonts w:ascii="Times New Roman" w:hAnsi="Times New Roman"/>
        </w:rPr>
        <w:t xml:space="preserve">w marine animals and oxic </w:t>
      </w:r>
      <w:r w:rsidR="001E68B6">
        <w:rPr>
          <w:rFonts w:ascii="Times New Roman" w:hAnsi="Times New Roman"/>
        </w:rPr>
        <w:t>waters.</w:t>
      </w:r>
      <w:r>
        <w:rPr>
          <w:rFonts w:ascii="Times New Roman" w:hAnsi="Times New Roman"/>
        </w:rPr>
        <w:t xml:space="preserve"> This lead to depleted δ</w:t>
      </w:r>
      <w:r w:rsidRPr="00994A92">
        <w:rPr>
          <w:rFonts w:ascii="Times New Roman" w:hAnsi="Times New Roman"/>
          <w:vertAlign w:val="superscript"/>
        </w:rPr>
        <w:t>15</w:t>
      </w:r>
      <w:r>
        <w:rPr>
          <w:rFonts w:ascii="Times New Roman" w:hAnsi="Times New Roman"/>
        </w:rPr>
        <w:t>N values as the primary process for nitrogen in the ocean would be as</w:t>
      </w:r>
      <w:r w:rsidR="001E68B6">
        <w:rPr>
          <w:rFonts w:ascii="Times New Roman" w:hAnsi="Times New Roman"/>
        </w:rPr>
        <w:t xml:space="preserve">similation and </w:t>
      </w:r>
      <w:r w:rsidR="001E68B6" w:rsidRPr="003A7D22">
        <w:rPr>
          <w:rFonts w:ascii="Times New Roman" w:hAnsi="Times New Roman"/>
        </w:rPr>
        <w:t>nitrification</w:t>
      </w:r>
      <w:r>
        <w:rPr>
          <w:rFonts w:ascii="Times New Roman" w:hAnsi="Times New Roman"/>
        </w:rPr>
        <w:t xml:space="preserve">. </w:t>
      </w:r>
    </w:p>
    <w:p w:rsidR="006F7CD0" w:rsidRDefault="006F7CD0" w:rsidP="006F7CD0">
      <w:pPr>
        <w:rPr>
          <w:rFonts w:ascii="Times New Roman" w:hAnsi="Times New Roman"/>
          <w:b/>
        </w:rPr>
      </w:pPr>
      <w:r>
        <w:rPr>
          <w:rFonts w:ascii="Times New Roman" w:hAnsi="Times New Roman"/>
        </w:rPr>
        <w:tab/>
        <w:t>The Silurian/Devonian age and the Triassic through the Paleogene depletion of the δ</w:t>
      </w:r>
      <w:r w:rsidRPr="00994A92">
        <w:rPr>
          <w:rFonts w:ascii="Times New Roman" w:hAnsi="Times New Roman"/>
          <w:vertAlign w:val="superscript"/>
        </w:rPr>
        <w:t>15</w:t>
      </w:r>
      <w:r>
        <w:rPr>
          <w:rFonts w:ascii="Times New Roman" w:hAnsi="Times New Roman"/>
        </w:rPr>
        <w:t xml:space="preserve">N values are thought to originate from greenhouse conditions coinciding with mass extinction events. Greenhouse conditions are characterized by a rise in sea level </w:t>
      </w:r>
      <w:r>
        <w:rPr>
          <w:rFonts w:ascii="Times New Roman" w:hAnsi="Times New Roman"/>
        </w:rPr>
        <w:lastRenderedPageBreak/>
        <w:t>and sea water temperatures, and decreased circulation in the ocean leading to anoxic and sometimes euxinic water conditions. Nitrate supply was scarce during global warming and the denitrification process would go to completion without isotope fractionation. This lead nitrogen fixation to be the primary process in the ocean resulting in low δ</w:t>
      </w:r>
      <w:r w:rsidRPr="00994A92">
        <w:rPr>
          <w:rFonts w:ascii="Times New Roman" w:hAnsi="Times New Roman"/>
          <w:vertAlign w:val="superscript"/>
        </w:rPr>
        <w:t>15</w:t>
      </w:r>
      <w:r>
        <w:rPr>
          <w:rFonts w:ascii="Times New Roman" w:hAnsi="Times New Roman"/>
        </w:rPr>
        <w:t>N</w:t>
      </w:r>
      <w:r>
        <w:rPr>
          <w:rFonts w:ascii="Times New Roman" w:hAnsi="Times New Roman"/>
          <w:b/>
        </w:rPr>
        <w:t xml:space="preserve">. </w:t>
      </w:r>
    </w:p>
    <w:p w:rsidR="006F7CD0" w:rsidRDefault="006F7CD0" w:rsidP="006F7CD0">
      <w:pPr>
        <w:ind w:firstLine="720"/>
        <w:rPr>
          <w:rFonts w:ascii="Times New Roman" w:hAnsi="Times New Roman"/>
          <w:b/>
        </w:rPr>
      </w:pPr>
      <w:r>
        <w:rPr>
          <w:rFonts w:ascii="Times New Roman" w:hAnsi="Times New Roman"/>
        </w:rPr>
        <w:t xml:space="preserve">The depletion and enrichment of </w:t>
      </w:r>
      <w:r w:rsidRPr="00712996">
        <w:rPr>
          <w:rFonts w:ascii="Times New Roman" w:hAnsi="Times New Roman"/>
          <w:vertAlign w:val="superscript"/>
        </w:rPr>
        <w:t>15</w:t>
      </w:r>
      <w:r>
        <w:rPr>
          <w:rFonts w:ascii="Times New Roman" w:hAnsi="Times New Roman"/>
        </w:rPr>
        <w:t>N</w:t>
      </w:r>
      <w:r w:rsidR="0057676C">
        <w:rPr>
          <w:rFonts w:ascii="Times New Roman" w:hAnsi="Times New Roman"/>
        </w:rPr>
        <w:t xml:space="preserve"> throughout the Phanerozoic</w:t>
      </w:r>
      <w:r>
        <w:rPr>
          <w:rFonts w:ascii="Times New Roman" w:hAnsi="Times New Roman"/>
        </w:rPr>
        <w:t xml:space="preserve"> appears to be ind</w:t>
      </w:r>
      <w:r w:rsidR="0057676C">
        <w:rPr>
          <w:rFonts w:ascii="Times New Roman" w:hAnsi="Times New Roman"/>
        </w:rPr>
        <w:t>ependent of source rock type. For</w:t>
      </w:r>
      <w:r>
        <w:rPr>
          <w:rFonts w:ascii="Times New Roman" w:hAnsi="Times New Roman"/>
        </w:rPr>
        <w:t xml:space="preserve"> each</w:t>
      </w:r>
      <w:r w:rsidR="0057676C">
        <w:rPr>
          <w:rFonts w:ascii="Times New Roman" w:hAnsi="Times New Roman"/>
        </w:rPr>
        <w:t xml:space="preserve"> geologic age, the</w:t>
      </w:r>
      <w:r w:rsidR="0057676C" w:rsidRPr="0057676C">
        <w:rPr>
          <w:rFonts w:ascii="Times New Roman" w:hAnsi="Times New Roman"/>
        </w:rPr>
        <w:t xml:space="preserve"> </w:t>
      </w:r>
      <w:r w:rsidR="0057676C">
        <w:rPr>
          <w:rFonts w:ascii="Times New Roman" w:hAnsi="Times New Roman"/>
        </w:rPr>
        <w:t>δ</w:t>
      </w:r>
      <w:r w:rsidR="0057676C" w:rsidRPr="00994A92">
        <w:rPr>
          <w:rFonts w:ascii="Times New Roman" w:hAnsi="Times New Roman"/>
          <w:vertAlign w:val="superscript"/>
        </w:rPr>
        <w:t>15</w:t>
      </w:r>
      <w:r w:rsidR="0057676C">
        <w:rPr>
          <w:rFonts w:ascii="Times New Roman" w:hAnsi="Times New Roman"/>
        </w:rPr>
        <w:t xml:space="preserve">N values of the oils are similar, irrespective of source rock type. </w:t>
      </w:r>
      <w:r>
        <w:rPr>
          <w:rFonts w:ascii="Times New Roman" w:hAnsi="Times New Roman"/>
        </w:rPr>
        <w:t xml:space="preserve">The enrichments and depletion in </w:t>
      </w:r>
      <w:r w:rsidRPr="00712996">
        <w:rPr>
          <w:rFonts w:ascii="Times New Roman" w:hAnsi="Times New Roman"/>
          <w:vertAlign w:val="superscript"/>
        </w:rPr>
        <w:t>15</w:t>
      </w:r>
      <w:r>
        <w:rPr>
          <w:rFonts w:ascii="Times New Roman" w:hAnsi="Times New Roman"/>
        </w:rPr>
        <w:t>N trends seen in this study</w:t>
      </w:r>
      <w:r w:rsidR="0057676C">
        <w:rPr>
          <w:rFonts w:ascii="Times New Roman" w:hAnsi="Times New Roman"/>
        </w:rPr>
        <w:t>, therefore, appear to be global rather than</w:t>
      </w:r>
      <w:r>
        <w:rPr>
          <w:rFonts w:ascii="Times New Roman" w:hAnsi="Times New Roman"/>
        </w:rPr>
        <w:t xml:space="preserve"> local signals.</w:t>
      </w:r>
    </w:p>
    <w:p w:rsidR="005A020C" w:rsidRDefault="006F7CD0" w:rsidP="006F7CD0">
      <w:pPr>
        <w:pStyle w:val="Heading1"/>
      </w:pPr>
      <w:r>
        <w:rPr>
          <w:rFonts w:ascii="Times New Roman" w:hAnsi="Times New Roman"/>
          <w:b w:val="0"/>
          <w:sz w:val="24"/>
          <w:szCs w:val="24"/>
        </w:rPr>
        <w:tab/>
      </w:r>
      <w:bookmarkStart w:id="14" w:name="_Toc310579474"/>
      <w:bookmarkStart w:id="15" w:name="_Toc315681371"/>
    </w:p>
    <w:p w:rsidR="005A020C" w:rsidRDefault="005A020C" w:rsidP="006F7CD0">
      <w:pPr>
        <w:pStyle w:val="Heading1"/>
      </w:pPr>
    </w:p>
    <w:p w:rsidR="005A020C" w:rsidRDefault="005A020C" w:rsidP="006F7CD0">
      <w:pPr>
        <w:pStyle w:val="Heading1"/>
      </w:pPr>
    </w:p>
    <w:p w:rsidR="005A020C" w:rsidRDefault="005A020C" w:rsidP="006F7CD0">
      <w:pPr>
        <w:pStyle w:val="Heading1"/>
      </w:pPr>
    </w:p>
    <w:p w:rsidR="005A020C" w:rsidRDefault="005A020C" w:rsidP="006F7CD0">
      <w:pPr>
        <w:pStyle w:val="Heading1"/>
      </w:pPr>
    </w:p>
    <w:p w:rsidR="005A020C" w:rsidRDefault="005A020C" w:rsidP="006F7CD0">
      <w:pPr>
        <w:pStyle w:val="Heading1"/>
      </w:pPr>
    </w:p>
    <w:p w:rsidR="005A020C" w:rsidRDefault="005A020C" w:rsidP="006F7CD0">
      <w:pPr>
        <w:pStyle w:val="Heading1"/>
      </w:pPr>
    </w:p>
    <w:p w:rsidR="005A020C" w:rsidRDefault="005A020C" w:rsidP="006F7CD0">
      <w:pPr>
        <w:pStyle w:val="Heading1"/>
      </w:pPr>
    </w:p>
    <w:p w:rsidR="005A020C" w:rsidRDefault="005A020C" w:rsidP="006F7CD0">
      <w:pPr>
        <w:pStyle w:val="Heading1"/>
      </w:pPr>
    </w:p>
    <w:p w:rsidR="005A020C" w:rsidRDefault="005A020C" w:rsidP="006F7CD0">
      <w:pPr>
        <w:pStyle w:val="Heading1"/>
      </w:pPr>
    </w:p>
    <w:p w:rsidR="005A020C" w:rsidRDefault="005A020C" w:rsidP="006F7CD0">
      <w:pPr>
        <w:pStyle w:val="Heading1"/>
      </w:pPr>
    </w:p>
    <w:p w:rsidR="008D4F69" w:rsidRDefault="008D4F69" w:rsidP="006F7CD0">
      <w:pPr>
        <w:pStyle w:val="Heading1"/>
      </w:pPr>
      <w:r>
        <w:t xml:space="preserve"> </w:t>
      </w:r>
    </w:p>
    <w:p w:rsidR="00AA0B13" w:rsidRDefault="00AA0B13" w:rsidP="00C16C66">
      <w:pPr>
        <w:pStyle w:val="Heading1"/>
      </w:pPr>
      <w:r>
        <w:lastRenderedPageBreak/>
        <w:t>References</w:t>
      </w:r>
      <w:bookmarkEnd w:id="14"/>
      <w:bookmarkEnd w:id="15"/>
    </w:p>
    <w:p w:rsidR="006F7CD0" w:rsidRDefault="006F7CD0" w:rsidP="006F7CD0">
      <w:pPr>
        <w:spacing w:after="200" w:line="240" w:lineRule="auto"/>
        <w:ind w:left="720" w:hanging="720"/>
        <w:rPr>
          <w:rFonts w:ascii="Times New Roman" w:hAnsi="Times New Roman"/>
        </w:rPr>
      </w:pPr>
      <w:proofErr w:type="spellStart"/>
      <w:r>
        <w:rPr>
          <w:rFonts w:ascii="Times New Roman" w:hAnsi="Times New Roman"/>
        </w:rPr>
        <w:t>Ader</w:t>
      </w:r>
      <w:proofErr w:type="spellEnd"/>
      <w:r>
        <w:rPr>
          <w:rFonts w:ascii="Times New Roman" w:hAnsi="Times New Roman"/>
        </w:rPr>
        <w:t xml:space="preserve">, M., </w:t>
      </w:r>
      <w:proofErr w:type="spellStart"/>
      <w:r>
        <w:rPr>
          <w:rFonts w:ascii="Times New Roman" w:hAnsi="Times New Roman"/>
        </w:rPr>
        <w:t>Sansjofre</w:t>
      </w:r>
      <w:proofErr w:type="spellEnd"/>
      <w:r>
        <w:rPr>
          <w:rFonts w:ascii="Times New Roman" w:hAnsi="Times New Roman"/>
        </w:rPr>
        <w:t xml:space="preserve">, P., Halverson, G. P., </w:t>
      </w:r>
      <w:proofErr w:type="spellStart"/>
      <w:r>
        <w:rPr>
          <w:rFonts w:ascii="Times New Roman" w:hAnsi="Times New Roman"/>
        </w:rPr>
        <w:t>Busigny</w:t>
      </w:r>
      <w:proofErr w:type="spellEnd"/>
      <w:r>
        <w:rPr>
          <w:rFonts w:ascii="Times New Roman" w:hAnsi="Times New Roman"/>
        </w:rPr>
        <w:t xml:space="preserve">, V., Trindade, R. I. F., </w:t>
      </w:r>
      <w:proofErr w:type="spellStart"/>
      <w:r>
        <w:rPr>
          <w:rFonts w:ascii="Times New Roman" w:hAnsi="Times New Roman"/>
        </w:rPr>
        <w:t>Kunzmann</w:t>
      </w:r>
      <w:proofErr w:type="spellEnd"/>
      <w:r>
        <w:rPr>
          <w:rFonts w:ascii="Times New Roman" w:hAnsi="Times New Roman"/>
        </w:rPr>
        <w:t xml:space="preserve">, M., and </w:t>
      </w:r>
      <w:proofErr w:type="spellStart"/>
      <w:r>
        <w:rPr>
          <w:rFonts w:ascii="Times New Roman" w:hAnsi="Times New Roman"/>
        </w:rPr>
        <w:t>Nogueira</w:t>
      </w:r>
      <w:proofErr w:type="spellEnd"/>
      <w:r>
        <w:rPr>
          <w:rFonts w:ascii="Times New Roman" w:hAnsi="Times New Roman"/>
        </w:rPr>
        <w:t>, A. C. R. (2014) Ocean redox structure across the Late Neoproterozoic Oxygenation Event: A nitrogen isotope perspective.</w:t>
      </w:r>
      <w:r w:rsidR="004A0DF8">
        <w:rPr>
          <w:rFonts w:ascii="Times New Roman" w:hAnsi="Times New Roman"/>
        </w:rPr>
        <w:t xml:space="preserve"> Earth and Planetary Science Letters, Vol. 396, pp. 1-13.</w:t>
      </w:r>
      <w:r>
        <w:rPr>
          <w:rFonts w:ascii="Times New Roman" w:hAnsi="Times New Roman"/>
        </w:rPr>
        <w:t xml:space="preserve"> </w:t>
      </w:r>
    </w:p>
    <w:p w:rsidR="006F7CD0" w:rsidRPr="004F7CEB" w:rsidRDefault="006F7CD0" w:rsidP="006F7CD0">
      <w:pPr>
        <w:spacing w:after="200" w:line="240" w:lineRule="auto"/>
        <w:ind w:left="720" w:hanging="720"/>
        <w:rPr>
          <w:rFonts w:ascii="Times New Roman" w:hAnsi="Times New Roman"/>
        </w:rPr>
      </w:pPr>
      <w:proofErr w:type="spellStart"/>
      <w:r>
        <w:rPr>
          <w:rFonts w:ascii="Times New Roman" w:hAnsi="Times New Roman"/>
        </w:rPr>
        <w:t>Algeo</w:t>
      </w:r>
      <w:proofErr w:type="spellEnd"/>
      <w:r>
        <w:rPr>
          <w:rFonts w:ascii="Times New Roman" w:hAnsi="Times New Roman"/>
        </w:rPr>
        <w:t xml:space="preserve">, T., Rowe, H., </w:t>
      </w:r>
      <w:proofErr w:type="spellStart"/>
      <w:r>
        <w:rPr>
          <w:rFonts w:ascii="Times New Roman" w:hAnsi="Times New Roman"/>
        </w:rPr>
        <w:t>Hower</w:t>
      </w:r>
      <w:proofErr w:type="spellEnd"/>
      <w:r>
        <w:rPr>
          <w:rFonts w:ascii="Times New Roman" w:hAnsi="Times New Roman"/>
        </w:rPr>
        <w:t xml:space="preserve">, J. C., </w:t>
      </w:r>
      <w:proofErr w:type="spellStart"/>
      <w:r>
        <w:rPr>
          <w:rFonts w:ascii="Times New Roman" w:hAnsi="Times New Roman"/>
        </w:rPr>
        <w:t>Schwark</w:t>
      </w:r>
      <w:proofErr w:type="spellEnd"/>
      <w:r>
        <w:rPr>
          <w:rFonts w:ascii="Times New Roman" w:hAnsi="Times New Roman"/>
        </w:rPr>
        <w:t xml:space="preserve">, L., Herrmann, A., and </w:t>
      </w:r>
      <w:proofErr w:type="spellStart"/>
      <w:r>
        <w:rPr>
          <w:rFonts w:ascii="Times New Roman" w:hAnsi="Times New Roman"/>
        </w:rPr>
        <w:t>Heckel</w:t>
      </w:r>
      <w:proofErr w:type="spellEnd"/>
      <w:r>
        <w:rPr>
          <w:rFonts w:ascii="Times New Roman" w:hAnsi="Times New Roman"/>
        </w:rPr>
        <w:t>, P. (2008) Changes in ocean denitrification during Late Carboniferous glacial-interglacial cycles. Nature Geoscience, Vol. 1, pp. 709-714.</w:t>
      </w:r>
    </w:p>
    <w:p w:rsidR="006F7CD0" w:rsidRDefault="006F7CD0" w:rsidP="006F7CD0">
      <w:pPr>
        <w:spacing w:after="200" w:line="240" w:lineRule="auto"/>
        <w:ind w:left="720" w:hanging="720"/>
        <w:rPr>
          <w:rFonts w:ascii="Times New Roman" w:hAnsi="Times New Roman"/>
        </w:rPr>
      </w:pPr>
      <w:proofErr w:type="spellStart"/>
      <w:r w:rsidRPr="00CC1A34">
        <w:rPr>
          <w:rFonts w:ascii="Times New Roman" w:hAnsi="Times New Roman"/>
        </w:rPr>
        <w:t>Algeo</w:t>
      </w:r>
      <w:proofErr w:type="spellEnd"/>
      <w:r w:rsidRPr="00CC1A34">
        <w:rPr>
          <w:rFonts w:ascii="Times New Roman" w:hAnsi="Times New Roman"/>
        </w:rPr>
        <w:t xml:space="preserve">, T., </w:t>
      </w:r>
      <w:proofErr w:type="spellStart"/>
      <w:r w:rsidRPr="00CC1A34">
        <w:rPr>
          <w:rFonts w:ascii="Times New Roman" w:hAnsi="Times New Roman"/>
        </w:rPr>
        <w:t>Henerson</w:t>
      </w:r>
      <w:proofErr w:type="spellEnd"/>
      <w:r w:rsidRPr="00CC1A34">
        <w:rPr>
          <w:rFonts w:ascii="Times New Roman" w:hAnsi="Times New Roman"/>
        </w:rPr>
        <w:t xml:space="preserve">, C.M., Ellwood, B., Rowe, H., </w:t>
      </w:r>
      <w:proofErr w:type="spellStart"/>
      <w:r w:rsidRPr="00CC1A34">
        <w:rPr>
          <w:rFonts w:ascii="Times New Roman" w:hAnsi="Times New Roman"/>
        </w:rPr>
        <w:t>Elswick</w:t>
      </w:r>
      <w:proofErr w:type="spellEnd"/>
      <w:r w:rsidRPr="00CC1A34">
        <w:rPr>
          <w:rFonts w:ascii="Times New Roman" w:hAnsi="Times New Roman"/>
        </w:rPr>
        <w:t xml:space="preserve">, E., Bates, S., Lyons, T., </w:t>
      </w:r>
      <w:proofErr w:type="spellStart"/>
      <w:r w:rsidRPr="00CC1A34">
        <w:rPr>
          <w:rFonts w:ascii="Times New Roman" w:hAnsi="Times New Roman"/>
        </w:rPr>
        <w:t>Hower</w:t>
      </w:r>
      <w:proofErr w:type="spellEnd"/>
      <w:r w:rsidRPr="00CC1A34">
        <w:rPr>
          <w:rFonts w:ascii="Times New Roman" w:hAnsi="Times New Roman"/>
        </w:rPr>
        <w:t xml:space="preserve">, J.C., Smith, C., Maynard, B., Hays, L. E., Summons, R. E., Fulton, J., and Freeman, K.H. (2012) Evidence for a </w:t>
      </w:r>
      <w:proofErr w:type="spellStart"/>
      <w:r w:rsidRPr="00CC1A34">
        <w:rPr>
          <w:rFonts w:ascii="Times New Roman" w:hAnsi="Times New Roman"/>
        </w:rPr>
        <w:t>diachronous</w:t>
      </w:r>
      <w:proofErr w:type="spellEnd"/>
      <w:r w:rsidRPr="00CC1A34">
        <w:rPr>
          <w:rFonts w:ascii="Times New Roman" w:hAnsi="Times New Roman"/>
        </w:rPr>
        <w:t xml:space="preserve"> Late Permian marine crisis from the Canadian Arctic region. GSA Bulletin, Vol. 124, pp. 1424-1448.</w:t>
      </w:r>
    </w:p>
    <w:p w:rsidR="006F7CD0" w:rsidRPr="00CC1A34" w:rsidRDefault="006F7CD0" w:rsidP="006F7CD0">
      <w:pPr>
        <w:spacing w:after="200" w:line="240" w:lineRule="auto"/>
        <w:ind w:left="720" w:hanging="720"/>
        <w:rPr>
          <w:rFonts w:ascii="Times New Roman" w:hAnsi="Times New Roman"/>
        </w:rPr>
      </w:pPr>
      <w:proofErr w:type="spellStart"/>
      <w:r>
        <w:rPr>
          <w:rFonts w:ascii="Times New Roman" w:hAnsi="Times New Roman"/>
        </w:rPr>
        <w:t>Algeo</w:t>
      </w:r>
      <w:proofErr w:type="spellEnd"/>
      <w:r>
        <w:rPr>
          <w:rFonts w:ascii="Times New Roman" w:hAnsi="Times New Roman"/>
        </w:rPr>
        <w:t xml:space="preserve">, T. J., Meyers, P. A., Robinson, R. S., Rowe, H., and Jiang, G. Q. </w:t>
      </w:r>
      <w:r w:rsidR="003A7D22">
        <w:rPr>
          <w:rFonts w:ascii="Times New Roman" w:hAnsi="Times New Roman"/>
        </w:rPr>
        <w:t>(2014</w:t>
      </w:r>
      <w:r>
        <w:rPr>
          <w:rFonts w:ascii="Times New Roman" w:hAnsi="Times New Roman"/>
        </w:rPr>
        <w:t>) Icehouse-greenhouse variations in marine denitrification. Biosciences, Vol. 11, pp. 1273-1295.</w:t>
      </w:r>
    </w:p>
    <w:p w:rsidR="006F7CD0" w:rsidRPr="00CC1A34" w:rsidRDefault="006F7CD0" w:rsidP="006F7CD0">
      <w:pPr>
        <w:spacing w:after="200" w:line="240" w:lineRule="auto"/>
        <w:ind w:left="720" w:hanging="720"/>
        <w:rPr>
          <w:rFonts w:ascii="Times New Roman" w:hAnsi="Times New Roman"/>
        </w:rPr>
      </w:pPr>
      <w:r w:rsidRPr="00CC1A34">
        <w:rPr>
          <w:rFonts w:ascii="Times New Roman" w:hAnsi="Times New Roman"/>
        </w:rPr>
        <w:t xml:space="preserve">Altabet, M. (2005) Isotopic tracers of the marine nitrogen cycle: Present and past. </w:t>
      </w:r>
      <w:r w:rsidRPr="00CC1A34">
        <w:rPr>
          <w:rFonts w:ascii="Times New Roman" w:hAnsi="Times New Roman"/>
          <w:i/>
        </w:rPr>
        <w:t>In</w:t>
      </w:r>
      <w:r w:rsidRPr="00CC1A34">
        <w:rPr>
          <w:rFonts w:ascii="Times New Roman" w:hAnsi="Times New Roman"/>
        </w:rPr>
        <w:t xml:space="preserve"> “Marine</w:t>
      </w:r>
      <w:r w:rsidR="004A0DF8">
        <w:rPr>
          <w:rFonts w:ascii="Times New Roman" w:hAnsi="Times New Roman"/>
        </w:rPr>
        <w:t xml:space="preserve"> </w:t>
      </w:r>
      <w:r w:rsidRPr="00CC1A34">
        <w:rPr>
          <w:rFonts w:ascii="Times New Roman" w:hAnsi="Times New Roman"/>
        </w:rPr>
        <w:t xml:space="preserve">Organic Matter: Biomarkers, Isotopes and DNA,” (J. K. </w:t>
      </w:r>
      <w:proofErr w:type="spellStart"/>
      <w:r w:rsidRPr="00CC1A34">
        <w:rPr>
          <w:rFonts w:ascii="Times New Roman" w:hAnsi="Times New Roman"/>
        </w:rPr>
        <w:t>Volkman</w:t>
      </w:r>
      <w:proofErr w:type="spellEnd"/>
      <w:r w:rsidRPr="00CC1A34">
        <w:rPr>
          <w:rFonts w:ascii="Times New Roman" w:hAnsi="Times New Roman"/>
        </w:rPr>
        <w:t xml:space="preserve"> ed.) pp. 251-293. Springer, Berlin.   </w:t>
      </w:r>
    </w:p>
    <w:p w:rsidR="006F7CD0" w:rsidRPr="00CC1A34" w:rsidRDefault="006F7CD0" w:rsidP="006F7CD0">
      <w:pPr>
        <w:spacing w:after="200" w:line="240" w:lineRule="auto"/>
        <w:ind w:left="720" w:hanging="720"/>
        <w:rPr>
          <w:rFonts w:ascii="Times New Roman" w:hAnsi="Times New Roman"/>
        </w:rPr>
      </w:pPr>
      <w:r w:rsidRPr="00CC1A34">
        <w:rPr>
          <w:rFonts w:ascii="Times New Roman" w:hAnsi="Times New Roman"/>
        </w:rPr>
        <w:t xml:space="preserve">Altabet, M. A., </w:t>
      </w:r>
      <w:r w:rsidRPr="00A01B05">
        <w:rPr>
          <w:rFonts w:ascii="Times New Roman" w:hAnsi="Times New Roman"/>
        </w:rPr>
        <w:t>and Francois, R</w:t>
      </w:r>
      <w:r w:rsidRPr="00CC1A34">
        <w:rPr>
          <w:rFonts w:ascii="Times New Roman" w:hAnsi="Times New Roman"/>
        </w:rPr>
        <w:t xml:space="preserve">. (1994) Sedimentary nitrogen isotopic ratio as a recorder for surface ocean nitrate utilization. </w:t>
      </w:r>
      <w:r w:rsidRPr="00CC1A34">
        <w:rPr>
          <w:rFonts w:ascii="Times New Roman" w:hAnsi="Times New Roman"/>
          <w:i/>
        </w:rPr>
        <w:t>In</w:t>
      </w:r>
      <w:r w:rsidRPr="00CC1A34">
        <w:rPr>
          <w:rFonts w:ascii="Times New Roman" w:hAnsi="Times New Roman"/>
        </w:rPr>
        <w:t xml:space="preserve"> “Global Biochemical Cycles,” Vol. 8, pp. 103-116.</w:t>
      </w:r>
    </w:p>
    <w:p w:rsidR="006F7CD0" w:rsidRDefault="006F7CD0" w:rsidP="006F7CD0">
      <w:pPr>
        <w:spacing w:after="200" w:line="240" w:lineRule="auto"/>
        <w:ind w:left="720" w:hanging="720"/>
        <w:rPr>
          <w:rFonts w:ascii="Times New Roman" w:hAnsi="Times New Roman"/>
        </w:rPr>
      </w:pPr>
      <w:r w:rsidRPr="00CC1A34">
        <w:rPr>
          <w:rFonts w:ascii="Times New Roman" w:hAnsi="Times New Roman"/>
        </w:rPr>
        <w:t xml:space="preserve">Andrusevich, V.E., Engel, M.H., Zumberge, J.E., and Brothers, L.A. (1998) Secular, episodic changes in stable carbon isotope compositions of crude oils. Chemical Geology, Vol. 12, pp. 59-72. </w:t>
      </w:r>
    </w:p>
    <w:p w:rsidR="006F7CD0" w:rsidRDefault="006F7CD0" w:rsidP="006F7CD0">
      <w:pPr>
        <w:spacing w:after="200" w:line="240" w:lineRule="auto"/>
        <w:ind w:left="720" w:hanging="720"/>
        <w:rPr>
          <w:rFonts w:ascii="Times New Roman" w:hAnsi="Times New Roman"/>
        </w:rPr>
      </w:pPr>
      <w:r>
        <w:rPr>
          <w:rFonts w:ascii="Times New Roman" w:hAnsi="Times New Roman"/>
        </w:rPr>
        <w:t xml:space="preserve">Beckwith, B. A. (2013) The marine nitrogen cycle across the Cretaceous-Paleogene boundary at Maud Rise. MS Thesis, Texas Tech University, pp. 1-58. </w:t>
      </w:r>
    </w:p>
    <w:p w:rsidR="006F7CD0" w:rsidRPr="00CC1A34" w:rsidRDefault="006F7CD0" w:rsidP="006F7CD0">
      <w:pPr>
        <w:spacing w:after="200" w:line="240" w:lineRule="auto"/>
        <w:ind w:left="720" w:hanging="720"/>
        <w:rPr>
          <w:rFonts w:ascii="Times New Roman" w:hAnsi="Times New Roman"/>
        </w:rPr>
      </w:pPr>
      <w:r>
        <w:rPr>
          <w:rFonts w:ascii="Times New Roman" w:hAnsi="Times New Roman"/>
        </w:rPr>
        <w:t>Bingham-</w:t>
      </w:r>
      <w:proofErr w:type="spellStart"/>
      <w:r>
        <w:rPr>
          <w:rFonts w:ascii="Times New Roman" w:hAnsi="Times New Roman"/>
        </w:rPr>
        <w:t>Koslowski</w:t>
      </w:r>
      <w:proofErr w:type="spellEnd"/>
      <w:r>
        <w:rPr>
          <w:rFonts w:ascii="Times New Roman" w:hAnsi="Times New Roman"/>
        </w:rPr>
        <w:t xml:space="preserve">, N., </w:t>
      </w:r>
      <w:proofErr w:type="spellStart"/>
      <w:r>
        <w:rPr>
          <w:rFonts w:ascii="Times New Roman" w:hAnsi="Times New Roman"/>
        </w:rPr>
        <w:t>Tsujita</w:t>
      </w:r>
      <w:proofErr w:type="spellEnd"/>
      <w:r>
        <w:rPr>
          <w:rFonts w:ascii="Times New Roman" w:hAnsi="Times New Roman"/>
        </w:rPr>
        <w:t xml:space="preserve">, C., </w:t>
      </w:r>
      <w:proofErr w:type="spellStart"/>
      <w:r>
        <w:rPr>
          <w:rFonts w:ascii="Times New Roman" w:hAnsi="Times New Roman"/>
        </w:rPr>
        <w:t>Jin</w:t>
      </w:r>
      <w:proofErr w:type="spellEnd"/>
      <w:r>
        <w:rPr>
          <w:rFonts w:ascii="Times New Roman" w:hAnsi="Times New Roman"/>
        </w:rPr>
        <w:t xml:space="preserve">, J., and </w:t>
      </w:r>
      <w:proofErr w:type="spellStart"/>
      <w:r>
        <w:rPr>
          <w:rFonts w:ascii="Times New Roman" w:hAnsi="Times New Roman"/>
        </w:rPr>
        <w:t>Azmy</w:t>
      </w:r>
      <w:proofErr w:type="spellEnd"/>
      <w:r>
        <w:rPr>
          <w:rFonts w:ascii="Times New Roman" w:hAnsi="Times New Roman"/>
        </w:rPr>
        <w:t xml:space="preserve">, K. (2016) Widespread Late Devonian marine anoxia in eastern North America: a case study of the Kettle Point Formation black shale, southwestern Ontario. Canada Journal of Earth Science, Vol. 53, pp. 837-855.  </w:t>
      </w:r>
    </w:p>
    <w:p w:rsidR="006F7CD0" w:rsidRDefault="006F7CD0" w:rsidP="006F7CD0">
      <w:pPr>
        <w:spacing w:after="200" w:line="240" w:lineRule="auto"/>
        <w:ind w:left="720" w:hanging="720"/>
        <w:rPr>
          <w:rFonts w:ascii="Times New Roman" w:hAnsi="Times New Roman"/>
        </w:rPr>
      </w:pPr>
      <w:proofErr w:type="spellStart"/>
      <w:r>
        <w:rPr>
          <w:rFonts w:ascii="Times New Roman" w:hAnsi="Times New Roman"/>
        </w:rPr>
        <w:t>Boudou</w:t>
      </w:r>
      <w:proofErr w:type="spellEnd"/>
      <w:r>
        <w:rPr>
          <w:rFonts w:ascii="Times New Roman" w:hAnsi="Times New Roman"/>
        </w:rPr>
        <w:t xml:space="preserve">, J-P. </w:t>
      </w:r>
      <w:proofErr w:type="spellStart"/>
      <w:r>
        <w:rPr>
          <w:rFonts w:ascii="Times New Roman" w:hAnsi="Times New Roman"/>
        </w:rPr>
        <w:t>Schimmelmann</w:t>
      </w:r>
      <w:proofErr w:type="spellEnd"/>
      <w:r>
        <w:rPr>
          <w:rFonts w:ascii="Times New Roman" w:hAnsi="Times New Roman"/>
        </w:rPr>
        <w:t xml:space="preserve">, A., </w:t>
      </w:r>
      <w:proofErr w:type="spellStart"/>
      <w:r>
        <w:rPr>
          <w:rFonts w:ascii="Times New Roman" w:hAnsi="Times New Roman"/>
        </w:rPr>
        <w:t>Ader</w:t>
      </w:r>
      <w:proofErr w:type="spellEnd"/>
      <w:r>
        <w:rPr>
          <w:rFonts w:ascii="Times New Roman" w:hAnsi="Times New Roman"/>
        </w:rPr>
        <w:t xml:space="preserve">, M., </w:t>
      </w:r>
      <w:proofErr w:type="spellStart"/>
      <w:r>
        <w:rPr>
          <w:rFonts w:ascii="Times New Roman" w:hAnsi="Times New Roman"/>
        </w:rPr>
        <w:t>Mastalerz</w:t>
      </w:r>
      <w:proofErr w:type="spellEnd"/>
      <w:r>
        <w:rPr>
          <w:rFonts w:ascii="Times New Roman" w:hAnsi="Times New Roman"/>
        </w:rPr>
        <w:t xml:space="preserve">, M., </w:t>
      </w:r>
      <w:proofErr w:type="spellStart"/>
      <w:r>
        <w:rPr>
          <w:rFonts w:ascii="Times New Roman" w:hAnsi="Times New Roman"/>
        </w:rPr>
        <w:t>Sebilo</w:t>
      </w:r>
      <w:proofErr w:type="spellEnd"/>
      <w:r>
        <w:rPr>
          <w:rFonts w:ascii="Times New Roman" w:hAnsi="Times New Roman"/>
        </w:rPr>
        <w:t xml:space="preserve">, M., and </w:t>
      </w:r>
      <w:proofErr w:type="spellStart"/>
      <w:r>
        <w:rPr>
          <w:rFonts w:ascii="Times New Roman" w:hAnsi="Times New Roman"/>
        </w:rPr>
        <w:t>Gengembre</w:t>
      </w:r>
      <w:proofErr w:type="spellEnd"/>
      <w:r>
        <w:rPr>
          <w:rFonts w:ascii="Times New Roman" w:hAnsi="Times New Roman"/>
        </w:rPr>
        <w:t xml:space="preserve">, L. (2008) Organic nitrogen chemistry during low-grade metamorphism. </w:t>
      </w:r>
      <w:proofErr w:type="spellStart"/>
      <w:r>
        <w:rPr>
          <w:rFonts w:ascii="Times New Roman" w:hAnsi="Times New Roman"/>
        </w:rPr>
        <w:t>Geochimica</w:t>
      </w:r>
      <w:proofErr w:type="spellEnd"/>
      <w:r>
        <w:rPr>
          <w:rFonts w:ascii="Times New Roman" w:hAnsi="Times New Roman"/>
        </w:rPr>
        <w:t xml:space="preserve"> et </w:t>
      </w:r>
      <w:proofErr w:type="spellStart"/>
      <w:r>
        <w:rPr>
          <w:rFonts w:ascii="Times New Roman" w:hAnsi="Times New Roman"/>
        </w:rPr>
        <w:t>Cosmochimica</w:t>
      </w:r>
      <w:proofErr w:type="spellEnd"/>
      <w:r>
        <w:rPr>
          <w:rFonts w:ascii="Times New Roman" w:hAnsi="Times New Roman"/>
        </w:rPr>
        <w:t xml:space="preserve"> Acta, Vol. 72, pp. 1199-1221. </w:t>
      </w:r>
    </w:p>
    <w:p w:rsidR="006F7CD0" w:rsidRPr="00CC1A34" w:rsidRDefault="006F7CD0" w:rsidP="006F7CD0">
      <w:pPr>
        <w:spacing w:after="200" w:line="240" w:lineRule="auto"/>
        <w:ind w:left="720" w:hanging="720"/>
        <w:rPr>
          <w:rFonts w:ascii="Times New Roman" w:hAnsi="Times New Roman"/>
        </w:rPr>
      </w:pPr>
      <w:proofErr w:type="spellStart"/>
      <w:r>
        <w:rPr>
          <w:rFonts w:ascii="Times New Roman" w:hAnsi="Times New Roman"/>
        </w:rPr>
        <w:t>Brisman</w:t>
      </w:r>
      <w:proofErr w:type="spellEnd"/>
      <w:r>
        <w:rPr>
          <w:rFonts w:ascii="Times New Roman" w:hAnsi="Times New Roman"/>
        </w:rPr>
        <w:t xml:space="preserve">, K., Engel, M. H., and Macko, S. A. (2001) Distribution, stereochemistry, and stable isotope composition of amino acids in K/T boundary sediments. Precambrian Research, Vol. 106, pp. 59-77. </w:t>
      </w:r>
    </w:p>
    <w:p w:rsidR="006F7CD0" w:rsidRDefault="006F7CD0" w:rsidP="006F7CD0">
      <w:pPr>
        <w:spacing w:after="200" w:line="240" w:lineRule="auto"/>
        <w:ind w:left="720" w:hanging="720"/>
        <w:rPr>
          <w:rFonts w:ascii="Times New Roman" w:hAnsi="Times New Roman"/>
        </w:rPr>
      </w:pPr>
      <w:r w:rsidRPr="00CC1A34">
        <w:rPr>
          <w:rFonts w:ascii="Times New Roman" w:hAnsi="Times New Roman"/>
        </w:rPr>
        <w:lastRenderedPageBreak/>
        <w:t xml:space="preserve">Brunner, B., Contreras, S., Lehmann, M.F., </w:t>
      </w:r>
      <w:proofErr w:type="spellStart"/>
      <w:r w:rsidRPr="00CC1A34">
        <w:rPr>
          <w:rFonts w:ascii="Times New Roman" w:hAnsi="Times New Roman"/>
        </w:rPr>
        <w:t>Matantseva</w:t>
      </w:r>
      <w:proofErr w:type="spellEnd"/>
      <w:r w:rsidRPr="00CC1A34">
        <w:rPr>
          <w:rFonts w:ascii="Times New Roman" w:hAnsi="Times New Roman"/>
        </w:rPr>
        <w:t xml:space="preserve">, O., </w:t>
      </w:r>
      <w:proofErr w:type="spellStart"/>
      <w:r w:rsidRPr="00CC1A34">
        <w:rPr>
          <w:rFonts w:ascii="Times New Roman" w:hAnsi="Times New Roman"/>
        </w:rPr>
        <w:t>Rollog</w:t>
      </w:r>
      <w:proofErr w:type="spellEnd"/>
      <w:r w:rsidRPr="00CC1A34">
        <w:rPr>
          <w:rFonts w:ascii="Times New Roman" w:hAnsi="Times New Roman"/>
        </w:rPr>
        <w:t xml:space="preserve">, M., </w:t>
      </w:r>
      <w:proofErr w:type="spellStart"/>
      <w:r w:rsidRPr="00CC1A34">
        <w:rPr>
          <w:rFonts w:ascii="Times New Roman" w:hAnsi="Times New Roman"/>
        </w:rPr>
        <w:t>Kalvelage</w:t>
      </w:r>
      <w:proofErr w:type="spellEnd"/>
      <w:r w:rsidRPr="00CC1A34">
        <w:rPr>
          <w:rFonts w:ascii="Times New Roman" w:hAnsi="Times New Roman"/>
        </w:rPr>
        <w:t xml:space="preserve">, T., </w:t>
      </w:r>
      <w:proofErr w:type="spellStart"/>
      <w:r w:rsidRPr="00CC1A34">
        <w:rPr>
          <w:rFonts w:ascii="Times New Roman" w:hAnsi="Times New Roman"/>
        </w:rPr>
        <w:t>Klockgether</w:t>
      </w:r>
      <w:proofErr w:type="spellEnd"/>
      <w:r w:rsidRPr="00CC1A34">
        <w:rPr>
          <w:rFonts w:ascii="Times New Roman" w:hAnsi="Times New Roman"/>
        </w:rPr>
        <w:t xml:space="preserve">, G., </w:t>
      </w:r>
      <w:proofErr w:type="spellStart"/>
      <w:r w:rsidRPr="00CC1A34">
        <w:rPr>
          <w:rFonts w:ascii="Times New Roman" w:hAnsi="Times New Roman"/>
        </w:rPr>
        <w:t>Lavik</w:t>
      </w:r>
      <w:proofErr w:type="spellEnd"/>
      <w:r w:rsidRPr="00CC1A34">
        <w:rPr>
          <w:rFonts w:ascii="Times New Roman" w:hAnsi="Times New Roman"/>
        </w:rPr>
        <w:t xml:space="preserve">, G., </w:t>
      </w:r>
      <w:proofErr w:type="spellStart"/>
      <w:r w:rsidRPr="00CC1A34">
        <w:rPr>
          <w:rFonts w:ascii="Times New Roman" w:hAnsi="Times New Roman"/>
        </w:rPr>
        <w:t>Jetten</w:t>
      </w:r>
      <w:proofErr w:type="spellEnd"/>
      <w:r w:rsidRPr="00CC1A34">
        <w:rPr>
          <w:rFonts w:ascii="Times New Roman" w:hAnsi="Times New Roman"/>
        </w:rPr>
        <w:t xml:space="preserve">, M.S.M., </w:t>
      </w:r>
      <w:proofErr w:type="spellStart"/>
      <w:r w:rsidRPr="00CC1A34">
        <w:rPr>
          <w:rFonts w:ascii="Times New Roman" w:hAnsi="Times New Roman"/>
        </w:rPr>
        <w:t>Kartal</w:t>
      </w:r>
      <w:proofErr w:type="spellEnd"/>
      <w:r w:rsidRPr="00CC1A34">
        <w:rPr>
          <w:rFonts w:ascii="Times New Roman" w:hAnsi="Times New Roman"/>
        </w:rPr>
        <w:t xml:space="preserve">, B. and </w:t>
      </w:r>
      <w:proofErr w:type="spellStart"/>
      <w:r w:rsidRPr="00CC1A34">
        <w:rPr>
          <w:rFonts w:ascii="Times New Roman" w:hAnsi="Times New Roman"/>
        </w:rPr>
        <w:t>Kuypers</w:t>
      </w:r>
      <w:proofErr w:type="spellEnd"/>
      <w:r w:rsidRPr="00CC1A34">
        <w:rPr>
          <w:rFonts w:ascii="Times New Roman" w:hAnsi="Times New Roman"/>
        </w:rPr>
        <w:t>, M.M.M. (2013) Nitrogen isotope effects induced by anammox bacteria. Proc. Natl. Acad. Sci. USA, Vol.110, No. 47, pp. 18994-18999.</w:t>
      </w:r>
    </w:p>
    <w:p w:rsidR="006F7CD0" w:rsidRPr="00CC1A34" w:rsidRDefault="006F7CD0" w:rsidP="006F7CD0">
      <w:pPr>
        <w:spacing w:after="200" w:line="240" w:lineRule="auto"/>
        <w:ind w:left="720" w:hanging="720"/>
        <w:rPr>
          <w:rFonts w:ascii="Times New Roman" w:hAnsi="Times New Roman"/>
        </w:rPr>
      </w:pPr>
      <w:r>
        <w:rPr>
          <w:rFonts w:ascii="Times New Roman" w:hAnsi="Times New Roman"/>
        </w:rPr>
        <w:t xml:space="preserve">Calvert, S. E., </w:t>
      </w:r>
      <w:proofErr w:type="spellStart"/>
      <w:r>
        <w:rPr>
          <w:rFonts w:ascii="Times New Roman" w:hAnsi="Times New Roman"/>
        </w:rPr>
        <w:t>Bustin</w:t>
      </w:r>
      <w:proofErr w:type="spellEnd"/>
      <w:r>
        <w:rPr>
          <w:rFonts w:ascii="Times New Roman" w:hAnsi="Times New Roman"/>
        </w:rPr>
        <w:t xml:space="preserve">, R. M. and </w:t>
      </w:r>
      <w:proofErr w:type="spellStart"/>
      <w:r>
        <w:rPr>
          <w:rFonts w:ascii="Times New Roman" w:hAnsi="Times New Roman"/>
        </w:rPr>
        <w:t>Ingall</w:t>
      </w:r>
      <w:proofErr w:type="spellEnd"/>
      <w:r>
        <w:rPr>
          <w:rFonts w:ascii="Times New Roman" w:hAnsi="Times New Roman"/>
        </w:rPr>
        <w:t xml:space="preserve">, E. D. (1996) </w:t>
      </w:r>
      <w:proofErr w:type="spellStart"/>
      <w:r>
        <w:rPr>
          <w:rFonts w:ascii="Times New Roman" w:hAnsi="Times New Roman"/>
        </w:rPr>
        <w:t>Infulence</w:t>
      </w:r>
      <w:proofErr w:type="spellEnd"/>
      <w:r>
        <w:rPr>
          <w:rFonts w:ascii="Times New Roman" w:hAnsi="Times New Roman"/>
        </w:rPr>
        <w:t xml:space="preserve"> of water column anoxia and sediment supply on the burial and preservation of organic carbon in marine shales. </w:t>
      </w:r>
      <w:proofErr w:type="spellStart"/>
      <w:r>
        <w:rPr>
          <w:rFonts w:ascii="Times New Roman" w:hAnsi="Times New Roman"/>
        </w:rPr>
        <w:t>Geochimica</w:t>
      </w:r>
      <w:proofErr w:type="spellEnd"/>
      <w:r>
        <w:rPr>
          <w:rFonts w:ascii="Times New Roman" w:hAnsi="Times New Roman"/>
        </w:rPr>
        <w:t xml:space="preserve"> et </w:t>
      </w:r>
      <w:proofErr w:type="spellStart"/>
      <w:r>
        <w:rPr>
          <w:rFonts w:ascii="Times New Roman" w:hAnsi="Times New Roman"/>
        </w:rPr>
        <w:t>Cosmochimica</w:t>
      </w:r>
      <w:proofErr w:type="spellEnd"/>
      <w:r>
        <w:rPr>
          <w:rFonts w:ascii="Times New Roman" w:hAnsi="Times New Roman"/>
        </w:rPr>
        <w:t xml:space="preserve"> Acta, Vol. 60, pp. 1577-1593.</w:t>
      </w:r>
    </w:p>
    <w:p w:rsidR="006F7CD0" w:rsidRDefault="006F7CD0" w:rsidP="006F7CD0">
      <w:pPr>
        <w:spacing w:after="200" w:line="240" w:lineRule="auto"/>
        <w:ind w:left="720" w:hanging="720"/>
        <w:rPr>
          <w:rFonts w:ascii="Times New Roman" w:hAnsi="Times New Roman"/>
        </w:rPr>
      </w:pPr>
      <w:r w:rsidRPr="00CC1A34">
        <w:rPr>
          <w:rFonts w:ascii="Times New Roman" w:hAnsi="Times New Roman"/>
        </w:rPr>
        <w:t xml:space="preserve">Canfield, Donald E., Glazer, Alexander N., and </w:t>
      </w:r>
      <w:proofErr w:type="spellStart"/>
      <w:r w:rsidRPr="00CC1A34">
        <w:rPr>
          <w:rFonts w:ascii="Times New Roman" w:hAnsi="Times New Roman"/>
        </w:rPr>
        <w:t>Falkowski</w:t>
      </w:r>
      <w:proofErr w:type="spellEnd"/>
      <w:r w:rsidRPr="00CC1A34">
        <w:rPr>
          <w:rFonts w:ascii="Times New Roman" w:hAnsi="Times New Roman"/>
        </w:rPr>
        <w:t>, Paul G. (2010) The evolution and future of Earth’s nitrogen cycle. Science, Vol. 330, pp. 192-196.</w:t>
      </w:r>
    </w:p>
    <w:p w:rsidR="006F7CD0" w:rsidRPr="00CC1A34" w:rsidRDefault="006F7CD0" w:rsidP="006F7CD0">
      <w:pPr>
        <w:spacing w:after="200" w:line="240" w:lineRule="auto"/>
        <w:ind w:left="720" w:hanging="720"/>
        <w:rPr>
          <w:rFonts w:ascii="Times New Roman" w:hAnsi="Times New Roman"/>
        </w:rPr>
      </w:pPr>
      <w:proofErr w:type="spellStart"/>
      <w:r>
        <w:rPr>
          <w:rFonts w:ascii="Times New Roman" w:hAnsi="Times New Roman"/>
        </w:rPr>
        <w:t>Chuanping</w:t>
      </w:r>
      <w:proofErr w:type="spellEnd"/>
      <w:r>
        <w:rPr>
          <w:rFonts w:ascii="Times New Roman" w:hAnsi="Times New Roman"/>
        </w:rPr>
        <w:t xml:space="preserve">, C., Bowen, M., and </w:t>
      </w:r>
      <w:proofErr w:type="spellStart"/>
      <w:r>
        <w:rPr>
          <w:rFonts w:ascii="Times New Roman" w:hAnsi="Times New Roman"/>
        </w:rPr>
        <w:t>Yacheng</w:t>
      </w:r>
      <w:proofErr w:type="spellEnd"/>
      <w:r>
        <w:rPr>
          <w:rFonts w:ascii="Times New Roman" w:hAnsi="Times New Roman"/>
        </w:rPr>
        <w:t xml:space="preserve">, C. (2005) Nitrogen isotopic geochemical characteristics of crude oils in </w:t>
      </w:r>
      <w:proofErr w:type="spellStart"/>
      <w:r>
        <w:rPr>
          <w:rFonts w:ascii="Times New Roman" w:hAnsi="Times New Roman"/>
        </w:rPr>
        <w:t>serveral</w:t>
      </w:r>
      <w:proofErr w:type="spellEnd"/>
      <w:r>
        <w:rPr>
          <w:rFonts w:ascii="Times New Roman" w:hAnsi="Times New Roman"/>
        </w:rPr>
        <w:t xml:space="preserve"> basins of China. Science in China Ser. D Earth Sciences, Vol. 48, pp. 1211-1219.</w:t>
      </w:r>
    </w:p>
    <w:p w:rsidR="006F7CD0" w:rsidRDefault="006F7CD0" w:rsidP="006F7CD0">
      <w:pPr>
        <w:spacing w:after="200" w:line="240" w:lineRule="auto"/>
        <w:ind w:left="720" w:hanging="720"/>
        <w:rPr>
          <w:rFonts w:ascii="Times New Roman" w:hAnsi="Times New Roman"/>
        </w:rPr>
      </w:pPr>
      <w:proofErr w:type="spellStart"/>
      <w:r w:rsidRPr="00CC1A34">
        <w:rPr>
          <w:rFonts w:ascii="Times New Roman" w:hAnsi="Times New Roman"/>
        </w:rPr>
        <w:t>Coplen</w:t>
      </w:r>
      <w:proofErr w:type="spellEnd"/>
      <w:r w:rsidRPr="00CC1A34">
        <w:rPr>
          <w:rFonts w:ascii="Times New Roman" w:hAnsi="Times New Roman"/>
        </w:rPr>
        <w:t xml:space="preserve"> T.B. (2011) Guidelines and recommended terms for expression of stable-isotope-ratio and gas-ratio measurement results. Rapid </w:t>
      </w:r>
      <w:proofErr w:type="spellStart"/>
      <w:r w:rsidRPr="00CC1A34">
        <w:rPr>
          <w:rFonts w:ascii="Times New Roman" w:hAnsi="Times New Roman"/>
        </w:rPr>
        <w:t>Commun</w:t>
      </w:r>
      <w:proofErr w:type="spellEnd"/>
      <w:r w:rsidRPr="00CC1A34">
        <w:rPr>
          <w:rFonts w:ascii="Times New Roman" w:hAnsi="Times New Roman"/>
        </w:rPr>
        <w:t xml:space="preserve">. Mass </w:t>
      </w:r>
      <w:proofErr w:type="spellStart"/>
      <w:r w:rsidRPr="00CC1A34">
        <w:rPr>
          <w:rFonts w:ascii="Times New Roman" w:hAnsi="Times New Roman"/>
        </w:rPr>
        <w:t>Spectrom</w:t>
      </w:r>
      <w:proofErr w:type="spellEnd"/>
      <w:r w:rsidRPr="00CC1A34">
        <w:rPr>
          <w:rFonts w:ascii="Times New Roman" w:hAnsi="Times New Roman"/>
        </w:rPr>
        <w:t>. Vol. 25, pp. 2538-2560.</w:t>
      </w:r>
    </w:p>
    <w:p w:rsidR="006F7CD0" w:rsidRDefault="006F7CD0" w:rsidP="006F7CD0">
      <w:pPr>
        <w:spacing w:after="200" w:line="240" w:lineRule="auto"/>
        <w:ind w:left="720" w:hanging="720"/>
        <w:rPr>
          <w:rFonts w:ascii="Times New Roman" w:hAnsi="Times New Roman"/>
        </w:rPr>
      </w:pPr>
      <w:proofErr w:type="spellStart"/>
      <w:r>
        <w:rPr>
          <w:rFonts w:ascii="Times New Roman" w:hAnsi="Times New Roman"/>
        </w:rPr>
        <w:t>Cremonese</w:t>
      </w:r>
      <w:proofErr w:type="spellEnd"/>
      <w:r>
        <w:rPr>
          <w:rFonts w:ascii="Times New Roman" w:hAnsi="Times New Roman"/>
        </w:rPr>
        <w:t xml:space="preserve">, L., Shields-Zhou, G., Struck, U., Ling, H. </w:t>
      </w:r>
      <w:proofErr w:type="spellStart"/>
      <w:r>
        <w:rPr>
          <w:rFonts w:ascii="Times New Roman" w:hAnsi="Times New Roman"/>
        </w:rPr>
        <w:t>Och</w:t>
      </w:r>
      <w:proofErr w:type="spellEnd"/>
      <w:r>
        <w:rPr>
          <w:rFonts w:ascii="Times New Roman" w:hAnsi="Times New Roman"/>
        </w:rPr>
        <w:t xml:space="preserve">, L., Chen, X., and Li, Da. (2013) Marine biochemical cycling during the early Cambrian constrained by nitrogen and organic carbon isotope study of the </w:t>
      </w:r>
      <w:proofErr w:type="spellStart"/>
      <w:r>
        <w:rPr>
          <w:rFonts w:ascii="Times New Roman" w:hAnsi="Times New Roman"/>
        </w:rPr>
        <w:t>Xiaotan</w:t>
      </w:r>
      <w:proofErr w:type="spellEnd"/>
      <w:r>
        <w:rPr>
          <w:rFonts w:ascii="Times New Roman" w:hAnsi="Times New Roman"/>
        </w:rPr>
        <w:t xml:space="preserve"> section, South China. Precambrian Research, Vol. 225, pp. 148-165. </w:t>
      </w:r>
    </w:p>
    <w:p w:rsidR="006F7CD0" w:rsidRDefault="006F7CD0" w:rsidP="006F7CD0">
      <w:pPr>
        <w:spacing w:after="200" w:line="240" w:lineRule="auto"/>
        <w:ind w:left="720" w:hanging="720"/>
        <w:rPr>
          <w:rFonts w:ascii="Times New Roman" w:hAnsi="Times New Roman"/>
        </w:rPr>
      </w:pPr>
      <w:proofErr w:type="spellStart"/>
      <w:r>
        <w:rPr>
          <w:rFonts w:ascii="Times New Roman" w:hAnsi="Times New Roman"/>
        </w:rPr>
        <w:t>Cremonese</w:t>
      </w:r>
      <w:proofErr w:type="spellEnd"/>
      <w:r>
        <w:rPr>
          <w:rFonts w:ascii="Times New Roman" w:hAnsi="Times New Roman"/>
        </w:rPr>
        <w:t xml:space="preserve">, L., Shields-Zhou, G., Struck, U., Ling, H. and </w:t>
      </w:r>
      <w:proofErr w:type="spellStart"/>
      <w:r>
        <w:rPr>
          <w:rFonts w:ascii="Times New Roman" w:hAnsi="Times New Roman"/>
        </w:rPr>
        <w:t>Och</w:t>
      </w:r>
      <w:proofErr w:type="spellEnd"/>
      <w:r>
        <w:rPr>
          <w:rFonts w:ascii="Times New Roman" w:hAnsi="Times New Roman"/>
        </w:rPr>
        <w:t xml:space="preserve">, L. (2014) Nitrogen and organic carbon isotope stratigraphy of the Yangtze Platform during the Ediacaran-Cambrian transition in South China. </w:t>
      </w:r>
      <w:proofErr w:type="spellStart"/>
      <w:r>
        <w:rPr>
          <w:rFonts w:ascii="Times New Roman" w:hAnsi="Times New Roman"/>
        </w:rPr>
        <w:t>Palaeogeography</w:t>
      </w:r>
      <w:proofErr w:type="spellEnd"/>
      <w:r>
        <w:rPr>
          <w:rFonts w:ascii="Times New Roman" w:hAnsi="Times New Roman"/>
        </w:rPr>
        <w:t xml:space="preserve">, </w:t>
      </w:r>
      <w:proofErr w:type="spellStart"/>
      <w:r>
        <w:rPr>
          <w:rFonts w:ascii="Times New Roman" w:hAnsi="Times New Roman"/>
        </w:rPr>
        <w:t>Papeoclimatology</w:t>
      </w:r>
      <w:proofErr w:type="spellEnd"/>
      <w:r>
        <w:rPr>
          <w:rFonts w:ascii="Times New Roman" w:hAnsi="Times New Roman"/>
        </w:rPr>
        <w:t xml:space="preserve">, </w:t>
      </w:r>
      <w:proofErr w:type="spellStart"/>
      <w:r>
        <w:rPr>
          <w:rFonts w:ascii="Times New Roman" w:hAnsi="Times New Roman"/>
        </w:rPr>
        <w:t>Palaeoecology</w:t>
      </w:r>
      <w:proofErr w:type="spellEnd"/>
      <w:r>
        <w:rPr>
          <w:rFonts w:ascii="Times New Roman" w:hAnsi="Times New Roman"/>
        </w:rPr>
        <w:t xml:space="preserve">, Vol. 398, pp. 165-186. </w:t>
      </w:r>
    </w:p>
    <w:p w:rsidR="006F7CD0" w:rsidRDefault="006F7CD0" w:rsidP="006F7CD0">
      <w:pPr>
        <w:spacing w:after="200" w:line="240" w:lineRule="auto"/>
        <w:ind w:left="720" w:hanging="720"/>
        <w:rPr>
          <w:rFonts w:ascii="Times New Roman" w:hAnsi="Times New Roman"/>
        </w:rPr>
      </w:pPr>
      <w:r>
        <w:rPr>
          <w:rFonts w:ascii="Times New Roman" w:hAnsi="Times New Roman"/>
        </w:rPr>
        <w:t xml:space="preserve">de la Rue, S. R., Rowe, H. D., and </w:t>
      </w:r>
      <w:proofErr w:type="spellStart"/>
      <w:r>
        <w:rPr>
          <w:rFonts w:ascii="Times New Roman" w:hAnsi="Times New Roman"/>
        </w:rPr>
        <w:t>Rimmer</w:t>
      </w:r>
      <w:proofErr w:type="spellEnd"/>
      <w:r>
        <w:rPr>
          <w:rFonts w:ascii="Times New Roman" w:hAnsi="Times New Roman"/>
        </w:rPr>
        <w:t xml:space="preserve">, S. M. (2007) Palynological and bulk geochemical constraints on the </w:t>
      </w:r>
      <w:proofErr w:type="spellStart"/>
      <w:r>
        <w:rPr>
          <w:rFonts w:ascii="Times New Roman" w:hAnsi="Times New Roman"/>
        </w:rPr>
        <w:t>paleoceanographic</w:t>
      </w:r>
      <w:proofErr w:type="spellEnd"/>
      <w:r>
        <w:rPr>
          <w:rFonts w:ascii="Times New Roman" w:hAnsi="Times New Roman"/>
        </w:rPr>
        <w:t xml:space="preserve"> conditions across the </w:t>
      </w:r>
      <w:proofErr w:type="spellStart"/>
      <w:r>
        <w:rPr>
          <w:rFonts w:ascii="Times New Roman" w:hAnsi="Times New Roman"/>
        </w:rPr>
        <w:t>Frasnian</w:t>
      </w:r>
      <w:proofErr w:type="spellEnd"/>
      <w:r>
        <w:rPr>
          <w:rFonts w:ascii="Times New Roman" w:hAnsi="Times New Roman"/>
        </w:rPr>
        <w:t xml:space="preserve">-Famennian boundary, New Albany Shale, Indiana. International Journal of Coal Geology, Vol. 71, pp. 72-84. </w:t>
      </w:r>
    </w:p>
    <w:p w:rsidR="006F7CD0" w:rsidRPr="00FF4055" w:rsidRDefault="006F7CD0" w:rsidP="006F7CD0">
      <w:pPr>
        <w:spacing w:after="200" w:line="240" w:lineRule="auto"/>
        <w:ind w:left="720" w:hanging="720"/>
        <w:rPr>
          <w:rFonts w:ascii="Times New Roman" w:hAnsi="Times New Roman"/>
        </w:rPr>
      </w:pPr>
      <w:proofErr w:type="spellStart"/>
      <w:r>
        <w:rPr>
          <w:rFonts w:ascii="Times New Roman" w:hAnsi="Times New Roman"/>
        </w:rPr>
        <w:t>Devol</w:t>
      </w:r>
      <w:proofErr w:type="spellEnd"/>
      <w:r>
        <w:rPr>
          <w:rFonts w:ascii="Times New Roman" w:hAnsi="Times New Roman"/>
        </w:rPr>
        <w:t xml:space="preserve">, A. H. (2008) Denitrification including anammox. </w:t>
      </w:r>
      <w:r>
        <w:rPr>
          <w:rFonts w:ascii="Times New Roman" w:hAnsi="Times New Roman"/>
          <w:i/>
        </w:rPr>
        <w:t>In</w:t>
      </w:r>
      <w:r>
        <w:rPr>
          <w:rFonts w:ascii="Times New Roman" w:hAnsi="Times New Roman"/>
        </w:rPr>
        <w:t xml:space="preserve"> “Nitrogen in the Marine Environment” (2</w:t>
      </w:r>
      <w:r w:rsidRPr="003950AA">
        <w:rPr>
          <w:rFonts w:ascii="Times New Roman" w:hAnsi="Times New Roman"/>
          <w:vertAlign w:val="superscript"/>
        </w:rPr>
        <w:t>nd</w:t>
      </w:r>
      <w:r>
        <w:rPr>
          <w:rFonts w:ascii="Times New Roman" w:hAnsi="Times New Roman"/>
        </w:rPr>
        <w:t xml:space="preserve"> edition) Chapter 6, pp. 263-301. Elsevier. </w:t>
      </w:r>
    </w:p>
    <w:p w:rsidR="006F7CD0" w:rsidRPr="00CC1A34" w:rsidRDefault="006F7CD0" w:rsidP="003A7D22">
      <w:pPr>
        <w:tabs>
          <w:tab w:val="left" w:pos="-720"/>
        </w:tabs>
        <w:suppressAutoHyphens/>
        <w:spacing w:after="200" w:line="240" w:lineRule="auto"/>
        <w:ind w:left="720" w:hanging="720"/>
        <w:jc w:val="both"/>
        <w:rPr>
          <w:rFonts w:ascii="Times New Roman" w:hAnsi="Times New Roman"/>
          <w:spacing w:val="-3"/>
        </w:rPr>
      </w:pPr>
      <w:r w:rsidRPr="00CC1A34">
        <w:rPr>
          <w:rFonts w:ascii="Times New Roman" w:hAnsi="Times New Roman"/>
        </w:rPr>
        <w:t xml:space="preserve">Engel, M.H. and Zumberge, J.E. (2007) </w:t>
      </w:r>
      <w:r w:rsidRPr="00CC1A34">
        <w:rPr>
          <w:rFonts w:ascii="Times New Roman" w:hAnsi="Times New Roman"/>
          <w:spacing w:val="-3"/>
        </w:rPr>
        <w:t>Secular change in the stable sulfur isotop</w:t>
      </w:r>
      <w:r w:rsidR="004A0DF8">
        <w:rPr>
          <w:rFonts w:ascii="Times New Roman" w:hAnsi="Times New Roman"/>
          <w:spacing w:val="-3"/>
        </w:rPr>
        <w:t xml:space="preserve">e composition of </w:t>
      </w:r>
      <w:r w:rsidRPr="00CC1A34">
        <w:rPr>
          <w:rFonts w:ascii="Times New Roman" w:hAnsi="Times New Roman"/>
          <w:spacing w:val="-3"/>
        </w:rPr>
        <w:t>crude oils relative to marine sulfates and sulfides. The 23</w:t>
      </w:r>
      <w:r w:rsidRPr="00CC1A34">
        <w:rPr>
          <w:rFonts w:ascii="Times New Roman" w:hAnsi="Times New Roman"/>
          <w:spacing w:val="-3"/>
          <w:vertAlign w:val="superscript"/>
        </w:rPr>
        <w:t>rd</w:t>
      </w:r>
      <w:r w:rsidRPr="00CC1A34">
        <w:rPr>
          <w:rFonts w:ascii="Times New Roman" w:hAnsi="Times New Roman"/>
          <w:spacing w:val="-3"/>
        </w:rPr>
        <w:t xml:space="preserve"> In</w:t>
      </w:r>
      <w:r w:rsidR="004A0DF8">
        <w:rPr>
          <w:rFonts w:ascii="Times New Roman" w:hAnsi="Times New Roman"/>
          <w:spacing w:val="-3"/>
        </w:rPr>
        <w:t xml:space="preserve">ternational Meeting on Organic </w:t>
      </w:r>
      <w:r w:rsidRPr="00CC1A34">
        <w:rPr>
          <w:rFonts w:ascii="Times New Roman" w:hAnsi="Times New Roman"/>
          <w:spacing w:val="-3"/>
        </w:rPr>
        <w:t xml:space="preserve">Geochemistry, </w:t>
      </w:r>
      <w:proofErr w:type="spellStart"/>
      <w:r w:rsidRPr="00CC1A34">
        <w:rPr>
          <w:rFonts w:ascii="Times New Roman" w:hAnsi="Times New Roman"/>
          <w:spacing w:val="-3"/>
        </w:rPr>
        <w:t>Torquay</w:t>
      </w:r>
      <w:proofErr w:type="spellEnd"/>
      <w:r w:rsidRPr="00CC1A34">
        <w:rPr>
          <w:rFonts w:ascii="Times New Roman" w:hAnsi="Times New Roman"/>
          <w:spacing w:val="-3"/>
        </w:rPr>
        <w:t>, UK, Book of Abstracts pp. 523-524.</w:t>
      </w:r>
    </w:p>
    <w:p w:rsidR="006F7CD0" w:rsidRDefault="006F7CD0" w:rsidP="006F7CD0">
      <w:pPr>
        <w:spacing w:after="200" w:line="240" w:lineRule="auto"/>
        <w:ind w:left="720" w:hanging="720"/>
        <w:rPr>
          <w:rFonts w:ascii="Times New Roman" w:hAnsi="Times New Roman"/>
        </w:rPr>
      </w:pPr>
      <w:r w:rsidRPr="00CC1A34">
        <w:rPr>
          <w:rFonts w:ascii="Times New Roman" w:hAnsi="Times New Roman"/>
        </w:rPr>
        <w:t xml:space="preserve">Francis, Christopher A., Roberts, Kathryn J., </w:t>
      </w:r>
      <w:proofErr w:type="spellStart"/>
      <w:r w:rsidRPr="00CC1A34">
        <w:rPr>
          <w:rFonts w:ascii="Times New Roman" w:hAnsi="Times New Roman"/>
        </w:rPr>
        <w:t>Beman</w:t>
      </w:r>
      <w:proofErr w:type="spellEnd"/>
      <w:r w:rsidRPr="00CC1A34">
        <w:rPr>
          <w:rFonts w:ascii="Times New Roman" w:hAnsi="Times New Roman"/>
        </w:rPr>
        <w:t>, J. Michael., Santoro, Alyson E., and Oakley, Brian B. (2005) Ubiquity and diversity of ammonia-oxidizing archaea in water columns and sediments of the ocean. Proc. Natl. Acad. Sci. USA, Vol. 102, pp. 14683-14688.</w:t>
      </w:r>
    </w:p>
    <w:p w:rsidR="006F7CD0" w:rsidRDefault="006F7CD0" w:rsidP="006F7CD0">
      <w:pPr>
        <w:spacing w:after="200" w:line="240" w:lineRule="auto"/>
        <w:ind w:left="720" w:hanging="720"/>
        <w:rPr>
          <w:rFonts w:ascii="Times New Roman" w:hAnsi="Times New Roman"/>
        </w:rPr>
      </w:pPr>
      <w:r>
        <w:rPr>
          <w:rFonts w:ascii="Times New Roman" w:hAnsi="Times New Roman"/>
        </w:rPr>
        <w:lastRenderedPageBreak/>
        <w:t xml:space="preserve">Fujisaki, W., </w:t>
      </w:r>
      <w:proofErr w:type="spellStart"/>
      <w:r>
        <w:rPr>
          <w:rFonts w:ascii="Times New Roman" w:hAnsi="Times New Roman"/>
        </w:rPr>
        <w:t>Sawaki</w:t>
      </w:r>
      <w:proofErr w:type="spellEnd"/>
      <w:r>
        <w:rPr>
          <w:rFonts w:ascii="Times New Roman" w:hAnsi="Times New Roman"/>
        </w:rPr>
        <w:t xml:space="preserve">, Y., Yamamoto, S., Sato, T., </w:t>
      </w:r>
      <w:proofErr w:type="spellStart"/>
      <w:r>
        <w:rPr>
          <w:rFonts w:ascii="Times New Roman" w:hAnsi="Times New Roman"/>
        </w:rPr>
        <w:t>Nishizawa</w:t>
      </w:r>
      <w:proofErr w:type="spellEnd"/>
      <w:r>
        <w:rPr>
          <w:rFonts w:ascii="Times New Roman" w:hAnsi="Times New Roman"/>
        </w:rPr>
        <w:t xml:space="preserve">, M., </w:t>
      </w:r>
      <w:proofErr w:type="spellStart"/>
      <w:r>
        <w:rPr>
          <w:rFonts w:ascii="Times New Roman" w:hAnsi="Times New Roman"/>
        </w:rPr>
        <w:t>Windley</w:t>
      </w:r>
      <w:proofErr w:type="spellEnd"/>
      <w:r>
        <w:rPr>
          <w:rFonts w:ascii="Times New Roman" w:hAnsi="Times New Roman"/>
        </w:rPr>
        <w:t xml:space="preserve">, B. F., and Maruyama, S. (2016) Tracking the redox history and nitrogen cycle in the pelagic </w:t>
      </w:r>
      <w:proofErr w:type="spellStart"/>
      <w:r>
        <w:rPr>
          <w:rFonts w:ascii="Times New Roman" w:hAnsi="Times New Roman"/>
        </w:rPr>
        <w:t>Panthalassic</w:t>
      </w:r>
      <w:proofErr w:type="spellEnd"/>
      <w:r>
        <w:rPr>
          <w:rFonts w:ascii="Times New Roman" w:hAnsi="Times New Roman"/>
        </w:rPr>
        <w:t xml:space="preserve"> deep ocean in the Middle Triassic to Early Jurassic: Insights from redox-sensitive elements and nitrogen isotopes.  </w:t>
      </w:r>
      <w:proofErr w:type="spellStart"/>
      <w:r w:rsidRPr="00CC1A34">
        <w:rPr>
          <w:rFonts w:ascii="Times New Roman" w:hAnsi="Times New Roman"/>
        </w:rPr>
        <w:t>Palaeogeography</w:t>
      </w:r>
      <w:proofErr w:type="spellEnd"/>
      <w:r w:rsidRPr="00CC1A34">
        <w:rPr>
          <w:rFonts w:ascii="Times New Roman" w:hAnsi="Times New Roman"/>
        </w:rPr>
        <w:t xml:space="preserve">, </w:t>
      </w:r>
      <w:proofErr w:type="spellStart"/>
      <w:r w:rsidRPr="00CC1A34">
        <w:rPr>
          <w:rFonts w:ascii="Times New Roman" w:hAnsi="Times New Roman"/>
        </w:rPr>
        <w:t>Palaeoclimatology</w:t>
      </w:r>
      <w:proofErr w:type="spellEnd"/>
      <w:r w:rsidRPr="00CC1A34">
        <w:rPr>
          <w:rFonts w:ascii="Times New Roman" w:hAnsi="Times New Roman"/>
        </w:rPr>
        <w:t xml:space="preserve">, </w:t>
      </w:r>
      <w:proofErr w:type="spellStart"/>
      <w:r w:rsidRPr="00CC1A34">
        <w:rPr>
          <w:rFonts w:ascii="Times New Roman" w:hAnsi="Times New Roman"/>
        </w:rPr>
        <w:t>Palaeoecology</w:t>
      </w:r>
      <w:proofErr w:type="spellEnd"/>
      <w:r>
        <w:rPr>
          <w:rFonts w:ascii="Times New Roman" w:hAnsi="Times New Roman"/>
        </w:rPr>
        <w:t xml:space="preserve">, Vol. 449, pp. 397-420.  </w:t>
      </w:r>
    </w:p>
    <w:p w:rsidR="006F7CD0" w:rsidRPr="00CC1A34" w:rsidRDefault="006F7CD0" w:rsidP="006F7CD0">
      <w:pPr>
        <w:spacing w:after="200" w:line="240" w:lineRule="auto"/>
        <w:ind w:left="720" w:hanging="720"/>
        <w:rPr>
          <w:rFonts w:ascii="Times New Roman" w:hAnsi="Times New Roman"/>
        </w:rPr>
      </w:pPr>
      <w:proofErr w:type="spellStart"/>
      <w:r>
        <w:rPr>
          <w:rFonts w:ascii="Times New Roman" w:hAnsi="Times New Roman"/>
        </w:rPr>
        <w:t>Galarraga</w:t>
      </w:r>
      <w:proofErr w:type="spellEnd"/>
      <w:r>
        <w:rPr>
          <w:rFonts w:ascii="Times New Roman" w:hAnsi="Times New Roman"/>
        </w:rPr>
        <w:t xml:space="preserve">, F., </w:t>
      </w:r>
      <w:proofErr w:type="spellStart"/>
      <w:r>
        <w:rPr>
          <w:rFonts w:ascii="Times New Roman" w:hAnsi="Times New Roman"/>
        </w:rPr>
        <w:t>Retegui</w:t>
      </w:r>
      <w:proofErr w:type="spellEnd"/>
      <w:r>
        <w:rPr>
          <w:rFonts w:ascii="Times New Roman" w:hAnsi="Times New Roman"/>
        </w:rPr>
        <w:t xml:space="preserve">, K., </w:t>
      </w:r>
      <w:proofErr w:type="spellStart"/>
      <w:r>
        <w:rPr>
          <w:rFonts w:ascii="Times New Roman" w:hAnsi="Times New Roman"/>
        </w:rPr>
        <w:t>Martïnez</w:t>
      </w:r>
      <w:proofErr w:type="spellEnd"/>
      <w:r>
        <w:rPr>
          <w:rFonts w:ascii="Times New Roman" w:hAnsi="Times New Roman"/>
        </w:rPr>
        <w:t xml:space="preserve">, A., </w:t>
      </w:r>
      <w:proofErr w:type="spellStart"/>
      <w:r>
        <w:rPr>
          <w:rFonts w:ascii="Times New Roman" w:hAnsi="Times New Roman"/>
        </w:rPr>
        <w:t>Martìnez</w:t>
      </w:r>
      <w:proofErr w:type="spellEnd"/>
      <w:r>
        <w:rPr>
          <w:rFonts w:ascii="Times New Roman" w:hAnsi="Times New Roman"/>
        </w:rPr>
        <w:t xml:space="preserve">, M., Llamas, J. F., and Márquez, G. (2008) V/Ni ratio as a parameter in </w:t>
      </w:r>
      <w:proofErr w:type="spellStart"/>
      <w:r>
        <w:rPr>
          <w:rFonts w:ascii="Times New Roman" w:hAnsi="Times New Roman"/>
        </w:rPr>
        <w:t>palaeoenvironment</w:t>
      </w:r>
      <w:proofErr w:type="spellEnd"/>
      <w:r>
        <w:rPr>
          <w:rFonts w:ascii="Times New Roman" w:hAnsi="Times New Roman"/>
        </w:rPr>
        <w:t xml:space="preserve"> characterization of nonmature medium-crude oils from several Latin American basins. Journal of Petroleum Science and Engineering, Vol. 61, pp. 9-14.</w:t>
      </w:r>
    </w:p>
    <w:p w:rsidR="006F7CD0" w:rsidRDefault="006F7CD0" w:rsidP="006F7CD0">
      <w:pPr>
        <w:spacing w:after="200" w:line="240" w:lineRule="auto"/>
        <w:ind w:left="720" w:hanging="720"/>
        <w:rPr>
          <w:rFonts w:ascii="Times New Roman" w:hAnsi="Times New Roman"/>
        </w:rPr>
      </w:pPr>
      <w:r w:rsidRPr="00CC1A34">
        <w:rPr>
          <w:rFonts w:ascii="Times New Roman" w:hAnsi="Times New Roman"/>
        </w:rPr>
        <w:t xml:space="preserve">Galbraith, E.D., </w:t>
      </w:r>
      <w:proofErr w:type="spellStart"/>
      <w:r w:rsidRPr="00CC1A34">
        <w:rPr>
          <w:rFonts w:ascii="Times New Roman" w:hAnsi="Times New Roman"/>
        </w:rPr>
        <w:t>Kienast</w:t>
      </w:r>
      <w:proofErr w:type="spellEnd"/>
      <w:r w:rsidRPr="00CC1A34">
        <w:rPr>
          <w:rFonts w:ascii="Times New Roman" w:hAnsi="Times New Roman"/>
        </w:rPr>
        <w:t>, M. and the NICOPP Working Group (2013) The acceleration of oceanic denitrification during glacial warming. Nature Geoscience Vol. 6, pp. 579-584.</w:t>
      </w:r>
    </w:p>
    <w:p w:rsidR="006F7CD0" w:rsidRPr="00CC1A34" w:rsidRDefault="006F7CD0" w:rsidP="006F7CD0">
      <w:pPr>
        <w:spacing w:after="200" w:line="240" w:lineRule="auto"/>
        <w:ind w:left="720" w:hanging="720"/>
        <w:rPr>
          <w:rFonts w:ascii="Times New Roman" w:hAnsi="Times New Roman"/>
        </w:rPr>
      </w:pPr>
      <w:r>
        <w:rPr>
          <w:rFonts w:ascii="Times New Roman" w:hAnsi="Times New Roman"/>
        </w:rPr>
        <w:t xml:space="preserve">Glasby, G. P., and </w:t>
      </w:r>
      <w:proofErr w:type="spellStart"/>
      <w:r>
        <w:rPr>
          <w:rFonts w:ascii="Times New Roman" w:hAnsi="Times New Roman"/>
        </w:rPr>
        <w:t>Kunzendorf</w:t>
      </w:r>
      <w:proofErr w:type="spellEnd"/>
      <w:r>
        <w:rPr>
          <w:rFonts w:ascii="Times New Roman" w:hAnsi="Times New Roman"/>
        </w:rPr>
        <w:t xml:space="preserve">, H. (1996) Multiple factors in the origin of the Cretaceous/Tertiary boundary: the role of environmental stress and Deccan Trap volcanism. </w:t>
      </w:r>
      <w:proofErr w:type="spellStart"/>
      <w:r>
        <w:rPr>
          <w:rFonts w:ascii="Times New Roman" w:hAnsi="Times New Roman"/>
        </w:rPr>
        <w:t>Geologische</w:t>
      </w:r>
      <w:proofErr w:type="spellEnd"/>
      <w:r>
        <w:rPr>
          <w:rFonts w:ascii="Times New Roman" w:hAnsi="Times New Roman"/>
        </w:rPr>
        <w:t xml:space="preserve"> </w:t>
      </w:r>
      <w:proofErr w:type="spellStart"/>
      <w:r>
        <w:rPr>
          <w:rFonts w:ascii="Times New Roman" w:hAnsi="Times New Roman"/>
        </w:rPr>
        <w:t>Rundschau</w:t>
      </w:r>
      <w:proofErr w:type="spellEnd"/>
      <w:r>
        <w:rPr>
          <w:rFonts w:ascii="Times New Roman" w:hAnsi="Times New Roman"/>
        </w:rPr>
        <w:t xml:space="preserve">, Vol. 85, pp. 191-210. </w:t>
      </w:r>
    </w:p>
    <w:p w:rsidR="006F7CD0" w:rsidRDefault="006F7CD0" w:rsidP="006F7CD0">
      <w:pPr>
        <w:spacing w:after="200" w:line="240" w:lineRule="auto"/>
        <w:ind w:left="720" w:hanging="720"/>
        <w:rPr>
          <w:rFonts w:ascii="Times New Roman" w:hAnsi="Times New Roman"/>
        </w:rPr>
      </w:pPr>
      <w:r w:rsidRPr="00CC1A34">
        <w:rPr>
          <w:rFonts w:ascii="Times New Roman" w:hAnsi="Times New Roman"/>
        </w:rPr>
        <w:t xml:space="preserve">Godfrey, L. V., and Glass, J. B. (2011) The geochemical record of the ancient nitrogen cycle, nitrogen isotopes, and metal cofactors. </w:t>
      </w:r>
      <w:r w:rsidRPr="00CC1A34">
        <w:rPr>
          <w:rFonts w:ascii="Times New Roman" w:hAnsi="Times New Roman"/>
          <w:i/>
        </w:rPr>
        <w:t>In</w:t>
      </w:r>
      <w:r w:rsidRPr="00CC1A34">
        <w:rPr>
          <w:rFonts w:ascii="Times New Roman" w:hAnsi="Times New Roman"/>
        </w:rPr>
        <w:t xml:space="preserve"> “Methods in Enzymology,” Vol. 486, pp. 483-506.</w:t>
      </w:r>
    </w:p>
    <w:p w:rsidR="006F7CD0" w:rsidRPr="00CC1A34" w:rsidRDefault="006F7CD0" w:rsidP="006F7CD0">
      <w:pPr>
        <w:spacing w:after="200" w:line="240" w:lineRule="auto"/>
        <w:ind w:left="720" w:hanging="720"/>
        <w:rPr>
          <w:rFonts w:ascii="Times New Roman" w:hAnsi="Times New Roman"/>
        </w:rPr>
      </w:pPr>
      <w:proofErr w:type="spellStart"/>
      <w:r>
        <w:rPr>
          <w:rFonts w:ascii="Times New Roman" w:hAnsi="Times New Roman"/>
        </w:rPr>
        <w:t>Grasby</w:t>
      </w:r>
      <w:proofErr w:type="spellEnd"/>
      <w:r>
        <w:rPr>
          <w:rFonts w:ascii="Times New Roman" w:hAnsi="Times New Roman"/>
        </w:rPr>
        <w:t xml:space="preserve">, S. E., Beauchamp, B., and </w:t>
      </w:r>
      <w:proofErr w:type="spellStart"/>
      <w:r>
        <w:rPr>
          <w:rFonts w:ascii="Times New Roman" w:hAnsi="Times New Roman"/>
        </w:rPr>
        <w:t>Knies</w:t>
      </w:r>
      <w:proofErr w:type="spellEnd"/>
      <w:r>
        <w:rPr>
          <w:rFonts w:ascii="Times New Roman" w:hAnsi="Times New Roman"/>
        </w:rPr>
        <w:t>, J. (2016) Early Triassic productivity crises delayed recovery from world’s worst mass extinction. GSA, Vol. 44, pp. 779-782.</w:t>
      </w:r>
    </w:p>
    <w:p w:rsidR="006F7CD0" w:rsidRPr="00CC1A34" w:rsidRDefault="006F7CD0" w:rsidP="006F7CD0">
      <w:pPr>
        <w:spacing w:after="200" w:line="276" w:lineRule="auto"/>
        <w:ind w:left="720" w:hanging="720"/>
        <w:rPr>
          <w:rFonts w:ascii="Times New Roman" w:hAnsi="Times New Roman"/>
        </w:rPr>
      </w:pPr>
      <w:proofErr w:type="spellStart"/>
      <w:r>
        <w:rPr>
          <w:rFonts w:ascii="Times New Roman" w:hAnsi="Times New Roman"/>
        </w:rPr>
        <w:t>Grasby</w:t>
      </w:r>
      <w:proofErr w:type="spellEnd"/>
      <w:r>
        <w:rPr>
          <w:rFonts w:ascii="Times New Roman" w:hAnsi="Times New Roman"/>
        </w:rPr>
        <w:t>, S. E., Beauchamp, B</w:t>
      </w:r>
      <w:r w:rsidRPr="00CC1A34">
        <w:rPr>
          <w:rFonts w:ascii="Times New Roman" w:hAnsi="Times New Roman"/>
        </w:rPr>
        <w:t xml:space="preserve">. P.G., </w:t>
      </w:r>
      <w:proofErr w:type="spellStart"/>
      <w:r w:rsidRPr="00CC1A34">
        <w:rPr>
          <w:rFonts w:ascii="Times New Roman" w:hAnsi="Times New Roman"/>
        </w:rPr>
        <w:t>Wignall</w:t>
      </w:r>
      <w:proofErr w:type="spellEnd"/>
      <w:r w:rsidRPr="00CC1A34">
        <w:rPr>
          <w:rFonts w:ascii="Times New Roman" w:hAnsi="Times New Roman"/>
        </w:rPr>
        <w:t xml:space="preserve">, P., Talavera, C., Galloway, J. M., </w:t>
      </w:r>
      <w:proofErr w:type="spellStart"/>
      <w:r w:rsidRPr="00CC1A34">
        <w:rPr>
          <w:rFonts w:ascii="Times New Roman" w:hAnsi="Times New Roman"/>
        </w:rPr>
        <w:t>Piepjohn</w:t>
      </w:r>
      <w:proofErr w:type="spellEnd"/>
      <w:r w:rsidRPr="00CC1A34">
        <w:rPr>
          <w:rFonts w:ascii="Times New Roman" w:hAnsi="Times New Roman"/>
        </w:rPr>
        <w:t xml:space="preserve">, K., Reinhardt, L., and </w:t>
      </w:r>
      <w:proofErr w:type="spellStart"/>
      <w:r w:rsidRPr="00CC1A34">
        <w:rPr>
          <w:rFonts w:ascii="Times New Roman" w:hAnsi="Times New Roman"/>
        </w:rPr>
        <w:t>Blomeier</w:t>
      </w:r>
      <w:proofErr w:type="spellEnd"/>
      <w:r w:rsidRPr="00CC1A34">
        <w:rPr>
          <w:rFonts w:ascii="Times New Roman" w:hAnsi="Times New Roman"/>
        </w:rPr>
        <w:t xml:space="preserve">, D. (2015) Progressive environmental deterioration in the northwestern Pangea leading to the latest Permian extinction. GSA Bulletin, Vol. 127, pp. 1331-1347. </w:t>
      </w:r>
    </w:p>
    <w:p w:rsidR="006F7CD0" w:rsidRDefault="006F7CD0" w:rsidP="006F7CD0">
      <w:pPr>
        <w:spacing w:after="200" w:line="240" w:lineRule="auto"/>
        <w:rPr>
          <w:rFonts w:ascii="Times New Roman" w:hAnsi="Times New Roman"/>
        </w:rPr>
      </w:pPr>
      <w:r w:rsidRPr="00CC1A34">
        <w:rPr>
          <w:rFonts w:ascii="Times New Roman" w:hAnsi="Times New Roman"/>
        </w:rPr>
        <w:t xml:space="preserve">Hoefs, </w:t>
      </w:r>
      <w:proofErr w:type="spellStart"/>
      <w:r w:rsidRPr="00CC1A34">
        <w:rPr>
          <w:rFonts w:ascii="Times New Roman" w:hAnsi="Times New Roman"/>
        </w:rPr>
        <w:t>Jochen</w:t>
      </w:r>
      <w:proofErr w:type="spellEnd"/>
      <w:r w:rsidRPr="00CC1A34">
        <w:rPr>
          <w:rFonts w:ascii="Times New Roman" w:hAnsi="Times New Roman"/>
        </w:rPr>
        <w:t>. (2015) Stable isotope geochemistry. Springer, Berlin, pp. 1-402.</w:t>
      </w:r>
    </w:p>
    <w:p w:rsidR="006F7CD0" w:rsidRDefault="006F7CD0" w:rsidP="006F7CD0">
      <w:pPr>
        <w:spacing w:after="200" w:line="240" w:lineRule="auto"/>
        <w:ind w:left="720" w:hanging="720"/>
        <w:rPr>
          <w:rFonts w:ascii="Times New Roman" w:hAnsi="Times New Roman"/>
        </w:rPr>
      </w:pPr>
      <w:proofErr w:type="spellStart"/>
      <w:r>
        <w:rPr>
          <w:rFonts w:ascii="Times New Roman" w:hAnsi="Times New Roman"/>
        </w:rPr>
        <w:t>Holbourn</w:t>
      </w:r>
      <w:proofErr w:type="spellEnd"/>
      <w:r>
        <w:rPr>
          <w:rFonts w:ascii="Times New Roman" w:hAnsi="Times New Roman"/>
        </w:rPr>
        <w:t xml:space="preserve">, A., </w:t>
      </w:r>
      <w:proofErr w:type="spellStart"/>
      <w:r>
        <w:rPr>
          <w:rFonts w:ascii="Times New Roman" w:hAnsi="Times New Roman"/>
        </w:rPr>
        <w:t>Kuhnt</w:t>
      </w:r>
      <w:proofErr w:type="spellEnd"/>
      <w:r>
        <w:rPr>
          <w:rFonts w:ascii="Times New Roman" w:hAnsi="Times New Roman"/>
        </w:rPr>
        <w:t xml:space="preserve">, W., Schulz, M., Flores, J. A. and Anderson, N. (2007) </w:t>
      </w:r>
      <w:proofErr w:type="spellStart"/>
      <w:r>
        <w:rPr>
          <w:rFonts w:ascii="Times New Roman" w:hAnsi="Times New Roman"/>
        </w:rPr>
        <w:t>Orbitally</w:t>
      </w:r>
      <w:proofErr w:type="spellEnd"/>
      <w:r>
        <w:rPr>
          <w:rFonts w:ascii="Times New Roman" w:hAnsi="Times New Roman"/>
        </w:rPr>
        <w:t xml:space="preserve">-paced climate </w:t>
      </w:r>
      <w:r w:rsidR="003A7D22">
        <w:rPr>
          <w:rFonts w:ascii="Times New Roman" w:hAnsi="Times New Roman"/>
        </w:rPr>
        <w:t>evolution during</w:t>
      </w:r>
      <w:r>
        <w:rPr>
          <w:rFonts w:ascii="Times New Roman" w:hAnsi="Times New Roman"/>
        </w:rPr>
        <w:t xml:space="preserve"> the middle Miocene “Monterey” carbon isotope excursion. Earth and Planetary Science Letters. Vol. 261, pp. 534-550.  </w:t>
      </w:r>
    </w:p>
    <w:p w:rsidR="006F7CD0" w:rsidRPr="00CC1A34" w:rsidRDefault="006F7CD0" w:rsidP="006F7CD0">
      <w:pPr>
        <w:spacing w:after="200" w:line="240" w:lineRule="auto"/>
        <w:ind w:left="720" w:hanging="720"/>
        <w:rPr>
          <w:rFonts w:ascii="Times New Roman" w:hAnsi="Times New Roman"/>
        </w:rPr>
      </w:pPr>
      <w:proofErr w:type="spellStart"/>
      <w:r>
        <w:rPr>
          <w:rFonts w:ascii="Times New Roman" w:hAnsi="Times New Roman"/>
        </w:rPr>
        <w:t>Jenkyns</w:t>
      </w:r>
      <w:proofErr w:type="spellEnd"/>
      <w:r>
        <w:rPr>
          <w:rFonts w:ascii="Times New Roman" w:hAnsi="Times New Roman"/>
        </w:rPr>
        <w:t xml:space="preserve">, H. C., </w:t>
      </w:r>
      <w:proofErr w:type="spellStart"/>
      <w:r>
        <w:rPr>
          <w:rFonts w:ascii="Times New Roman" w:hAnsi="Times New Roman"/>
        </w:rPr>
        <w:t>Gröcke</w:t>
      </w:r>
      <w:proofErr w:type="spellEnd"/>
      <w:r>
        <w:rPr>
          <w:rFonts w:ascii="Times New Roman" w:hAnsi="Times New Roman"/>
        </w:rPr>
        <w:t xml:space="preserve">, D. R., and </w:t>
      </w:r>
      <w:proofErr w:type="spellStart"/>
      <w:r>
        <w:rPr>
          <w:rFonts w:ascii="Times New Roman" w:hAnsi="Times New Roman"/>
        </w:rPr>
        <w:t>Hesselbo</w:t>
      </w:r>
      <w:proofErr w:type="spellEnd"/>
      <w:r>
        <w:rPr>
          <w:rFonts w:ascii="Times New Roman" w:hAnsi="Times New Roman"/>
        </w:rPr>
        <w:t xml:space="preserve">, S. P. (2001) Nitrogen isotope evidence for water mass denitrification during the early Toarcian (Jurassic) oceanic anoxic event. Paleoceanography, Vol. 16, pp. 593-603. </w:t>
      </w:r>
    </w:p>
    <w:p w:rsidR="006F7CD0" w:rsidRDefault="006F7CD0" w:rsidP="006F7CD0">
      <w:pPr>
        <w:spacing w:after="200" w:line="240" w:lineRule="auto"/>
        <w:ind w:left="720" w:hanging="720"/>
        <w:rPr>
          <w:rFonts w:ascii="Times New Roman" w:hAnsi="Times New Roman"/>
          <w:iCs/>
        </w:rPr>
      </w:pPr>
      <w:proofErr w:type="spellStart"/>
      <w:r>
        <w:rPr>
          <w:rFonts w:ascii="Times New Roman" w:hAnsi="Times New Roman"/>
          <w:iCs/>
        </w:rPr>
        <w:t>Junium</w:t>
      </w:r>
      <w:proofErr w:type="spellEnd"/>
      <w:r>
        <w:rPr>
          <w:rFonts w:ascii="Times New Roman" w:hAnsi="Times New Roman"/>
          <w:iCs/>
        </w:rPr>
        <w:t xml:space="preserve">, C. K., and Arthur, M. A. (2007) Nitrogen cycling during the Cretaceous, Cenomanian-Turonian Oceanic Anoxic Event II. Geochemistry, Geophysics, Geosystems, Vol. 8, p. Q03002.  </w:t>
      </w:r>
      <w:r w:rsidRPr="00CC1A34">
        <w:rPr>
          <w:rFonts w:ascii="Times New Roman" w:hAnsi="Times New Roman"/>
          <w:iCs/>
        </w:rPr>
        <w:t xml:space="preserve"> </w:t>
      </w:r>
    </w:p>
    <w:p w:rsidR="006F7CD0" w:rsidRDefault="006F7CD0" w:rsidP="006F7CD0">
      <w:pPr>
        <w:spacing w:after="200" w:line="240" w:lineRule="auto"/>
        <w:ind w:left="720" w:hanging="720"/>
        <w:rPr>
          <w:rFonts w:ascii="Times New Roman" w:hAnsi="Times New Roman"/>
          <w:iCs/>
        </w:rPr>
      </w:pPr>
      <w:r>
        <w:rPr>
          <w:rFonts w:ascii="Times New Roman" w:hAnsi="Times New Roman"/>
          <w:iCs/>
        </w:rPr>
        <w:t xml:space="preserve">Kern, M., </w:t>
      </w:r>
      <w:proofErr w:type="spellStart"/>
      <w:r>
        <w:rPr>
          <w:rFonts w:ascii="Times New Roman" w:hAnsi="Times New Roman"/>
          <w:iCs/>
        </w:rPr>
        <w:t>Watzinger</w:t>
      </w:r>
      <w:proofErr w:type="spellEnd"/>
      <w:r>
        <w:rPr>
          <w:rFonts w:ascii="Times New Roman" w:hAnsi="Times New Roman"/>
          <w:iCs/>
        </w:rPr>
        <w:t xml:space="preserve">, A., and </w:t>
      </w:r>
      <w:proofErr w:type="spellStart"/>
      <w:r>
        <w:rPr>
          <w:rFonts w:ascii="Times New Roman" w:hAnsi="Times New Roman"/>
          <w:iCs/>
        </w:rPr>
        <w:t>Scherr</w:t>
      </w:r>
      <w:proofErr w:type="spellEnd"/>
      <w:r>
        <w:rPr>
          <w:rFonts w:ascii="Times New Roman" w:hAnsi="Times New Roman"/>
          <w:iCs/>
        </w:rPr>
        <w:t xml:space="preserve">, K. E. (2016) </w:t>
      </w:r>
      <w:r w:rsidRPr="00FF4055">
        <w:rPr>
          <w:rFonts w:ascii="Times New Roman" w:hAnsi="Times New Roman"/>
          <w:iCs/>
          <w:vertAlign w:val="superscript"/>
        </w:rPr>
        <w:t>15</w:t>
      </w:r>
      <w:r>
        <w:rPr>
          <w:rFonts w:ascii="Times New Roman" w:hAnsi="Times New Roman"/>
          <w:iCs/>
        </w:rPr>
        <w:t xml:space="preserve">N-nitrate and </w:t>
      </w:r>
      <w:r w:rsidRPr="00FF4055">
        <w:rPr>
          <w:rFonts w:ascii="Times New Roman" w:hAnsi="Times New Roman"/>
          <w:iCs/>
          <w:vertAlign w:val="superscript"/>
        </w:rPr>
        <w:t>34</w:t>
      </w:r>
      <w:r>
        <w:rPr>
          <w:rFonts w:ascii="Times New Roman" w:hAnsi="Times New Roman"/>
          <w:iCs/>
        </w:rPr>
        <w:t>S-sulfate isotope fractionation reflects electron acceptor ‘recycling’ during hydrocarbon biodegradation. New Biotechnology, In Press.</w:t>
      </w:r>
    </w:p>
    <w:p w:rsidR="006F7CD0" w:rsidRDefault="006F7CD0" w:rsidP="006F7CD0">
      <w:pPr>
        <w:spacing w:after="200" w:line="240" w:lineRule="auto"/>
        <w:ind w:left="720" w:hanging="720"/>
        <w:rPr>
          <w:rFonts w:ascii="Times New Roman" w:hAnsi="Times New Roman"/>
          <w:iCs/>
        </w:rPr>
      </w:pPr>
      <w:proofErr w:type="spellStart"/>
      <w:r>
        <w:rPr>
          <w:rFonts w:ascii="Times New Roman" w:hAnsi="Times New Roman"/>
          <w:iCs/>
        </w:rPr>
        <w:lastRenderedPageBreak/>
        <w:t>Kikumoto</w:t>
      </w:r>
      <w:proofErr w:type="spellEnd"/>
      <w:r>
        <w:rPr>
          <w:rFonts w:ascii="Times New Roman" w:hAnsi="Times New Roman"/>
          <w:iCs/>
        </w:rPr>
        <w:t xml:space="preserve">, R., </w:t>
      </w:r>
      <w:proofErr w:type="spellStart"/>
      <w:r>
        <w:rPr>
          <w:rFonts w:ascii="Times New Roman" w:hAnsi="Times New Roman"/>
          <w:iCs/>
        </w:rPr>
        <w:t>Tahata</w:t>
      </w:r>
      <w:proofErr w:type="spellEnd"/>
      <w:r>
        <w:rPr>
          <w:rFonts w:ascii="Times New Roman" w:hAnsi="Times New Roman"/>
          <w:iCs/>
        </w:rPr>
        <w:t xml:space="preserve">, M., </w:t>
      </w:r>
      <w:proofErr w:type="spellStart"/>
      <w:r>
        <w:rPr>
          <w:rFonts w:ascii="Times New Roman" w:hAnsi="Times New Roman"/>
          <w:iCs/>
        </w:rPr>
        <w:t>Nishizawa</w:t>
      </w:r>
      <w:proofErr w:type="spellEnd"/>
      <w:r>
        <w:rPr>
          <w:rFonts w:ascii="Times New Roman" w:hAnsi="Times New Roman"/>
          <w:iCs/>
        </w:rPr>
        <w:t xml:space="preserve">, M., </w:t>
      </w:r>
      <w:proofErr w:type="spellStart"/>
      <w:r>
        <w:rPr>
          <w:rFonts w:ascii="Times New Roman" w:hAnsi="Times New Roman"/>
          <w:iCs/>
        </w:rPr>
        <w:t>Sawaki</w:t>
      </w:r>
      <w:proofErr w:type="spellEnd"/>
      <w:r>
        <w:rPr>
          <w:rFonts w:ascii="Times New Roman" w:hAnsi="Times New Roman"/>
          <w:iCs/>
        </w:rPr>
        <w:t xml:space="preserve">, Y., Maruyama, S., Shu, D., Han, J., Komiya, T., </w:t>
      </w:r>
      <w:proofErr w:type="spellStart"/>
      <w:r>
        <w:rPr>
          <w:rFonts w:ascii="Times New Roman" w:hAnsi="Times New Roman"/>
          <w:iCs/>
        </w:rPr>
        <w:t>Takai</w:t>
      </w:r>
      <w:proofErr w:type="spellEnd"/>
      <w:r>
        <w:rPr>
          <w:rFonts w:ascii="Times New Roman" w:hAnsi="Times New Roman"/>
          <w:iCs/>
        </w:rPr>
        <w:t xml:space="preserve">, K., and Ueno, Y. (2014) Nitrogen isotope </w:t>
      </w:r>
      <w:proofErr w:type="spellStart"/>
      <w:r>
        <w:rPr>
          <w:rFonts w:ascii="Times New Roman" w:hAnsi="Times New Roman"/>
          <w:iCs/>
        </w:rPr>
        <w:t>chemostratigraphy</w:t>
      </w:r>
      <w:proofErr w:type="spellEnd"/>
      <w:r>
        <w:rPr>
          <w:rFonts w:ascii="Times New Roman" w:hAnsi="Times New Roman"/>
          <w:iCs/>
        </w:rPr>
        <w:t xml:space="preserve"> of the Ediacaran and Early Cambrian platform sequence at Three Gorges, South China. </w:t>
      </w:r>
      <w:proofErr w:type="spellStart"/>
      <w:r>
        <w:rPr>
          <w:rFonts w:ascii="Times New Roman" w:hAnsi="Times New Roman"/>
          <w:iCs/>
        </w:rPr>
        <w:t>Gondwana</w:t>
      </w:r>
      <w:proofErr w:type="spellEnd"/>
      <w:r>
        <w:rPr>
          <w:rFonts w:ascii="Times New Roman" w:hAnsi="Times New Roman"/>
          <w:iCs/>
        </w:rPr>
        <w:t xml:space="preserve"> Research, Vol. 25, pp. 1057-1069.</w:t>
      </w:r>
    </w:p>
    <w:p w:rsidR="006F7CD0" w:rsidRPr="00CC1A34" w:rsidRDefault="006F7CD0" w:rsidP="006F7CD0">
      <w:pPr>
        <w:spacing w:after="200" w:line="240" w:lineRule="auto"/>
        <w:ind w:left="720" w:hanging="720"/>
        <w:rPr>
          <w:rFonts w:ascii="Times New Roman" w:hAnsi="Times New Roman"/>
          <w:iCs/>
        </w:rPr>
      </w:pPr>
      <w:proofErr w:type="spellStart"/>
      <w:r>
        <w:rPr>
          <w:rFonts w:ascii="Times New Roman" w:hAnsi="Times New Roman"/>
          <w:iCs/>
        </w:rPr>
        <w:t>Knies</w:t>
      </w:r>
      <w:proofErr w:type="spellEnd"/>
      <w:r>
        <w:rPr>
          <w:rFonts w:ascii="Times New Roman" w:hAnsi="Times New Roman"/>
          <w:iCs/>
        </w:rPr>
        <w:t xml:space="preserve">, J., Brookes, S., and Schubert, C. J. (2007) Re-assessing the nitrogen signal in continental margin sediments: New insights from the high northern latitudes. Earth and Planetary Science Letters, Vol. 253, pp. 471-484. </w:t>
      </w:r>
    </w:p>
    <w:p w:rsidR="006F7CD0" w:rsidRDefault="006F7CD0" w:rsidP="006F7CD0">
      <w:pPr>
        <w:spacing w:after="200" w:line="276" w:lineRule="auto"/>
        <w:ind w:left="720" w:hanging="720"/>
        <w:rPr>
          <w:rFonts w:ascii="Times New Roman" w:hAnsi="Times New Roman"/>
        </w:rPr>
      </w:pPr>
      <w:proofErr w:type="spellStart"/>
      <w:r w:rsidRPr="00CC1A34">
        <w:rPr>
          <w:rFonts w:ascii="Times New Roman" w:hAnsi="Times New Roman"/>
        </w:rPr>
        <w:t>Knies</w:t>
      </w:r>
      <w:proofErr w:type="spellEnd"/>
      <w:r w:rsidRPr="00CC1A34">
        <w:rPr>
          <w:rFonts w:ascii="Times New Roman" w:hAnsi="Times New Roman"/>
        </w:rPr>
        <w:t xml:space="preserve">, J., </w:t>
      </w:r>
      <w:proofErr w:type="spellStart"/>
      <w:r w:rsidRPr="00CC1A34">
        <w:rPr>
          <w:rFonts w:ascii="Times New Roman" w:hAnsi="Times New Roman"/>
        </w:rPr>
        <w:t>Grasby</w:t>
      </w:r>
      <w:proofErr w:type="spellEnd"/>
      <w:r w:rsidRPr="00CC1A34">
        <w:rPr>
          <w:rFonts w:ascii="Times New Roman" w:hAnsi="Times New Roman"/>
        </w:rPr>
        <w:t>, S. E., Beauchamp, B., and Schubert, C. J. (2013) Water mass denitrification during the latest Permian extinction in the Sverdrup Basin, Arctic Canada. Geology, Vol. 41, pp. 167-170.</w:t>
      </w:r>
    </w:p>
    <w:p w:rsidR="006F7CD0" w:rsidRDefault="006F7CD0" w:rsidP="006F7CD0">
      <w:pPr>
        <w:spacing w:after="200" w:line="276" w:lineRule="auto"/>
        <w:ind w:left="720" w:hanging="720"/>
        <w:rPr>
          <w:rFonts w:ascii="Times New Roman" w:hAnsi="Times New Roman"/>
        </w:rPr>
      </w:pPr>
      <w:proofErr w:type="spellStart"/>
      <w:r>
        <w:rPr>
          <w:rFonts w:ascii="Times New Roman" w:hAnsi="Times New Roman"/>
        </w:rPr>
        <w:t>Kritee</w:t>
      </w:r>
      <w:proofErr w:type="spellEnd"/>
      <w:r>
        <w:rPr>
          <w:rFonts w:ascii="Times New Roman" w:hAnsi="Times New Roman"/>
        </w:rPr>
        <w:t xml:space="preserve">, K., Sigman, D. M., Granger, J., Ward, B. B., Jayakumar, A., and Deutsch, C. (2012) Reduced isotope fractionation by denitrification under conditions relevant to the ocean. </w:t>
      </w:r>
      <w:proofErr w:type="spellStart"/>
      <w:r>
        <w:rPr>
          <w:rFonts w:ascii="Times New Roman" w:hAnsi="Times New Roman"/>
        </w:rPr>
        <w:t>Geochimica</w:t>
      </w:r>
      <w:proofErr w:type="spellEnd"/>
      <w:r>
        <w:rPr>
          <w:rFonts w:ascii="Times New Roman" w:hAnsi="Times New Roman"/>
        </w:rPr>
        <w:t xml:space="preserve"> et </w:t>
      </w:r>
      <w:proofErr w:type="spellStart"/>
      <w:r>
        <w:rPr>
          <w:rFonts w:ascii="Times New Roman" w:hAnsi="Times New Roman"/>
        </w:rPr>
        <w:t>Cosmochimica</w:t>
      </w:r>
      <w:proofErr w:type="spellEnd"/>
      <w:r>
        <w:rPr>
          <w:rFonts w:ascii="Times New Roman" w:hAnsi="Times New Roman"/>
        </w:rPr>
        <w:t xml:space="preserve"> Acta, Vol. 92, pp. 243-259. </w:t>
      </w:r>
    </w:p>
    <w:p w:rsidR="006F7CD0" w:rsidRDefault="006F7CD0" w:rsidP="006F7CD0">
      <w:pPr>
        <w:spacing w:after="200" w:line="276" w:lineRule="auto"/>
        <w:ind w:left="720" w:hanging="720"/>
        <w:rPr>
          <w:rFonts w:ascii="Times New Roman" w:hAnsi="Times New Roman"/>
        </w:rPr>
      </w:pPr>
      <w:proofErr w:type="spellStart"/>
      <w:r>
        <w:rPr>
          <w:rFonts w:ascii="Times New Roman" w:hAnsi="Times New Roman"/>
        </w:rPr>
        <w:t>Kuypers</w:t>
      </w:r>
      <w:proofErr w:type="spellEnd"/>
      <w:r>
        <w:rPr>
          <w:rFonts w:ascii="Times New Roman" w:hAnsi="Times New Roman"/>
        </w:rPr>
        <w:t xml:space="preserve">, M. M. M., van </w:t>
      </w:r>
      <w:proofErr w:type="spellStart"/>
      <w:r>
        <w:rPr>
          <w:rFonts w:ascii="Times New Roman" w:hAnsi="Times New Roman"/>
        </w:rPr>
        <w:t>Breugel</w:t>
      </w:r>
      <w:proofErr w:type="spellEnd"/>
      <w:r>
        <w:rPr>
          <w:rFonts w:ascii="Times New Roman" w:hAnsi="Times New Roman"/>
        </w:rPr>
        <w:t xml:space="preserve">, Y., Schouten, S., </w:t>
      </w:r>
      <w:proofErr w:type="spellStart"/>
      <w:r>
        <w:rPr>
          <w:rFonts w:ascii="Times New Roman" w:hAnsi="Times New Roman"/>
        </w:rPr>
        <w:t>Erba</w:t>
      </w:r>
      <w:proofErr w:type="spellEnd"/>
      <w:r>
        <w:rPr>
          <w:rFonts w:ascii="Times New Roman" w:hAnsi="Times New Roman"/>
        </w:rPr>
        <w:t xml:space="preserve">, E., and </w:t>
      </w:r>
      <w:proofErr w:type="spellStart"/>
      <w:r>
        <w:rPr>
          <w:rFonts w:ascii="Times New Roman" w:hAnsi="Times New Roman"/>
        </w:rPr>
        <w:t>Damsté</w:t>
      </w:r>
      <w:proofErr w:type="spellEnd"/>
      <w:r>
        <w:rPr>
          <w:rFonts w:ascii="Times New Roman" w:hAnsi="Times New Roman"/>
        </w:rPr>
        <w:t xml:space="preserve">, J. S. S. (2004) N2-fixing cyanobacteria supplied nutrient N for Cretaceous oceanic anoxic events. Geology, Vol. 32, pp. 853-856.  </w:t>
      </w:r>
    </w:p>
    <w:p w:rsidR="006F7CD0" w:rsidRPr="00CC1A34" w:rsidRDefault="006F7CD0" w:rsidP="006F7CD0">
      <w:pPr>
        <w:spacing w:after="200" w:line="276" w:lineRule="auto"/>
        <w:ind w:left="720" w:hanging="720"/>
        <w:rPr>
          <w:rFonts w:ascii="Times New Roman" w:hAnsi="Times New Roman"/>
        </w:rPr>
      </w:pPr>
      <w:r>
        <w:rPr>
          <w:rFonts w:ascii="Times New Roman" w:hAnsi="Times New Roman"/>
        </w:rPr>
        <w:t xml:space="preserve">Lam, P., </w:t>
      </w:r>
      <w:proofErr w:type="spellStart"/>
      <w:r>
        <w:rPr>
          <w:rFonts w:ascii="Times New Roman" w:hAnsi="Times New Roman"/>
        </w:rPr>
        <w:t>Lavik</w:t>
      </w:r>
      <w:proofErr w:type="spellEnd"/>
      <w:r>
        <w:rPr>
          <w:rFonts w:ascii="Times New Roman" w:hAnsi="Times New Roman"/>
        </w:rPr>
        <w:t xml:space="preserve">, G., Jensen, M. M., van de </w:t>
      </w:r>
      <w:proofErr w:type="spellStart"/>
      <w:r>
        <w:rPr>
          <w:rFonts w:ascii="Times New Roman" w:hAnsi="Times New Roman"/>
        </w:rPr>
        <w:t>Vossenberg</w:t>
      </w:r>
      <w:proofErr w:type="spellEnd"/>
      <w:r>
        <w:rPr>
          <w:rFonts w:ascii="Times New Roman" w:hAnsi="Times New Roman"/>
        </w:rPr>
        <w:t xml:space="preserve">, J., Schmid, M., </w:t>
      </w:r>
      <w:proofErr w:type="spellStart"/>
      <w:r>
        <w:rPr>
          <w:rFonts w:ascii="Times New Roman" w:hAnsi="Times New Roman"/>
        </w:rPr>
        <w:t>Woebken</w:t>
      </w:r>
      <w:proofErr w:type="spellEnd"/>
      <w:r>
        <w:rPr>
          <w:rFonts w:ascii="Times New Roman" w:hAnsi="Times New Roman"/>
        </w:rPr>
        <w:t xml:space="preserve">, D., Gutiérrez, D., </w:t>
      </w:r>
      <w:proofErr w:type="spellStart"/>
      <w:r>
        <w:rPr>
          <w:rFonts w:ascii="Times New Roman" w:hAnsi="Times New Roman"/>
        </w:rPr>
        <w:t>Amann</w:t>
      </w:r>
      <w:proofErr w:type="spellEnd"/>
      <w:r>
        <w:rPr>
          <w:rFonts w:ascii="Times New Roman" w:hAnsi="Times New Roman"/>
        </w:rPr>
        <w:t xml:space="preserve">, R., </w:t>
      </w:r>
      <w:proofErr w:type="spellStart"/>
      <w:r>
        <w:rPr>
          <w:rFonts w:ascii="Times New Roman" w:hAnsi="Times New Roman"/>
        </w:rPr>
        <w:t>Jetten</w:t>
      </w:r>
      <w:proofErr w:type="spellEnd"/>
      <w:r>
        <w:rPr>
          <w:rFonts w:ascii="Times New Roman" w:hAnsi="Times New Roman"/>
        </w:rPr>
        <w:t xml:space="preserve">, M. S. M., and </w:t>
      </w:r>
      <w:proofErr w:type="spellStart"/>
      <w:r>
        <w:rPr>
          <w:rFonts w:ascii="Times New Roman" w:hAnsi="Times New Roman"/>
        </w:rPr>
        <w:t>Kuypers</w:t>
      </w:r>
      <w:proofErr w:type="spellEnd"/>
      <w:r>
        <w:rPr>
          <w:rFonts w:ascii="Times New Roman" w:hAnsi="Times New Roman"/>
        </w:rPr>
        <w:t xml:space="preserve">, M. M. M. (2009) Revising the nitrogen cycle in the Peruvian oxygen minimum zone. </w:t>
      </w:r>
      <w:r w:rsidRPr="00CC1A34">
        <w:rPr>
          <w:rFonts w:ascii="Times New Roman" w:hAnsi="Times New Roman"/>
        </w:rPr>
        <w:t>Proc. Natl. Acad. Sci. USA, Vol.</w:t>
      </w:r>
      <w:r>
        <w:rPr>
          <w:rFonts w:ascii="Times New Roman" w:hAnsi="Times New Roman"/>
        </w:rPr>
        <w:t xml:space="preserve"> 106, pp. 4752-4757</w:t>
      </w:r>
    </w:p>
    <w:p w:rsidR="006F7CD0" w:rsidRDefault="006F7CD0" w:rsidP="006F7CD0">
      <w:pPr>
        <w:spacing w:after="200" w:line="240" w:lineRule="auto"/>
        <w:ind w:left="720" w:hanging="720"/>
        <w:rPr>
          <w:rFonts w:ascii="Times New Roman" w:hAnsi="Times New Roman"/>
        </w:rPr>
      </w:pPr>
      <w:r w:rsidRPr="00CC1A34">
        <w:rPr>
          <w:rFonts w:ascii="Times New Roman" w:hAnsi="Times New Roman"/>
        </w:rPr>
        <w:t xml:space="preserve">Lehmann, Moritz F., </w:t>
      </w:r>
      <w:proofErr w:type="spellStart"/>
      <w:r w:rsidRPr="00CC1A34">
        <w:rPr>
          <w:rFonts w:ascii="Times New Roman" w:hAnsi="Times New Roman"/>
        </w:rPr>
        <w:t>Bernasconi</w:t>
      </w:r>
      <w:proofErr w:type="spellEnd"/>
      <w:r w:rsidRPr="00CC1A34">
        <w:rPr>
          <w:rFonts w:ascii="Times New Roman" w:hAnsi="Times New Roman"/>
        </w:rPr>
        <w:t xml:space="preserve">, Stefano M., Barbieri, Alberto., and McKenzie, Judith A. (2002) Preservation of organic matter and alteration of its carbon and nitrogen isotope composition during simulated and in situ early sedimentary diagenesis. </w:t>
      </w:r>
      <w:proofErr w:type="spellStart"/>
      <w:r w:rsidRPr="00CC1A34">
        <w:rPr>
          <w:rFonts w:ascii="Times New Roman" w:hAnsi="Times New Roman"/>
        </w:rPr>
        <w:t>Geochimica</w:t>
      </w:r>
      <w:proofErr w:type="spellEnd"/>
      <w:r w:rsidRPr="00CC1A34">
        <w:rPr>
          <w:rFonts w:ascii="Times New Roman" w:hAnsi="Times New Roman"/>
        </w:rPr>
        <w:t xml:space="preserve"> et </w:t>
      </w:r>
      <w:proofErr w:type="spellStart"/>
      <w:r w:rsidRPr="00CC1A34">
        <w:rPr>
          <w:rFonts w:ascii="Times New Roman" w:hAnsi="Times New Roman"/>
        </w:rPr>
        <w:t>Cosmochimica</w:t>
      </w:r>
      <w:proofErr w:type="spellEnd"/>
      <w:r w:rsidRPr="00CC1A34">
        <w:rPr>
          <w:rFonts w:ascii="Times New Roman" w:hAnsi="Times New Roman"/>
        </w:rPr>
        <w:t xml:space="preserve"> Acta, Vol. 66, pp. 3573-3584.</w:t>
      </w:r>
    </w:p>
    <w:p w:rsidR="006F7CD0" w:rsidRDefault="006F7CD0" w:rsidP="006F7CD0">
      <w:pPr>
        <w:spacing w:after="200" w:line="240" w:lineRule="auto"/>
        <w:ind w:left="720" w:hanging="720"/>
        <w:rPr>
          <w:rFonts w:ascii="Times New Roman" w:hAnsi="Times New Roman"/>
        </w:rPr>
      </w:pPr>
      <w:proofErr w:type="spellStart"/>
      <w:r>
        <w:rPr>
          <w:rFonts w:ascii="Times New Roman" w:hAnsi="Times New Roman"/>
        </w:rPr>
        <w:t>Levman</w:t>
      </w:r>
      <w:proofErr w:type="spellEnd"/>
      <w:r>
        <w:rPr>
          <w:rFonts w:ascii="Times New Roman" w:hAnsi="Times New Roman"/>
        </w:rPr>
        <w:t xml:space="preserve">, B. G. and von Bitter, P. H. </w:t>
      </w:r>
      <w:r w:rsidR="003A7D22">
        <w:rPr>
          <w:rFonts w:ascii="Times New Roman" w:hAnsi="Times New Roman"/>
        </w:rPr>
        <w:t>(2002</w:t>
      </w:r>
      <w:r>
        <w:rPr>
          <w:rFonts w:ascii="Times New Roman" w:hAnsi="Times New Roman"/>
        </w:rPr>
        <w:t xml:space="preserve">) The </w:t>
      </w:r>
      <w:proofErr w:type="spellStart"/>
      <w:r>
        <w:rPr>
          <w:rFonts w:ascii="Times New Roman" w:hAnsi="Times New Roman"/>
        </w:rPr>
        <w:t>Frasnian</w:t>
      </w:r>
      <w:proofErr w:type="spellEnd"/>
      <w:r>
        <w:rPr>
          <w:rFonts w:ascii="Times New Roman" w:hAnsi="Times New Roman"/>
        </w:rPr>
        <w:t>-Famennian (mid-Late Devonian) boundary in the type section of the Long Rapids Formation, James Bay Lowlands, northern Ontario, Canada. Canada Journal of Earth Science, Vol. 39, pp. 1795-1818.</w:t>
      </w:r>
    </w:p>
    <w:p w:rsidR="006F7CD0" w:rsidRDefault="006F7CD0" w:rsidP="006F7CD0">
      <w:pPr>
        <w:spacing w:after="200" w:line="240" w:lineRule="auto"/>
        <w:ind w:left="720" w:hanging="720"/>
        <w:rPr>
          <w:rFonts w:ascii="Times New Roman" w:hAnsi="Times New Roman"/>
        </w:rPr>
      </w:pPr>
      <w:r>
        <w:rPr>
          <w:rFonts w:ascii="Times New Roman" w:hAnsi="Times New Roman"/>
        </w:rPr>
        <w:t xml:space="preserve">Liao, Y., </w:t>
      </w:r>
      <w:proofErr w:type="spellStart"/>
      <w:r>
        <w:rPr>
          <w:rFonts w:ascii="Times New Roman" w:hAnsi="Times New Roman"/>
        </w:rPr>
        <w:t>Geng</w:t>
      </w:r>
      <w:proofErr w:type="spellEnd"/>
      <w:r>
        <w:rPr>
          <w:rFonts w:ascii="Times New Roman" w:hAnsi="Times New Roman"/>
        </w:rPr>
        <w:t xml:space="preserve">, A., and Huang, H. (2009) The influence of biodegradation on resins and asphaltenes in the </w:t>
      </w:r>
      <w:proofErr w:type="spellStart"/>
      <w:r>
        <w:rPr>
          <w:rFonts w:ascii="Times New Roman" w:hAnsi="Times New Roman"/>
        </w:rPr>
        <w:t>Liaohe</w:t>
      </w:r>
      <w:proofErr w:type="spellEnd"/>
      <w:r>
        <w:rPr>
          <w:rFonts w:ascii="Times New Roman" w:hAnsi="Times New Roman"/>
        </w:rPr>
        <w:t xml:space="preserve"> Basin. Organic Geochemistry, Vol. 40, pp. 312-320.</w:t>
      </w:r>
    </w:p>
    <w:p w:rsidR="006F7CD0" w:rsidRDefault="006F7CD0" w:rsidP="006F7CD0">
      <w:pPr>
        <w:spacing w:after="200" w:line="240" w:lineRule="auto"/>
        <w:ind w:left="720" w:hanging="720"/>
        <w:rPr>
          <w:rFonts w:ascii="Times New Roman" w:hAnsi="Times New Roman"/>
        </w:rPr>
      </w:pPr>
      <w:r>
        <w:rPr>
          <w:rFonts w:ascii="Times New Roman" w:hAnsi="Times New Roman"/>
        </w:rPr>
        <w:t xml:space="preserve">Liu, J., </w:t>
      </w:r>
      <w:proofErr w:type="spellStart"/>
      <w:r>
        <w:rPr>
          <w:rFonts w:ascii="Times New Roman" w:hAnsi="Times New Roman"/>
        </w:rPr>
        <w:t>Qie</w:t>
      </w:r>
      <w:proofErr w:type="spellEnd"/>
      <w:r>
        <w:rPr>
          <w:rFonts w:ascii="Times New Roman" w:hAnsi="Times New Roman"/>
        </w:rPr>
        <w:t xml:space="preserve">, W., </w:t>
      </w:r>
      <w:proofErr w:type="spellStart"/>
      <w:r>
        <w:rPr>
          <w:rFonts w:ascii="Times New Roman" w:hAnsi="Times New Roman"/>
        </w:rPr>
        <w:t>Algeo</w:t>
      </w:r>
      <w:proofErr w:type="spellEnd"/>
      <w:r>
        <w:rPr>
          <w:rFonts w:ascii="Times New Roman" w:hAnsi="Times New Roman"/>
        </w:rPr>
        <w:t xml:space="preserve">, T. J., Yao, L., Huang, J., and Luo, G. (2016) Changes in marine nitrogen fixation and denitrification rates during the end-Devonian mass extinction. </w:t>
      </w:r>
      <w:proofErr w:type="spellStart"/>
      <w:r w:rsidRPr="00CC1A34">
        <w:rPr>
          <w:rFonts w:ascii="Times New Roman" w:hAnsi="Times New Roman"/>
        </w:rPr>
        <w:t>Palaeogeography</w:t>
      </w:r>
      <w:proofErr w:type="spellEnd"/>
      <w:r w:rsidRPr="00CC1A34">
        <w:rPr>
          <w:rFonts w:ascii="Times New Roman" w:hAnsi="Times New Roman"/>
        </w:rPr>
        <w:t xml:space="preserve">, </w:t>
      </w:r>
      <w:proofErr w:type="spellStart"/>
      <w:r w:rsidRPr="00CC1A34">
        <w:rPr>
          <w:rFonts w:ascii="Times New Roman" w:hAnsi="Times New Roman"/>
        </w:rPr>
        <w:t>Palaeoclimatology</w:t>
      </w:r>
      <w:proofErr w:type="spellEnd"/>
      <w:r w:rsidRPr="00CC1A34">
        <w:rPr>
          <w:rFonts w:ascii="Times New Roman" w:hAnsi="Times New Roman"/>
        </w:rPr>
        <w:t xml:space="preserve">, </w:t>
      </w:r>
      <w:proofErr w:type="spellStart"/>
      <w:r w:rsidRPr="00CC1A34">
        <w:rPr>
          <w:rFonts w:ascii="Times New Roman" w:hAnsi="Times New Roman"/>
        </w:rPr>
        <w:t>Palaeoecology</w:t>
      </w:r>
      <w:proofErr w:type="spellEnd"/>
      <w:r>
        <w:rPr>
          <w:rFonts w:ascii="Times New Roman" w:hAnsi="Times New Roman"/>
        </w:rPr>
        <w:t xml:space="preserve">, Vol. 448, pp. 195-206. </w:t>
      </w:r>
    </w:p>
    <w:p w:rsidR="00451067" w:rsidRDefault="005341BF" w:rsidP="00CD7A2E">
      <w:pPr>
        <w:spacing w:after="200" w:line="240" w:lineRule="auto"/>
        <w:ind w:left="720" w:hanging="720"/>
        <w:rPr>
          <w:rFonts w:ascii="Times New Roman" w:hAnsi="Times New Roman"/>
        </w:rPr>
      </w:pPr>
      <w:r>
        <w:rPr>
          <w:rFonts w:ascii="Times New Roman" w:hAnsi="Times New Roman"/>
        </w:rPr>
        <w:t xml:space="preserve">Luo, G., Wang, Y., </w:t>
      </w:r>
      <w:proofErr w:type="spellStart"/>
      <w:r>
        <w:rPr>
          <w:rFonts w:ascii="Times New Roman" w:hAnsi="Times New Roman"/>
        </w:rPr>
        <w:t>Algeo</w:t>
      </w:r>
      <w:proofErr w:type="spellEnd"/>
      <w:r>
        <w:rPr>
          <w:rFonts w:ascii="Times New Roman" w:hAnsi="Times New Roman"/>
        </w:rPr>
        <w:t xml:space="preserve">, T. J., </w:t>
      </w:r>
      <w:proofErr w:type="spellStart"/>
      <w:r>
        <w:rPr>
          <w:rFonts w:ascii="Times New Roman" w:hAnsi="Times New Roman"/>
        </w:rPr>
        <w:t>Kump</w:t>
      </w:r>
      <w:proofErr w:type="spellEnd"/>
      <w:r>
        <w:rPr>
          <w:rFonts w:ascii="Times New Roman" w:hAnsi="Times New Roman"/>
        </w:rPr>
        <w:t xml:space="preserve">, L. R., </w:t>
      </w:r>
      <w:r w:rsidR="00CD7A2E">
        <w:rPr>
          <w:rFonts w:ascii="Times New Roman" w:hAnsi="Times New Roman"/>
        </w:rPr>
        <w:t xml:space="preserve">Bia, X., Yang, H., Yao, L., and </w:t>
      </w:r>
      <w:proofErr w:type="spellStart"/>
      <w:r w:rsidR="00CD7A2E">
        <w:rPr>
          <w:rFonts w:ascii="Times New Roman" w:hAnsi="Times New Roman"/>
        </w:rPr>
        <w:t>Xie</w:t>
      </w:r>
      <w:proofErr w:type="spellEnd"/>
      <w:r w:rsidR="00CD7A2E">
        <w:rPr>
          <w:rFonts w:ascii="Times New Roman" w:hAnsi="Times New Roman"/>
        </w:rPr>
        <w:t xml:space="preserve">, S. (2011) Enhanced nitrogen fixation in the immediate aftermath of the latest Permian marine mass extinction. </w:t>
      </w:r>
      <w:proofErr w:type="spellStart"/>
      <w:r w:rsidR="00CD7A2E">
        <w:rPr>
          <w:rFonts w:ascii="Times New Roman" w:hAnsi="Times New Roman"/>
        </w:rPr>
        <w:t>Geolgy</w:t>
      </w:r>
      <w:proofErr w:type="spellEnd"/>
      <w:r w:rsidR="00CD7A2E">
        <w:rPr>
          <w:rFonts w:ascii="Times New Roman" w:hAnsi="Times New Roman"/>
        </w:rPr>
        <w:t>, Vol. 39, pp. 647-650.</w:t>
      </w:r>
    </w:p>
    <w:p w:rsidR="006F7CD0" w:rsidRPr="00CC1A34" w:rsidRDefault="006F7CD0" w:rsidP="006F7CD0">
      <w:pPr>
        <w:spacing w:after="200" w:line="240" w:lineRule="auto"/>
        <w:ind w:left="720" w:hanging="720"/>
        <w:rPr>
          <w:rFonts w:ascii="Times New Roman" w:hAnsi="Times New Roman"/>
        </w:rPr>
      </w:pPr>
      <w:r>
        <w:rPr>
          <w:rFonts w:ascii="Times New Roman" w:hAnsi="Times New Roman"/>
        </w:rPr>
        <w:lastRenderedPageBreak/>
        <w:t xml:space="preserve">Luo, G., </w:t>
      </w:r>
      <w:proofErr w:type="spellStart"/>
      <w:r>
        <w:rPr>
          <w:rFonts w:ascii="Times New Roman" w:hAnsi="Times New Roman"/>
        </w:rPr>
        <w:t>Algeo</w:t>
      </w:r>
      <w:proofErr w:type="spellEnd"/>
      <w:r>
        <w:rPr>
          <w:rFonts w:ascii="Times New Roman" w:hAnsi="Times New Roman"/>
        </w:rPr>
        <w:t xml:space="preserve">, T. J., Zhan, R., Yan, D., Huang, J., Liu, J., and </w:t>
      </w:r>
      <w:proofErr w:type="spellStart"/>
      <w:r>
        <w:rPr>
          <w:rFonts w:ascii="Times New Roman" w:hAnsi="Times New Roman"/>
        </w:rPr>
        <w:t>Xie</w:t>
      </w:r>
      <w:proofErr w:type="spellEnd"/>
      <w:r>
        <w:rPr>
          <w:rFonts w:ascii="Times New Roman" w:hAnsi="Times New Roman"/>
        </w:rPr>
        <w:t xml:space="preserve">, S. (2016) Perturbation of the marine nitrogen cycle during the Late Ordovician glaciation and mass extinction. </w:t>
      </w:r>
      <w:proofErr w:type="spellStart"/>
      <w:r w:rsidRPr="00CC1A34">
        <w:rPr>
          <w:rFonts w:ascii="Times New Roman" w:hAnsi="Times New Roman"/>
        </w:rPr>
        <w:t>Palaeogeography</w:t>
      </w:r>
      <w:proofErr w:type="spellEnd"/>
      <w:r w:rsidRPr="00CC1A34">
        <w:rPr>
          <w:rFonts w:ascii="Times New Roman" w:hAnsi="Times New Roman"/>
        </w:rPr>
        <w:t xml:space="preserve">, </w:t>
      </w:r>
      <w:proofErr w:type="spellStart"/>
      <w:r w:rsidRPr="00CC1A34">
        <w:rPr>
          <w:rFonts w:ascii="Times New Roman" w:hAnsi="Times New Roman"/>
        </w:rPr>
        <w:t>Palaeoclimatology</w:t>
      </w:r>
      <w:proofErr w:type="spellEnd"/>
      <w:r w:rsidRPr="00CC1A34">
        <w:rPr>
          <w:rFonts w:ascii="Times New Roman" w:hAnsi="Times New Roman"/>
        </w:rPr>
        <w:t xml:space="preserve">, </w:t>
      </w:r>
      <w:proofErr w:type="spellStart"/>
      <w:r w:rsidRPr="00CC1A34">
        <w:rPr>
          <w:rFonts w:ascii="Times New Roman" w:hAnsi="Times New Roman"/>
        </w:rPr>
        <w:t>Palaeoecology</w:t>
      </w:r>
      <w:proofErr w:type="spellEnd"/>
      <w:r>
        <w:rPr>
          <w:rFonts w:ascii="Times New Roman" w:hAnsi="Times New Roman"/>
        </w:rPr>
        <w:t xml:space="preserve">, Vol. 448, pp. 339-348. </w:t>
      </w:r>
    </w:p>
    <w:p w:rsidR="006F7CD0" w:rsidRDefault="006F7CD0" w:rsidP="006F7CD0">
      <w:pPr>
        <w:spacing w:after="200" w:line="240" w:lineRule="auto"/>
        <w:ind w:left="720" w:hanging="720"/>
        <w:rPr>
          <w:rFonts w:ascii="Times New Roman" w:hAnsi="Times New Roman"/>
        </w:rPr>
      </w:pPr>
      <w:r w:rsidRPr="00CC1A34">
        <w:rPr>
          <w:rFonts w:ascii="Times New Roman" w:hAnsi="Times New Roman"/>
        </w:rPr>
        <w:t>Macko, S. A., and Quick, R. S. (1986) A geochemical study of oil migration at source rock reservoir contacts: Stable isotopes. Organic geochemistry, Vol. 10, pp. 199-205.</w:t>
      </w:r>
    </w:p>
    <w:p w:rsidR="006F7CD0" w:rsidRDefault="006F7CD0" w:rsidP="006F7CD0">
      <w:pPr>
        <w:spacing w:after="200" w:line="240" w:lineRule="auto"/>
        <w:ind w:left="720" w:hanging="720"/>
        <w:rPr>
          <w:rFonts w:ascii="Times New Roman" w:hAnsi="Times New Roman"/>
        </w:rPr>
      </w:pPr>
      <w:r>
        <w:rPr>
          <w:rFonts w:ascii="Times New Roman" w:hAnsi="Times New Roman"/>
        </w:rPr>
        <w:t xml:space="preserve">Macko, S. A., and Pereira, C. P. G. (1990) Neogene paleoclimate development of the Antarctic Weddell Sea region: organic geochemistry. Proceedings of the Ocean Drilling Program, Scientific Results, Vol. 113, pp. 881-897. </w:t>
      </w:r>
    </w:p>
    <w:p w:rsidR="006F7CD0" w:rsidRPr="00CC1A34" w:rsidRDefault="006F7CD0" w:rsidP="006F7CD0">
      <w:pPr>
        <w:spacing w:after="200" w:line="240" w:lineRule="auto"/>
        <w:ind w:left="720" w:hanging="720"/>
        <w:rPr>
          <w:rFonts w:ascii="Times New Roman" w:hAnsi="Times New Roman"/>
        </w:rPr>
      </w:pPr>
      <w:proofErr w:type="spellStart"/>
      <w:r>
        <w:rPr>
          <w:rFonts w:ascii="Times New Roman" w:hAnsi="Times New Roman"/>
        </w:rPr>
        <w:t>Majewski</w:t>
      </w:r>
      <w:proofErr w:type="spellEnd"/>
      <w:r>
        <w:rPr>
          <w:rFonts w:ascii="Times New Roman" w:hAnsi="Times New Roman"/>
        </w:rPr>
        <w:t xml:space="preserve">, W., and </w:t>
      </w:r>
      <w:proofErr w:type="spellStart"/>
      <w:r>
        <w:rPr>
          <w:rFonts w:ascii="Times New Roman" w:hAnsi="Times New Roman"/>
        </w:rPr>
        <w:t>Bohaty</w:t>
      </w:r>
      <w:proofErr w:type="spellEnd"/>
      <w:r>
        <w:rPr>
          <w:rFonts w:ascii="Times New Roman" w:hAnsi="Times New Roman"/>
        </w:rPr>
        <w:t xml:space="preserve">, S. M. (2010) Surface-water cooling and salinity decrease during the Middle Miocene climate transition at Southern Ocean ODP Site 747 (Kerguelen Plateau). Marine Micropaleontology, Vol. 74, pp. 1-14. </w:t>
      </w:r>
    </w:p>
    <w:p w:rsidR="006F7CD0" w:rsidRPr="00CC1A34" w:rsidRDefault="006F7CD0" w:rsidP="006F7CD0">
      <w:pPr>
        <w:spacing w:after="200" w:line="240" w:lineRule="auto"/>
        <w:ind w:left="720" w:hanging="720"/>
        <w:rPr>
          <w:rFonts w:ascii="Times New Roman" w:hAnsi="Times New Roman"/>
        </w:rPr>
      </w:pPr>
      <w:proofErr w:type="spellStart"/>
      <w:r w:rsidRPr="00CC1A34">
        <w:rPr>
          <w:rFonts w:ascii="Times New Roman" w:hAnsi="Times New Roman"/>
        </w:rPr>
        <w:t>Marcano</w:t>
      </w:r>
      <w:proofErr w:type="spellEnd"/>
      <w:r w:rsidRPr="00CC1A34">
        <w:rPr>
          <w:rFonts w:ascii="Times New Roman" w:hAnsi="Times New Roman"/>
        </w:rPr>
        <w:t xml:space="preserve">, N., </w:t>
      </w:r>
      <w:proofErr w:type="spellStart"/>
      <w:r w:rsidRPr="00CC1A34">
        <w:rPr>
          <w:rFonts w:ascii="Times New Roman" w:hAnsi="Times New Roman"/>
        </w:rPr>
        <w:t>Larter</w:t>
      </w:r>
      <w:proofErr w:type="spellEnd"/>
      <w:r w:rsidRPr="00CC1A34">
        <w:rPr>
          <w:rFonts w:ascii="Times New Roman" w:hAnsi="Times New Roman"/>
        </w:rPr>
        <w:t>, S., and Mayer, B. (2013) The impact of severe biodegradation on the molecular and stable (C, H, N, S) isotopic compositions of oils in the Alberta Basin, Canada. Organic Geochemistry, Vol. 59, pp. 114-132.</w:t>
      </w:r>
    </w:p>
    <w:p w:rsidR="006F7CD0" w:rsidRPr="00CC1A34" w:rsidRDefault="006F7CD0" w:rsidP="006F7CD0">
      <w:pPr>
        <w:spacing w:after="200" w:line="240" w:lineRule="auto"/>
        <w:ind w:left="720" w:hanging="720"/>
        <w:rPr>
          <w:rFonts w:ascii="Times New Roman" w:hAnsi="Times New Roman"/>
        </w:rPr>
      </w:pPr>
      <w:r w:rsidRPr="00CC1A34">
        <w:rPr>
          <w:rFonts w:ascii="Times New Roman" w:hAnsi="Times New Roman"/>
        </w:rPr>
        <w:t xml:space="preserve">Marty, B., Zimmermann, L., </w:t>
      </w:r>
      <w:proofErr w:type="spellStart"/>
      <w:r w:rsidRPr="00CC1A34">
        <w:rPr>
          <w:rFonts w:ascii="Times New Roman" w:hAnsi="Times New Roman"/>
        </w:rPr>
        <w:t>Pujol</w:t>
      </w:r>
      <w:proofErr w:type="spellEnd"/>
      <w:r w:rsidRPr="00CC1A34">
        <w:rPr>
          <w:rFonts w:ascii="Times New Roman" w:hAnsi="Times New Roman"/>
        </w:rPr>
        <w:t xml:space="preserve">, M., Burgess, R., </w:t>
      </w:r>
      <w:proofErr w:type="spellStart"/>
      <w:r w:rsidRPr="00CC1A34">
        <w:rPr>
          <w:rFonts w:ascii="Times New Roman" w:hAnsi="Times New Roman"/>
        </w:rPr>
        <w:t>Philippot</w:t>
      </w:r>
      <w:proofErr w:type="spellEnd"/>
      <w:r w:rsidRPr="00CC1A34">
        <w:rPr>
          <w:rFonts w:ascii="Times New Roman" w:hAnsi="Times New Roman"/>
        </w:rPr>
        <w:t>, P. (2013) Nitrogen isotopic composition and density of the Archean atmosphere. Science, Vol. 342, pp. 101-104.</w:t>
      </w:r>
    </w:p>
    <w:p w:rsidR="006F7CD0" w:rsidRDefault="006F7CD0" w:rsidP="006F7CD0">
      <w:pPr>
        <w:spacing w:after="200" w:line="240" w:lineRule="auto"/>
        <w:ind w:left="720" w:hanging="720"/>
        <w:rPr>
          <w:rFonts w:ascii="Times New Roman" w:hAnsi="Times New Roman"/>
        </w:rPr>
      </w:pPr>
      <w:r w:rsidRPr="00CC1A34">
        <w:rPr>
          <w:rFonts w:ascii="Times New Roman" w:hAnsi="Times New Roman"/>
        </w:rPr>
        <w:t xml:space="preserve">Meckler, A. N., Ren, H., and Sigman, D. M. Gruber, N., </w:t>
      </w:r>
      <w:proofErr w:type="spellStart"/>
      <w:r w:rsidRPr="00CC1A34">
        <w:rPr>
          <w:rFonts w:ascii="Times New Roman" w:hAnsi="Times New Roman"/>
        </w:rPr>
        <w:t>Plessen</w:t>
      </w:r>
      <w:proofErr w:type="spellEnd"/>
      <w:r w:rsidRPr="00CC1A34">
        <w:rPr>
          <w:rFonts w:ascii="Times New Roman" w:hAnsi="Times New Roman"/>
        </w:rPr>
        <w:t xml:space="preserve">, B., Schubert, C.J., and </w:t>
      </w:r>
      <w:proofErr w:type="spellStart"/>
      <w:r w:rsidRPr="00CC1A34">
        <w:rPr>
          <w:rFonts w:ascii="Times New Roman" w:hAnsi="Times New Roman"/>
        </w:rPr>
        <w:t>Haug</w:t>
      </w:r>
      <w:proofErr w:type="spellEnd"/>
      <w:r w:rsidRPr="00CC1A34">
        <w:rPr>
          <w:rFonts w:ascii="Times New Roman" w:hAnsi="Times New Roman"/>
        </w:rPr>
        <w:t>, G. (2011) Deglacial nitrogen isotope changes in the Gulf of Mexico: Evidence from bulk sedimentary and foraminifera-bond nitrogen in Orca Basin sediments. Paleoceanography, Vol. 26, PA4216, doi:10.1029/2011PA002156.</w:t>
      </w:r>
    </w:p>
    <w:p w:rsidR="006F7CD0" w:rsidRDefault="006F7CD0" w:rsidP="006F7CD0">
      <w:pPr>
        <w:spacing w:after="200" w:line="240" w:lineRule="auto"/>
        <w:ind w:left="720" w:hanging="720"/>
        <w:rPr>
          <w:rFonts w:ascii="Times New Roman" w:hAnsi="Times New Roman"/>
        </w:rPr>
      </w:pPr>
      <w:proofErr w:type="spellStart"/>
      <w:r>
        <w:rPr>
          <w:rFonts w:ascii="Times New Roman" w:hAnsi="Times New Roman"/>
        </w:rPr>
        <w:t>Melchin</w:t>
      </w:r>
      <w:proofErr w:type="spellEnd"/>
      <w:r>
        <w:rPr>
          <w:rFonts w:ascii="Times New Roman" w:hAnsi="Times New Roman"/>
        </w:rPr>
        <w:t xml:space="preserve">, M. J., Mitchell, C. E., </w:t>
      </w:r>
      <w:proofErr w:type="spellStart"/>
      <w:r>
        <w:rPr>
          <w:rFonts w:ascii="Times New Roman" w:hAnsi="Times New Roman"/>
        </w:rPr>
        <w:t>Holmden</w:t>
      </w:r>
      <w:proofErr w:type="spellEnd"/>
      <w:r>
        <w:rPr>
          <w:rFonts w:ascii="Times New Roman" w:hAnsi="Times New Roman"/>
        </w:rPr>
        <w:t xml:space="preserve">, C., and </w:t>
      </w:r>
      <w:proofErr w:type="spellStart"/>
      <w:r>
        <w:rPr>
          <w:rFonts w:ascii="Times New Roman" w:hAnsi="Times New Roman"/>
        </w:rPr>
        <w:t>Štorch</w:t>
      </w:r>
      <w:proofErr w:type="spellEnd"/>
      <w:r>
        <w:rPr>
          <w:rFonts w:ascii="Times New Roman" w:hAnsi="Times New Roman"/>
        </w:rPr>
        <w:t xml:space="preserve">, P. (2013) Environmental changes in the Late </w:t>
      </w:r>
      <w:proofErr w:type="spellStart"/>
      <w:r>
        <w:rPr>
          <w:rFonts w:ascii="Times New Roman" w:hAnsi="Times New Roman"/>
        </w:rPr>
        <w:t>Ordovicain</w:t>
      </w:r>
      <w:proofErr w:type="spellEnd"/>
      <w:r>
        <w:rPr>
          <w:rFonts w:ascii="Times New Roman" w:hAnsi="Times New Roman"/>
        </w:rPr>
        <w:t xml:space="preserve">-early Silurian: Review and new insights from black shales and nitrogen isotopes. GSA Bulletin, Vol. 125, pp. 1635-1670. </w:t>
      </w:r>
    </w:p>
    <w:p w:rsidR="006F7CD0" w:rsidRDefault="006F7CD0" w:rsidP="006F7CD0">
      <w:pPr>
        <w:spacing w:after="200" w:line="240" w:lineRule="auto"/>
        <w:ind w:left="720" w:hanging="720"/>
        <w:rPr>
          <w:rFonts w:ascii="Times New Roman" w:hAnsi="Times New Roman"/>
        </w:rPr>
      </w:pPr>
      <w:r>
        <w:rPr>
          <w:rFonts w:ascii="Times New Roman" w:hAnsi="Times New Roman"/>
        </w:rPr>
        <w:t xml:space="preserve">Mizukami, T., </w:t>
      </w:r>
      <w:proofErr w:type="spellStart"/>
      <w:r>
        <w:rPr>
          <w:rFonts w:ascii="Times New Roman" w:hAnsi="Times New Roman"/>
        </w:rPr>
        <w:t>Kaiho</w:t>
      </w:r>
      <w:proofErr w:type="spellEnd"/>
      <w:r>
        <w:rPr>
          <w:rFonts w:ascii="Times New Roman" w:hAnsi="Times New Roman"/>
        </w:rPr>
        <w:t xml:space="preserve">, K., and Oba, M. (2013) Significant changes in land vegetation and oceanic redox across the Cretaceous/Paleogene boundary. </w:t>
      </w:r>
      <w:proofErr w:type="spellStart"/>
      <w:r w:rsidRPr="00CC1A34">
        <w:rPr>
          <w:rFonts w:ascii="Times New Roman" w:hAnsi="Times New Roman"/>
        </w:rPr>
        <w:t>Palaeogeography</w:t>
      </w:r>
      <w:proofErr w:type="spellEnd"/>
      <w:r w:rsidRPr="00CC1A34">
        <w:rPr>
          <w:rFonts w:ascii="Times New Roman" w:hAnsi="Times New Roman"/>
        </w:rPr>
        <w:t xml:space="preserve">, </w:t>
      </w:r>
      <w:proofErr w:type="spellStart"/>
      <w:r w:rsidRPr="00CC1A34">
        <w:rPr>
          <w:rFonts w:ascii="Times New Roman" w:hAnsi="Times New Roman"/>
        </w:rPr>
        <w:t>Palaeoclimatology</w:t>
      </w:r>
      <w:proofErr w:type="spellEnd"/>
      <w:r w:rsidRPr="00CC1A34">
        <w:rPr>
          <w:rFonts w:ascii="Times New Roman" w:hAnsi="Times New Roman"/>
        </w:rPr>
        <w:t xml:space="preserve">, </w:t>
      </w:r>
      <w:proofErr w:type="spellStart"/>
      <w:r w:rsidRPr="00CC1A34">
        <w:rPr>
          <w:rFonts w:ascii="Times New Roman" w:hAnsi="Times New Roman"/>
        </w:rPr>
        <w:t>Palaeoecology</w:t>
      </w:r>
      <w:proofErr w:type="spellEnd"/>
      <w:r>
        <w:rPr>
          <w:rFonts w:ascii="Times New Roman" w:hAnsi="Times New Roman"/>
        </w:rPr>
        <w:t>, Vol. 369, pp. 41-47.</w:t>
      </w:r>
    </w:p>
    <w:p w:rsidR="006F7CD0" w:rsidRDefault="006F7CD0" w:rsidP="006F7CD0">
      <w:pPr>
        <w:spacing w:after="200" w:line="240" w:lineRule="auto"/>
        <w:ind w:left="720" w:hanging="720"/>
        <w:rPr>
          <w:rFonts w:ascii="Times New Roman" w:hAnsi="Times New Roman"/>
        </w:rPr>
      </w:pPr>
      <w:proofErr w:type="spellStart"/>
      <w:proofErr w:type="gramStart"/>
      <w:r>
        <w:rPr>
          <w:rFonts w:ascii="Times New Roman" w:hAnsi="Times New Roman"/>
        </w:rPr>
        <w:t>Möbius,J</w:t>
      </w:r>
      <w:proofErr w:type="spellEnd"/>
      <w:r>
        <w:rPr>
          <w:rFonts w:ascii="Times New Roman" w:hAnsi="Times New Roman"/>
        </w:rPr>
        <w:t>.</w:t>
      </w:r>
      <w:proofErr w:type="gramEnd"/>
      <w:r>
        <w:rPr>
          <w:rFonts w:ascii="Times New Roman" w:hAnsi="Times New Roman"/>
        </w:rPr>
        <w:t xml:space="preserve">, Gaye, B., </w:t>
      </w:r>
      <w:proofErr w:type="spellStart"/>
      <w:r>
        <w:rPr>
          <w:rFonts w:ascii="Times New Roman" w:hAnsi="Times New Roman"/>
        </w:rPr>
        <w:t>Lahajnar</w:t>
      </w:r>
      <w:proofErr w:type="spellEnd"/>
      <w:r>
        <w:rPr>
          <w:rFonts w:ascii="Times New Roman" w:hAnsi="Times New Roman"/>
        </w:rPr>
        <w:t xml:space="preserve">, N., </w:t>
      </w:r>
      <w:proofErr w:type="spellStart"/>
      <w:r>
        <w:rPr>
          <w:rFonts w:ascii="Times New Roman" w:hAnsi="Times New Roman"/>
        </w:rPr>
        <w:t>Bahlmann</w:t>
      </w:r>
      <w:proofErr w:type="spellEnd"/>
      <w:r>
        <w:rPr>
          <w:rFonts w:ascii="Times New Roman" w:hAnsi="Times New Roman"/>
        </w:rPr>
        <w:t xml:space="preserve">, E., and </w:t>
      </w:r>
      <w:proofErr w:type="spellStart"/>
      <w:r>
        <w:rPr>
          <w:rFonts w:ascii="Times New Roman" w:hAnsi="Times New Roman"/>
        </w:rPr>
        <w:t>Emeis</w:t>
      </w:r>
      <w:proofErr w:type="spellEnd"/>
      <w:r>
        <w:rPr>
          <w:rFonts w:ascii="Times New Roman" w:hAnsi="Times New Roman"/>
        </w:rPr>
        <w:t>, K. (2011) Influence of diagenesis on sedimentary δ</w:t>
      </w:r>
      <w:r w:rsidRPr="00F438D0">
        <w:rPr>
          <w:rFonts w:ascii="Times New Roman" w:hAnsi="Times New Roman"/>
          <w:vertAlign w:val="superscript"/>
        </w:rPr>
        <w:t>15</w:t>
      </w:r>
      <w:r>
        <w:rPr>
          <w:rFonts w:ascii="Times New Roman" w:hAnsi="Times New Roman"/>
        </w:rPr>
        <w:t xml:space="preserve">N in the Arabian Sea over the last 130 </w:t>
      </w:r>
      <w:proofErr w:type="spellStart"/>
      <w:r>
        <w:rPr>
          <w:rFonts w:ascii="Times New Roman" w:hAnsi="Times New Roman"/>
        </w:rPr>
        <w:t>kyr</w:t>
      </w:r>
      <w:proofErr w:type="spellEnd"/>
      <w:r>
        <w:rPr>
          <w:rFonts w:ascii="Times New Roman" w:hAnsi="Times New Roman"/>
        </w:rPr>
        <w:t>. Marine Geology, Vol. 284, pp. 127-138.</w:t>
      </w:r>
    </w:p>
    <w:p w:rsidR="006F7CD0" w:rsidRDefault="006F7CD0" w:rsidP="006F7CD0">
      <w:pPr>
        <w:spacing w:after="200" w:line="240" w:lineRule="auto"/>
        <w:ind w:left="720" w:hanging="720"/>
        <w:rPr>
          <w:rFonts w:ascii="Times New Roman" w:hAnsi="Times New Roman"/>
        </w:rPr>
      </w:pPr>
      <w:r>
        <w:rPr>
          <w:rFonts w:ascii="Times New Roman" w:hAnsi="Times New Roman"/>
        </w:rPr>
        <w:t xml:space="preserve">Mulder, A., van de </w:t>
      </w:r>
      <w:proofErr w:type="spellStart"/>
      <w:r>
        <w:rPr>
          <w:rFonts w:ascii="Times New Roman" w:hAnsi="Times New Roman"/>
        </w:rPr>
        <w:t>Graaf</w:t>
      </w:r>
      <w:proofErr w:type="spellEnd"/>
      <w:r>
        <w:rPr>
          <w:rFonts w:ascii="Times New Roman" w:hAnsi="Times New Roman"/>
        </w:rPr>
        <w:t xml:space="preserve">, A. A., Robertson, L. A., and </w:t>
      </w:r>
      <w:proofErr w:type="spellStart"/>
      <w:r>
        <w:rPr>
          <w:rFonts w:ascii="Times New Roman" w:hAnsi="Times New Roman"/>
        </w:rPr>
        <w:t>Kuenen</w:t>
      </w:r>
      <w:proofErr w:type="spellEnd"/>
      <w:r>
        <w:rPr>
          <w:rFonts w:ascii="Times New Roman" w:hAnsi="Times New Roman"/>
        </w:rPr>
        <w:t xml:space="preserve">, J. G. (1995) Anaerobic ammonium oxidation discovered in a denitrifying fluidized bed reactor. FEMS Microbiology Ecology, Vol. 16, pp. 177-184. </w:t>
      </w:r>
    </w:p>
    <w:p w:rsidR="006F7CD0" w:rsidRPr="002A0235" w:rsidRDefault="006F7CD0" w:rsidP="006F7CD0">
      <w:pPr>
        <w:spacing w:after="200" w:line="240" w:lineRule="auto"/>
        <w:ind w:left="720" w:hanging="720"/>
        <w:rPr>
          <w:rFonts w:ascii="Times New Roman" w:hAnsi="Times New Roman"/>
        </w:rPr>
      </w:pPr>
      <w:proofErr w:type="spellStart"/>
      <w:r w:rsidRPr="002A0235">
        <w:rPr>
          <w:rFonts w:ascii="Times New Roman" w:hAnsi="Times New Roman"/>
        </w:rPr>
        <w:t>Núñez-Useche</w:t>
      </w:r>
      <w:proofErr w:type="spellEnd"/>
      <w:r>
        <w:rPr>
          <w:rFonts w:ascii="Times New Roman" w:hAnsi="Times New Roman"/>
        </w:rPr>
        <w:t xml:space="preserve">, F., </w:t>
      </w:r>
      <w:proofErr w:type="spellStart"/>
      <w:r>
        <w:rPr>
          <w:rFonts w:ascii="Times New Roman" w:hAnsi="Times New Roman"/>
        </w:rPr>
        <w:t>Canet</w:t>
      </w:r>
      <w:proofErr w:type="spellEnd"/>
      <w:r>
        <w:rPr>
          <w:rFonts w:ascii="Times New Roman" w:hAnsi="Times New Roman"/>
        </w:rPr>
        <w:t xml:space="preserve">, C., </w:t>
      </w:r>
      <w:proofErr w:type="spellStart"/>
      <w:r>
        <w:rPr>
          <w:rFonts w:ascii="Times New Roman" w:hAnsi="Times New Roman"/>
        </w:rPr>
        <w:t>Barragán</w:t>
      </w:r>
      <w:proofErr w:type="spellEnd"/>
      <w:r>
        <w:rPr>
          <w:rFonts w:ascii="Times New Roman" w:hAnsi="Times New Roman"/>
        </w:rPr>
        <w:t xml:space="preserve">, R., and Alfonso, P. (2016) </w:t>
      </w:r>
      <w:proofErr w:type="spellStart"/>
      <w:r>
        <w:rPr>
          <w:rFonts w:ascii="Times New Roman" w:hAnsi="Times New Roman"/>
        </w:rPr>
        <w:t>Bioevents</w:t>
      </w:r>
      <w:proofErr w:type="spellEnd"/>
      <w:r>
        <w:rPr>
          <w:rFonts w:ascii="Times New Roman" w:hAnsi="Times New Roman"/>
        </w:rPr>
        <w:t xml:space="preserve"> and redox conditions around the Cenomanian-Turonian anoxic event in Central Mexico. </w:t>
      </w:r>
      <w:proofErr w:type="spellStart"/>
      <w:r w:rsidRPr="00CC1A34">
        <w:rPr>
          <w:rFonts w:ascii="Times New Roman" w:hAnsi="Times New Roman"/>
        </w:rPr>
        <w:t>Palaeogeography</w:t>
      </w:r>
      <w:proofErr w:type="spellEnd"/>
      <w:r w:rsidRPr="00CC1A34">
        <w:rPr>
          <w:rFonts w:ascii="Times New Roman" w:hAnsi="Times New Roman"/>
        </w:rPr>
        <w:t xml:space="preserve">, </w:t>
      </w:r>
      <w:proofErr w:type="spellStart"/>
      <w:r w:rsidRPr="00CC1A34">
        <w:rPr>
          <w:rFonts w:ascii="Times New Roman" w:hAnsi="Times New Roman"/>
        </w:rPr>
        <w:t>Palaeoclimatology</w:t>
      </w:r>
      <w:proofErr w:type="spellEnd"/>
      <w:r w:rsidRPr="00CC1A34">
        <w:rPr>
          <w:rFonts w:ascii="Times New Roman" w:hAnsi="Times New Roman"/>
        </w:rPr>
        <w:t xml:space="preserve">, </w:t>
      </w:r>
      <w:proofErr w:type="spellStart"/>
      <w:r w:rsidRPr="00CC1A34">
        <w:rPr>
          <w:rFonts w:ascii="Times New Roman" w:hAnsi="Times New Roman"/>
        </w:rPr>
        <w:t>Palaeoecology</w:t>
      </w:r>
      <w:proofErr w:type="spellEnd"/>
      <w:r>
        <w:rPr>
          <w:rFonts w:ascii="Times New Roman" w:hAnsi="Times New Roman"/>
        </w:rPr>
        <w:t xml:space="preserve">, Vol. 449, pp. 205-226. </w:t>
      </w:r>
    </w:p>
    <w:p w:rsidR="006F7CD0" w:rsidRPr="00CC1A34" w:rsidRDefault="006F7CD0" w:rsidP="006F7CD0">
      <w:pPr>
        <w:spacing w:after="200" w:line="240" w:lineRule="auto"/>
        <w:ind w:left="720" w:hanging="720"/>
        <w:rPr>
          <w:rFonts w:ascii="Times New Roman" w:hAnsi="Times New Roman"/>
        </w:rPr>
      </w:pPr>
      <w:r>
        <w:rPr>
          <w:rFonts w:ascii="Times New Roman" w:hAnsi="Times New Roman"/>
        </w:rPr>
        <w:lastRenderedPageBreak/>
        <w:t xml:space="preserve">Oldenburg, T. B. P., </w:t>
      </w:r>
      <w:proofErr w:type="spellStart"/>
      <w:r>
        <w:rPr>
          <w:rFonts w:ascii="Times New Roman" w:hAnsi="Times New Roman"/>
        </w:rPr>
        <w:t>Larter</w:t>
      </w:r>
      <w:proofErr w:type="spellEnd"/>
      <w:r>
        <w:rPr>
          <w:rFonts w:ascii="Times New Roman" w:hAnsi="Times New Roman"/>
        </w:rPr>
        <w:t xml:space="preserve">, S. R., and Huang, H. (2007) Nitrogen isotope systematics of petroleum fractions of differing polarity- Neutral versus basic compounds. Organic Geochemistry, Vol. 38, pp. 1789-1794.  </w:t>
      </w:r>
    </w:p>
    <w:p w:rsidR="006F7CD0" w:rsidRDefault="006F7CD0" w:rsidP="006F7CD0">
      <w:pPr>
        <w:spacing w:after="200" w:line="240" w:lineRule="auto"/>
        <w:ind w:left="720" w:hanging="720"/>
        <w:rPr>
          <w:rFonts w:ascii="Times New Roman" w:hAnsi="Times New Roman"/>
        </w:rPr>
      </w:pPr>
      <w:r w:rsidRPr="00CC1A34">
        <w:rPr>
          <w:rFonts w:ascii="Times New Roman" w:hAnsi="Times New Roman"/>
        </w:rPr>
        <w:t xml:space="preserve">Paul, D., </w:t>
      </w:r>
      <w:proofErr w:type="spellStart"/>
      <w:r w:rsidRPr="00CC1A34">
        <w:rPr>
          <w:rFonts w:ascii="Times New Roman" w:hAnsi="Times New Roman"/>
        </w:rPr>
        <w:t>Skrzypek</w:t>
      </w:r>
      <w:proofErr w:type="spellEnd"/>
      <w:r w:rsidRPr="00CC1A34">
        <w:rPr>
          <w:rFonts w:ascii="Times New Roman" w:hAnsi="Times New Roman"/>
        </w:rPr>
        <w:t xml:space="preserve">, G., </w:t>
      </w:r>
      <w:proofErr w:type="spellStart"/>
      <w:r w:rsidRPr="00CC1A34">
        <w:rPr>
          <w:rFonts w:ascii="Times New Roman" w:hAnsi="Times New Roman"/>
        </w:rPr>
        <w:t>Forizs</w:t>
      </w:r>
      <w:proofErr w:type="spellEnd"/>
      <w:r w:rsidRPr="00CC1A34">
        <w:rPr>
          <w:rFonts w:ascii="Times New Roman" w:hAnsi="Times New Roman"/>
        </w:rPr>
        <w:t xml:space="preserve">, I. (2007) Normalization of measured stable isotopic compositions to isotope reference scales- a review. Rapid </w:t>
      </w:r>
      <w:proofErr w:type="spellStart"/>
      <w:r w:rsidRPr="00CC1A34">
        <w:rPr>
          <w:rFonts w:ascii="Times New Roman" w:hAnsi="Times New Roman"/>
        </w:rPr>
        <w:t>Commun</w:t>
      </w:r>
      <w:proofErr w:type="spellEnd"/>
      <w:r w:rsidRPr="00CC1A34">
        <w:rPr>
          <w:rFonts w:ascii="Times New Roman" w:hAnsi="Times New Roman"/>
        </w:rPr>
        <w:t xml:space="preserve">. Mass </w:t>
      </w:r>
      <w:proofErr w:type="spellStart"/>
      <w:r w:rsidRPr="00CC1A34">
        <w:rPr>
          <w:rFonts w:ascii="Times New Roman" w:hAnsi="Times New Roman"/>
        </w:rPr>
        <w:t>Spectrom</w:t>
      </w:r>
      <w:proofErr w:type="spellEnd"/>
      <w:r w:rsidRPr="00CC1A34">
        <w:rPr>
          <w:rFonts w:ascii="Times New Roman" w:hAnsi="Times New Roman"/>
        </w:rPr>
        <w:t>. Vol. 21, pp. 3006-3014.</w:t>
      </w:r>
    </w:p>
    <w:p w:rsidR="006F7CD0" w:rsidRPr="00CC1A34" w:rsidRDefault="006F7CD0" w:rsidP="006F7CD0">
      <w:pPr>
        <w:spacing w:after="200" w:line="240" w:lineRule="auto"/>
        <w:ind w:left="720" w:hanging="720"/>
        <w:rPr>
          <w:rFonts w:ascii="Times New Roman" w:hAnsi="Times New Roman"/>
        </w:rPr>
      </w:pPr>
      <w:r>
        <w:rPr>
          <w:rFonts w:ascii="Times New Roman" w:hAnsi="Times New Roman"/>
        </w:rPr>
        <w:t xml:space="preserve">Peters, K. E., Walters, C. C., and </w:t>
      </w:r>
      <w:proofErr w:type="spellStart"/>
      <w:r>
        <w:rPr>
          <w:rFonts w:ascii="Times New Roman" w:hAnsi="Times New Roman"/>
        </w:rPr>
        <w:t>Moldowan</w:t>
      </w:r>
      <w:proofErr w:type="spellEnd"/>
      <w:r>
        <w:rPr>
          <w:rFonts w:ascii="Times New Roman" w:hAnsi="Times New Roman"/>
        </w:rPr>
        <w:t xml:space="preserve">, J. M. (2005) The Biomarker Guide. </w:t>
      </w:r>
      <w:r w:rsidR="003A7D22">
        <w:rPr>
          <w:rFonts w:ascii="Times New Roman" w:hAnsi="Times New Roman"/>
        </w:rPr>
        <w:t>(2</w:t>
      </w:r>
      <w:r w:rsidRPr="00CF3C85">
        <w:rPr>
          <w:rFonts w:ascii="Times New Roman" w:hAnsi="Times New Roman"/>
          <w:vertAlign w:val="superscript"/>
        </w:rPr>
        <w:t>nd</w:t>
      </w:r>
      <w:r>
        <w:rPr>
          <w:rFonts w:ascii="Times New Roman" w:hAnsi="Times New Roman"/>
        </w:rPr>
        <w:t xml:space="preserve"> edition) Cambridge University Press. </w:t>
      </w:r>
    </w:p>
    <w:p w:rsidR="006F7CD0" w:rsidRPr="00CC1A34" w:rsidRDefault="006F7CD0" w:rsidP="006F7CD0">
      <w:pPr>
        <w:spacing w:after="200" w:line="240" w:lineRule="auto"/>
        <w:ind w:left="720" w:hanging="720"/>
        <w:rPr>
          <w:rFonts w:ascii="Times New Roman" w:hAnsi="Times New Roman"/>
        </w:rPr>
      </w:pPr>
      <w:r w:rsidRPr="00CC1A34">
        <w:rPr>
          <w:rFonts w:ascii="Times New Roman" w:hAnsi="Times New Roman"/>
        </w:rPr>
        <w:t xml:space="preserve">Qi, H., </w:t>
      </w:r>
      <w:proofErr w:type="spellStart"/>
      <w:proofErr w:type="gramStart"/>
      <w:r w:rsidRPr="00CC1A34">
        <w:rPr>
          <w:rFonts w:ascii="Times New Roman" w:hAnsi="Times New Roman"/>
        </w:rPr>
        <w:t>Coplen,T.B</w:t>
      </w:r>
      <w:proofErr w:type="spellEnd"/>
      <w:r w:rsidRPr="00CC1A34">
        <w:rPr>
          <w:rFonts w:ascii="Times New Roman" w:hAnsi="Times New Roman"/>
        </w:rPr>
        <w:t>.</w:t>
      </w:r>
      <w:proofErr w:type="gramEnd"/>
      <w:r w:rsidRPr="00CC1A34">
        <w:rPr>
          <w:rFonts w:ascii="Times New Roman" w:hAnsi="Times New Roman"/>
        </w:rPr>
        <w:t xml:space="preserve">, </w:t>
      </w:r>
      <w:proofErr w:type="spellStart"/>
      <w:r w:rsidRPr="00CC1A34">
        <w:rPr>
          <w:rFonts w:ascii="Times New Roman" w:hAnsi="Times New Roman"/>
        </w:rPr>
        <w:t>Geilmann</w:t>
      </w:r>
      <w:proofErr w:type="spellEnd"/>
      <w:r w:rsidRPr="00CC1A34">
        <w:rPr>
          <w:rFonts w:ascii="Times New Roman" w:hAnsi="Times New Roman"/>
        </w:rPr>
        <w:t xml:space="preserve">, H., Bland, W.A., </w:t>
      </w:r>
      <w:proofErr w:type="spellStart"/>
      <w:r w:rsidRPr="00CC1A34">
        <w:rPr>
          <w:rFonts w:ascii="Times New Roman" w:hAnsi="Times New Roman"/>
        </w:rPr>
        <w:t>Bohlke</w:t>
      </w:r>
      <w:proofErr w:type="spellEnd"/>
      <w:r w:rsidRPr="00CC1A34">
        <w:rPr>
          <w:rFonts w:ascii="Times New Roman" w:hAnsi="Times New Roman"/>
        </w:rPr>
        <w:t>, J.K. (2003) Two new organic reference materials for δ</w:t>
      </w:r>
      <w:r w:rsidRPr="00CC1A34">
        <w:rPr>
          <w:rFonts w:ascii="Times New Roman" w:hAnsi="Times New Roman"/>
          <w:vertAlign w:val="superscript"/>
        </w:rPr>
        <w:t>13</w:t>
      </w:r>
      <w:r w:rsidRPr="00CC1A34">
        <w:rPr>
          <w:rFonts w:ascii="Times New Roman" w:hAnsi="Times New Roman"/>
        </w:rPr>
        <w:t>C and  δ</w:t>
      </w:r>
      <w:r w:rsidRPr="00CC1A34">
        <w:rPr>
          <w:rFonts w:ascii="Times New Roman" w:hAnsi="Times New Roman"/>
          <w:vertAlign w:val="superscript"/>
        </w:rPr>
        <w:t>15</w:t>
      </w:r>
      <w:r w:rsidRPr="00CC1A34">
        <w:rPr>
          <w:rFonts w:ascii="Times New Roman" w:hAnsi="Times New Roman"/>
        </w:rPr>
        <w:t>N measurements and a new value for the  δ</w:t>
      </w:r>
      <w:r w:rsidRPr="00CC1A34">
        <w:rPr>
          <w:rFonts w:ascii="Times New Roman" w:hAnsi="Times New Roman"/>
          <w:vertAlign w:val="superscript"/>
        </w:rPr>
        <w:t>13</w:t>
      </w:r>
      <w:r w:rsidRPr="00CC1A34">
        <w:rPr>
          <w:rFonts w:ascii="Times New Roman" w:hAnsi="Times New Roman"/>
        </w:rPr>
        <w:t xml:space="preserve">C of NBS 22 oil. Rapid </w:t>
      </w:r>
      <w:proofErr w:type="spellStart"/>
      <w:r w:rsidRPr="00CC1A34">
        <w:rPr>
          <w:rFonts w:ascii="Times New Roman" w:hAnsi="Times New Roman"/>
        </w:rPr>
        <w:t>Commun</w:t>
      </w:r>
      <w:proofErr w:type="spellEnd"/>
      <w:r w:rsidRPr="00CC1A34">
        <w:rPr>
          <w:rFonts w:ascii="Times New Roman" w:hAnsi="Times New Roman"/>
        </w:rPr>
        <w:t xml:space="preserve">. Mass </w:t>
      </w:r>
      <w:proofErr w:type="spellStart"/>
      <w:r w:rsidRPr="00CC1A34">
        <w:rPr>
          <w:rFonts w:ascii="Times New Roman" w:hAnsi="Times New Roman"/>
        </w:rPr>
        <w:t>Spectrom</w:t>
      </w:r>
      <w:proofErr w:type="spellEnd"/>
      <w:r w:rsidRPr="00CC1A34">
        <w:rPr>
          <w:rFonts w:ascii="Times New Roman" w:hAnsi="Times New Roman"/>
        </w:rPr>
        <w:t>. Vol. 17, pp.</w:t>
      </w:r>
      <w:r w:rsidRPr="00CC1A34">
        <w:rPr>
          <w:rFonts w:ascii="Times New Roman" w:hAnsi="Times New Roman"/>
          <w:b/>
        </w:rPr>
        <w:t xml:space="preserve"> </w:t>
      </w:r>
      <w:r w:rsidRPr="00CC1A34">
        <w:rPr>
          <w:rFonts w:ascii="Times New Roman" w:hAnsi="Times New Roman"/>
        </w:rPr>
        <w:t>2483-2487.</w:t>
      </w:r>
    </w:p>
    <w:p w:rsidR="006F7CD0" w:rsidRDefault="006F7CD0" w:rsidP="006F7CD0">
      <w:pPr>
        <w:spacing w:after="200" w:line="240" w:lineRule="auto"/>
        <w:ind w:left="720" w:hanging="720"/>
        <w:rPr>
          <w:rFonts w:ascii="Times New Roman" w:hAnsi="Times New Roman"/>
        </w:rPr>
      </w:pPr>
      <w:r w:rsidRPr="00CC1A34">
        <w:rPr>
          <w:rFonts w:ascii="Times New Roman" w:hAnsi="Times New Roman"/>
        </w:rPr>
        <w:t xml:space="preserve">Quan, T. M., </w:t>
      </w:r>
      <w:proofErr w:type="spellStart"/>
      <w:r w:rsidRPr="00CC1A34">
        <w:rPr>
          <w:rFonts w:ascii="Times New Roman" w:hAnsi="Times New Roman"/>
        </w:rPr>
        <w:t>Adigwe</w:t>
      </w:r>
      <w:proofErr w:type="spellEnd"/>
      <w:r w:rsidRPr="00CC1A34">
        <w:rPr>
          <w:rFonts w:ascii="Times New Roman" w:hAnsi="Times New Roman"/>
        </w:rPr>
        <w:t xml:space="preserve">, E. N., </w:t>
      </w:r>
      <w:proofErr w:type="spellStart"/>
      <w:r w:rsidRPr="00CC1A34">
        <w:rPr>
          <w:rFonts w:ascii="Times New Roman" w:hAnsi="Times New Roman"/>
        </w:rPr>
        <w:t>Riedinger</w:t>
      </w:r>
      <w:proofErr w:type="spellEnd"/>
      <w:r w:rsidRPr="00CC1A34">
        <w:rPr>
          <w:rFonts w:ascii="Times New Roman" w:hAnsi="Times New Roman"/>
        </w:rPr>
        <w:t xml:space="preserve">, N., and </w:t>
      </w:r>
      <w:proofErr w:type="spellStart"/>
      <w:r w:rsidRPr="00CC1A34">
        <w:rPr>
          <w:rFonts w:ascii="Times New Roman" w:hAnsi="Times New Roman"/>
        </w:rPr>
        <w:t>Puckette</w:t>
      </w:r>
      <w:proofErr w:type="spellEnd"/>
      <w:r w:rsidRPr="00CC1A34">
        <w:rPr>
          <w:rFonts w:ascii="Times New Roman" w:hAnsi="Times New Roman"/>
        </w:rPr>
        <w:t xml:space="preserve">, J. (2013) Evaluating nitrogen isotopes as proxies for depositional environmental conditions in shales: Comparing Caney and Woodford Shales, Anadarko Basin, Oklahoma, USA. Chemical Geology, Vol. 360-361, pp. 231-240. </w:t>
      </w:r>
    </w:p>
    <w:p w:rsidR="006F7CD0" w:rsidRPr="00CC1A34" w:rsidRDefault="006F7CD0" w:rsidP="006F7CD0">
      <w:pPr>
        <w:spacing w:after="200" w:line="240" w:lineRule="auto"/>
        <w:ind w:left="720" w:hanging="720"/>
        <w:rPr>
          <w:rFonts w:ascii="Times New Roman" w:hAnsi="Times New Roman"/>
        </w:rPr>
      </w:pPr>
      <w:r>
        <w:rPr>
          <w:rFonts w:ascii="Times New Roman" w:hAnsi="Times New Roman"/>
        </w:rPr>
        <w:t xml:space="preserve">Rau, G. H., Arthur, M. A., and Dean, W. (1987) </w:t>
      </w:r>
      <w:r w:rsidRPr="00B05685">
        <w:rPr>
          <w:rFonts w:ascii="Times New Roman" w:hAnsi="Times New Roman"/>
          <w:vertAlign w:val="superscript"/>
        </w:rPr>
        <w:t>15</w:t>
      </w:r>
      <w:r>
        <w:rPr>
          <w:rFonts w:ascii="Times New Roman" w:hAnsi="Times New Roman"/>
        </w:rPr>
        <w:t>N/</w:t>
      </w:r>
      <w:r w:rsidRPr="00B05685">
        <w:rPr>
          <w:rFonts w:ascii="Times New Roman" w:hAnsi="Times New Roman"/>
          <w:vertAlign w:val="superscript"/>
        </w:rPr>
        <w:t>14</w:t>
      </w:r>
      <w:r>
        <w:rPr>
          <w:rFonts w:ascii="Times New Roman" w:hAnsi="Times New Roman"/>
        </w:rPr>
        <w:t xml:space="preserve">N variations in Cretaceous Atlantic sedimentary sequences: implication for past changes in marine nitrogen biochemistry. Earth and Planetary Science Letters, Vol. 82, pp. 269-279. </w:t>
      </w:r>
    </w:p>
    <w:p w:rsidR="006F7CD0" w:rsidRPr="00CC1A34" w:rsidRDefault="006F7CD0" w:rsidP="006F7CD0">
      <w:pPr>
        <w:spacing w:after="200" w:line="240" w:lineRule="auto"/>
        <w:ind w:left="720" w:hanging="720"/>
        <w:rPr>
          <w:rFonts w:ascii="Times New Roman" w:hAnsi="Times New Roman"/>
          <w:u w:val="single"/>
        </w:rPr>
      </w:pPr>
      <w:r w:rsidRPr="00CC1A34">
        <w:rPr>
          <w:rFonts w:ascii="Times New Roman" w:hAnsi="Times New Roman"/>
        </w:rPr>
        <w:t xml:space="preserve"> Rivera, K. T. (2013) </w:t>
      </w:r>
      <w:r w:rsidRPr="00CC1A34">
        <w:rPr>
          <w:rFonts w:ascii="Times New Roman" w:hAnsi="Times New Roman"/>
          <w:iCs/>
        </w:rPr>
        <w:t>Geologic controls on nitrogen isotopes in marine black shale: A case study of the Woodford shale, Anadarko basin, Oklahoma</w:t>
      </w:r>
      <w:r w:rsidRPr="00CC1A34">
        <w:rPr>
          <w:rFonts w:ascii="Times New Roman" w:hAnsi="Times New Roman"/>
        </w:rPr>
        <w:t>. MS Thesis, Oklahoma State University, pp. 1-141.</w:t>
      </w:r>
    </w:p>
    <w:p w:rsidR="006F7CD0" w:rsidRPr="00CC1A34" w:rsidRDefault="006F7CD0" w:rsidP="006F7CD0">
      <w:pPr>
        <w:spacing w:after="200" w:line="240" w:lineRule="auto"/>
        <w:ind w:left="720" w:hanging="720"/>
        <w:rPr>
          <w:rFonts w:ascii="Times New Roman" w:hAnsi="Times New Roman"/>
        </w:rPr>
      </w:pPr>
      <w:r w:rsidRPr="00CC1A34">
        <w:rPr>
          <w:rFonts w:ascii="Times New Roman" w:hAnsi="Times New Roman"/>
        </w:rPr>
        <w:t xml:space="preserve">Rivera, K. T., </w:t>
      </w:r>
      <w:proofErr w:type="spellStart"/>
      <w:r w:rsidRPr="00CC1A34">
        <w:rPr>
          <w:rFonts w:ascii="Times New Roman" w:hAnsi="Times New Roman"/>
        </w:rPr>
        <w:t>Puckette</w:t>
      </w:r>
      <w:proofErr w:type="spellEnd"/>
      <w:r w:rsidRPr="00CC1A34">
        <w:rPr>
          <w:rFonts w:ascii="Times New Roman" w:hAnsi="Times New Roman"/>
        </w:rPr>
        <w:t>, J. and Quan, T. M. (2015) Critical evaluation of redox verse thermal maturity controls on 15N in organic-rich shales: A case study of the Woodford Shale, Anadarko Basin, Oklahoma, USA. Organic Geochemistry, Vol. 83-84, pp. 127-139.</w:t>
      </w:r>
    </w:p>
    <w:p w:rsidR="006F7CD0" w:rsidRPr="00CC1A34" w:rsidRDefault="006F7CD0" w:rsidP="006F7CD0">
      <w:pPr>
        <w:spacing w:after="200" w:line="240" w:lineRule="auto"/>
        <w:ind w:left="720" w:hanging="720"/>
        <w:rPr>
          <w:rFonts w:ascii="Times New Roman" w:hAnsi="Times New Roman"/>
        </w:rPr>
      </w:pPr>
      <w:r w:rsidRPr="00CC1A34">
        <w:rPr>
          <w:rFonts w:ascii="Times New Roman" w:hAnsi="Times New Roman"/>
        </w:rPr>
        <w:t xml:space="preserve">Robinson, R., </w:t>
      </w:r>
      <w:proofErr w:type="spellStart"/>
      <w:r w:rsidRPr="00CC1A34">
        <w:rPr>
          <w:rFonts w:ascii="Times New Roman" w:hAnsi="Times New Roman"/>
        </w:rPr>
        <w:t>Kienast</w:t>
      </w:r>
      <w:proofErr w:type="spellEnd"/>
      <w:r w:rsidRPr="00CC1A34">
        <w:rPr>
          <w:rFonts w:ascii="Times New Roman" w:hAnsi="Times New Roman"/>
        </w:rPr>
        <w:t xml:space="preserve">, M., Albuquerque, A. L., and Altabet, S. C. (2012) A review of nitrogen isotopic alteration in marine sediments. Paleoceanography, Vol. 27, PA4203, doi:10.1029/2012PA002321. </w:t>
      </w:r>
    </w:p>
    <w:p w:rsidR="006F7CD0" w:rsidRDefault="006F7CD0" w:rsidP="006F7CD0">
      <w:pPr>
        <w:spacing w:after="200" w:line="240" w:lineRule="auto"/>
        <w:ind w:left="720" w:hanging="720"/>
        <w:rPr>
          <w:rFonts w:ascii="Times New Roman" w:hAnsi="Times New Roman"/>
        </w:rPr>
      </w:pPr>
      <w:proofErr w:type="spellStart"/>
      <w:r w:rsidRPr="00CC1A34">
        <w:rPr>
          <w:rFonts w:ascii="Times New Roman" w:hAnsi="Times New Roman"/>
        </w:rPr>
        <w:t>Saitoh</w:t>
      </w:r>
      <w:proofErr w:type="spellEnd"/>
      <w:r w:rsidRPr="00CC1A34">
        <w:rPr>
          <w:rFonts w:ascii="Times New Roman" w:hAnsi="Times New Roman"/>
        </w:rPr>
        <w:t xml:space="preserve">, M., Ueno, Y., </w:t>
      </w:r>
      <w:proofErr w:type="spellStart"/>
      <w:r w:rsidRPr="00CC1A34">
        <w:rPr>
          <w:rFonts w:ascii="Times New Roman" w:hAnsi="Times New Roman"/>
        </w:rPr>
        <w:t>Nishizawa</w:t>
      </w:r>
      <w:proofErr w:type="spellEnd"/>
      <w:r w:rsidRPr="00CC1A34">
        <w:rPr>
          <w:rFonts w:ascii="Times New Roman" w:hAnsi="Times New Roman"/>
        </w:rPr>
        <w:t xml:space="preserve">, M., </w:t>
      </w:r>
      <w:proofErr w:type="spellStart"/>
      <w:r w:rsidRPr="00CC1A34">
        <w:rPr>
          <w:rFonts w:ascii="Times New Roman" w:hAnsi="Times New Roman"/>
        </w:rPr>
        <w:t>Isozaki</w:t>
      </w:r>
      <w:proofErr w:type="spellEnd"/>
      <w:r w:rsidRPr="00CC1A34">
        <w:rPr>
          <w:rFonts w:ascii="Times New Roman" w:hAnsi="Times New Roman"/>
        </w:rPr>
        <w:t xml:space="preserve">, Y., </w:t>
      </w:r>
      <w:proofErr w:type="spellStart"/>
      <w:r w:rsidRPr="00CC1A34">
        <w:rPr>
          <w:rFonts w:ascii="Times New Roman" w:hAnsi="Times New Roman"/>
        </w:rPr>
        <w:t>Takai</w:t>
      </w:r>
      <w:proofErr w:type="spellEnd"/>
      <w:r w:rsidRPr="00CC1A34">
        <w:rPr>
          <w:rFonts w:ascii="Times New Roman" w:hAnsi="Times New Roman"/>
        </w:rPr>
        <w:t xml:space="preserve">, K., Yao, J., Ji, Z. (2014) Nitrogen isotope </w:t>
      </w:r>
      <w:proofErr w:type="spellStart"/>
      <w:r w:rsidRPr="00CC1A34">
        <w:rPr>
          <w:rFonts w:ascii="Times New Roman" w:hAnsi="Times New Roman"/>
        </w:rPr>
        <w:t>chemostratigraphy</w:t>
      </w:r>
      <w:proofErr w:type="spellEnd"/>
      <w:r w:rsidRPr="00CC1A34">
        <w:rPr>
          <w:rFonts w:ascii="Times New Roman" w:hAnsi="Times New Roman"/>
        </w:rPr>
        <w:t xml:space="preserve"> across the Permian-Triassic boundary at </w:t>
      </w:r>
      <w:proofErr w:type="spellStart"/>
      <w:r w:rsidRPr="00CC1A34">
        <w:rPr>
          <w:rFonts w:ascii="Times New Roman" w:hAnsi="Times New Roman"/>
        </w:rPr>
        <w:t>Chaotian</w:t>
      </w:r>
      <w:proofErr w:type="spellEnd"/>
      <w:r w:rsidRPr="00CC1A34">
        <w:rPr>
          <w:rFonts w:ascii="Times New Roman" w:hAnsi="Times New Roman"/>
        </w:rPr>
        <w:t>, Sichuan, South China. Journal of Asian Earth Sciences, Vol. 93, pp. 113-128.</w:t>
      </w:r>
    </w:p>
    <w:p w:rsidR="006F7CD0" w:rsidRDefault="006F7CD0" w:rsidP="006F7CD0">
      <w:pPr>
        <w:spacing w:after="200" w:line="240" w:lineRule="auto"/>
        <w:ind w:left="720" w:hanging="720"/>
        <w:rPr>
          <w:rFonts w:ascii="Times New Roman" w:hAnsi="Times New Roman"/>
        </w:rPr>
      </w:pPr>
      <w:r>
        <w:rPr>
          <w:rFonts w:ascii="Times New Roman" w:hAnsi="Times New Roman"/>
        </w:rPr>
        <w:t>Saltzman, M. R. (2002) Carbon and oxygen isotope stratigraphy of the Lower Mississippian (</w:t>
      </w:r>
      <w:proofErr w:type="spellStart"/>
      <w:r>
        <w:rPr>
          <w:rFonts w:ascii="Times New Roman" w:hAnsi="Times New Roman"/>
        </w:rPr>
        <w:t>Kinderhookian</w:t>
      </w:r>
      <w:proofErr w:type="spellEnd"/>
      <w:r>
        <w:rPr>
          <w:rFonts w:ascii="Times New Roman" w:hAnsi="Times New Roman"/>
        </w:rPr>
        <w:t xml:space="preserve">-lower </w:t>
      </w:r>
      <w:proofErr w:type="spellStart"/>
      <w:r>
        <w:rPr>
          <w:rFonts w:ascii="Times New Roman" w:hAnsi="Times New Roman"/>
        </w:rPr>
        <w:t>Osagean</w:t>
      </w:r>
      <w:proofErr w:type="spellEnd"/>
      <w:r>
        <w:rPr>
          <w:rFonts w:ascii="Times New Roman" w:hAnsi="Times New Roman"/>
        </w:rPr>
        <w:t xml:space="preserve">), western United States: implications for seawater chemistry and glaciation. GSA Bulletin, Vol. 114, pp. 96-108. </w:t>
      </w:r>
    </w:p>
    <w:p w:rsidR="006F7CD0" w:rsidRPr="00CC1A34" w:rsidRDefault="006F7CD0" w:rsidP="006F7CD0">
      <w:pPr>
        <w:spacing w:after="200" w:line="240" w:lineRule="auto"/>
        <w:ind w:left="720" w:hanging="720"/>
        <w:rPr>
          <w:rFonts w:ascii="Times New Roman" w:hAnsi="Times New Roman"/>
        </w:rPr>
      </w:pPr>
      <w:proofErr w:type="spellStart"/>
      <w:r>
        <w:rPr>
          <w:rFonts w:ascii="Times New Roman" w:hAnsi="Times New Roman"/>
        </w:rPr>
        <w:t>Schimmelmann</w:t>
      </w:r>
      <w:proofErr w:type="spellEnd"/>
      <w:r>
        <w:rPr>
          <w:rFonts w:ascii="Times New Roman" w:hAnsi="Times New Roman"/>
        </w:rPr>
        <w:t xml:space="preserve">, A., and Lis, G. P. (2010) Nitrogen isotopic exchange during maturation of organic matter. Organic Geochemistry, Vol. 41, pp. 63-70. </w:t>
      </w:r>
    </w:p>
    <w:p w:rsidR="006F7CD0" w:rsidRDefault="006F7CD0" w:rsidP="006F7CD0">
      <w:pPr>
        <w:spacing w:after="200" w:line="240" w:lineRule="auto"/>
        <w:ind w:left="720" w:hanging="720"/>
        <w:rPr>
          <w:rFonts w:ascii="Times New Roman" w:hAnsi="Times New Roman"/>
        </w:rPr>
      </w:pPr>
      <w:proofErr w:type="spellStart"/>
      <w:r w:rsidRPr="00CC1A34">
        <w:rPr>
          <w:rFonts w:ascii="Times New Roman" w:hAnsi="Times New Roman"/>
        </w:rPr>
        <w:lastRenderedPageBreak/>
        <w:t>Schoepfer</w:t>
      </w:r>
      <w:proofErr w:type="spellEnd"/>
      <w:r w:rsidRPr="00CC1A34">
        <w:rPr>
          <w:rFonts w:ascii="Times New Roman" w:hAnsi="Times New Roman"/>
        </w:rPr>
        <w:t>, S. D., Henderson, C. M., Garriso</w:t>
      </w:r>
      <w:r>
        <w:rPr>
          <w:rFonts w:ascii="Times New Roman" w:hAnsi="Times New Roman"/>
        </w:rPr>
        <w:t>n, G. H., and Ward, P. D. (2012)</w:t>
      </w:r>
      <w:r w:rsidRPr="00CC1A34">
        <w:rPr>
          <w:rFonts w:ascii="Times New Roman" w:hAnsi="Times New Roman"/>
        </w:rPr>
        <w:t xml:space="preserve"> Cessation of a productive coastal upwelling system in the </w:t>
      </w:r>
      <w:proofErr w:type="spellStart"/>
      <w:r w:rsidRPr="00CC1A34">
        <w:rPr>
          <w:rFonts w:ascii="Times New Roman" w:hAnsi="Times New Roman"/>
        </w:rPr>
        <w:t>Panthalassic</w:t>
      </w:r>
      <w:proofErr w:type="spellEnd"/>
      <w:r w:rsidRPr="00CC1A34">
        <w:rPr>
          <w:rFonts w:ascii="Times New Roman" w:hAnsi="Times New Roman"/>
        </w:rPr>
        <w:t xml:space="preserve"> Ocean at the Permian-Triassic Boundary. </w:t>
      </w:r>
      <w:proofErr w:type="spellStart"/>
      <w:r w:rsidRPr="00CC1A34">
        <w:rPr>
          <w:rFonts w:ascii="Times New Roman" w:hAnsi="Times New Roman"/>
        </w:rPr>
        <w:t>Palaeogeography</w:t>
      </w:r>
      <w:proofErr w:type="spellEnd"/>
      <w:r w:rsidRPr="00CC1A34">
        <w:rPr>
          <w:rFonts w:ascii="Times New Roman" w:hAnsi="Times New Roman"/>
        </w:rPr>
        <w:t xml:space="preserve">, </w:t>
      </w:r>
      <w:proofErr w:type="spellStart"/>
      <w:r w:rsidRPr="00CC1A34">
        <w:rPr>
          <w:rFonts w:ascii="Times New Roman" w:hAnsi="Times New Roman"/>
        </w:rPr>
        <w:t>Palaeoclimatology</w:t>
      </w:r>
      <w:proofErr w:type="spellEnd"/>
      <w:r w:rsidRPr="00CC1A34">
        <w:rPr>
          <w:rFonts w:ascii="Times New Roman" w:hAnsi="Times New Roman"/>
        </w:rPr>
        <w:t xml:space="preserve">, </w:t>
      </w:r>
      <w:proofErr w:type="spellStart"/>
      <w:r w:rsidRPr="00CC1A34">
        <w:rPr>
          <w:rFonts w:ascii="Times New Roman" w:hAnsi="Times New Roman"/>
        </w:rPr>
        <w:t>Palaeoecology</w:t>
      </w:r>
      <w:proofErr w:type="spellEnd"/>
      <w:r w:rsidRPr="00CC1A34">
        <w:rPr>
          <w:rFonts w:ascii="Times New Roman" w:hAnsi="Times New Roman"/>
        </w:rPr>
        <w:t>, Vol. 313-314, pp. 181-188.</w:t>
      </w:r>
    </w:p>
    <w:p w:rsidR="006F7CD0" w:rsidRDefault="006F7CD0" w:rsidP="006F7CD0">
      <w:pPr>
        <w:spacing w:after="200" w:line="240" w:lineRule="auto"/>
        <w:ind w:left="720" w:hanging="720"/>
        <w:rPr>
          <w:rFonts w:ascii="Times New Roman" w:hAnsi="Times New Roman"/>
        </w:rPr>
      </w:pPr>
      <w:proofErr w:type="spellStart"/>
      <w:r>
        <w:rPr>
          <w:rFonts w:ascii="Times New Roman" w:hAnsi="Times New Roman"/>
        </w:rPr>
        <w:t>Schoepfer</w:t>
      </w:r>
      <w:proofErr w:type="spellEnd"/>
      <w:r>
        <w:rPr>
          <w:rFonts w:ascii="Times New Roman" w:hAnsi="Times New Roman"/>
        </w:rPr>
        <w:t xml:space="preserve">, S. D., </w:t>
      </w:r>
      <w:proofErr w:type="spellStart"/>
      <w:r>
        <w:rPr>
          <w:rFonts w:ascii="Times New Roman" w:hAnsi="Times New Roman"/>
        </w:rPr>
        <w:t>Algeo</w:t>
      </w:r>
      <w:proofErr w:type="spellEnd"/>
      <w:r>
        <w:rPr>
          <w:rFonts w:ascii="Times New Roman" w:hAnsi="Times New Roman"/>
        </w:rPr>
        <w:t xml:space="preserve">, T. J., Ward, P. D., </w:t>
      </w:r>
      <w:proofErr w:type="spellStart"/>
      <w:r>
        <w:rPr>
          <w:rFonts w:ascii="Times New Roman" w:hAnsi="Times New Roman"/>
        </w:rPr>
        <w:t>Williford</w:t>
      </w:r>
      <w:proofErr w:type="spellEnd"/>
      <w:r>
        <w:rPr>
          <w:rFonts w:ascii="Times New Roman" w:hAnsi="Times New Roman"/>
        </w:rPr>
        <w:t xml:space="preserve">, K. H. and </w:t>
      </w:r>
      <w:proofErr w:type="spellStart"/>
      <w:r>
        <w:rPr>
          <w:rFonts w:ascii="Times New Roman" w:hAnsi="Times New Roman"/>
        </w:rPr>
        <w:t>Haggart</w:t>
      </w:r>
      <w:proofErr w:type="spellEnd"/>
      <w:r>
        <w:rPr>
          <w:rFonts w:ascii="Times New Roman" w:hAnsi="Times New Roman"/>
        </w:rPr>
        <w:t xml:space="preserve">, J. W. (2016) Testing the limits in a greenhouse ocean: Did low nitrogen availability limit marine productivity during the end-Triassic mass extinction? Earth and Planetary Science Letters, Vol. 451, pp. 138-148.  </w:t>
      </w:r>
    </w:p>
    <w:p w:rsidR="006F7CD0" w:rsidRPr="00CC1A34" w:rsidRDefault="006F7CD0" w:rsidP="006F7CD0">
      <w:pPr>
        <w:spacing w:after="200" w:line="240" w:lineRule="auto"/>
        <w:ind w:left="720" w:hanging="720"/>
        <w:rPr>
          <w:rFonts w:ascii="Times New Roman" w:hAnsi="Times New Roman"/>
        </w:rPr>
      </w:pPr>
      <w:r>
        <w:rPr>
          <w:rFonts w:ascii="Times New Roman" w:hAnsi="Times New Roman"/>
        </w:rPr>
        <w:t xml:space="preserve">Sheehan, P. M. (2001) The Late Ordovician Mass Extinction. Annual Review of Earth and Planetary Sciences, Vol. 291, pp. 331-364. </w:t>
      </w:r>
    </w:p>
    <w:p w:rsidR="006F7CD0" w:rsidRDefault="006F7CD0" w:rsidP="006F7CD0">
      <w:pPr>
        <w:spacing w:after="200" w:line="240" w:lineRule="auto"/>
        <w:ind w:left="720" w:hanging="720"/>
        <w:rPr>
          <w:rFonts w:ascii="Times New Roman" w:hAnsi="Times New Roman"/>
        </w:rPr>
      </w:pPr>
      <w:r w:rsidRPr="00CC1A34">
        <w:rPr>
          <w:rFonts w:ascii="Times New Roman" w:hAnsi="Times New Roman"/>
        </w:rPr>
        <w:t xml:space="preserve">Sigman, D. M., and </w:t>
      </w:r>
      <w:proofErr w:type="spellStart"/>
      <w:r w:rsidRPr="00CC1A34">
        <w:rPr>
          <w:rFonts w:ascii="Times New Roman" w:hAnsi="Times New Roman"/>
        </w:rPr>
        <w:t>Casciotti</w:t>
      </w:r>
      <w:proofErr w:type="spellEnd"/>
      <w:r w:rsidRPr="00CC1A34">
        <w:rPr>
          <w:rFonts w:ascii="Times New Roman" w:hAnsi="Times New Roman"/>
        </w:rPr>
        <w:t xml:space="preserve">, K. L. (2001) Nitrogen isotopes in the ocean. </w:t>
      </w:r>
      <w:r w:rsidRPr="00CC1A34">
        <w:rPr>
          <w:rFonts w:ascii="Times New Roman" w:hAnsi="Times New Roman"/>
          <w:i/>
        </w:rPr>
        <w:t>In</w:t>
      </w:r>
      <w:r w:rsidRPr="00CC1A34">
        <w:rPr>
          <w:rFonts w:ascii="Times New Roman" w:hAnsi="Times New Roman"/>
        </w:rPr>
        <w:t xml:space="preserve"> “Encyclopedia of Ocean Sciences,” (Second Edition) pp. 40-54.</w:t>
      </w:r>
    </w:p>
    <w:p w:rsidR="006F7CD0" w:rsidRDefault="006F7CD0" w:rsidP="006F7CD0">
      <w:pPr>
        <w:spacing w:after="200" w:line="240" w:lineRule="auto"/>
        <w:ind w:left="720" w:hanging="720"/>
        <w:rPr>
          <w:rFonts w:ascii="Times New Roman" w:hAnsi="Times New Roman"/>
        </w:rPr>
      </w:pPr>
      <w:proofErr w:type="spellStart"/>
      <w:r>
        <w:rPr>
          <w:rFonts w:ascii="Times New Roman" w:hAnsi="Times New Roman"/>
        </w:rPr>
        <w:t>Snowdon</w:t>
      </w:r>
      <w:proofErr w:type="spellEnd"/>
      <w:r>
        <w:rPr>
          <w:rFonts w:ascii="Times New Roman" w:hAnsi="Times New Roman"/>
        </w:rPr>
        <w:t xml:space="preserve">, L. R., </w:t>
      </w:r>
      <w:proofErr w:type="spellStart"/>
      <w:r>
        <w:rPr>
          <w:rFonts w:ascii="Times New Roman" w:hAnsi="Times New Roman"/>
        </w:rPr>
        <w:t>Volkman</w:t>
      </w:r>
      <w:proofErr w:type="spellEnd"/>
      <w:r>
        <w:rPr>
          <w:rFonts w:ascii="Times New Roman" w:hAnsi="Times New Roman"/>
        </w:rPr>
        <w:t>, J. K., Zhang, Z., Tao, G., and Liu, P. (2016) The organic geochemistry of asphaltenes and occluded biomarkers. Organic Geochemistry, Vol. 91, pp. 3-15.</w:t>
      </w:r>
    </w:p>
    <w:p w:rsidR="006F7CD0" w:rsidRDefault="006F7CD0" w:rsidP="006F7CD0">
      <w:pPr>
        <w:spacing w:after="200" w:line="240" w:lineRule="auto"/>
        <w:ind w:left="720" w:hanging="720"/>
        <w:rPr>
          <w:rFonts w:ascii="Times New Roman" w:hAnsi="Times New Roman"/>
        </w:rPr>
      </w:pPr>
      <w:proofErr w:type="spellStart"/>
      <w:r>
        <w:rPr>
          <w:rFonts w:ascii="Times New Roman" w:hAnsi="Times New Roman"/>
        </w:rPr>
        <w:t>Sepúlveda</w:t>
      </w:r>
      <w:proofErr w:type="spellEnd"/>
      <w:r>
        <w:rPr>
          <w:rFonts w:ascii="Times New Roman" w:hAnsi="Times New Roman"/>
        </w:rPr>
        <w:t xml:space="preserve">, J., </w:t>
      </w:r>
      <w:proofErr w:type="spellStart"/>
      <w:r>
        <w:rPr>
          <w:rFonts w:ascii="Times New Roman" w:hAnsi="Times New Roman"/>
        </w:rPr>
        <w:t>Wendler</w:t>
      </w:r>
      <w:proofErr w:type="spellEnd"/>
      <w:r>
        <w:rPr>
          <w:rFonts w:ascii="Times New Roman" w:hAnsi="Times New Roman"/>
        </w:rPr>
        <w:t xml:space="preserve">, J. E., Summons, R. E., and </w:t>
      </w:r>
      <w:proofErr w:type="spellStart"/>
      <w:r>
        <w:rPr>
          <w:rFonts w:ascii="Times New Roman" w:hAnsi="Times New Roman"/>
        </w:rPr>
        <w:t>Hinrichs</w:t>
      </w:r>
      <w:proofErr w:type="spellEnd"/>
      <w:r>
        <w:rPr>
          <w:rFonts w:ascii="Times New Roman" w:hAnsi="Times New Roman"/>
        </w:rPr>
        <w:t xml:space="preserve">, K. (2009) Rapid Resurgence of marine productivity after the Cretaceous-Paleogene mass extinction. Science, Vol. 326, pp. 129-132. </w:t>
      </w:r>
    </w:p>
    <w:p w:rsidR="006F7CD0" w:rsidRPr="00CC1A34" w:rsidRDefault="006F7CD0" w:rsidP="006F7CD0">
      <w:pPr>
        <w:spacing w:after="200" w:line="240" w:lineRule="auto"/>
        <w:ind w:left="720" w:hanging="720"/>
        <w:rPr>
          <w:rFonts w:ascii="Times New Roman" w:hAnsi="Times New Roman"/>
        </w:rPr>
      </w:pPr>
      <w:proofErr w:type="spellStart"/>
      <w:r>
        <w:rPr>
          <w:rFonts w:ascii="Times New Roman" w:hAnsi="Times New Roman"/>
        </w:rPr>
        <w:t>Strąpoć</w:t>
      </w:r>
      <w:proofErr w:type="spellEnd"/>
      <w:r>
        <w:rPr>
          <w:rFonts w:ascii="Times New Roman" w:hAnsi="Times New Roman"/>
        </w:rPr>
        <w:t xml:space="preserve">, D., </w:t>
      </w:r>
      <w:proofErr w:type="spellStart"/>
      <w:r>
        <w:rPr>
          <w:rFonts w:ascii="Times New Roman" w:hAnsi="Times New Roman"/>
        </w:rPr>
        <w:t>Mastalerz</w:t>
      </w:r>
      <w:proofErr w:type="spellEnd"/>
      <w:r>
        <w:rPr>
          <w:rFonts w:ascii="Times New Roman" w:hAnsi="Times New Roman"/>
        </w:rPr>
        <w:t xml:space="preserve">, M., </w:t>
      </w:r>
      <w:proofErr w:type="spellStart"/>
      <w:r>
        <w:rPr>
          <w:rFonts w:ascii="Times New Roman" w:hAnsi="Times New Roman"/>
        </w:rPr>
        <w:t>Schimmelmann</w:t>
      </w:r>
      <w:proofErr w:type="spellEnd"/>
      <w:r>
        <w:rPr>
          <w:rFonts w:ascii="Times New Roman" w:hAnsi="Times New Roman"/>
        </w:rPr>
        <w:t xml:space="preserve">, A., </w:t>
      </w:r>
      <w:proofErr w:type="spellStart"/>
      <w:r>
        <w:rPr>
          <w:rFonts w:ascii="Times New Roman" w:hAnsi="Times New Roman"/>
        </w:rPr>
        <w:t>Drobniak</w:t>
      </w:r>
      <w:proofErr w:type="spellEnd"/>
      <w:r>
        <w:rPr>
          <w:rFonts w:ascii="Times New Roman" w:hAnsi="Times New Roman"/>
        </w:rPr>
        <w:t xml:space="preserve">, A., and </w:t>
      </w:r>
      <w:proofErr w:type="spellStart"/>
      <w:r>
        <w:rPr>
          <w:rFonts w:ascii="Times New Roman" w:hAnsi="Times New Roman"/>
        </w:rPr>
        <w:t>Hasenmueller</w:t>
      </w:r>
      <w:proofErr w:type="spellEnd"/>
      <w:r>
        <w:rPr>
          <w:rFonts w:ascii="Times New Roman" w:hAnsi="Times New Roman"/>
        </w:rPr>
        <w:t xml:space="preserve">, N. R. </w:t>
      </w:r>
      <w:r w:rsidR="00451067">
        <w:rPr>
          <w:rFonts w:ascii="Times New Roman" w:hAnsi="Times New Roman"/>
        </w:rPr>
        <w:t>(2010</w:t>
      </w:r>
      <w:r>
        <w:rPr>
          <w:rFonts w:ascii="Times New Roman" w:hAnsi="Times New Roman"/>
        </w:rPr>
        <w:t xml:space="preserve">) Geochemical </w:t>
      </w:r>
      <w:proofErr w:type="spellStart"/>
      <w:r>
        <w:rPr>
          <w:rFonts w:ascii="Times New Roman" w:hAnsi="Times New Roman"/>
        </w:rPr>
        <w:t>constrainsts</w:t>
      </w:r>
      <w:proofErr w:type="spellEnd"/>
      <w:r>
        <w:rPr>
          <w:rFonts w:ascii="Times New Roman" w:hAnsi="Times New Roman"/>
        </w:rPr>
        <w:t xml:space="preserve"> on the origin and volume of gas in the New Albany Shale, (Devonian-Mississippian), eastern Illinois Basin. AAPG Bulletin, Vol. 94, pp. 1713-1740.</w:t>
      </w:r>
    </w:p>
    <w:p w:rsidR="006F7CD0" w:rsidRDefault="006F7CD0" w:rsidP="006F7CD0">
      <w:pPr>
        <w:spacing w:after="200" w:line="240" w:lineRule="auto"/>
        <w:ind w:left="720" w:hanging="720"/>
        <w:rPr>
          <w:rFonts w:ascii="Times New Roman" w:hAnsi="Times New Roman"/>
        </w:rPr>
      </w:pPr>
      <w:r w:rsidRPr="00CC1A34">
        <w:rPr>
          <w:rFonts w:ascii="Times New Roman" w:hAnsi="Times New Roman"/>
        </w:rPr>
        <w:t>Stüeken, E. E., Buick, R., Guy, B. M., and Koehler, M. C. (2015) Isotopic evidence for biological nitrogen fixation by molybdenum-</w:t>
      </w:r>
      <w:proofErr w:type="spellStart"/>
      <w:r w:rsidRPr="00CC1A34">
        <w:rPr>
          <w:rFonts w:ascii="Times New Roman" w:hAnsi="Times New Roman"/>
        </w:rPr>
        <w:t>nitrogenase</w:t>
      </w:r>
      <w:proofErr w:type="spellEnd"/>
      <w:r w:rsidRPr="00CC1A34">
        <w:rPr>
          <w:rFonts w:ascii="Times New Roman" w:hAnsi="Times New Roman"/>
        </w:rPr>
        <w:t xml:space="preserve"> from 3.2 </w:t>
      </w:r>
      <w:proofErr w:type="spellStart"/>
      <w:r w:rsidRPr="00CC1A34">
        <w:rPr>
          <w:rFonts w:ascii="Times New Roman" w:hAnsi="Times New Roman"/>
        </w:rPr>
        <w:t>Gyr</w:t>
      </w:r>
      <w:proofErr w:type="spellEnd"/>
      <w:r w:rsidRPr="00CC1A34">
        <w:rPr>
          <w:rFonts w:ascii="Times New Roman" w:hAnsi="Times New Roman"/>
        </w:rPr>
        <w:t>. Nature, Vol. 520, pp. 666-669.</w:t>
      </w:r>
    </w:p>
    <w:p w:rsidR="006F7CD0" w:rsidRPr="00CC1A34" w:rsidRDefault="006F7CD0" w:rsidP="006F7CD0">
      <w:pPr>
        <w:spacing w:after="200" w:line="240" w:lineRule="auto"/>
        <w:ind w:left="720" w:hanging="720"/>
        <w:rPr>
          <w:rFonts w:ascii="Times New Roman" w:hAnsi="Times New Roman"/>
        </w:rPr>
      </w:pPr>
      <w:r>
        <w:rPr>
          <w:rFonts w:ascii="Times New Roman" w:hAnsi="Times New Roman"/>
        </w:rPr>
        <w:t xml:space="preserve">Sun, Y., </w:t>
      </w:r>
      <w:proofErr w:type="spellStart"/>
      <w:r>
        <w:rPr>
          <w:rFonts w:ascii="Times New Roman" w:hAnsi="Times New Roman"/>
        </w:rPr>
        <w:t>Joachimski</w:t>
      </w:r>
      <w:proofErr w:type="spellEnd"/>
      <w:r>
        <w:rPr>
          <w:rFonts w:ascii="Times New Roman" w:hAnsi="Times New Roman"/>
        </w:rPr>
        <w:t xml:space="preserve">, M. M., </w:t>
      </w:r>
      <w:proofErr w:type="spellStart"/>
      <w:r>
        <w:rPr>
          <w:rFonts w:ascii="Times New Roman" w:hAnsi="Times New Roman"/>
        </w:rPr>
        <w:t>Wignall</w:t>
      </w:r>
      <w:proofErr w:type="spellEnd"/>
      <w:r>
        <w:rPr>
          <w:rFonts w:ascii="Times New Roman" w:hAnsi="Times New Roman"/>
        </w:rPr>
        <w:t xml:space="preserve">, P. B., Yan, C., Chen, Y., Jiang, H., Wang, L., and Lai, X. (2012) Lethally hot temperatures during the Early Triassic greenhouse. Science, Vol. 338, pp. 366-370. </w:t>
      </w:r>
    </w:p>
    <w:p w:rsidR="006F7CD0" w:rsidRDefault="006F7CD0" w:rsidP="006F7CD0">
      <w:pPr>
        <w:spacing w:after="200" w:line="240" w:lineRule="auto"/>
        <w:ind w:left="720" w:hanging="720"/>
        <w:rPr>
          <w:rFonts w:ascii="Times New Roman" w:hAnsi="Times New Roman"/>
        </w:rPr>
      </w:pPr>
      <w:r w:rsidRPr="00CC1A34">
        <w:rPr>
          <w:rFonts w:ascii="Times New Roman" w:hAnsi="Times New Roman"/>
        </w:rPr>
        <w:t xml:space="preserve">Tesdal, J. E., Galbraith, E. D., and </w:t>
      </w:r>
      <w:proofErr w:type="spellStart"/>
      <w:r w:rsidRPr="00CC1A34">
        <w:rPr>
          <w:rFonts w:ascii="Times New Roman" w:hAnsi="Times New Roman"/>
        </w:rPr>
        <w:t>Kienast</w:t>
      </w:r>
      <w:proofErr w:type="spellEnd"/>
      <w:r w:rsidRPr="00CC1A34">
        <w:rPr>
          <w:rFonts w:ascii="Times New Roman" w:hAnsi="Times New Roman"/>
        </w:rPr>
        <w:t>, M. (2013) Nitrogen isotopes in bulk marine sediment: linking seafloor observations with subseafloor records. Biosciences, Vol. 10, pp. 101-118.</w:t>
      </w:r>
    </w:p>
    <w:p w:rsidR="006F7CD0" w:rsidRDefault="006F7CD0" w:rsidP="006F7CD0">
      <w:pPr>
        <w:spacing w:after="200" w:line="240" w:lineRule="auto"/>
        <w:ind w:left="720" w:hanging="720"/>
        <w:rPr>
          <w:rFonts w:ascii="Times New Roman" w:hAnsi="Times New Roman"/>
        </w:rPr>
      </w:pPr>
      <w:proofErr w:type="spellStart"/>
      <w:r>
        <w:rPr>
          <w:rFonts w:ascii="Times New Roman" w:hAnsi="Times New Roman"/>
        </w:rPr>
        <w:t>Vandenbroucke</w:t>
      </w:r>
      <w:proofErr w:type="spellEnd"/>
      <w:r>
        <w:rPr>
          <w:rFonts w:ascii="Times New Roman" w:hAnsi="Times New Roman"/>
        </w:rPr>
        <w:t xml:space="preserve">, M., and </w:t>
      </w:r>
      <w:proofErr w:type="spellStart"/>
      <w:r>
        <w:rPr>
          <w:rFonts w:ascii="Times New Roman" w:hAnsi="Times New Roman"/>
        </w:rPr>
        <w:t>Largeau</w:t>
      </w:r>
      <w:proofErr w:type="spellEnd"/>
      <w:r>
        <w:rPr>
          <w:rFonts w:ascii="Times New Roman" w:hAnsi="Times New Roman"/>
        </w:rPr>
        <w:t xml:space="preserve">, C. (2007) Kerogen origin, evolution and structure. (2007) Organic Geochemistry, Vol. 38, pp. 719-833. </w:t>
      </w:r>
    </w:p>
    <w:p w:rsidR="006F7CD0" w:rsidRDefault="006F7CD0" w:rsidP="006F7CD0">
      <w:pPr>
        <w:spacing w:after="200" w:line="240" w:lineRule="auto"/>
        <w:ind w:left="720" w:hanging="720"/>
        <w:rPr>
          <w:rFonts w:ascii="Times New Roman" w:hAnsi="Times New Roman"/>
        </w:rPr>
      </w:pPr>
      <w:proofErr w:type="spellStart"/>
      <w:r>
        <w:rPr>
          <w:rFonts w:ascii="Times New Roman" w:hAnsi="Times New Roman"/>
        </w:rPr>
        <w:t>Verducci</w:t>
      </w:r>
      <w:proofErr w:type="spellEnd"/>
      <w:r>
        <w:rPr>
          <w:rFonts w:ascii="Times New Roman" w:hAnsi="Times New Roman"/>
        </w:rPr>
        <w:t xml:space="preserve">, M., </w:t>
      </w:r>
      <w:proofErr w:type="spellStart"/>
      <w:r>
        <w:rPr>
          <w:rFonts w:ascii="Times New Roman" w:hAnsi="Times New Roman"/>
        </w:rPr>
        <w:t>Foresi</w:t>
      </w:r>
      <w:proofErr w:type="spellEnd"/>
      <w:r>
        <w:rPr>
          <w:rFonts w:ascii="Times New Roman" w:hAnsi="Times New Roman"/>
        </w:rPr>
        <w:t xml:space="preserve">, L. M., Scott, G. H., </w:t>
      </w:r>
      <w:proofErr w:type="spellStart"/>
      <w:r>
        <w:rPr>
          <w:rFonts w:ascii="Times New Roman" w:hAnsi="Times New Roman"/>
        </w:rPr>
        <w:t>Sprovieri</w:t>
      </w:r>
      <w:proofErr w:type="spellEnd"/>
      <w:r>
        <w:rPr>
          <w:rFonts w:ascii="Times New Roman" w:hAnsi="Times New Roman"/>
        </w:rPr>
        <w:t xml:space="preserve">, M., </w:t>
      </w:r>
      <w:proofErr w:type="spellStart"/>
      <w:r>
        <w:rPr>
          <w:rFonts w:ascii="Times New Roman" w:hAnsi="Times New Roman"/>
        </w:rPr>
        <w:t>Lirer</w:t>
      </w:r>
      <w:proofErr w:type="spellEnd"/>
      <w:r>
        <w:rPr>
          <w:rFonts w:ascii="Times New Roman" w:hAnsi="Times New Roman"/>
        </w:rPr>
        <w:t xml:space="preserve">, F., and Pelosi, N. (2009) The Middle Miocene climatic transition in the Southern Ocean: Evidence of paleoclimate and hydrographic changes at Kerguelen plateau from planktonic foraminifers and stable isotopes. </w:t>
      </w:r>
      <w:proofErr w:type="spellStart"/>
      <w:r w:rsidRPr="00CC1A34">
        <w:rPr>
          <w:rFonts w:ascii="Times New Roman" w:hAnsi="Times New Roman"/>
        </w:rPr>
        <w:t>Palaeogeography</w:t>
      </w:r>
      <w:proofErr w:type="spellEnd"/>
      <w:r w:rsidRPr="00CC1A34">
        <w:rPr>
          <w:rFonts w:ascii="Times New Roman" w:hAnsi="Times New Roman"/>
        </w:rPr>
        <w:t xml:space="preserve">, </w:t>
      </w:r>
      <w:proofErr w:type="spellStart"/>
      <w:r w:rsidRPr="00CC1A34">
        <w:rPr>
          <w:rFonts w:ascii="Times New Roman" w:hAnsi="Times New Roman"/>
        </w:rPr>
        <w:t>Palaeoclimatology</w:t>
      </w:r>
      <w:proofErr w:type="spellEnd"/>
      <w:r w:rsidRPr="00CC1A34">
        <w:rPr>
          <w:rFonts w:ascii="Times New Roman" w:hAnsi="Times New Roman"/>
        </w:rPr>
        <w:t xml:space="preserve">, </w:t>
      </w:r>
      <w:proofErr w:type="spellStart"/>
      <w:r w:rsidRPr="00CC1A34">
        <w:rPr>
          <w:rFonts w:ascii="Times New Roman" w:hAnsi="Times New Roman"/>
        </w:rPr>
        <w:t>Palaeoecology</w:t>
      </w:r>
      <w:proofErr w:type="spellEnd"/>
      <w:r w:rsidRPr="00CC1A34">
        <w:rPr>
          <w:rFonts w:ascii="Times New Roman" w:hAnsi="Times New Roman"/>
        </w:rPr>
        <w:t>,</w:t>
      </w:r>
      <w:r>
        <w:rPr>
          <w:rFonts w:ascii="Times New Roman" w:hAnsi="Times New Roman"/>
        </w:rPr>
        <w:t xml:space="preserve"> Vol. 280, pp. 371-386.</w:t>
      </w:r>
    </w:p>
    <w:p w:rsidR="006F7CD0" w:rsidRDefault="006F7CD0" w:rsidP="006F7CD0">
      <w:pPr>
        <w:spacing w:after="200" w:line="240" w:lineRule="auto"/>
        <w:ind w:left="720" w:hanging="720"/>
        <w:rPr>
          <w:rFonts w:ascii="Times New Roman" w:hAnsi="Times New Roman"/>
        </w:rPr>
      </w:pPr>
      <w:r>
        <w:rPr>
          <w:rFonts w:ascii="Times New Roman" w:hAnsi="Times New Roman"/>
        </w:rPr>
        <w:lastRenderedPageBreak/>
        <w:t xml:space="preserve">Wallace, Z. A., and </w:t>
      </w:r>
      <w:proofErr w:type="spellStart"/>
      <w:r>
        <w:rPr>
          <w:rFonts w:ascii="Times New Roman" w:hAnsi="Times New Roman"/>
        </w:rPr>
        <w:t>Elrick</w:t>
      </w:r>
      <w:proofErr w:type="spellEnd"/>
      <w:r>
        <w:rPr>
          <w:rFonts w:ascii="Times New Roman" w:hAnsi="Times New Roman"/>
        </w:rPr>
        <w:t>, M. (2014) Early Mississippian orbital-scale glacio-</w:t>
      </w:r>
      <w:proofErr w:type="spellStart"/>
      <w:r>
        <w:rPr>
          <w:rFonts w:ascii="Times New Roman" w:hAnsi="Times New Roman"/>
        </w:rPr>
        <w:t>eustasy</w:t>
      </w:r>
      <w:proofErr w:type="spellEnd"/>
      <w:r>
        <w:rPr>
          <w:rFonts w:ascii="Times New Roman" w:hAnsi="Times New Roman"/>
        </w:rPr>
        <w:t xml:space="preserve"> detected from high-resolution oxygen isotopes of marine apatite. Journal of Sedimentary Research, Vol. 84, pp. 816-824.</w:t>
      </w:r>
    </w:p>
    <w:p w:rsidR="006F7CD0" w:rsidRPr="00CC1A34" w:rsidRDefault="006F7CD0" w:rsidP="006F7CD0">
      <w:pPr>
        <w:spacing w:after="200" w:line="240" w:lineRule="auto"/>
        <w:ind w:left="720" w:hanging="720"/>
        <w:rPr>
          <w:rFonts w:ascii="Times New Roman" w:hAnsi="Times New Roman"/>
        </w:rPr>
      </w:pPr>
      <w:r>
        <w:rPr>
          <w:rFonts w:ascii="Times New Roman" w:hAnsi="Times New Roman"/>
        </w:rPr>
        <w:t xml:space="preserve">Wang, D., Struck, U., Ling, H. F., Guo, Q. J., Shields-Zhou, G. A., Zhu, M. Y., and Yao, S. P. (2015) Marine redox variations and nitrogen cycle of the early Cambrian southern margin of the Yangtze Platform, South China: Evidence from nitrogen and organic carbon isotopes. Precambrian Research, Vol. 267, pp. 209-226.  </w:t>
      </w:r>
    </w:p>
    <w:p w:rsidR="006F7CD0" w:rsidRPr="00CC1A34" w:rsidRDefault="006F7CD0" w:rsidP="006F7CD0">
      <w:pPr>
        <w:spacing w:after="200" w:line="240" w:lineRule="auto"/>
        <w:ind w:left="720" w:hanging="720"/>
        <w:rPr>
          <w:rFonts w:ascii="Times New Roman" w:hAnsi="Times New Roman"/>
        </w:rPr>
      </w:pPr>
      <w:proofErr w:type="spellStart"/>
      <w:r w:rsidRPr="00CC1A34">
        <w:rPr>
          <w:rFonts w:ascii="Times New Roman" w:hAnsi="Times New Roman"/>
        </w:rPr>
        <w:t>Wenk</w:t>
      </w:r>
      <w:proofErr w:type="spellEnd"/>
      <w:r w:rsidRPr="00CC1A34">
        <w:rPr>
          <w:rFonts w:ascii="Times New Roman" w:hAnsi="Times New Roman"/>
        </w:rPr>
        <w:t xml:space="preserve">, C. B. (2013) Nitrogen transformation pathways, rates and isotopic signatures in Lake Lugano. Ph.D. thesis, Department of Environmental Sciences, University of Basel, Switzerland, pp. 1-136. </w:t>
      </w:r>
    </w:p>
    <w:p w:rsidR="006F7CD0" w:rsidRDefault="006F7CD0" w:rsidP="006F7CD0">
      <w:pPr>
        <w:spacing w:after="200" w:line="240" w:lineRule="auto"/>
        <w:ind w:left="720" w:hanging="720"/>
        <w:rPr>
          <w:rFonts w:ascii="Times New Roman" w:hAnsi="Times New Roman"/>
        </w:rPr>
      </w:pPr>
      <w:r w:rsidRPr="00CC1A34">
        <w:rPr>
          <w:rFonts w:ascii="Times New Roman" w:hAnsi="Times New Roman"/>
        </w:rPr>
        <w:t xml:space="preserve">Williams, Lynda B., Ferrell Jr., Ray E., Hutcheon, Ian., </w:t>
      </w:r>
      <w:proofErr w:type="spellStart"/>
      <w:r w:rsidRPr="00CC1A34">
        <w:rPr>
          <w:rFonts w:ascii="Times New Roman" w:hAnsi="Times New Roman"/>
        </w:rPr>
        <w:t>Bakel</w:t>
      </w:r>
      <w:proofErr w:type="spellEnd"/>
      <w:r w:rsidRPr="00CC1A34">
        <w:rPr>
          <w:rFonts w:ascii="Times New Roman" w:hAnsi="Times New Roman"/>
        </w:rPr>
        <w:t xml:space="preserve">, Allen J., Walsh, Maud M., and </w:t>
      </w:r>
      <w:proofErr w:type="spellStart"/>
      <w:r w:rsidRPr="00CC1A34">
        <w:rPr>
          <w:rFonts w:ascii="Times New Roman" w:hAnsi="Times New Roman"/>
        </w:rPr>
        <w:t>Krouse</w:t>
      </w:r>
      <w:proofErr w:type="spellEnd"/>
      <w:r w:rsidRPr="00CC1A34">
        <w:rPr>
          <w:rFonts w:ascii="Times New Roman" w:hAnsi="Times New Roman"/>
        </w:rPr>
        <w:t xml:space="preserve">, H. Roy. (1995) Nitrogen isotope geochemistry of organic matter and minerals during diagenesis and hydrocarbon migration. </w:t>
      </w:r>
      <w:proofErr w:type="spellStart"/>
      <w:r w:rsidRPr="00CC1A34">
        <w:rPr>
          <w:rFonts w:ascii="Times New Roman" w:hAnsi="Times New Roman"/>
        </w:rPr>
        <w:t>Geochimica</w:t>
      </w:r>
      <w:proofErr w:type="spellEnd"/>
      <w:r w:rsidRPr="00CC1A34">
        <w:rPr>
          <w:rFonts w:ascii="Times New Roman" w:hAnsi="Times New Roman"/>
        </w:rPr>
        <w:t xml:space="preserve"> et </w:t>
      </w:r>
      <w:proofErr w:type="spellStart"/>
      <w:r w:rsidRPr="00CC1A34">
        <w:rPr>
          <w:rFonts w:ascii="Times New Roman" w:hAnsi="Times New Roman"/>
        </w:rPr>
        <w:t>Cosmochimica</w:t>
      </w:r>
      <w:proofErr w:type="spellEnd"/>
      <w:r w:rsidRPr="00CC1A34">
        <w:rPr>
          <w:rFonts w:ascii="Times New Roman" w:hAnsi="Times New Roman"/>
        </w:rPr>
        <w:t xml:space="preserve"> Acta, Vol. 59, pp. 765-779.  </w:t>
      </w:r>
    </w:p>
    <w:p w:rsidR="006F7CD0" w:rsidRDefault="006F7CD0" w:rsidP="006F7CD0">
      <w:pPr>
        <w:spacing w:after="200" w:line="240" w:lineRule="auto"/>
        <w:ind w:left="720" w:hanging="720"/>
        <w:rPr>
          <w:rFonts w:ascii="Times New Roman" w:hAnsi="Times New Roman"/>
        </w:rPr>
      </w:pPr>
      <w:r>
        <w:rPr>
          <w:rFonts w:ascii="Times New Roman" w:hAnsi="Times New Roman"/>
        </w:rPr>
        <w:t xml:space="preserve">Zhang, T., Shen, Y., Zhan, R., Shen, S., and Chen, X. (2009) Large perturbations of the carbon and sulfur cycle associated with the Late Ordovician mass extinction in South China. Geology, Vol. 37, pp. 299-302. </w:t>
      </w:r>
    </w:p>
    <w:p w:rsidR="006F7CD0" w:rsidRDefault="006F7CD0" w:rsidP="006F7CD0">
      <w:pPr>
        <w:spacing w:after="200" w:line="240" w:lineRule="auto"/>
        <w:ind w:left="720" w:hanging="720"/>
        <w:rPr>
          <w:rFonts w:ascii="Times New Roman" w:hAnsi="Times New Roman"/>
        </w:rPr>
      </w:pPr>
      <w:r>
        <w:rPr>
          <w:rFonts w:ascii="Times New Roman" w:hAnsi="Times New Roman"/>
        </w:rPr>
        <w:t xml:space="preserve">Zhou, L., </w:t>
      </w:r>
      <w:proofErr w:type="spellStart"/>
      <w:r>
        <w:rPr>
          <w:rFonts w:ascii="Times New Roman" w:hAnsi="Times New Roman"/>
        </w:rPr>
        <w:t>Algeo</w:t>
      </w:r>
      <w:proofErr w:type="spellEnd"/>
      <w:r>
        <w:rPr>
          <w:rFonts w:ascii="Times New Roman" w:hAnsi="Times New Roman"/>
        </w:rPr>
        <w:t xml:space="preserve">, T. J., Shen, J., Hu, Z., Gong, H., </w:t>
      </w:r>
      <w:proofErr w:type="spellStart"/>
      <w:r>
        <w:rPr>
          <w:rFonts w:ascii="Times New Roman" w:hAnsi="Times New Roman"/>
        </w:rPr>
        <w:t>Xie</w:t>
      </w:r>
      <w:proofErr w:type="spellEnd"/>
      <w:r>
        <w:rPr>
          <w:rFonts w:ascii="Times New Roman" w:hAnsi="Times New Roman"/>
        </w:rPr>
        <w:t xml:space="preserve">, S., Huang, J., and Gao, S. (2015) Changes in marine productivity and redox conditions during the Late Ordovician Hirnantian glaciation. </w:t>
      </w:r>
      <w:proofErr w:type="spellStart"/>
      <w:r w:rsidRPr="00CC1A34">
        <w:rPr>
          <w:rFonts w:ascii="Times New Roman" w:hAnsi="Times New Roman"/>
        </w:rPr>
        <w:t>Palaeogeography</w:t>
      </w:r>
      <w:proofErr w:type="spellEnd"/>
      <w:r w:rsidRPr="00CC1A34">
        <w:rPr>
          <w:rFonts w:ascii="Times New Roman" w:hAnsi="Times New Roman"/>
        </w:rPr>
        <w:t xml:space="preserve">, </w:t>
      </w:r>
      <w:proofErr w:type="spellStart"/>
      <w:r w:rsidRPr="00CC1A34">
        <w:rPr>
          <w:rFonts w:ascii="Times New Roman" w:hAnsi="Times New Roman"/>
        </w:rPr>
        <w:t>Palaeoclimatology</w:t>
      </w:r>
      <w:proofErr w:type="spellEnd"/>
      <w:r w:rsidRPr="00CC1A34">
        <w:rPr>
          <w:rFonts w:ascii="Times New Roman" w:hAnsi="Times New Roman"/>
        </w:rPr>
        <w:t xml:space="preserve">, </w:t>
      </w:r>
      <w:proofErr w:type="spellStart"/>
      <w:r w:rsidRPr="00CC1A34">
        <w:rPr>
          <w:rFonts w:ascii="Times New Roman" w:hAnsi="Times New Roman"/>
        </w:rPr>
        <w:t>Palaeoecology</w:t>
      </w:r>
      <w:proofErr w:type="spellEnd"/>
      <w:r>
        <w:rPr>
          <w:rFonts w:ascii="Times New Roman" w:hAnsi="Times New Roman"/>
        </w:rPr>
        <w:t>, Vol. 420, pp. 223-234.</w:t>
      </w:r>
    </w:p>
    <w:p w:rsidR="006F7CD0" w:rsidRPr="002B4B56" w:rsidRDefault="00AA0B13" w:rsidP="002B4B56">
      <w:pPr>
        <w:pStyle w:val="Heading1"/>
      </w:pPr>
      <w:r>
        <w:br w:type="page"/>
      </w:r>
      <w:bookmarkStart w:id="16" w:name="_Toc310579475"/>
      <w:bookmarkStart w:id="17" w:name="_Toc315681372"/>
      <w:r w:rsidR="006F7CD0">
        <w:lastRenderedPageBreak/>
        <w:t xml:space="preserve">Appendix </w:t>
      </w:r>
      <w:bookmarkEnd w:id="16"/>
      <w:bookmarkEnd w:id="17"/>
      <w:r w:rsidR="002B4B56">
        <w:t>1:</w:t>
      </w:r>
      <w:r w:rsidR="002B4B56" w:rsidRPr="006F7CD0">
        <w:rPr>
          <w:rFonts w:ascii="Times New Roman" w:hAnsi="Times New Roman"/>
          <w:iCs/>
        </w:rPr>
        <w:t xml:space="preserve"> Age</w:t>
      </w:r>
      <w:r w:rsidR="006F7CD0" w:rsidRPr="006F7CD0">
        <w:rPr>
          <w:rFonts w:ascii="Times New Roman" w:hAnsi="Times New Roman"/>
          <w:iCs/>
        </w:rPr>
        <w:t xml:space="preserve">, lithology, and sample location </w:t>
      </w:r>
    </w:p>
    <w:tbl>
      <w:tblPr>
        <w:tblStyle w:val="Style1"/>
        <w:tblW w:w="0" w:type="auto"/>
        <w:tblLook w:val="04A0" w:firstRow="1" w:lastRow="0" w:firstColumn="1" w:lastColumn="0" w:noHBand="0" w:noVBand="1"/>
      </w:tblPr>
      <w:tblGrid>
        <w:gridCol w:w="704"/>
        <w:gridCol w:w="1432"/>
        <w:gridCol w:w="2096"/>
        <w:gridCol w:w="2277"/>
        <w:gridCol w:w="1987"/>
      </w:tblGrid>
      <w:tr w:rsidR="00B32641" w:rsidRPr="006F7CD0" w:rsidTr="00B32641">
        <w:tc>
          <w:tcPr>
            <w:tcW w:w="704" w:type="dxa"/>
            <w:tcBorders>
              <w:top w:val="single" w:sz="4" w:space="0" w:color="auto"/>
              <w:bottom w:val="single" w:sz="4" w:space="0" w:color="auto"/>
            </w:tcBorders>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Sample ID </w:t>
            </w:r>
          </w:p>
        </w:tc>
        <w:tc>
          <w:tcPr>
            <w:tcW w:w="1432" w:type="dxa"/>
            <w:tcBorders>
              <w:top w:val="single" w:sz="4" w:space="0" w:color="auto"/>
              <w:bottom w:val="single" w:sz="4" w:space="0" w:color="auto"/>
            </w:tcBorders>
          </w:tcPr>
          <w:p w:rsidR="00B32641" w:rsidRPr="000F3931" w:rsidRDefault="000F3931" w:rsidP="00B32641">
            <w:pPr>
              <w:spacing w:after="200" w:line="240" w:lineRule="auto"/>
              <w:jc w:val="center"/>
              <w:rPr>
                <w:rFonts w:ascii="Times New Roman" w:hAnsi="Times New Roman"/>
                <w:sz w:val="16"/>
                <w:szCs w:val="16"/>
              </w:rPr>
            </w:pPr>
            <w:r w:rsidRPr="000F3931">
              <w:rPr>
                <w:rFonts w:ascii="Times New Roman" w:hAnsi="Times New Roman"/>
                <w:sz w:val="16"/>
                <w:szCs w:val="16"/>
              </w:rPr>
              <w:t>GeoM</w:t>
            </w:r>
            <w:r w:rsidR="00B32641" w:rsidRPr="000F3931">
              <w:rPr>
                <w:rFonts w:ascii="Times New Roman" w:hAnsi="Times New Roman"/>
                <w:sz w:val="16"/>
                <w:szCs w:val="16"/>
              </w:rPr>
              <w:t>ark          Lab ID</w:t>
            </w:r>
          </w:p>
        </w:tc>
        <w:tc>
          <w:tcPr>
            <w:tcW w:w="2096" w:type="dxa"/>
            <w:tcBorders>
              <w:top w:val="single" w:sz="4" w:space="0" w:color="auto"/>
              <w:bottom w:val="single" w:sz="4" w:space="0" w:color="auto"/>
            </w:tcBorders>
          </w:tcPr>
          <w:p w:rsidR="00B32641" w:rsidRPr="006F7CD0" w:rsidRDefault="00B32641" w:rsidP="00B32641">
            <w:pPr>
              <w:spacing w:after="200" w:line="240"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Geologic Age of Source Rocks </w:t>
            </w:r>
          </w:p>
        </w:tc>
        <w:tc>
          <w:tcPr>
            <w:tcW w:w="2277" w:type="dxa"/>
            <w:tcBorders>
              <w:top w:val="single" w:sz="4" w:space="0" w:color="auto"/>
              <w:bottom w:val="single" w:sz="4" w:space="0" w:color="auto"/>
            </w:tcBorders>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Lithology/Depositional Environment </w:t>
            </w:r>
          </w:p>
        </w:tc>
        <w:tc>
          <w:tcPr>
            <w:tcW w:w="1987" w:type="dxa"/>
            <w:tcBorders>
              <w:top w:val="single" w:sz="4" w:space="0" w:color="auto"/>
              <w:bottom w:val="single" w:sz="4" w:space="0" w:color="auto"/>
            </w:tcBorders>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 Sample Location </w:t>
            </w:r>
          </w:p>
        </w:tc>
      </w:tr>
      <w:tr w:rsidR="00B32641" w:rsidRPr="006F7CD0" w:rsidTr="00B32641">
        <w:tc>
          <w:tcPr>
            <w:tcW w:w="704" w:type="dxa"/>
            <w:tcBorders>
              <w:top w:val="single" w:sz="4" w:space="0" w:color="auto"/>
            </w:tcBorders>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1</w:t>
            </w:r>
          </w:p>
        </w:tc>
        <w:tc>
          <w:tcPr>
            <w:tcW w:w="1432" w:type="dxa"/>
            <w:tcBorders>
              <w:top w:val="single" w:sz="4" w:space="0" w:color="auto"/>
            </w:tcBorders>
          </w:tcPr>
          <w:p w:rsidR="00B32641" w:rsidRPr="000F3931" w:rsidRDefault="00B32641" w:rsidP="00B32641">
            <w:pPr>
              <w:spacing w:after="200" w:line="276" w:lineRule="auto"/>
              <w:jc w:val="center"/>
              <w:rPr>
                <w:rFonts w:ascii="Times New Roman" w:hAnsi="Times New Roman"/>
                <w:sz w:val="16"/>
                <w:szCs w:val="16"/>
              </w:rPr>
            </w:pPr>
            <w:r w:rsidRPr="000F3931">
              <w:rPr>
                <w:rFonts w:ascii="Times New Roman" w:hAnsi="Times New Roman"/>
                <w:sz w:val="16"/>
                <w:szCs w:val="16"/>
              </w:rPr>
              <w:t>CA-0022</w:t>
            </w:r>
          </w:p>
        </w:tc>
        <w:tc>
          <w:tcPr>
            <w:tcW w:w="2096" w:type="dxa"/>
            <w:tcBorders>
              <w:top w:val="single" w:sz="4" w:space="0" w:color="auto"/>
            </w:tcBorders>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Neogene</w:t>
            </w:r>
          </w:p>
        </w:tc>
        <w:tc>
          <w:tcPr>
            <w:tcW w:w="2277" w:type="dxa"/>
            <w:tcBorders>
              <w:top w:val="single" w:sz="4" w:space="0" w:color="auto"/>
            </w:tcBorders>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Distal Marine Shale </w:t>
            </w:r>
          </w:p>
        </w:tc>
        <w:tc>
          <w:tcPr>
            <w:tcW w:w="1987" w:type="dxa"/>
            <w:tcBorders>
              <w:top w:val="single" w:sz="4" w:space="0" w:color="auto"/>
            </w:tcBorders>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San Joaquin Basin, US</w:t>
            </w:r>
          </w:p>
        </w:tc>
      </w:tr>
      <w:tr w:rsidR="00B32641" w:rsidRPr="006F7CD0" w:rsidTr="00B32641">
        <w:tc>
          <w:tcPr>
            <w:tcW w:w="704"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2</w:t>
            </w:r>
          </w:p>
        </w:tc>
        <w:tc>
          <w:tcPr>
            <w:tcW w:w="1432" w:type="dxa"/>
          </w:tcPr>
          <w:p w:rsidR="00B32641" w:rsidRPr="000F3931" w:rsidRDefault="00B32641" w:rsidP="00853B6F">
            <w:pPr>
              <w:spacing w:after="200" w:line="276" w:lineRule="auto"/>
              <w:jc w:val="center"/>
              <w:rPr>
                <w:rFonts w:ascii="Times New Roman" w:hAnsi="Times New Roman"/>
                <w:sz w:val="16"/>
                <w:szCs w:val="16"/>
              </w:rPr>
            </w:pPr>
            <w:r w:rsidRPr="000F3931">
              <w:rPr>
                <w:rFonts w:ascii="Times New Roman" w:hAnsi="Times New Roman"/>
                <w:sz w:val="16"/>
                <w:szCs w:val="16"/>
              </w:rPr>
              <w:t>CA-0024</w:t>
            </w:r>
          </w:p>
        </w:tc>
        <w:tc>
          <w:tcPr>
            <w:tcW w:w="2096"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Neogene</w:t>
            </w:r>
          </w:p>
        </w:tc>
        <w:tc>
          <w:tcPr>
            <w:tcW w:w="227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Distal Marine Shale </w:t>
            </w:r>
          </w:p>
        </w:tc>
        <w:tc>
          <w:tcPr>
            <w:tcW w:w="198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San Joaquin Basin, US </w:t>
            </w:r>
          </w:p>
        </w:tc>
      </w:tr>
      <w:tr w:rsidR="00B32641" w:rsidRPr="006F7CD0" w:rsidTr="00B32641">
        <w:tc>
          <w:tcPr>
            <w:tcW w:w="704"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3</w:t>
            </w:r>
          </w:p>
        </w:tc>
        <w:tc>
          <w:tcPr>
            <w:tcW w:w="1432" w:type="dxa"/>
          </w:tcPr>
          <w:p w:rsidR="00B32641" w:rsidRPr="000F3931" w:rsidRDefault="00B32641" w:rsidP="00853B6F">
            <w:pPr>
              <w:spacing w:after="200" w:line="276" w:lineRule="auto"/>
              <w:jc w:val="center"/>
              <w:rPr>
                <w:rFonts w:ascii="Times New Roman" w:hAnsi="Times New Roman"/>
                <w:sz w:val="16"/>
                <w:szCs w:val="16"/>
              </w:rPr>
            </w:pPr>
            <w:r w:rsidRPr="000F3931">
              <w:rPr>
                <w:rFonts w:ascii="Times New Roman" w:hAnsi="Times New Roman"/>
                <w:sz w:val="16"/>
                <w:szCs w:val="16"/>
              </w:rPr>
              <w:t>PH-0031</w:t>
            </w:r>
          </w:p>
        </w:tc>
        <w:tc>
          <w:tcPr>
            <w:tcW w:w="2096"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Neogene</w:t>
            </w:r>
          </w:p>
        </w:tc>
        <w:tc>
          <w:tcPr>
            <w:tcW w:w="227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Marine Carbonate </w:t>
            </w:r>
          </w:p>
        </w:tc>
        <w:tc>
          <w:tcPr>
            <w:tcW w:w="198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Palawan Shelf, Philippines </w:t>
            </w:r>
          </w:p>
        </w:tc>
      </w:tr>
      <w:tr w:rsidR="00B32641" w:rsidRPr="006F7CD0" w:rsidTr="00B32641">
        <w:tc>
          <w:tcPr>
            <w:tcW w:w="704"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4</w:t>
            </w:r>
          </w:p>
        </w:tc>
        <w:tc>
          <w:tcPr>
            <w:tcW w:w="1432" w:type="dxa"/>
          </w:tcPr>
          <w:p w:rsidR="00B32641" w:rsidRPr="000F3931" w:rsidRDefault="00B32641" w:rsidP="00853B6F">
            <w:pPr>
              <w:spacing w:after="200" w:line="276" w:lineRule="auto"/>
              <w:jc w:val="center"/>
              <w:rPr>
                <w:rFonts w:ascii="Times New Roman" w:hAnsi="Times New Roman"/>
                <w:sz w:val="16"/>
                <w:szCs w:val="16"/>
              </w:rPr>
            </w:pPr>
            <w:r w:rsidRPr="000F3931">
              <w:rPr>
                <w:rFonts w:ascii="Times New Roman" w:hAnsi="Times New Roman"/>
                <w:sz w:val="16"/>
                <w:szCs w:val="16"/>
              </w:rPr>
              <w:t>RU-0411</w:t>
            </w:r>
          </w:p>
        </w:tc>
        <w:tc>
          <w:tcPr>
            <w:tcW w:w="2096"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Neogene </w:t>
            </w:r>
          </w:p>
        </w:tc>
        <w:tc>
          <w:tcPr>
            <w:tcW w:w="227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Distal Marine Shale </w:t>
            </w:r>
          </w:p>
        </w:tc>
        <w:tc>
          <w:tcPr>
            <w:tcW w:w="198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North Sakhalin Basin, Russia  </w:t>
            </w:r>
          </w:p>
        </w:tc>
      </w:tr>
      <w:tr w:rsidR="00B32641" w:rsidRPr="006F7CD0" w:rsidTr="00B32641">
        <w:tc>
          <w:tcPr>
            <w:tcW w:w="704"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5</w:t>
            </w:r>
          </w:p>
        </w:tc>
        <w:tc>
          <w:tcPr>
            <w:tcW w:w="1432" w:type="dxa"/>
          </w:tcPr>
          <w:p w:rsidR="00B32641" w:rsidRPr="000F3931" w:rsidRDefault="00B32641" w:rsidP="00853B6F">
            <w:pPr>
              <w:spacing w:after="200" w:line="276" w:lineRule="auto"/>
              <w:jc w:val="center"/>
              <w:rPr>
                <w:rFonts w:ascii="Times New Roman" w:hAnsi="Times New Roman"/>
                <w:sz w:val="16"/>
                <w:szCs w:val="16"/>
              </w:rPr>
            </w:pPr>
            <w:r w:rsidRPr="000F3931">
              <w:rPr>
                <w:rFonts w:ascii="Times New Roman" w:hAnsi="Times New Roman"/>
                <w:sz w:val="16"/>
                <w:szCs w:val="16"/>
              </w:rPr>
              <w:t>PL-0002</w:t>
            </w:r>
          </w:p>
        </w:tc>
        <w:tc>
          <w:tcPr>
            <w:tcW w:w="2096"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Paleogene</w:t>
            </w:r>
          </w:p>
        </w:tc>
        <w:tc>
          <w:tcPr>
            <w:tcW w:w="227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Distal Marine Shale </w:t>
            </w:r>
          </w:p>
        </w:tc>
        <w:tc>
          <w:tcPr>
            <w:tcW w:w="198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North Carpathian Basin, Poland </w:t>
            </w:r>
          </w:p>
        </w:tc>
      </w:tr>
      <w:tr w:rsidR="00B32641" w:rsidRPr="006F7CD0" w:rsidTr="00B32641">
        <w:tc>
          <w:tcPr>
            <w:tcW w:w="704"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6</w:t>
            </w:r>
          </w:p>
        </w:tc>
        <w:tc>
          <w:tcPr>
            <w:tcW w:w="1432" w:type="dxa"/>
          </w:tcPr>
          <w:p w:rsidR="00B32641" w:rsidRPr="000F3931" w:rsidRDefault="00B32641" w:rsidP="00853B6F">
            <w:pPr>
              <w:spacing w:after="200" w:line="276" w:lineRule="auto"/>
              <w:jc w:val="center"/>
              <w:rPr>
                <w:rFonts w:ascii="Times New Roman" w:hAnsi="Times New Roman"/>
                <w:sz w:val="16"/>
                <w:szCs w:val="16"/>
              </w:rPr>
            </w:pPr>
            <w:r w:rsidRPr="000F3931">
              <w:rPr>
                <w:rFonts w:ascii="Times New Roman" w:hAnsi="Times New Roman"/>
                <w:sz w:val="16"/>
                <w:szCs w:val="16"/>
              </w:rPr>
              <w:t>IN-0084</w:t>
            </w:r>
          </w:p>
        </w:tc>
        <w:tc>
          <w:tcPr>
            <w:tcW w:w="2096"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Paleogene</w:t>
            </w:r>
          </w:p>
        </w:tc>
        <w:tc>
          <w:tcPr>
            <w:tcW w:w="227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Distal Marine Shale </w:t>
            </w:r>
          </w:p>
        </w:tc>
        <w:tc>
          <w:tcPr>
            <w:tcW w:w="198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Zagros Fold Belt, Iran</w:t>
            </w:r>
          </w:p>
        </w:tc>
      </w:tr>
      <w:tr w:rsidR="00B32641" w:rsidRPr="006F7CD0" w:rsidTr="00B32641">
        <w:tc>
          <w:tcPr>
            <w:tcW w:w="704"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7</w:t>
            </w:r>
          </w:p>
        </w:tc>
        <w:tc>
          <w:tcPr>
            <w:tcW w:w="1432" w:type="dxa"/>
          </w:tcPr>
          <w:p w:rsidR="00B32641" w:rsidRPr="000F3931" w:rsidRDefault="00B32641" w:rsidP="00853B6F">
            <w:pPr>
              <w:spacing w:after="200" w:line="276" w:lineRule="auto"/>
              <w:jc w:val="center"/>
              <w:rPr>
                <w:rFonts w:ascii="Times New Roman" w:hAnsi="Times New Roman"/>
                <w:sz w:val="16"/>
                <w:szCs w:val="16"/>
              </w:rPr>
            </w:pPr>
            <w:r w:rsidRPr="000F3931">
              <w:rPr>
                <w:rFonts w:ascii="Times New Roman" w:hAnsi="Times New Roman"/>
                <w:sz w:val="16"/>
                <w:szCs w:val="16"/>
              </w:rPr>
              <w:t>HU-0004</w:t>
            </w:r>
          </w:p>
        </w:tc>
        <w:tc>
          <w:tcPr>
            <w:tcW w:w="2096"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Paleogene</w:t>
            </w:r>
          </w:p>
        </w:tc>
        <w:tc>
          <w:tcPr>
            <w:tcW w:w="227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Distal Marine Shale </w:t>
            </w:r>
          </w:p>
        </w:tc>
        <w:tc>
          <w:tcPr>
            <w:tcW w:w="198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Pannonian Basin, Hungary </w:t>
            </w:r>
          </w:p>
        </w:tc>
      </w:tr>
      <w:tr w:rsidR="00B32641" w:rsidRPr="006F7CD0" w:rsidTr="00B32641">
        <w:tc>
          <w:tcPr>
            <w:tcW w:w="704"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8</w:t>
            </w:r>
          </w:p>
        </w:tc>
        <w:tc>
          <w:tcPr>
            <w:tcW w:w="1432" w:type="dxa"/>
          </w:tcPr>
          <w:p w:rsidR="00B32641" w:rsidRPr="000F3931" w:rsidRDefault="00B32641" w:rsidP="00853B6F">
            <w:pPr>
              <w:spacing w:after="200" w:line="276" w:lineRule="auto"/>
              <w:jc w:val="center"/>
              <w:rPr>
                <w:rFonts w:ascii="Times New Roman" w:hAnsi="Times New Roman"/>
                <w:sz w:val="16"/>
                <w:szCs w:val="16"/>
              </w:rPr>
            </w:pPr>
            <w:r w:rsidRPr="000F3931">
              <w:rPr>
                <w:rFonts w:ascii="Times New Roman" w:hAnsi="Times New Roman"/>
                <w:sz w:val="16"/>
                <w:szCs w:val="16"/>
              </w:rPr>
              <w:t>VA-0052</w:t>
            </w:r>
          </w:p>
        </w:tc>
        <w:tc>
          <w:tcPr>
            <w:tcW w:w="2096"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Upper Cretaceous</w:t>
            </w:r>
          </w:p>
        </w:tc>
        <w:tc>
          <w:tcPr>
            <w:tcW w:w="227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Marine Carbonate </w:t>
            </w:r>
          </w:p>
        </w:tc>
        <w:tc>
          <w:tcPr>
            <w:tcW w:w="198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Maracaibo Basin, Venezuela </w:t>
            </w:r>
          </w:p>
        </w:tc>
      </w:tr>
      <w:tr w:rsidR="00B32641" w:rsidRPr="006F7CD0" w:rsidTr="00B32641">
        <w:tc>
          <w:tcPr>
            <w:tcW w:w="704"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9</w:t>
            </w:r>
          </w:p>
        </w:tc>
        <w:tc>
          <w:tcPr>
            <w:tcW w:w="1432" w:type="dxa"/>
          </w:tcPr>
          <w:p w:rsidR="00B32641" w:rsidRPr="000F3931" w:rsidRDefault="00B32641" w:rsidP="00853B6F">
            <w:pPr>
              <w:spacing w:after="200" w:line="276" w:lineRule="auto"/>
              <w:jc w:val="center"/>
              <w:rPr>
                <w:rFonts w:ascii="Times New Roman" w:hAnsi="Times New Roman"/>
                <w:sz w:val="16"/>
                <w:szCs w:val="16"/>
              </w:rPr>
            </w:pPr>
            <w:r w:rsidRPr="000F3931">
              <w:rPr>
                <w:rFonts w:ascii="Times New Roman" w:hAnsi="Times New Roman"/>
                <w:sz w:val="16"/>
                <w:szCs w:val="16"/>
              </w:rPr>
              <w:t>EC-0084</w:t>
            </w:r>
          </w:p>
        </w:tc>
        <w:tc>
          <w:tcPr>
            <w:tcW w:w="2096"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Upper Cretaceous</w:t>
            </w:r>
          </w:p>
        </w:tc>
        <w:tc>
          <w:tcPr>
            <w:tcW w:w="227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Marine Marl </w:t>
            </w:r>
          </w:p>
        </w:tc>
        <w:tc>
          <w:tcPr>
            <w:tcW w:w="198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Putumayo-</w:t>
            </w:r>
            <w:proofErr w:type="spellStart"/>
            <w:r w:rsidRPr="006F7CD0">
              <w:rPr>
                <w:rFonts w:ascii="Times New Roman" w:eastAsia="Times New Roman" w:hAnsi="Times New Roman" w:cs="Times New Roman"/>
                <w:sz w:val="16"/>
                <w:szCs w:val="16"/>
              </w:rPr>
              <w:t>Oriente</w:t>
            </w:r>
            <w:proofErr w:type="spellEnd"/>
            <w:r w:rsidRPr="006F7CD0">
              <w:rPr>
                <w:rFonts w:ascii="Times New Roman" w:eastAsia="Times New Roman" w:hAnsi="Times New Roman" w:cs="Times New Roman"/>
                <w:sz w:val="16"/>
                <w:szCs w:val="16"/>
              </w:rPr>
              <w:t xml:space="preserve">-Maranon Basin, </w:t>
            </w:r>
            <w:proofErr w:type="spellStart"/>
            <w:r w:rsidRPr="006F7CD0">
              <w:rPr>
                <w:rFonts w:ascii="Times New Roman" w:eastAsia="Times New Roman" w:hAnsi="Times New Roman" w:cs="Times New Roman"/>
                <w:sz w:val="16"/>
                <w:szCs w:val="16"/>
              </w:rPr>
              <w:t>Equador</w:t>
            </w:r>
            <w:proofErr w:type="spellEnd"/>
            <w:r w:rsidRPr="006F7CD0">
              <w:rPr>
                <w:rFonts w:ascii="Times New Roman" w:eastAsia="Times New Roman" w:hAnsi="Times New Roman" w:cs="Times New Roman"/>
                <w:sz w:val="16"/>
                <w:szCs w:val="16"/>
              </w:rPr>
              <w:t xml:space="preserve"> </w:t>
            </w:r>
          </w:p>
        </w:tc>
      </w:tr>
      <w:tr w:rsidR="00B32641" w:rsidRPr="006F7CD0" w:rsidTr="00B32641">
        <w:tc>
          <w:tcPr>
            <w:tcW w:w="704"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10</w:t>
            </w:r>
          </w:p>
        </w:tc>
        <w:tc>
          <w:tcPr>
            <w:tcW w:w="1432" w:type="dxa"/>
          </w:tcPr>
          <w:p w:rsidR="00B32641" w:rsidRPr="000F3931" w:rsidRDefault="00B32641" w:rsidP="00853B6F">
            <w:pPr>
              <w:spacing w:after="200" w:line="276" w:lineRule="auto"/>
              <w:jc w:val="center"/>
              <w:rPr>
                <w:rFonts w:ascii="Times New Roman" w:hAnsi="Times New Roman"/>
                <w:sz w:val="16"/>
                <w:szCs w:val="16"/>
              </w:rPr>
            </w:pPr>
            <w:r w:rsidRPr="000F3931">
              <w:rPr>
                <w:rFonts w:ascii="Times New Roman" w:hAnsi="Times New Roman"/>
                <w:sz w:val="16"/>
                <w:szCs w:val="16"/>
              </w:rPr>
              <w:t>WY-0475</w:t>
            </w:r>
          </w:p>
        </w:tc>
        <w:tc>
          <w:tcPr>
            <w:tcW w:w="2096"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Upper Cretaceous </w:t>
            </w:r>
          </w:p>
        </w:tc>
        <w:tc>
          <w:tcPr>
            <w:tcW w:w="227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Distal Marine Shale </w:t>
            </w:r>
          </w:p>
        </w:tc>
        <w:tc>
          <w:tcPr>
            <w:tcW w:w="198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Powder River Basin, US</w:t>
            </w:r>
          </w:p>
        </w:tc>
      </w:tr>
      <w:tr w:rsidR="00B32641" w:rsidRPr="006F7CD0" w:rsidTr="00B32641">
        <w:tc>
          <w:tcPr>
            <w:tcW w:w="704"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11</w:t>
            </w:r>
          </w:p>
        </w:tc>
        <w:tc>
          <w:tcPr>
            <w:tcW w:w="1432" w:type="dxa"/>
          </w:tcPr>
          <w:p w:rsidR="00B32641" w:rsidRPr="000F3931" w:rsidRDefault="00B32641" w:rsidP="00853B6F">
            <w:pPr>
              <w:spacing w:after="200" w:line="276" w:lineRule="auto"/>
              <w:jc w:val="center"/>
              <w:rPr>
                <w:rFonts w:ascii="Times New Roman" w:hAnsi="Times New Roman"/>
                <w:sz w:val="16"/>
                <w:szCs w:val="16"/>
              </w:rPr>
            </w:pPr>
            <w:r w:rsidRPr="000F3931">
              <w:rPr>
                <w:rFonts w:ascii="Times New Roman" w:hAnsi="Times New Roman"/>
                <w:sz w:val="16"/>
                <w:szCs w:val="16"/>
              </w:rPr>
              <w:t>LI-0060</w:t>
            </w:r>
          </w:p>
        </w:tc>
        <w:tc>
          <w:tcPr>
            <w:tcW w:w="2096"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Upper Cretaceous </w:t>
            </w:r>
          </w:p>
        </w:tc>
        <w:tc>
          <w:tcPr>
            <w:tcW w:w="227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Distal Marine Shale</w:t>
            </w:r>
          </w:p>
        </w:tc>
        <w:tc>
          <w:tcPr>
            <w:tcW w:w="198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Sirte Basin, Libya </w:t>
            </w:r>
          </w:p>
        </w:tc>
      </w:tr>
      <w:tr w:rsidR="00B32641" w:rsidRPr="006F7CD0" w:rsidTr="00B32641">
        <w:tc>
          <w:tcPr>
            <w:tcW w:w="704"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12</w:t>
            </w:r>
          </w:p>
        </w:tc>
        <w:tc>
          <w:tcPr>
            <w:tcW w:w="1432" w:type="dxa"/>
          </w:tcPr>
          <w:p w:rsidR="00B32641" w:rsidRPr="000F3931" w:rsidRDefault="00B32641" w:rsidP="00853B6F">
            <w:pPr>
              <w:spacing w:after="200" w:line="276" w:lineRule="auto"/>
              <w:jc w:val="center"/>
              <w:rPr>
                <w:rFonts w:ascii="Times New Roman" w:hAnsi="Times New Roman"/>
                <w:sz w:val="16"/>
                <w:szCs w:val="16"/>
              </w:rPr>
            </w:pPr>
            <w:r w:rsidRPr="000F3931">
              <w:rPr>
                <w:rFonts w:ascii="Times New Roman" w:hAnsi="Times New Roman"/>
                <w:sz w:val="16"/>
                <w:szCs w:val="16"/>
              </w:rPr>
              <w:t>PR-0055</w:t>
            </w:r>
          </w:p>
        </w:tc>
        <w:tc>
          <w:tcPr>
            <w:tcW w:w="2096"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Upper Cretaceous </w:t>
            </w:r>
          </w:p>
        </w:tc>
        <w:tc>
          <w:tcPr>
            <w:tcW w:w="227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Distal Marine Shale/ Marine Marl </w:t>
            </w:r>
          </w:p>
        </w:tc>
        <w:tc>
          <w:tcPr>
            <w:tcW w:w="198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Putumayo-</w:t>
            </w:r>
            <w:proofErr w:type="spellStart"/>
            <w:r w:rsidRPr="006F7CD0">
              <w:rPr>
                <w:rFonts w:ascii="Times New Roman" w:eastAsia="Times New Roman" w:hAnsi="Times New Roman" w:cs="Times New Roman"/>
                <w:sz w:val="16"/>
                <w:szCs w:val="16"/>
              </w:rPr>
              <w:t>Oriente</w:t>
            </w:r>
            <w:proofErr w:type="spellEnd"/>
            <w:r w:rsidRPr="006F7CD0">
              <w:rPr>
                <w:rFonts w:ascii="Times New Roman" w:eastAsia="Times New Roman" w:hAnsi="Times New Roman" w:cs="Times New Roman"/>
                <w:sz w:val="16"/>
                <w:szCs w:val="16"/>
              </w:rPr>
              <w:t xml:space="preserve">-Maranon Basin, Peru </w:t>
            </w:r>
          </w:p>
        </w:tc>
      </w:tr>
      <w:tr w:rsidR="00B32641" w:rsidRPr="006F7CD0" w:rsidTr="00B32641">
        <w:tc>
          <w:tcPr>
            <w:tcW w:w="704"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13</w:t>
            </w:r>
          </w:p>
        </w:tc>
        <w:tc>
          <w:tcPr>
            <w:tcW w:w="1432" w:type="dxa"/>
          </w:tcPr>
          <w:p w:rsidR="00B32641" w:rsidRPr="000F3931" w:rsidRDefault="00B32641" w:rsidP="00853B6F">
            <w:pPr>
              <w:spacing w:after="200" w:line="276" w:lineRule="auto"/>
              <w:jc w:val="center"/>
              <w:rPr>
                <w:rFonts w:ascii="Times New Roman" w:hAnsi="Times New Roman"/>
                <w:sz w:val="16"/>
                <w:szCs w:val="16"/>
              </w:rPr>
            </w:pPr>
            <w:r w:rsidRPr="000F3931">
              <w:rPr>
                <w:rFonts w:ascii="Times New Roman" w:hAnsi="Times New Roman"/>
                <w:sz w:val="16"/>
                <w:szCs w:val="16"/>
              </w:rPr>
              <w:t>CO-0031</w:t>
            </w:r>
          </w:p>
        </w:tc>
        <w:tc>
          <w:tcPr>
            <w:tcW w:w="2096"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Upper Cretaceous </w:t>
            </w:r>
          </w:p>
        </w:tc>
        <w:tc>
          <w:tcPr>
            <w:tcW w:w="227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Marine Carbonate</w:t>
            </w:r>
          </w:p>
        </w:tc>
        <w:tc>
          <w:tcPr>
            <w:tcW w:w="198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West-Central Cordillera, Colombia</w:t>
            </w:r>
          </w:p>
        </w:tc>
      </w:tr>
      <w:tr w:rsidR="00B32641" w:rsidRPr="006F7CD0" w:rsidTr="00B32641">
        <w:tc>
          <w:tcPr>
            <w:tcW w:w="704"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14</w:t>
            </w:r>
          </w:p>
        </w:tc>
        <w:tc>
          <w:tcPr>
            <w:tcW w:w="1432" w:type="dxa"/>
          </w:tcPr>
          <w:p w:rsidR="00B32641" w:rsidRPr="000F3931" w:rsidRDefault="00B32641" w:rsidP="00853B6F">
            <w:pPr>
              <w:spacing w:after="200" w:line="276" w:lineRule="auto"/>
              <w:jc w:val="center"/>
              <w:rPr>
                <w:rFonts w:ascii="Times New Roman" w:hAnsi="Times New Roman"/>
                <w:sz w:val="16"/>
                <w:szCs w:val="16"/>
              </w:rPr>
            </w:pPr>
            <w:r w:rsidRPr="000F3931">
              <w:rPr>
                <w:rFonts w:ascii="Times New Roman" w:hAnsi="Times New Roman"/>
                <w:sz w:val="16"/>
                <w:szCs w:val="16"/>
              </w:rPr>
              <w:t>TX-1828</w:t>
            </w:r>
          </w:p>
        </w:tc>
        <w:tc>
          <w:tcPr>
            <w:tcW w:w="2096"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Upper Cretaceous </w:t>
            </w:r>
          </w:p>
        </w:tc>
        <w:tc>
          <w:tcPr>
            <w:tcW w:w="227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Distal Marine Shale/ Marine Marl </w:t>
            </w:r>
          </w:p>
        </w:tc>
        <w:tc>
          <w:tcPr>
            <w:tcW w:w="198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Western Gulf, US </w:t>
            </w:r>
          </w:p>
        </w:tc>
      </w:tr>
      <w:tr w:rsidR="00B32641" w:rsidRPr="006F7CD0" w:rsidTr="00B32641">
        <w:tc>
          <w:tcPr>
            <w:tcW w:w="704"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15</w:t>
            </w:r>
          </w:p>
        </w:tc>
        <w:tc>
          <w:tcPr>
            <w:tcW w:w="1432" w:type="dxa"/>
          </w:tcPr>
          <w:p w:rsidR="00B32641" w:rsidRPr="000F3931" w:rsidRDefault="00B32641" w:rsidP="00853B6F">
            <w:pPr>
              <w:spacing w:after="200" w:line="276" w:lineRule="auto"/>
              <w:jc w:val="center"/>
              <w:rPr>
                <w:rFonts w:ascii="Times New Roman" w:hAnsi="Times New Roman"/>
                <w:sz w:val="16"/>
                <w:szCs w:val="16"/>
              </w:rPr>
            </w:pPr>
            <w:r w:rsidRPr="000F3931">
              <w:rPr>
                <w:rFonts w:ascii="Times New Roman" w:hAnsi="Times New Roman"/>
                <w:sz w:val="16"/>
                <w:szCs w:val="16"/>
              </w:rPr>
              <w:t>TX-1855</w:t>
            </w:r>
          </w:p>
        </w:tc>
        <w:tc>
          <w:tcPr>
            <w:tcW w:w="2096"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Upper Cretaceous </w:t>
            </w:r>
          </w:p>
        </w:tc>
        <w:tc>
          <w:tcPr>
            <w:tcW w:w="227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Distal Marine Shale- Eagle Ford/ Dexter Mix </w:t>
            </w:r>
          </w:p>
        </w:tc>
        <w:tc>
          <w:tcPr>
            <w:tcW w:w="198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East Texas Basin, US </w:t>
            </w:r>
          </w:p>
        </w:tc>
      </w:tr>
      <w:tr w:rsidR="00B32641" w:rsidRPr="006F7CD0" w:rsidTr="00B32641">
        <w:tc>
          <w:tcPr>
            <w:tcW w:w="704"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16</w:t>
            </w:r>
          </w:p>
        </w:tc>
        <w:tc>
          <w:tcPr>
            <w:tcW w:w="1432" w:type="dxa"/>
          </w:tcPr>
          <w:p w:rsidR="00B32641" w:rsidRPr="000F3931" w:rsidRDefault="00B32641" w:rsidP="00853B6F">
            <w:pPr>
              <w:spacing w:after="200" w:line="276" w:lineRule="auto"/>
              <w:jc w:val="center"/>
              <w:rPr>
                <w:rFonts w:ascii="Times New Roman" w:hAnsi="Times New Roman"/>
                <w:sz w:val="16"/>
                <w:szCs w:val="16"/>
              </w:rPr>
            </w:pPr>
            <w:r w:rsidRPr="000F3931">
              <w:rPr>
                <w:rFonts w:ascii="Times New Roman" w:hAnsi="Times New Roman"/>
                <w:sz w:val="16"/>
                <w:szCs w:val="16"/>
              </w:rPr>
              <w:t>IN-0009</w:t>
            </w:r>
          </w:p>
        </w:tc>
        <w:tc>
          <w:tcPr>
            <w:tcW w:w="2096"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Lower Cretaceous</w:t>
            </w:r>
          </w:p>
        </w:tc>
        <w:tc>
          <w:tcPr>
            <w:tcW w:w="227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Marine Marl </w:t>
            </w:r>
          </w:p>
        </w:tc>
        <w:tc>
          <w:tcPr>
            <w:tcW w:w="198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Zagros Fold Belt, Iran </w:t>
            </w:r>
          </w:p>
        </w:tc>
      </w:tr>
      <w:tr w:rsidR="00B32641" w:rsidRPr="006F7CD0" w:rsidTr="00B32641">
        <w:tc>
          <w:tcPr>
            <w:tcW w:w="704"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17</w:t>
            </w:r>
          </w:p>
        </w:tc>
        <w:tc>
          <w:tcPr>
            <w:tcW w:w="1432" w:type="dxa"/>
          </w:tcPr>
          <w:p w:rsidR="00B32641" w:rsidRPr="000F3931" w:rsidRDefault="00B32641" w:rsidP="00853B6F">
            <w:pPr>
              <w:spacing w:after="200" w:line="276" w:lineRule="auto"/>
              <w:jc w:val="center"/>
              <w:rPr>
                <w:rFonts w:ascii="Times New Roman" w:hAnsi="Times New Roman"/>
                <w:sz w:val="16"/>
                <w:szCs w:val="16"/>
              </w:rPr>
            </w:pPr>
            <w:r w:rsidRPr="000F3931">
              <w:rPr>
                <w:rFonts w:ascii="Times New Roman" w:hAnsi="Times New Roman"/>
                <w:sz w:val="16"/>
                <w:szCs w:val="16"/>
              </w:rPr>
              <w:t>WY-0695</w:t>
            </w:r>
          </w:p>
        </w:tc>
        <w:tc>
          <w:tcPr>
            <w:tcW w:w="2096"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Lower Cretaceous </w:t>
            </w:r>
          </w:p>
        </w:tc>
        <w:tc>
          <w:tcPr>
            <w:tcW w:w="227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Distal Marine Shale </w:t>
            </w:r>
          </w:p>
        </w:tc>
        <w:tc>
          <w:tcPr>
            <w:tcW w:w="198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Powder River Basin, US </w:t>
            </w:r>
          </w:p>
        </w:tc>
      </w:tr>
      <w:tr w:rsidR="00B32641" w:rsidRPr="006F7CD0" w:rsidTr="00B32641">
        <w:tc>
          <w:tcPr>
            <w:tcW w:w="704"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18</w:t>
            </w:r>
          </w:p>
        </w:tc>
        <w:tc>
          <w:tcPr>
            <w:tcW w:w="1432" w:type="dxa"/>
          </w:tcPr>
          <w:p w:rsidR="00B32641" w:rsidRPr="000F3931" w:rsidRDefault="00B32641" w:rsidP="00853B6F">
            <w:pPr>
              <w:spacing w:after="200" w:line="276" w:lineRule="auto"/>
              <w:jc w:val="center"/>
              <w:rPr>
                <w:rFonts w:ascii="Times New Roman" w:hAnsi="Times New Roman"/>
                <w:sz w:val="16"/>
                <w:szCs w:val="16"/>
              </w:rPr>
            </w:pPr>
            <w:r w:rsidRPr="000F3931">
              <w:rPr>
                <w:rFonts w:ascii="Times New Roman" w:hAnsi="Times New Roman"/>
                <w:sz w:val="16"/>
                <w:szCs w:val="16"/>
              </w:rPr>
              <w:t>TX-0120</w:t>
            </w:r>
          </w:p>
        </w:tc>
        <w:tc>
          <w:tcPr>
            <w:tcW w:w="2096"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Lower Cretaceous </w:t>
            </w:r>
          </w:p>
        </w:tc>
        <w:tc>
          <w:tcPr>
            <w:tcW w:w="227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Distal Marine Shale/ Marine Marl </w:t>
            </w:r>
          </w:p>
        </w:tc>
        <w:tc>
          <w:tcPr>
            <w:tcW w:w="198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East Texas Basin, US</w:t>
            </w:r>
          </w:p>
        </w:tc>
      </w:tr>
      <w:tr w:rsidR="00B32641" w:rsidRPr="006F7CD0" w:rsidTr="00B32641">
        <w:tc>
          <w:tcPr>
            <w:tcW w:w="704"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19</w:t>
            </w:r>
          </w:p>
        </w:tc>
        <w:tc>
          <w:tcPr>
            <w:tcW w:w="1432" w:type="dxa"/>
          </w:tcPr>
          <w:p w:rsidR="00B32641" w:rsidRPr="000F3931" w:rsidRDefault="00B32641" w:rsidP="00853B6F">
            <w:pPr>
              <w:spacing w:after="200" w:line="276" w:lineRule="auto"/>
              <w:jc w:val="center"/>
              <w:rPr>
                <w:rFonts w:ascii="Times New Roman" w:hAnsi="Times New Roman"/>
                <w:sz w:val="16"/>
                <w:szCs w:val="16"/>
              </w:rPr>
            </w:pPr>
            <w:r w:rsidRPr="000F3931">
              <w:rPr>
                <w:rFonts w:ascii="Times New Roman" w:hAnsi="Times New Roman"/>
                <w:sz w:val="16"/>
                <w:szCs w:val="16"/>
              </w:rPr>
              <w:t>FL-0002</w:t>
            </w:r>
          </w:p>
        </w:tc>
        <w:tc>
          <w:tcPr>
            <w:tcW w:w="2096"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Lower Cretaceous </w:t>
            </w:r>
          </w:p>
        </w:tc>
        <w:tc>
          <w:tcPr>
            <w:tcW w:w="227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Marine Carbonate </w:t>
            </w:r>
          </w:p>
        </w:tc>
        <w:tc>
          <w:tcPr>
            <w:tcW w:w="198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Florida Peninsula, US </w:t>
            </w:r>
          </w:p>
        </w:tc>
      </w:tr>
      <w:tr w:rsidR="00B32641" w:rsidRPr="006F7CD0" w:rsidTr="00B32641">
        <w:tc>
          <w:tcPr>
            <w:tcW w:w="704"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20</w:t>
            </w:r>
          </w:p>
        </w:tc>
        <w:tc>
          <w:tcPr>
            <w:tcW w:w="1432" w:type="dxa"/>
          </w:tcPr>
          <w:p w:rsidR="00B32641" w:rsidRPr="000F3931" w:rsidRDefault="00B32641" w:rsidP="00853B6F">
            <w:pPr>
              <w:spacing w:after="200" w:line="276" w:lineRule="auto"/>
              <w:jc w:val="center"/>
              <w:rPr>
                <w:rFonts w:ascii="Times New Roman" w:hAnsi="Times New Roman"/>
                <w:sz w:val="16"/>
                <w:szCs w:val="16"/>
              </w:rPr>
            </w:pPr>
            <w:r w:rsidRPr="000F3931">
              <w:rPr>
                <w:rFonts w:ascii="Times New Roman" w:hAnsi="Times New Roman"/>
                <w:sz w:val="16"/>
                <w:szCs w:val="16"/>
              </w:rPr>
              <w:t>IA-0010</w:t>
            </w:r>
          </w:p>
        </w:tc>
        <w:tc>
          <w:tcPr>
            <w:tcW w:w="2096"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Lower Cretaceous </w:t>
            </w:r>
          </w:p>
        </w:tc>
        <w:tc>
          <w:tcPr>
            <w:tcW w:w="227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Distal Marine Shale </w:t>
            </w:r>
          </w:p>
        </w:tc>
        <w:tc>
          <w:tcPr>
            <w:tcW w:w="198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Cauvery, India </w:t>
            </w:r>
          </w:p>
        </w:tc>
      </w:tr>
      <w:tr w:rsidR="00B32641" w:rsidRPr="006F7CD0" w:rsidTr="00B32641">
        <w:tc>
          <w:tcPr>
            <w:tcW w:w="704"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21</w:t>
            </w:r>
          </w:p>
        </w:tc>
        <w:tc>
          <w:tcPr>
            <w:tcW w:w="1432" w:type="dxa"/>
          </w:tcPr>
          <w:p w:rsidR="00B32641" w:rsidRPr="000F3931" w:rsidRDefault="00B32641" w:rsidP="00853B6F">
            <w:pPr>
              <w:spacing w:after="200" w:line="276" w:lineRule="auto"/>
              <w:jc w:val="center"/>
              <w:rPr>
                <w:rFonts w:ascii="Times New Roman" w:hAnsi="Times New Roman"/>
                <w:sz w:val="16"/>
                <w:szCs w:val="16"/>
              </w:rPr>
            </w:pPr>
            <w:r w:rsidRPr="000F3931">
              <w:rPr>
                <w:rFonts w:ascii="Times New Roman" w:hAnsi="Times New Roman"/>
                <w:sz w:val="16"/>
                <w:szCs w:val="16"/>
              </w:rPr>
              <w:t>SA-0063</w:t>
            </w:r>
          </w:p>
        </w:tc>
        <w:tc>
          <w:tcPr>
            <w:tcW w:w="2096"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Upper Jurassic/Lower Cretaceous</w:t>
            </w:r>
          </w:p>
        </w:tc>
        <w:tc>
          <w:tcPr>
            <w:tcW w:w="227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 Marine Carbonate </w:t>
            </w:r>
          </w:p>
        </w:tc>
        <w:tc>
          <w:tcPr>
            <w:tcW w:w="198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Mesopotamian Foredeep Basin, Kuwait</w:t>
            </w:r>
          </w:p>
        </w:tc>
      </w:tr>
      <w:tr w:rsidR="00B32641" w:rsidRPr="006F7CD0" w:rsidTr="00B32641">
        <w:tc>
          <w:tcPr>
            <w:tcW w:w="704"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22</w:t>
            </w:r>
          </w:p>
        </w:tc>
        <w:tc>
          <w:tcPr>
            <w:tcW w:w="1432" w:type="dxa"/>
          </w:tcPr>
          <w:p w:rsidR="00B32641" w:rsidRPr="000F3931" w:rsidRDefault="00B32641" w:rsidP="00853B6F">
            <w:pPr>
              <w:spacing w:after="200" w:line="276" w:lineRule="auto"/>
              <w:jc w:val="center"/>
              <w:rPr>
                <w:rFonts w:ascii="Times New Roman" w:hAnsi="Times New Roman"/>
                <w:sz w:val="16"/>
                <w:szCs w:val="16"/>
              </w:rPr>
            </w:pPr>
            <w:r w:rsidRPr="000F3931">
              <w:rPr>
                <w:rFonts w:ascii="Times New Roman" w:hAnsi="Times New Roman"/>
                <w:sz w:val="16"/>
                <w:szCs w:val="16"/>
              </w:rPr>
              <w:t>MX-0087</w:t>
            </w:r>
          </w:p>
        </w:tc>
        <w:tc>
          <w:tcPr>
            <w:tcW w:w="2096"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Upper Jurassic/Lower Cretaceous</w:t>
            </w:r>
          </w:p>
        </w:tc>
        <w:tc>
          <w:tcPr>
            <w:tcW w:w="227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Marine Carbonate </w:t>
            </w:r>
          </w:p>
        </w:tc>
        <w:tc>
          <w:tcPr>
            <w:tcW w:w="198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Tampico-</w:t>
            </w:r>
            <w:proofErr w:type="spellStart"/>
            <w:r w:rsidRPr="006F7CD0">
              <w:rPr>
                <w:rFonts w:ascii="Times New Roman" w:eastAsia="Times New Roman" w:hAnsi="Times New Roman" w:cs="Times New Roman"/>
                <w:sz w:val="16"/>
                <w:szCs w:val="16"/>
              </w:rPr>
              <w:t>Misantla</w:t>
            </w:r>
            <w:proofErr w:type="spellEnd"/>
            <w:r w:rsidRPr="006F7CD0">
              <w:rPr>
                <w:rFonts w:ascii="Times New Roman" w:eastAsia="Times New Roman" w:hAnsi="Times New Roman" w:cs="Times New Roman"/>
                <w:sz w:val="16"/>
                <w:szCs w:val="16"/>
              </w:rPr>
              <w:t xml:space="preserve"> Basin, Mexico   </w:t>
            </w:r>
          </w:p>
        </w:tc>
      </w:tr>
      <w:tr w:rsidR="00B32641" w:rsidRPr="006F7CD0" w:rsidTr="00B32641">
        <w:tc>
          <w:tcPr>
            <w:tcW w:w="704"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lastRenderedPageBreak/>
              <w:t>23</w:t>
            </w:r>
          </w:p>
        </w:tc>
        <w:tc>
          <w:tcPr>
            <w:tcW w:w="1432" w:type="dxa"/>
          </w:tcPr>
          <w:p w:rsidR="00B32641" w:rsidRPr="000F3931" w:rsidRDefault="00B32641" w:rsidP="00853B6F">
            <w:pPr>
              <w:spacing w:after="200" w:line="276" w:lineRule="auto"/>
              <w:jc w:val="center"/>
              <w:rPr>
                <w:rFonts w:ascii="Times New Roman" w:hAnsi="Times New Roman"/>
                <w:sz w:val="16"/>
                <w:szCs w:val="16"/>
              </w:rPr>
            </w:pPr>
            <w:r w:rsidRPr="000F3931">
              <w:rPr>
                <w:rFonts w:ascii="Times New Roman" w:hAnsi="Times New Roman"/>
                <w:sz w:val="16"/>
                <w:szCs w:val="16"/>
              </w:rPr>
              <w:t>KW-0003</w:t>
            </w:r>
          </w:p>
        </w:tc>
        <w:tc>
          <w:tcPr>
            <w:tcW w:w="2096"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Upper Jurassic/Lower Cretaceous</w:t>
            </w:r>
          </w:p>
        </w:tc>
        <w:tc>
          <w:tcPr>
            <w:tcW w:w="227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Marine Carbonate </w:t>
            </w:r>
          </w:p>
        </w:tc>
        <w:tc>
          <w:tcPr>
            <w:tcW w:w="198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Mesopotamian Foredeep Basin, Saudi Arabia </w:t>
            </w:r>
          </w:p>
        </w:tc>
      </w:tr>
      <w:tr w:rsidR="00B32641" w:rsidRPr="006F7CD0" w:rsidTr="00B32641">
        <w:tc>
          <w:tcPr>
            <w:tcW w:w="704"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24</w:t>
            </w:r>
          </w:p>
        </w:tc>
        <w:tc>
          <w:tcPr>
            <w:tcW w:w="1432" w:type="dxa"/>
          </w:tcPr>
          <w:p w:rsidR="00B32641" w:rsidRPr="000F3931" w:rsidRDefault="00B32641" w:rsidP="00853B6F">
            <w:pPr>
              <w:spacing w:after="200" w:line="276" w:lineRule="auto"/>
              <w:jc w:val="center"/>
              <w:rPr>
                <w:rFonts w:ascii="Times New Roman" w:hAnsi="Times New Roman"/>
                <w:sz w:val="16"/>
                <w:szCs w:val="16"/>
              </w:rPr>
            </w:pPr>
            <w:r w:rsidRPr="000F3931">
              <w:rPr>
                <w:rFonts w:ascii="Times New Roman" w:hAnsi="Times New Roman"/>
                <w:sz w:val="16"/>
                <w:szCs w:val="16"/>
              </w:rPr>
              <w:t>RU-0119</w:t>
            </w:r>
          </w:p>
        </w:tc>
        <w:tc>
          <w:tcPr>
            <w:tcW w:w="2096"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Upper Jurassic </w:t>
            </w:r>
          </w:p>
        </w:tc>
        <w:tc>
          <w:tcPr>
            <w:tcW w:w="227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Distal Marine Shale </w:t>
            </w:r>
          </w:p>
        </w:tc>
        <w:tc>
          <w:tcPr>
            <w:tcW w:w="198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West Siberian Basin, Russia </w:t>
            </w:r>
          </w:p>
        </w:tc>
      </w:tr>
      <w:tr w:rsidR="00B32641" w:rsidRPr="006F7CD0" w:rsidTr="00B32641">
        <w:tc>
          <w:tcPr>
            <w:tcW w:w="704"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25</w:t>
            </w:r>
          </w:p>
        </w:tc>
        <w:tc>
          <w:tcPr>
            <w:tcW w:w="1432" w:type="dxa"/>
          </w:tcPr>
          <w:p w:rsidR="00B32641" w:rsidRPr="000F3931" w:rsidRDefault="00B32641" w:rsidP="00853B6F">
            <w:pPr>
              <w:spacing w:after="200" w:line="276" w:lineRule="auto"/>
              <w:jc w:val="center"/>
              <w:rPr>
                <w:rFonts w:ascii="Times New Roman" w:hAnsi="Times New Roman"/>
                <w:sz w:val="16"/>
                <w:szCs w:val="16"/>
              </w:rPr>
            </w:pPr>
            <w:r w:rsidRPr="000F3931">
              <w:rPr>
                <w:rFonts w:ascii="Times New Roman" w:hAnsi="Times New Roman"/>
                <w:sz w:val="16"/>
                <w:szCs w:val="16"/>
              </w:rPr>
              <w:t>SA-0051</w:t>
            </w:r>
          </w:p>
        </w:tc>
        <w:tc>
          <w:tcPr>
            <w:tcW w:w="2096"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Upper Jurassic </w:t>
            </w:r>
          </w:p>
        </w:tc>
        <w:tc>
          <w:tcPr>
            <w:tcW w:w="227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Marine Carbonate </w:t>
            </w:r>
          </w:p>
        </w:tc>
        <w:tc>
          <w:tcPr>
            <w:tcW w:w="198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Greater </w:t>
            </w:r>
            <w:proofErr w:type="spellStart"/>
            <w:r w:rsidRPr="006F7CD0">
              <w:rPr>
                <w:rFonts w:ascii="Times New Roman" w:eastAsia="Times New Roman" w:hAnsi="Times New Roman" w:cs="Times New Roman"/>
                <w:sz w:val="16"/>
                <w:szCs w:val="16"/>
              </w:rPr>
              <w:t>Ghawar</w:t>
            </w:r>
            <w:proofErr w:type="spellEnd"/>
            <w:r w:rsidRPr="006F7CD0">
              <w:rPr>
                <w:rFonts w:ascii="Times New Roman" w:eastAsia="Times New Roman" w:hAnsi="Times New Roman" w:cs="Times New Roman"/>
                <w:sz w:val="16"/>
                <w:szCs w:val="16"/>
              </w:rPr>
              <w:t xml:space="preserve"> Uplift, Saudi Arabia </w:t>
            </w:r>
          </w:p>
        </w:tc>
      </w:tr>
      <w:tr w:rsidR="00B32641" w:rsidRPr="006F7CD0" w:rsidTr="00B32641">
        <w:tc>
          <w:tcPr>
            <w:tcW w:w="704"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26</w:t>
            </w:r>
          </w:p>
        </w:tc>
        <w:tc>
          <w:tcPr>
            <w:tcW w:w="1432" w:type="dxa"/>
          </w:tcPr>
          <w:p w:rsidR="00B32641" w:rsidRPr="000F3931" w:rsidRDefault="00B32641" w:rsidP="00853B6F">
            <w:pPr>
              <w:spacing w:after="200" w:line="276" w:lineRule="auto"/>
              <w:jc w:val="center"/>
              <w:rPr>
                <w:rFonts w:ascii="Times New Roman" w:hAnsi="Times New Roman"/>
                <w:sz w:val="16"/>
                <w:szCs w:val="16"/>
              </w:rPr>
            </w:pPr>
            <w:r w:rsidRPr="000F3931">
              <w:rPr>
                <w:rFonts w:ascii="Times New Roman" w:hAnsi="Times New Roman"/>
                <w:sz w:val="16"/>
                <w:szCs w:val="16"/>
              </w:rPr>
              <w:t>SA-0123</w:t>
            </w:r>
          </w:p>
        </w:tc>
        <w:tc>
          <w:tcPr>
            <w:tcW w:w="2096"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Upper Jurassic </w:t>
            </w:r>
          </w:p>
        </w:tc>
        <w:tc>
          <w:tcPr>
            <w:tcW w:w="227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 Marine Carbonate </w:t>
            </w:r>
          </w:p>
        </w:tc>
        <w:tc>
          <w:tcPr>
            <w:tcW w:w="198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 Greater </w:t>
            </w:r>
            <w:proofErr w:type="spellStart"/>
            <w:r w:rsidRPr="006F7CD0">
              <w:rPr>
                <w:rFonts w:ascii="Times New Roman" w:eastAsia="Times New Roman" w:hAnsi="Times New Roman" w:cs="Times New Roman"/>
                <w:sz w:val="16"/>
                <w:szCs w:val="16"/>
              </w:rPr>
              <w:t>Ghawar</w:t>
            </w:r>
            <w:proofErr w:type="spellEnd"/>
            <w:r w:rsidRPr="006F7CD0">
              <w:rPr>
                <w:rFonts w:ascii="Times New Roman" w:eastAsia="Times New Roman" w:hAnsi="Times New Roman" w:cs="Times New Roman"/>
                <w:sz w:val="16"/>
                <w:szCs w:val="16"/>
              </w:rPr>
              <w:t xml:space="preserve"> Uplift, Saudi Arabia</w:t>
            </w:r>
          </w:p>
        </w:tc>
      </w:tr>
      <w:tr w:rsidR="00B32641" w:rsidRPr="006F7CD0" w:rsidTr="00B32641">
        <w:tc>
          <w:tcPr>
            <w:tcW w:w="704"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27</w:t>
            </w:r>
          </w:p>
        </w:tc>
        <w:tc>
          <w:tcPr>
            <w:tcW w:w="1432" w:type="dxa"/>
          </w:tcPr>
          <w:p w:rsidR="00B32641" w:rsidRPr="000F3931" w:rsidRDefault="00B32641" w:rsidP="00853B6F">
            <w:pPr>
              <w:spacing w:after="200" w:line="276" w:lineRule="auto"/>
              <w:jc w:val="center"/>
              <w:rPr>
                <w:rFonts w:ascii="Times New Roman" w:hAnsi="Times New Roman"/>
                <w:sz w:val="16"/>
                <w:szCs w:val="16"/>
              </w:rPr>
            </w:pPr>
            <w:r w:rsidRPr="000F3931">
              <w:rPr>
                <w:rFonts w:ascii="Times New Roman" w:hAnsi="Times New Roman"/>
                <w:sz w:val="16"/>
                <w:szCs w:val="16"/>
              </w:rPr>
              <w:t>SA-0129</w:t>
            </w:r>
          </w:p>
        </w:tc>
        <w:tc>
          <w:tcPr>
            <w:tcW w:w="2096"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Upper Jurassic </w:t>
            </w:r>
          </w:p>
        </w:tc>
        <w:tc>
          <w:tcPr>
            <w:tcW w:w="227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Marine Carbonate </w:t>
            </w:r>
          </w:p>
        </w:tc>
        <w:tc>
          <w:tcPr>
            <w:tcW w:w="198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Greater </w:t>
            </w:r>
            <w:proofErr w:type="spellStart"/>
            <w:r w:rsidRPr="006F7CD0">
              <w:rPr>
                <w:rFonts w:ascii="Times New Roman" w:eastAsia="Times New Roman" w:hAnsi="Times New Roman" w:cs="Times New Roman"/>
                <w:sz w:val="16"/>
                <w:szCs w:val="16"/>
              </w:rPr>
              <w:t>Ghawar</w:t>
            </w:r>
            <w:proofErr w:type="spellEnd"/>
            <w:r w:rsidRPr="006F7CD0">
              <w:rPr>
                <w:rFonts w:ascii="Times New Roman" w:eastAsia="Times New Roman" w:hAnsi="Times New Roman" w:cs="Times New Roman"/>
                <w:sz w:val="16"/>
                <w:szCs w:val="16"/>
              </w:rPr>
              <w:t xml:space="preserve"> Uplift, Saudi Arabia  </w:t>
            </w:r>
          </w:p>
        </w:tc>
      </w:tr>
      <w:tr w:rsidR="00B32641" w:rsidRPr="006F7CD0" w:rsidTr="00B32641">
        <w:tc>
          <w:tcPr>
            <w:tcW w:w="704"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28</w:t>
            </w:r>
          </w:p>
        </w:tc>
        <w:tc>
          <w:tcPr>
            <w:tcW w:w="1432" w:type="dxa"/>
          </w:tcPr>
          <w:p w:rsidR="00B32641" w:rsidRPr="000F3931" w:rsidRDefault="00B32641" w:rsidP="00853B6F">
            <w:pPr>
              <w:spacing w:after="200" w:line="276" w:lineRule="auto"/>
              <w:jc w:val="center"/>
              <w:rPr>
                <w:rFonts w:ascii="Times New Roman" w:hAnsi="Times New Roman"/>
                <w:sz w:val="16"/>
                <w:szCs w:val="16"/>
              </w:rPr>
            </w:pPr>
            <w:r w:rsidRPr="000F3931">
              <w:rPr>
                <w:rFonts w:ascii="Times New Roman" w:hAnsi="Times New Roman"/>
                <w:sz w:val="16"/>
                <w:szCs w:val="16"/>
              </w:rPr>
              <w:t>UK-0051</w:t>
            </w:r>
          </w:p>
        </w:tc>
        <w:tc>
          <w:tcPr>
            <w:tcW w:w="2096"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Upper Jurassic </w:t>
            </w:r>
          </w:p>
        </w:tc>
        <w:tc>
          <w:tcPr>
            <w:tcW w:w="227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Distal Marine Shale </w:t>
            </w:r>
          </w:p>
        </w:tc>
        <w:tc>
          <w:tcPr>
            <w:tcW w:w="198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North Sea Graben, UK </w:t>
            </w:r>
          </w:p>
        </w:tc>
      </w:tr>
      <w:tr w:rsidR="00B32641" w:rsidRPr="006F7CD0" w:rsidTr="00B32641">
        <w:tc>
          <w:tcPr>
            <w:tcW w:w="704"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29</w:t>
            </w:r>
          </w:p>
        </w:tc>
        <w:tc>
          <w:tcPr>
            <w:tcW w:w="1432" w:type="dxa"/>
          </w:tcPr>
          <w:p w:rsidR="00B32641" w:rsidRPr="000F3931" w:rsidRDefault="00B32641" w:rsidP="00853B6F">
            <w:pPr>
              <w:spacing w:after="200" w:line="276" w:lineRule="auto"/>
              <w:jc w:val="center"/>
              <w:rPr>
                <w:rFonts w:ascii="Times New Roman" w:hAnsi="Times New Roman"/>
                <w:sz w:val="16"/>
                <w:szCs w:val="16"/>
              </w:rPr>
            </w:pPr>
            <w:r w:rsidRPr="000F3931">
              <w:rPr>
                <w:rFonts w:ascii="Times New Roman" w:hAnsi="Times New Roman"/>
                <w:sz w:val="16"/>
                <w:szCs w:val="16"/>
              </w:rPr>
              <w:t>CN-0138</w:t>
            </w:r>
          </w:p>
        </w:tc>
        <w:tc>
          <w:tcPr>
            <w:tcW w:w="2096"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Upper Jurassic </w:t>
            </w:r>
          </w:p>
        </w:tc>
        <w:tc>
          <w:tcPr>
            <w:tcW w:w="227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Distal Marine Shale </w:t>
            </w:r>
          </w:p>
        </w:tc>
        <w:tc>
          <w:tcPr>
            <w:tcW w:w="198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Labrador-Newfoundland Shelf, Canada</w:t>
            </w:r>
          </w:p>
        </w:tc>
      </w:tr>
      <w:tr w:rsidR="00B32641" w:rsidRPr="006F7CD0" w:rsidTr="00B32641">
        <w:tc>
          <w:tcPr>
            <w:tcW w:w="704"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30</w:t>
            </w:r>
          </w:p>
        </w:tc>
        <w:tc>
          <w:tcPr>
            <w:tcW w:w="1432" w:type="dxa"/>
          </w:tcPr>
          <w:p w:rsidR="00B32641" w:rsidRPr="000F3931" w:rsidRDefault="00B32641" w:rsidP="00853B6F">
            <w:pPr>
              <w:spacing w:after="200" w:line="276" w:lineRule="auto"/>
              <w:jc w:val="center"/>
              <w:rPr>
                <w:rFonts w:ascii="Times New Roman" w:hAnsi="Times New Roman"/>
                <w:sz w:val="16"/>
                <w:szCs w:val="16"/>
              </w:rPr>
            </w:pPr>
            <w:r w:rsidRPr="000F3931">
              <w:rPr>
                <w:rFonts w:ascii="Times New Roman" w:hAnsi="Times New Roman"/>
                <w:sz w:val="16"/>
                <w:szCs w:val="16"/>
              </w:rPr>
              <w:t>MX-0024</w:t>
            </w:r>
          </w:p>
        </w:tc>
        <w:tc>
          <w:tcPr>
            <w:tcW w:w="2096"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Upper Jurassic </w:t>
            </w:r>
          </w:p>
        </w:tc>
        <w:tc>
          <w:tcPr>
            <w:tcW w:w="227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 Marine Carbonate </w:t>
            </w:r>
          </w:p>
        </w:tc>
        <w:tc>
          <w:tcPr>
            <w:tcW w:w="198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Villahermosa Uplift, Mexico </w:t>
            </w:r>
          </w:p>
        </w:tc>
      </w:tr>
      <w:tr w:rsidR="00B32641" w:rsidRPr="006F7CD0" w:rsidTr="00B32641">
        <w:tc>
          <w:tcPr>
            <w:tcW w:w="704"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31</w:t>
            </w:r>
          </w:p>
        </w:tc>
        <w:tc>
          <w:tcPr>
            <w:tcW w:w="1432" w:type="dxa"/>
          </w:tcPr>
          <w:p w:rsidR="00B32641" w:rsidRPr="000F3931" w:rsidRDefault="00B32641" w:rsidP="00853B6F">
            <w:pPr>
              <w:spacing w:after="200" w:line="276" w:lineRule="auto"/>
              <w:jc w:val="center"/>
              <w:rPr>
                <w:rFonts w:ascii="Times New Roman" w:hAnsi="Times New Roman"/>
                <w:sz w:val="16"/>
                <w:szCs w:val="16"/>
              </w:rPr>
            </w:pPr>
            <w:r w:rsidRPr="000F3931">
              <w:rPr>
                <w:rFonts w:ascii="Times New Roman" w:hAnsi="Times New Roman"/>
                <w:sz w:val="16"/>
                <w:szCs w:val="16"/>
              </w:rPr>
              <w:t>MX-0067</w:t>
            </w:r>
          </w:p>
        </w:tc>
        <w:tc>
          <w:tcPr>
            <w:tcW w:w="2096"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Upper Jurassic</w:t>
            </w:r>
          </w:p>
        </w:tc>
        <w:tc>
          <w:tcPr>
            <w:tcW w:w="227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Marine Carbonate</w:t>
            </w:r>
          </w:p>
        </w:tc>
        <w:tc>
          <w:tcPr>
            <w:tcW w:w="198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Saline-</w:t>
            </w:r>
            <w:proofErr w:type="spellStart"/>
            <w:r w:rsidRPr="006F7CD0">
              <w:rPr>
                <w:rFonts w:ascii="Times New Roman" w:eastAsia="Times New Roman" w:hAnsi="Times New Roman" w:cs="Times New Roman"/>
                <w:sz w:val="16"/>
                <w:szCs w:val="16"/>
              </w:rPr>
              <w:t>Comalcalco</w:t>
            </w:r>
            <w:proofErr w:type="spellEnd"/>
            <w:r w:rsidRPr="006F7CD0">
              <w:rPr>
                <w:rFonts w:ascii="Times New Roman" w:eastAsia="Times New Roman" w:hAnsi="Times New Roman" w:cs="Times New Roman"/>
                <w:sz w:val="16"/>
                <w:szCs w:val="16"/>
              </w:rPr>
              <w:t xml:space="preserve"> Basin, Mexico </w:t>
            </w:r>
          </w:p>
        </w:tc>
      </w:tr>
      <w:tr w:rsidR="00B32641" w:rsidRPr="006F7CD0" w:rsidTr="00B32641">
        <w:tc>
          <w:tcPr>
            <w:tcW w:w="704"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32</w:t>
            </w:r>
          </w:p>
        </w:tc>
        <w:tc>
          <w:tcPr>
            <w:tcW w:w="1432" w:type="dxa"/>
          </w:tcPr>
          <w:p w:rsidR="00B32641" w:rsidRPr="000F3931" w:rsidRDefault="00B32641" w:rsidP="00853B6F">
            <w:pPr>
              <w:spacing w:after="200" w:line="276" w:lineRule="auto"/>
              <w:jc w:val="center"/>
              <w:rPr>
                <w:rFonts w:ascii="Times New Roman" w:hAnsi="Times New Roman"/>
                <w:sz w:val="16"/>
                <w:szCs w:val="16"/>
              </w:rPr>
            </w:pPr>
            <w:r w:rsidRPr="000F3931">
              <w:rPr>
                <w:rFonts w:ascii="Times New Roman" w:hAnsi="Times New Roman"/>
                <w:sz w:val="16"/>
                <w:szCs w:val="16"/>
              </w:rPr>
              <w:t>MX-0078</w:t>
            </w:r>
          </w:p>
        </w:tc>
        <w:tc>
          <w:tcPr>
            <w:tcW w:w="2096"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Upper Jurassic</w:t>
            </w:r>
          </w:p>
        </w:tc>
        <w:tc>
          <w:tcPr>
            <w:tcW w:w="227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Marine Carbonate </w:t>
            </w:r>
          </w:p>
        </w:tc>
        <w:tc>
          <w:tcPr>
            <w:tcW w:w="198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Chiapas Massif-Nuclear Central America, Mexico  </w:t>
            </w:r>
          </w:p>
        </w:tc>
      </w:tr>
      <w:tr w:rsidR="00B32641" w:rsidRPr="006F7CD0" w:rsidTr="00B32641">
        <w:tc>
          <w:tcPr>
            <w:tcW w:w="704"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33</w:t>
            </w:r>
          </w:p>
        </w:tc>
        <w:tc>
          <w:tcPr>
            <w:tcW w:w="1432" w:type="dxa"/>
          </w:tcPr>
          <w:p w:rsidR="00B32641" w:rsidRPr="000F3931" w:rsidRDefault="00B32641" w:rsidP="00853B6F">
            <w:pPr>
              <w:spacing w:after="200" w:line="276" w:lineRule="auto"/>
              <w:jc w:val="center"/>
              <w:rPr>
                <w:rFonts w:ascii="Times New Roman" w:hAnsi="Times New Roman"/>
                <w:sz w:val="16"/>
                <w:szCs w:val="16"/>
              </w:rPr>
            </w:pPr>
            <w:r w:rsidRPr="000F3931">
              <w:rPr>
                <w:rFonts w:ascii="Times New Roman" w:hAnsi="Times New Roman"/>
                <w:sz w:val="16"/>
                <w:szCs w:val="16"/>
              </w:rPr>
              <w:t>MX-0137</w:t>
            </w:r>
          </w:p>
        </w:tc>
        <w:tc>
          <w:tcPr>
            <w:tcW w:w="2096"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Upper Jurassic</w:t>
            </w:r>
          </w:p>
        </w:tc>
        <w:tc>
          <w:tcPr>
            <w:tcW w:w="227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Marine Carbonate </w:t>
            </w:r>
          </w:p>
        </w:tc>
        <w:tc>
          <w:tcPr>
            <w:tcW w:w="198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Saline-</w:t>
            </w:r>
            <w:proofErr w:type="spellStart"/>
            <w:r w:rsidRPr="006F7CD0">
              <w:rPr>
                <w:rFonts w:ascii="Times New Roman" w:eastAsia="Times New Roman" w:hAnsi="Times New Roman" w:cs="Times New Roman"/>
                <w:sz w:val="16"/>
                <w:szCs w:val="16"/>
              </w:rPr>
              <w:t>Comalcalco</w:t>
            </w:r>
            <w:proofErr w:type="spellEnd"/>
            <w:r w:rsidRPr="006F7CD0">
              <w:rPr>
                <w:rFonts w:ascii="Times New Roman" w:eastAsia="Times New Roman" w:hAnsi="Times New Roman" w:cs="Times New Roman"/>
                <w:sz w:val="16"/>
                <w:szCs w:val="16"/>
              </w:rPr>
              <w:t xml:space="preserve"> Basin, Mexico </w:t>
            </w:r>
          </w:p>
        </w:tc>
      </w:tr>
      <w:tr w:rsidR="00B32641" w:rsidRPr="006F7CD0" w:rsidTr="00B32641">
        <w:tc>
          <w:tcPr>
            <w:tcW w:w="704"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34</w:t>
            </w:r>
          </w:p>
        </w:tc>
        <w:tc>
          <w:tcPr>
            <w:tcW w:w="1432" w:type="dxa"/>
          </w:tcPr>
          <w:p w:rsidR="00B32641" w:rsidRPr="000F3931" w:rsidRDefault="00B32641" w:rsidP="00853B6F">
            <w:pPr>
              <w:spacing w:after="200" w:line="276" w:lineRule="auto"/>
              <w:jc w:val="center"/>
              <w:rPr>
                <w:rFonts w:ascii="Times New Roman" w:hAnsi="Times New Roman"/>
                <w:sz w:val="16"/>
                <w:szCs w:val="16"/>
              </w:rPr>
            </w:pPr>
            <w:r w:rsidRPr="000F3931">
              <w:rPr>
                <w:rFonts w:ascii="Times New Roman" w:hAnsi="Times New Roman"/>
                <w:sz w:val="16"/>
                <w:szCs w:val="16"/>
              </w:rPr>
              <w:t>MX-0018</w:t>
            </w:r>
          </w:p>
        </w:tc>
        <w:tc>
          <w:tcPr>
            <w:tcW w:w="2096"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Upper Jurassic </w:t>
            </w:r>
          </w:p>
        </w:tc>
        <w:tc>
          <w:tcPr>
            <w:tcW w:w="227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Marine Marl </w:t>
            </w:r>
          </w:p>
        </w:tc>
        <w:tc>
          <w:tcPr>
            <w:tcW w:w="198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Saline-</w:t>
            </w:r>
            <w:proofErr w:type="spellStart"/>
            <w:r w:rsidRPr="006F7CD0">
              <w:rPr>
                <w:rFonts w:ascii="Times New Roman" w:eastAsia="Times New Roman" w:hAnsi="Times New Roman" w:cs="Times New Roman"/>
                <w:sz w:val="16"/>
                <w:szCs w:val="16"/>
              </w:rPr>
              <w:t>Comalcalco</w:t>
            </w:r>
            <w:proofErr w:type="spellEnd"/>
            <w:r w:rsidRPr="006F7CD0">
              <w:rPr>
                <w:rFonts w:ascii="Times New Roman" w:eastAsia="Times New Roman" w:hAnsi="Times New Roman" w:cs="Times New Roman"/>
                <w:sz w:val="16"/>
                <w:szCs w:val="16"/>
              </w:rPr>
              <w:t xml:space="preserve"> Basin, Mexico </w:t>
            </w:r>
          </w:p>
        </w:tc>
      </w:tr>
      <w:tr w:rsidR="00B32641" w:rsidRPr="006F7CD0" w:rsidTr="00B32641">
        <w:tc>
          <w:tcPr>
            <w:tcW w:w="704"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35</w:t>
            </w:r>
          </w:p>
        </w:tc>
        <w:tc>
          <w:tcPr>
            <w:tcW w:w="1432" w:type="dxa"/>
          </w:tcPr>
          <w:p w:rsidR="00B32641" w:rsidRPr="000F3931" w:rsidRDefault="00B32641" w:rsidP="00853B6F">
            <w:pPr>
              <w:spacing w:after="200" w:line="276" w:lineRule="auto"/>
              <w:jc w:val="center"/>
              <w:rPr>
                <w:rFonts w:ascii="Times New Roman" w:hAnsi="Times New Roman"/>
                <w:sz w:val="16"/>
                <w:szCs w:val="16"/>
              </w:rPr>
            </w:pPr>
            <w:r w:rsidRPr="000F3931">
              <w:rPr>
                <w:rFonts w:ascii="Times New Roman" w:hAnsi="Times New Roman"/>
                <w:sz w:val="16"/>
                <w:szCs w:val="16"/>
              </w:rPr>
              <w:t>SA-0006</w:t>
            </w:r>
          </w:p>
        </w:tc>
        <w:tc>
          <w:tcPr>
            <w:tcW w:w="2096"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Upper Jurassic </w:t>
            </w:r>
          </w:p>
        </w:tc>
        <w:tc>
          <w:tcPr>
            <w:tcW w:w="227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Marine Carbonate </w:t>
            </w:r>
          </w:p>
        </w:tc>
        <w:tc>
          <w:tcPr>
            <w:tcW w:w="198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Mesopotamian Foredeep Basin, Saudi Arabia </w:t>
            </w:r>
          </w:p>
        </w:tc>
      </w:tr>
      <w:tr w:rsidR="00B32641" w:rsidRPr="006F7CD0" w:rsidTr="00B32641">
        <w:tc>
          <w:tcPr>
            <w:tcW w:w="704"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36</w:t>
            </w:r>
          </w:p>
        </w:tc>
        <w:tc>
          <w:tcPr>
            <w:tcW w:w="1432" w:type="dxa"/>
          </w:tcPr>
          <w:p w:rsidR="00B32641" w:rsidRPr="000F3931" w:rsidRDefault="00B32641" w:rsidP="00853B6F">
            <w:pPr>
              <w:spacing w:after="200" w:line="276" w:lineRule="auto"/>
              <w:jc w:val="center"/>
              <w:rPr>
                <w:rFonts w:ascii="Times New Roman" w:hAnsi="Times New Roman"/>
                <w:sz w:val="16"/>
                <w:szCs w:val="16"/>
              </w:rPr>
            </w:pPr>
            <w:r w:rsidRPr="000F3931">
              <w:rPr>
                <w:rFonts w:ascii="Times New Roman" w:hAnsi="Times New Roman"/>
                <w:sz w:val="16"/>
                <w:szCs w:val="16"/>
              </w:rPr>
              <w:t>AS-0261</w:t>
            </w:r>
          </w:p>
        </w:tc>
        <w:tc>
          <w:tcPr>
            <w:tcW w:w="2096"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Lower-Middle Jurassic</w:t>
            </w:r>
          </w:p>
        </w:tc>
        <w:tc>
          <w:tcPr>
            <w:tcW w:w="227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Distal Marine Shale </w:t>
            </w:r>
          </w:p>
        </w:tc>
        <w:tc>
          <w:tcPr>
            <w:tcW w:w="198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Cook Inlet OCS, US</w:t>
            </w:r>
          </w:p>
        </w:tc>
      </w:tr>
      <w:tr w:rsidR="00B32641" w:rsidRPr="006F7CD0" w:rsidTr="00B32641">
        <w:tc>
          <w:tcPr>
            <w:tcW w:w="704"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37</w:t>
            </w:r>
          </w:p>
        </w:tc>
        <w:tc>
          <w:tcPr>
            <w:tcW w:w="1432" w:type="dxa"/>
          </w:tcPr>
          <w:p w:rsidR="00B32641" w:rsidRPr="000F3931" w:rsidRDefault="00B32641" w:rsidP="00853B6F">
            <w:pPr>
              <w:spacing w:after="200" w:line="276" w:lineRule="auto"/>
              <w:jc w:val="center"/>
              <w:rPr>
                <w:rFonts w:ascii="Times New Roman" w:hAnsi="Times New Roman"/>
                <w:sz w:val="16"/>
                <w:szCs w:val="16"/>
              </w:rPr>
            </w:pPr>
            <w:r w:rsidRPr="000F3931">
              <w:rPr>
                <w:rFonts w:ascii="Times New Roman" w:hAnsi="Times New Roman"/>
                <w:sz w:val="16"/>
                <w:szCs w:val="16"/>
              </w:rPr>
              <w:t>FR-0014</w:t>
            </w:r>
          </w:p>
        </w:tc>
        <w:tc>
          <w:tcPr>
            <w:tcW w:w="2096"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Lower-Middle Jurassic</w:t>
            </w:r>
          </w:p>
        </w:tc>
        <w:tc>
          <w:tcPr>
            <w:tcW w:w="227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Distal Marine Shale </w:t>
            </w:r>
          </w:p>
        </w:tc>
        <w:tc>
          <w:tcPr>
            <w:tcW w:w="198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Anglo-Paris Basin, France </w:t>
            </w:r>
          </w:p>
        </w:tc>
      </w:tr>
      <w:tr w:rsidR="00B32641" w:rsidRPr="006F7CD0" w:rsidTr="00B32641">
        <w:tc>
          <w:tcPr>
            <w:tcW w:w="704"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38</w:t>
            </w:r>
          </w:p>
        </w:tc>
        <w:tc>
          <w:tcPr>
            <w:tcW w:w="1432" w:type="dxa"/>
          </w:tcPr>
          <w:p w:rsidR="00B32641" w:rsidRPr="000F3931" w:rsidRDefault="00B32641" w:rsidP="00853B6F">
            <w:pPr>
              <w:spacing w:after="200" w:line="276" w:lineRule="auto"/>
              <w:jc w:val="center"/>
              <w:rPr>
                <w:rFonts w:ascii="Times New Roman" w:hAnsi="Times New Roman"/>
                <w:sz w:val="16"/>
                <w:szCs w:val="16"/>
              </w:rPr>
            </w:pPr>
            <w:r w:rsidRPr="000F3931">
              <w:rPr>
                <w:rFonts w:ascii="Times New Roman" w:hAnsi="Times New Roman"/>
                <w:sz w:val="16"/>
                <w:szCs w:val="16"/>
              </w:rPr>
              <w:t>AS-0118</w:t>
            </w:r>
          </w:p>
        </w:tc>
        <w:tc>
          <w:tcPr>
            <w:tcW w:w="2096"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 Triassic</w:t>
            </w:r>
          </w:p>
        </w:tc>
        <w:tc>
          <w:tcPr>
            <w:tcW w:w="227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Marine Carbonate </w:t>
            </w:r>
          </w:p>
        </w:tc>
        <w:tc>
          <w:tcPr>
            <w:tcW w:w="198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Beaufort Shelf OC, US</w:t>
            </w:r>
          </w:p>
        </w:tc>
      </w:tr>
      <w:tr w:rsidR="00B32641" w:rsidRPr="006F7CD0" w:rsidTr="00B32641">
        <w:tc>
          <w:tcPr>
            <w:tcW w:w="704"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39</w:t>
            </w:r>
          </w:p>
        </w:tc>
        <w:tc>
          <w:tcPr>
            <w:tcW w:w="1432" w:type="dxa"/>
          </w:tcPr>
          <w:p w:rsidR="00B32641" w:rsidRPr="000F3931" w:rsidRDefault="00B32641" w:rsidP="00853B6F">
            <w:pPr>
              <w:spacing w:after="200" w:line="276" w:lineRule="auto"/>
              <w:jc w:val="center"/>
              <w:rPr>
                <w:rFonts w:ascii="Times New Roman" w:hAnsi="Times New Roman"/>
                <w:sz w:val="16"/>
                <w:szCs w:val="16"/>
              </w:rPr>
            </w:pPr>
            <w:r w:rsidRPr="000F3931">
              <w:rPr>
                <w:rFonts w:ascii="Times New Roman" w:hAnsi="Times New Roman"/>
                <w:sz w:val="16"/>
                <w:szCs w:val="16"/>
              </w:rPr>
              <w:t>SY-0051</w:t>
            </w:r>
          </w:p>
        </w:tc>
        <w:tc>
          <w:tcPr>
            <w:tcW w:w="2096"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Triassic </w:t>
            </w:r>
          </w:p>
        </w:tc>
        <w:tc>
          <w:tcPr>
            <w:tcW w:w="227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 Marine Marl </w:t>
            </w:r>
          </w:p>
        </w:tc>
        <w:tc>
          <w:tcPr>
            <w:tcW w:w="198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proofErr w:type="spellStart"/>
            <w:r w:rsidRPr="006F7CD0">
              <w:rPr>
                <w:rFonts w:ascii="Times New Roman" w:eastAsia="Times New Roman" w:hAnsi="Times New Roman" w:cs="Times New Roman"/>
                <w:sz w:val="16"/>
                <w:szCs w:val="16"/>
              </w:rPr>
              <w:t>Haleb</w:t>
            </w:r>
            <w:proofErr w:type="spellEnd"/>
            <w:r w:rsidRPr="006F7CD0">
              <w:rPr>
                <w:rFonts w:ascii="Times New Roman" w:eastAsia="Times New Roman" w:hAnsi="Times New Roman" w:cs="Times New Roman"/>
                <w:sz w:val="16"/>
                <w:szCs w:val="16"/>
              </w:rPr>
              <w:t xml:space="preserve">, Syria </w:t>
            </w:r>
          </w:p>
        </w:tc>
      </w:tr>
      <w:tr w:rsidR="00B32641" w:rsidRPr="006F7CD0" w:rsidTr="00B32641">
        <w:tc>
          <w:tcPr>
            <w:tcW w:w="704"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40</w:t>
            </w:r>
          </w:p>
        </w:tc>
        <w:tc>
          <w:tcPr>
            <w:tcW w:w="1432" w:type="dxa"/>
          </w:tcPr>
          <w:p w:rsidR="00B32641" w:rsidRPr="000F3931" w:rsidRDefault="00B32641" w:rsidP="00853B6F">
            <w:pPr>
              <w:spacing w:after="200" w:line="276" w:lineRule="auto"/>
              <w:jc w:val="center"/>
              <w:rPr>
                <w:rFonts w:ascii="Times New Roman" w:hAnsi="Times New Roman"/>
                <w:sz w:val="16"/>
                <w:szCs w:val="16"/>
              </w:rPr>
            </w:pPr>
            <w:r w:rsidRPr="000F3931">
              <w:rPr>
                <w:rFonts w:ascii="Times New Roman" w:hAnsi="Times New Roman"/>
                <w:sz w:val="16"/>
                <w:szCs w:val="16"/>
              </w:rPr>
              <w:t>AR-0230</w:t>
            </w:r>
          </w:p>
        </w:tc>
        <w:tc>
          <w:tcPr>
            <w:tcW w:w="2096"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Triassic</w:t>
            </w:r>
          </w:p>
        </w:tc>
        <w:tc>
          <w:tcPr>
            <w:tcW w:w="227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Lacustrine Fresh </w:t>
            </w:r>
          </w:p>
        </w:tc>
        <w:tc>
          <w:tcPr>
            <w:tcW w:w="198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proofErr w:type="spellStart"/>
            <w:r w:rsidRPr="006F7CD0">
              <w:rPr>
                <w:rFonts w:ascii="Times New Roman" w:eastAsia="Times New Roman" w:hAnsi="Times New Roman" w:cs="Times New Roman"/>
                <w:sz w:val="16"/>
                <w:szCs w:val="16"/>
              </w:rPr>
              <w:t>Cuyo</w:t>
            </w:r>
            <w:proofErr w:type="spellEnd"/>
            <w:r w:rsidRPr="006F7CD0">
              <w:rPr>
                <w:rFonts w:ascii="Times New Roman" w:eastAsia="Times New Roman" w:hAnsi="Times New Roman" w:cs="Times New Roman"/>
                <w:sz w:val="16"/>
                <w:szCs w:val="16"/>
              </w:rPr>
              <w:t xml:space="preserve"> Basin, Argentina  </w:t>
            </w:r>
          </w:p>
        </w:tc>
      </w:tr>
      <w:tr w:rsidR="00B32641" w:rsidRPr="006F7CD0" w:rsidTr="00B32641">
        <w:tc>
          <w:tcPr>
            <w:tcW w:w="704"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41</w:t>
            </w:r>
          </w:p>
        </w:tc>
        <w:tc>
          <w:tcPr>
            <w:tcW w:w="1432" w:type="dxa"/>
          </w:tcPr>
          <w:p w:rsidR="00B32641" w:rsidRPr="000F3931" w:rsidRDefault="00B32641" w:rsidP="00853B6F">
            <w:pPr>
              <w:spacing w:after="200" w:line="276" w:lineRule="auto"/>
              <w:jc w:val="center"/>
              <w:rPr>
                <w:rFonts w:ascii="Times New Roman" w:hAnsi="Times New Roman"/>
                <w:sz w:val="16"/>
                <w:szCs w:val="16"/>
              </w:rPr>
            </w:pPr>
            <w:r w:rsidRPr="000F3931">
              <w:rPr>
                <w:rFonts w:ascii="Times New Roman" w:hAnsi="Times New Roman"/>
                <w:sz w:val="16"/>
                <w:szCs w:val="16"/>
              </w:rPr>
              <w:t>SI-0010</w:t>
            </w:r>
          </w:p>
        </w:tc>
        <w:tc>
          <w:tcPr>
            <w:tcW w:w="2096"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Triassic</w:t>
            </w:r>
          </w:p>
        </w:tc>
        <w:tc>
          <w:tcPr>
            <w:tcW w:w="227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Hypersaline-Restricted </w:t>
            </w:r>
          </w:p>
        </w:tc>
        <w:tc>
          <w:tcPr>
            <w:tcW w:w="198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Sicily, Italy </w:t>
            </w:r>
          </w:p>
        </w:tc>
      </w:tr>
      <w:tr w:rsidR="00B32641" w:rsidRPr="006F7CD0" w:rsidTr="00B32641">
        <w:tc>
          <w:tcPr>
            <w:tcW w:w="704"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42</w:t>
            </w:r>
          </w:p>
        </w:tc>
        <w:tc>
          <w:tcPr>
            <w:tcW w:w="1432" w:type="dxa"/>
          </w:tcPr>
          <w:p w:rsidR="00B32641" w:rsidRPr="000F3931" w:rsidRDefault="00F441B3" w:rsidP="00853B6F">
            <w:pPr>
              <w:spacing w:after="200" w:line="276" w:lineRule="auto"/>
              <w:jc w:val="center"/>
              <w:rPr>
                <w:rFonts w:ascii="Times New Roman" w:hAnsi="Times New Roman"/>
                <w:sz w:val="16"/>
                <w:szCs w:val="16"/>
              </w:rPr>
            </w:pPr>
            <w:r w:rsidRPr="000F3931">
              <w:rPr>
                <w:rFonts w:ascii="Times New Roman" w:hAnsi="Times New Roman"/>
                <w:sz w:val="16"/>
                <w:szCs w:val="16"/>
              </w:rPr>
              <w:t>NM-0059</w:t>
            </w:r>
          </w:p>
        </w:tc>
        <w:tc>
          <w:tcPr>
            <w:tcW w:w="2096"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Permian </w:t>
            </w:r>
          </w:p>
        </w:tc>
        <w:tc>
          <w:tcPr>
            <w:tcW w:w="227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Marine Marl </w:t>
            </w:r>
          </w:p>
        </w:tc>
        <w:tc>
          <w:tcPr>
            <w:tcW w:w="198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Permian Basin, US  </w:t>
            </w:r>
          </w:p>
        </w:tc>
      </w:tr>
      <w:tr w:rsidR="00B32641" w:rsidRPr="006F7CD0" w:rsidTr="00B32641">
        <w:tc>
          <w:tcPr>
            <w:tcW w:w="704"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43</w:t>
            </w:r>
          </w:p>
        </w:tc>
        <w:tc>
          <w:tcPr>
            <w:tcW w:w="1432" w:type="dxa"/>
          </w:tcPr>
          <w:p w:rsidR="00B32641" w:rsidRPr="000F3931" w:rsidRDefault="00F441B3" w:rsidP="00853B6F">
            <w:pPr>
              <w:spacing w:after="200" w:line="276" w:lineRule="auto"/>
              <w:jc w:val="center"/>
              <w:rPr>
                <w:rFonts w:ascii="Times New Roman" w:hAnsi="Times New Roman"/>
                <w:sz w:val="16"/>
                <w:szCs w:val="16"/>
              </w:rPr>
            </w:pPr>
            <w:r w:rsidRPr="000F3931">
              <w:rPr>
                <w:rFonts w:ascii="Times New Roman" w:hAnsi="Times New Roman"/>
                <w:sz w:val="16"/>
                <w:szCs w:val="16"/>
              </w:rPr>
              <w:t>WY-0666</w:t>
            </w:r>
          </w:p>
        </w:tc>
        <w:tc>
          <w:tcPr>
            <w:tcW w:w="2096"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Permian </w:t>
            </w:r>
          </w:p>
        </w:tc>
        <w:tc>
          <w:tcPr>
            <w:tcW w:w="227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Marine Carbonate </w:t>
            </w:r>
          </w:p>
        </w:tc>
        <w:tc>
          <w:tcPr>
            <w:tcW w:w="198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Big Horn Basin, US </w:t>
            </w:r>
          </w:p>
        </w:tc>
      </w:tr>
      <w:tr w:rsidR="00B32641" w:rsidRPr="006F7CD0" w:rsidTr="00B32641">
        <w:tc>
          <w:tcPr>
            <w:tcW w:w="704"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44</w:t>
            </w:r>
          </w:p>
        </w:tc>
        <w:tc>
          <w:tcPr>
            <w:tcW w:w="1432" w:type="dxa"/>
          </w:tcPr>
          <w:p w:rsidR="00B32641" w:rsidRPr="000F3931" w:rsidRDefault="00F441B3" w:rsidP="00853B6F">
            <w:pPr>
              <w:spacing w:after="200" w:line="276" w:lineRule="auto"/>
              <w:jc w:val="center"/>
              <w:rPr>
                <w:rFonts w:ascii="Times New Roman" w:hAnsi="Times New Roman"/>
                <w:sz w:val="16"/>
                <w:szCs w:val="16"/>
              </w:rPr>
            </w:pPr>
            <w:r w:rsidRPr="000F3931">
              <w:rPr>
                <w:rFonts w:ascii="Times New Roman" w:hAnsi="Times New Roman"/>
                <w:sz w:val="16"/>
                <w:szCs w:val="16"/>
              </w:rPr>
              <w:t>NM-0120</w:t>
            </w:r>
          </w:p>
        </w:tc>
        <w:tc>
          <w:tcPr>
            <w:tcW w:w="2096"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Permian </w:t>
            </w:r>
          </w:p>
        </w:tc>
        <w:tc>
          <w:tcPr>
            <w:tcW w:w="227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Marine Carbonate </w:t>
            </w:r>
          </w:p>
        </w:tc>
        <w:tc>
          <w:tcPr>
            <w:tcW w:w="198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Permian Basin, Us  </w:t>
            </w:r>
          </w:p>
        </w:tc>
      </w:tr>
      <w:tr w:rsidR="00B32641" w:rsidRPr="006F7CD0" w:rsidTr="00B32641">
        <w:tc>
          <w:tcPr>
            <w:tcW w:w="704"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45</w:t>
            </w:r>
          </w:p>
        </w:tc>
        <w:tc>
          <w:tcPr>
            <w:tcW w:w="1432" w:type="dxa"/>
          </w:tcPr>
          <w:p w:rsidR="00B32641" w:rsidRPr="000F3931" w:rsidRDefault="00F441B3" w:rsidP="00853B6F">
            <w:pPr>
              <w:spacing w:after="200" w:line="276" w:lineRule="auto"/>
              <w:jc w:val="center"/>
              <w:rPr>
                <w:rFonts w:ascii="Times New Roman" w:hAnsi="Times New Roman"/>
                <w:sz w:val="16"/>
                <w:szCs w:val="16"/>
              </w:rPr>
            </w:pPr>
            <w:r w:rsidRPr="000F3931">
              <w:rPr>
                <w:rFonts w:ascii="Times New Roman" w:hAnsi="Times New Roman"/>
                <w:sz w:val="16"/>
                <w:szCs w:val="16"/>
              </w:rPr>
              <w:t>TX-1224</w:t>
            </w:r>
          </w:p>
        </w:tc>
        <w:tc>
          <w:tcPr>
            <w:tcW w:w="2096"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Permian </w:t>
            </w:r>
          </w:p>
        </w:tc>
        <w:tc>
          <w:tcPr>
            <w:tcW w:w="227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Marine Marl </w:t>
            </w:r>
          </w:p>
        </w:tc>
        <w:tc>
          <w:tcPr>
            <w:tcW w:w="198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Palo </w:t>
            </w:r>
            <w:proofErr w:type="spellStart"/>
            <w:r w:rsidRPr="006F7CD0">
              <w:rPr>
                <w:rFonts w:ascii="Times New Roman" w:eastAsia="Times New Roman" w:hAnsi="Times New Roman" w:cs="Times New Roman"/>
                <w:sz w:val="16"/>
                <w:szCs w:val="16"/>
              </w:rPr>
              <w:t>Duro</w:t>
            </w:r>
            <w:proofErr w:type="spellEnd"/>
            <w:r w:rsidRPr="006F7CD0">
              <w:rPr>
                <w:rFonts w:ascii="Times New Roman" w:eastAsia="Times New Roman" w:hAnsi="Times New Roman" w:cs="Times New Roman"/>
                <w:sz w:val="16"/>
                <w:szCs w:val="16"/>
              </w:rPr>
              <w:t xml:space="preserve"> Basin, US </w:t>
            </w:r>
          </w:p>
        </w:tc>
      </w:tr>
      <w:tr w:rsidR="00B32641" w:rsidRPr="006F7CD0" w:rsidTr="00B32641">
        <w:tc>
          <w:tcPr>
            <w:tcW w:w="704"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46</w:t>
            </w:r>
          </w:p>
        </w:tc>
        <w:tc>
          <w:tcPr>
            <w:tcW w:w="1432" w:type="dxa"/>
          </w:tcPr>
          <w:p w:rsidR="00B32641" w:rsidRPr="000F3931" w:rsidRDefault="00F441B3" w:rsidP="00853B6F">
            <w:pPr>
              <w:spacing w:after="200" w:line="276" w:lineRule="auto"/>
              <w:jc w:val="center"/>
              <w:rPr>
                <w:rFonts w:ascii="Times New Roman" w:hAnsi="Times New Roman"/>
                <w:sz w:val="16"/>
                <w:szCs w:val="16"/>
              </w:rPr>
            </w:pPr>
            <w:r w:rsidRPr="000F3931">
              <w:rPr>
                <w:rFonts w:ascii="Times New Roman" w:hAnsi="Times New Roman"/>
                <w:sz w:val="16"/>
                <w:szCs w:val="16"/>
              </w:rPr>
              <w:t>NM-0345</w:t>
            </w:r>
          </w:p>
        </w:tc>
        <w:tc>
          <w:tcPr>
            <w:tcW w:w="2096"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Permian </w:t>
            </w:r>
          </w:p>
        </w:tc>
        <w:tc>
          <w:tcPr>
            <w:tcW w:w="227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Marine Carbonate </w:t>
            </w:r>
          </w:p>
        </w:tc>
        <w:tc>
          <w:tcPr>
            <w:tcW w:w="198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Permian Basin, US </w:t>
            </w:r>
          </w:p>
        </w:tc>
      </w:tr>
      <w:tr w:rsidR="00B32641" w:rsidRPr="006F7CD0" w:rsidTr="00B32641">
        <w:tc>
          <w:tcPr>
            <w:tcW w:w="704"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47</w:t>
            </w:r>
          </w:p>
        </w:tc>
        <w:tc>
          <w:tcPr>
            <w:tcW w:w="1432" w:type="dxa"/>
          </w:tcPr>
          <w:p w:rsidR="00B32641" w:rsidRPr="000F3931" w:rsidRDefault="00F441B3" w:rsidP="00853B6F">
            <w:pPr>
              <w:spacing w:after="200" w:line="276" w:lineRule="auto"/>
              <w:jc w:val="center"/>
              <w:rPr>
                <w:rFonts w:ascii="Times New Roman" w:hAnsi="Times New Roman"/>
                <w:sz w:val="16"/>
                <w:szCs w:val="16"/>
              </w:rPr>
            </w:pPr>
            <w:r w:rsidRPr="000F3931">
              <w:rPr>
                <w:rFonts w:ascii="Times New Roman" w:hAnsi="Times New Roman"/>
                <w:sz w:val="16"/>
                <w:szCs w:val="16"/>
              </w:rPr>
              <w:t>TX-1845</w:t>
            </w:r>
          </w:p>
        </w:tc>
        <w:tc>
          <w:tcPr>
            <w:tcW w:w="2096"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Permian</w:t>
            </w:r>
          </w:p>
        </w:tc>
        <w:tc>
          <w:tcPr>
            <w:tcW w:w="227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Hypersaline-Restricted </w:t>
            </w:r>
          </w:p>
        </w:tc>
        <w:tc>
          <w:tcPr>
            <w:tcW w:w="198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Anadarko Basin, US  </w:t>
            </w:r>
          </w:p>
        </w:tc>
      </w:tr>
      <w:tr w:rsidR="00B32641" w:rsidRPr="006F7CD0" w:rsidTr="00B32641">
        <w:tc>
          <w:tcPr>
            <w:tcW w:w="704"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lastRenderedPageBreak/>
              <w:t>48</w:t>
            </w:r>
          </w:p>
        </w:tc>
        <w:tc>
          <w:tcPr>
            <w:tcW w:w="1432" w:type="dxa"/>
          </w:tcPr>
          <w:p w:rsidR="00B32641" w:rsidRPr="000F3931" w:rsidRDefault="00F441B3" w:rsidP="00853B6F">
            <w:pPr>
              <w:spacing w:after="200" w:line="276" w:lineRule="auto"/>
              <w:jc w:val="center"/>
              <w:rPr>
                <w:rFonts w:ascii="Times New Roman" w:hAnsi="Times New Roman"/>
                <w:sz w:val="16"/>
                <w:szCs w:val="16"/>
              </w:rPr>
            </w:pPr>
            <w:r w:rsidRPr="000F3931">
              <w:rPr>
                <w:rFonts w:ascii="Times New Roman" w:hAnsi="Times New Roman"/>
                <w:sz w:val="16"/>
                <w:szCs w:val="16"/>
              </w:rPr>
              <w:t>NM-0149</w:t>
            </w:r>
          </w:p>
        </w:tc>
        <w:tc>
          <w:tcPr>
            <w:tcW w:w="2096"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Lower Permian </w:t>
            </w:r>
          </w:p>
        </w:tc>
        <w:tc>
          <w:tcPr>
            <w:tcW w:w="227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Marine Distal Shale- </w:t>
            </w:r>
            <w:proofErr w:type="spellStart"/>
            <w:r w:rsidRPr="006F7CD0">
              <w:rPr>
                <w:rFonts w:ascii="Times New Roman" w:eastAsia="Times New Roman" w:hAnsi="Times New Roman" w:cs="Times New Roman"/>
                <w:sz w:val="16"/>
                <w:szCs w:val="16"/>
              </w:rPr>
              <w:t>Wolfcamp</w:t>
            </w:r>
            <w:proofErr w:type="spellEnd"/>
            <w:r w:rsidRPr="006F7CD0">
              <w:rPr>
                <w:rFonts w:ascii="Times New Roman" w:eastAsia="Times New Roman" w:hAnsi="Times New Roman" w:cs="Times New Roman"/>
                <w:sz w:val="16"/>
                <w:szCs w:val="16"/>
              </w:rPr>
              <w:t xml:space="preserve"> Fm. </w:t>
            </w:r>
          </w:p>
        </w:tc>
        <w:tc>
          <w:tcPr>
            <w:tcW w:w="198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Permian Basin, US </w:t>
            </w:r>
          </w:p>
        </w:tc>
      </w:tr>
      <w:tr w:rsidR="00B32641" w:rsidRPr="006F7CD0" w:rsidTr="00B32641">
        <w:tc>
          <w:tcPr>
            <w:tcW w:w="704"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49</w:t>
            </w:r>
          </w:p>
        </w:tc>
        <w:tc>
          <w:tcPr>
            <w:tcW w:w="1432" w:type="dxa"/>
          </w:tcPr>
          <w:p w:rsidR="00B32641" w:rsidRPr="000F3931" w:rsidRDefault="00F441B3" w:rsidP="00853B6F">
            <w:pPr>
              <w:spacing w:after="200" w:line="276" w:lineRule="auto"/>
              <w:jc w:val="center"/>
              <w:rPr>
                <w:rFonts w:ascii="Times New Roman" w:hAnsi="Times New Roman"/>
                <w:sz w:val="16"/>
                <w:szCs w:val="16"/>
              </w:rPr>
            </w:pPr>
            <w:r w:rsidRPr="000F3931">
              <w:rPr>
                <w:rFonts w:ascii="Times New Roman" w:hAnsi="Times New Roman"/>
                <w:sz w:val="16"/>
                <w:szCs w:val="16"/>
              </w:rPr>
              <w:t>NM-0192</w:t>
            </w:r>
          </w:p>
        </w:tc>
        <w:tc>
          <w:tcPr>
            <w:tcW w:w="2096"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Lower Permian </w:t>
            </w:r>
          </w:p>
        </w:tc>
        <w:tc>
          <w:tcPr>
            <w:tcW w:w="227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Marine Distal Shale- </w:t>
            </w:r>
            <w:proofErr w:type="spellStart"/>
            <w:r w:rsidRPr="006F7CD0">
              <w:rPr>
                <w:rFonts w:ascii="Times New Roman" w:eastAsia="Times New Roman" w:hAnsi="Times New Roman" w:cs="Times New Roman"/>
                <w:sz w:val="16"/>
                <w:szCs w:val="16"/>
              </w:rPr>
              <w:t>Wolfcamp</w:t>
            </w:r>
            <w:proofErr w:type="spellEnd"/>
            <w:r w:rsidRPr="006F7CD0">
              <w:rPr>
                <w:rFonts w:ascii="Times New Roman" w:eastAsia="Times New Roman" w:hAnsi="Times New Roman" w:cs="Times New Roman"/>
                <w:sz w:val="16"/>
                <w:szCs w:val="16"/>
              </w:rPr>
              <w:t xml:space="preserve"> Fm.</w:t>
            </w:r>
          </w:p>
        </w:tc>
        <w:tc>
          <w:tcPr>
            <w:tcW w:w="198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Permian Basin, US </w:t>
            </w:r>
          </w:p>
        </w:tc>
      </w:tr>
      <w:tr w:rsidR="00B32641" w:rsidRPr="006F7CD0" w:rsidTr="00B32641">
        <w:tc>
          <w:tcPr>
            <w:tcW w:w="704"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50</w:t>
            </w:r>
          </w:p>
        </w:tc>
        <w:tc>
          <w:tcPr>
            <w:tcW w:w="1432" w:type="dxa"/>
          </w:tcPr>
          <w:p w:rsidR="00B32641" w:rsidRPr="000F3931" w:rsidRDefault="00F441B3" w:rsidP="00853B6F">
            <w:pPr>
              <w:spacing w:after="200" w:line="276" w:lineRule="auto"/>
              <w:jc w:val="center"/>
              <w:rPr>
                <w:rFonts w:ascii="Times New Roman" w:hAnsi="Times New Roman"/>
                <w:sz w:val="16"/>
                <w:szCs w:val="16"/>
              </w:rPr>
            </w:pPr>
            <w:r w:rsidRPr="000F3931">
              <w:rPr>
                <w:rFonts w:ascii="Times New Roman" w:hAnsi="Times New Roman"/>
                <w:sz w:val="16"/>
                <w:szCs w:val="16"/>
              </w:rPr>
              <w:t>TX-1809</w:t>
            </w:r>
          </w:p>
        </w:tc>
        <w:tc>
          <w:tcPr>
            <w:tcW w:w="2096"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Upper Pennsylvanian </w:t>
            </w:r>
          </w:p>
        </w:tc>
        <w:tc>
          <w:tcPr>
            <w:tcW w:w="227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Distal Marine Shale- Cline </w:t>
            </w:r>
            <w:proofErr w:type="spellStart"/>
            <w:r w:rsidRPr="006F7CD0">
              <w:rPr>
                <w:rFonts w:ascii="Times New Roman" w:eastAsia="Times New Roman" w:hAnsi="Times New Roman" w:cs="Times New Roman"/>
                <w:sz w:val="16"/>
                <w:szCs w:val="16"/>
              </w:rPr>
              <w:t>Fm</w:t>
            </w:r>
            <w:proofErr w:type="spellEnd"/>
          </w:p>
        </w:tc>
        <w:tc>
          <w:tcPr>
            <w:tcW w:w="198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Permian Basin, US </w:t>
            </w:r>
          </w:p>
        </w:tc>
      </w:tr>
      <w:tr w:rsidR="00B32641" w:rsidRPr="006F7CD0" w:rsidTr="00B32641">
        <w:tc>
          <w:tcPr>
            <w:tcW w:w="704"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51</w:t>
            </w:r>
          </w:p>
        </w:tc>
        <w:tc>
          <w:tcPr>
            <w:tcW w:w="1432" w:type="dxa"/>
          </w:tcPr>
          <w:p w:rsidR="00B32641" w:rsidRPr="000F3931" w:rsidRDefault="00F441B3" w:rsidP="00853B6F">
            <w:pPr>
              <w:spacing w:after="200" w:line="276" w:lineRule="auto"/>
              <w:jc w:val="center"/>
              <w:rPr>
                <w:rFonts w:ascii="Times New Roman" w:hAnsi="Times New Roman"/>
                <w:sz w:val="16"/>
                <w:szCs w:val="16"/>
              </w:rPr>
            </w:pPr>
            <w:r w:rsidRPr="000F3931">
              <w:rPr>
                <w:rFonts w:ascii="Times New Roman" w:hAnsi="Times New Roman"/>
                <w:sz w:val="16"/>
                <w:szCs w:val="16"/>
              </w:rPr>
              <w:t>TX-0706</w:t>
            </w:r>
          </w:p>
        </w:tc>
        <w:tc>
          <w:tcPr>
            <w:tcW w:w="2096"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Carboniferous</w:t>
            </w:r>
          </w:p>
        </w:tc>
        <w:tc>
          <w:tcPr>
            <w:tcW w:w="227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Distal Marine Shale </w:t>
            </w:r>
          </w:p>
        </w:tc>
        <w:tc>
          <w:tcPr>
            <w:tcW w:w="198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Bend Arch- Fort Worth Basin, US </w:t>
            </w:r>
          </w:p>
        </w:tc>
      </w:tr>
      <w:tr w:rsidR="00B32641" w:rsidRPr="006F7CD0" w:rsidTr="00B32641">
        <w:tc>
          <w:tcPr>
            <w:tcW w:w="704"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52</w:t>
            </w:r>
          </w:p>
        </w:tc>
        <w:tc>
          <w:tcPr>
            <w:tcW w:w="1432" w:type="dxa"/>
          </w:tcPr>
          <w:p w:rsidR="00B32641" w:rsidRPr="000F3931" w:rsidRDefault="00F441B3" w:rsidP="00853B6F">
            <w:pPr>
              <w:spacing w:after="200" w:line="276" w:lineRule="auto"/>
              <w:jc w:val="center"/>
              <w:rPr>
                <w:rFonts w:ascii="Times New Roman" w:hAnsi="Times New Roman"/>
                <w:sz w:val="16"/>
                <w:szCs w:val="16"/>
              </w:rPr>
            </w:pPr>
            <w:r w:rsidRPr="000F3931">
              <w:rPr>
                <w:rFonts w:ascii="Times New Roman" w:hAnsi="Times New Roman"/>
                <w:sz w:val="16"/>
                <w:szCs w:val="16"/>
              </w:rPr>
              <w:t>TX-1639</w:t>
            </w:r>
          </w:p>
        </w:tc>
        <w:tc>
          <w:tcPr>
            <w:tcW w:w="2096"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Upper Mississippian </w:t>
            </w:r>
          </w:p>
        </w:tc>
        <w:tc>
          <w:tcPr>
            <w:tcW w:w="227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Distal Marine Shale </w:t>
            </w:r>
          </w:p>
        </w:tc>
        <w:tc>
          <w:tcPr>
            <w:tcW w:w="198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Montague Co. TX, US</w:t>
            </w:r>
          </w:p>
        </w:tc>
      </w:tr>
      <w:tr w:rsidR="00B32641" w:rsidRPr="006F7CD0" w:rsidTr="00B32641">
        <w:tc>
          <w:tcPr>
            <w:tcW w:w="704"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53</w:t>
            </w:r>
          </w:p>
        </w:tc>
        <w:tc>
          <w:tcPr>
            <w:tcW w:w="1432" w:type="dxa"/>
          </w:tcPr>
          <w:p w:rsidR="00B32641" w:rsidRPr="000F3931" w:rsidRDefault="00F441B3" w:rsidP="00853B6F">
            <w:pPr>
              <w:spacing w:after="200" w:line="276" w:lineRule="auto"/>
              <w:jc w:val="center"/>
              <w:rPr>
                <w:rFonts w:ascii="Times New Roman" w:hAnsi="Times New Roman"/>
                <w:sz w:val="16"/>
                <w:szCs w:val="16"/>
              </w:rPr>
            </w:pPr>
            <w:r w:rsidRPr="000F3931">
              <w:rPr>
                <w:rFonts w:ascii="Times New Roman" w:hAnsi="Times New Roman"/>
                <w:sz w:val="16"/>
                <w:szCs w:val="16"/>
              </w:rPr>
              <w:t>OK-0046</w:t>
            </w:r>
          </w:p>
        </w:tc>
        <w:tc>
          <w:tcPr>
            <w:tcW w:w="2096"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Upper Devonian/ Lower Mississippian</w:t>
            </w:r>
          </w:p>
        </w:tc>
        <w:tc>
          <w:tcPr>
            <w:tcW w:w="227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Distal Marine Shale-Woodford Fm.</w:t>
            </w:r>
          </w:p>
        </w:tc>
        <w:tc>
          <w:tcPr>
            <w:tcW w:w="198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Southern Oklahoma, US</w:t>
            </w:r>
          </w:p>
        </w:tc>
      </w:tr>
      <w:tr w:rsidR="00B32641" w:rsidRPr="006F7CD0" w:rsidTr="00B32641">
        <w:tc>
          <w:tcPr>
            <w:tcW w:w="704"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54</w:t>
            </w:r>
          </w:p>
        </w:tc>
        <w:tc>
          <w:tcPr>
            <w:tcW w:w="1432" w:type="dxa"/>
          </w:tcPr>
          <w:p w:rsidR="00B32641" w:rsidRPr="000F3931" w:rsidRDefault="00F441B3" w:rsidP="00853B6F">
            <w:pPr>
              <w:spacing w:after="200" w:line="276" w:lineRule="auto"/>
              <w:jc w:val="center"/>
              <w:rPr>
                <w:rFonts w:ascii="Times New Roman" w:hAnsi="Times New Roman"/>
                <w:sz w:val="16"/>
                <w:szCs w:val="16"/>
              </w:rPr>
            </w:pPr>
            <w:r w:rsidRPr="000F3931">
              <w:rPr>
                <w:rFonts w:ascii="Times New Roman" w:hAnsi="Times New Roman"/>
                <w:sz w:val="16"/>
                <w:szCs w:val="16"/>
              </w:rPr>
              <w:t>KY-0014</w:t>
            </w:r>
          </w:p>
        </w:tc>
        <w:tc>
          <w:tcPr>
            <w:tcW w:w="2096"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 Devonian</w:t>
            </w:r>
          </w:p>
        </w:tc>
        <w:tc>
          <w:tcPr>
            <w:tcW w:w="227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Distal Marine Shale </w:t>
            </w:r>
          </w:p>
        </w:tc>
        <w:tc>
          <w:tcPr>
            <w:tcW w:w="198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Cincinnati Arch, US</w:t>
            </w:r>
          </w:p>
        </w:tc>
      </w:tr>
      <w:tr w:rsidR="00B32641" w:rsidRPr="006F7CD0" w:rsidTr="00B32641">
        <w:tc>
          <w:tcPr>
            <w:tcW w:w="704"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55</w:t>
            </w:r>
          </w:p>
        </w:tc>
        <w:tc>
          <w:tcPr>
            <w:tcW w:w="1432" w:type="dxa"/>
          </w:tcPr>
          <w:p w:rsidR="00B32641" w:rsidRPr="000F3931" w:rsidRDefault="00F441B3" w:rsidP="00853B6F">
            <w:pPr>
              <w:spacing w:after="200" w:line="276" w:lineRule="auto"/>
              <w:jc w:val="center"/>
              <w:rPr>
                <w:rFonts w:ascii="Times New Roman" w:hAnsi="Times New Roman"/>
                <w:sz w:val="16"/>
                <w:szCs w:val="16"/>
              </w:rPr>
            </w:pPr>
            <w:r w:rsidRPr="000F3931">
              <w:rPr>
                <w:rFonts w:ascii="Times New Roman" w:hAnsi="Times New Roman"/>
                <w:sz w:val="16"/>
                <w:szCs w:val="16"/>
              </w:rPr>
              <w:t>ND-0267</w:t>
            </w:r>
          </w:p>
        </w:tc>
        <w:tc>
          <w:tcPr>
            <w:tcW w:w="2096"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Upper Devonian/ Lower Mississippian</w:t>
            </w:r>
          </w:p>
        </w:tc>
        <w:tc>
          <w:tcPr>
            <w:tcW w:w="227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Distal Marine Shale </w:t>
            </w:r>
          </w:p>
        </w:tc>
        <w:tc>
          <w:tcPr>
            <w:tcW w:w="198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Williston Basin, US </w:t>
            </w:r>
          </w:p>
        </w:tc>
      </w:tr>
      <w:tr w:rsidR="00B32641" w:rsidRPr="006F7CD0" w:rsidTr="00B32641">
        <w:tc>
          <w:tcPr>
            <w:tcW w:w="704"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56</w:t>
            </w:r>
          </w:p>
        </w:tc>
        <w:tc>
          <w:tcPr>
            <w:tcW w:w="1432" w:type="dxa"/>
          </w:tcPr>
          <w:p w:rsidR="00B32641" w:rsidRPr="000F3931" w:rsidRDefault="00F441B3" w:rsidP="00853B6F">
            <w:pPr>
              <w:spacing w:after="200" w:line="276" w:lineRule="auto"/>
              <w:jc w:val="center"/>
              <w:rPr>
                <w:rFonts w:ascii="Times New Roman" w:hAnsi="Times New Roman"/>
                <w:sz w:val="16"/>
                <w:szCs w:val="16"/>
              </w:rPr>
            </w:pPr>
            <w:r w:rsidRPr="000F3931">
              <w:rPr>
                <w:rFonts w:ascii="Times New Roman" w:hAnsi="Times New Roman"/>
                <w:sz w:val="16"/>
                <w:szCs w:val="16"/>
              </w:rPr>
              <w:t>CN-0044</w:t>
            </w:r>
          </w:p>
        </w:tc>
        <w:tc>
          <w:tcPr>
            <w:tcW w:w="2096"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Devonian</w:t>
            </w:r>
          </w:p>
        </w:tc>
        <w:tc>
          <w:tcPr>
            <w:tcW w:w="227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Marine Marl </w:t>
            </w:r>
          </w:p>
        </w:tc>
        <w:tc>
          <w:tcPr>
            <w:tcW w:w="198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Alberta Basin, Canada </w:t>
            </w:r>
          </w:p>
        </w:tc>
      </w:tr>
      <w:tr w:rsidR="00B32641" w:rsidRPr="006F7CD0" w:rsidTr="00B32641">
        <w:tc>
          <w:tcPr>
            <w:tcW w:w="704"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57</w:t>
            </w:r>
          </w:p>
        </w:tc>
        <w:tc>
          <w:tcPr>
            <w:tcW w:w="1432" w:type="dxa"/>
          </w:tcPr>
          <w:p w:rsidR="00B32641" w:rsidRPr="000F3931" w:rsidRDefault="00F441B3" w:rsidP="00853B6F">
            <w:pPr>
              <w:spacing w:after="200" w:line="276" w:lineRule="auto"/>
              <w:jc w:val="center"/>
              <w:rPr>
                <w:rFonts w:ascii="Times New Roman" w:hAnsi="Times New Roman"/>
                <w:sz w:val="16"/>
                <w:szCs w:val="16"/>
              </w:rPr>
            </w:pPr>
            <w:r w:rsidRPr="000F3931">
              <w:rPr>
                <w:rFonts w:ascii="Times New Roman" w:hAnsi="Times New Roman"/>
                <w:sz w:val="16"/>
                <w:szCs w:val="16"/>
              </w:rPr>
              <w:t>RU-0354</w:t>
            </w:r>
          </w:p>
        </w:tc>
        <w:tc>
          <w:tcPr>
            <w:tcW w:w="2096"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 Devonian</w:t>
            </w:r>
          </w:p>
        </w:tc>
        <w:tc>
          <w:tcPr>
            <w:tcW w:w="227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Marine Carbonate </w:t>
            </w:r>
          </w:p>
        </w:tc>
        <w:tc>
          <w:tcPr>
            <w:tcW w:w="198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Volga-Ural Region, Russia </w:t>
            </w:r>
          </w:p>
        </w:tc>
      </w:tr>
      <w:tr w:rsidR="00B32641" w:rsidRPr="006F7CD0" w:rsidTr="00B32641">
        <w:tc>
          <w:tcPr>
            <w:tcW w:w="704"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58</w:t>
            </w:r>
          </w:p>
        </w:tc>
        <w:tc>
          <w:tcPr>
            <w:tcW w:w="1432" w:type="dxa"/>
          </w:tcPr>
          <w:p w:rsidR="00B32641" w:rsidRPr="000F3931" w:rsidRDefault="00F441B3" w:rsidP="00853B6F">
            <w:pPr>
              <w:spacing w:after="200" w:line="276" w:lineRule="auto"/>
              <w:jc w:val="center"/>
              <w:rPr>
                <w:rFonts w:ascii="Times New Roman" w:hAnsi="Times New Roman"/>
                <w:sz w:val="16"/>
                <w:szCs w:val="16"/>
              </w:rPr>
            </w:pPr>
            <w:r w:rsidRPr="000F3931">
              <w:rPr>
                <w:rFonts w:ascii="Times New Roman" w:hAnsi="Times New Roman"/>
                <w:sz w:val="16"/>
                <w:szCs w:val="16"/>
              </w:rPr>
              <w:t>SW-0001</w:t>
            </w:r>
          </w:p>
        </w:tc>
        <w:tc>
          <w:tcPr>
            <w:tcW w:w="2096"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Ordovician/Silurian </w:t>
            </w:r>
          </w:p>
        </w:tc>
        <w:tc>
          <w:tcPr>
            <w:tcW w:w="227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Distal Marine Shale </w:t>
            </w:r>
          </w:p>
        </w:tc>
        <w:tc>
          <w:tcPr>
            <w:tcW w:w="198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Baltic Depression, Sweden</w:t>
            </w:r>
          </w:p>
        </w:tc>
      </w:tr>
      <w:tr w:rsidR="00B32641" w:rsidRPr="006F7CD0" w:rsidTr="00B32641">
        <w:tc>
          <w:tcPr>
            <w:tcW w:w="704"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59</w:t>
            </w:r>
          </w:p>
        </w:tc>
        <w:tc>
          <w:tcPr>
            <w:tcW w:w="1432" w:type="dxa"/>
          </w:tcPr>
          <w:p w:rsidR="00B32641" w:rsidRPr="000F3931" w:rsidRDefault="00F441B3" w:rsidP="00853B6F">
            <w:pPr>
              <w:spacing w:after="200" w:line="276" w:lineRule="auto"/>
              <w:jc w:val="center"/>
              <w:rPr>
                <w:rFonts w:ascii="Times New Roman" w:hAnsi="Times New Roman"/>
                <w:sz w:val="16"/>
                <w:szCs w:val="16"/>
              </w:rPr>
            </w:pPr>
            <w:r w:rsidRPr="000F3931">
              <w:rPr>
                <w:rFonts w:ascii="Times New Roman" w:hAnsi="Times New Roman"/>
                <w:sz w:val="16"/>
                <w:szCs w:val="16"/>
              </w:rPr>
              <w:t>MI-0069</w:t>
            </w:r>
          </w:p>
        </w:tc>
        <w:tc>
          <w:tcPr>
            <w:tcW w:w="2096"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Silurian </w:t>
            </w:r>
          </w:p>
        </w:tc>
        <w:tc>
          <w:tcPr>
            <w:tcW w:w="227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Marine Carbonate/Hypersaline-Restricted </w:t>
            </w:r>
          </w:p>
        </w:tc>
        <w:tc>
          <w:tcPr>
            <w:tcW w:w="198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Michigan Basin, US</w:t>
            </w:r>
          </w:p>
        </w:tc>
      </w:tr>
      <w:tr w:rsidR="00B32641" w:rsidRPr="006F7CD0" w:rsidTr="00B32641">
        <w:tc>
          <w:tcPr>
            <w:tcW w:w="704"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60</w:t>
            </w:r>
          </w:p>
        </w:tc>
        <w:tc>
          <w:tcPr>
            <w:tcW w:w="1432" w:type="dxa"/>
          </w:tcPr>
          <w:p w:rsidR="00B32641" w:rsidRPr="000F3931" w:rsidRDefault="00F441B3" w:rsidP="00853B6F">
            <w:pPr>
              <w:spacing w:after="200" w:line="276" w:lineRule="auto"/>
              <w:jc w:val="center"/>
              <w:rPr>
                <w:rFonts w:ascii="Times New Roman" w:hAnsi="Times New Roman"/>
                <w:sz w:val="16"/>
                <w:szCs w:val="16"/>
              </w:rPr>
            </w:pPr>
            <w:r w:rsidRPr="000F3931">
              <w:rPr>
                <w:rFonts w:ascii="Times New Roman" w:hAnsi="Times New Roman"/>
                <w:sz w:val="16"/>
                <w:szCs w:val="16"/>
              </w:rPr>
              <w:t>TX-1018</w:t>
            </w:r>
          </w:p>
        </w:tc>
        <w:tc>
          <w:tcPr>
            <w:tcW w:w="2096"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Ordovician </w:t>
            </w:r>
          </w:p>
        </w:tc>
        <w:tc>
          <w:tcPr>
            <w:tcW w:w="227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Distal Marine Shale </w:t>
            </w:r>
          </w:p>
        </w:tc>
        <w:tc>
          <w:tcPr>
            <w:tcW w:w="198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Permian Basin, US </w:t>
            </w:r>
          </w:p>
        </w:tc>
      </w:tr>
      <w:tr w:rsidR="00B32641" w:rsidRPr="006F7CD0" w:rsidTr="00B32641">
        <w:tc>
          <w:tcPr>
            <w:tcW w:w="704"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61</w:t>
            </w:r>
          </w:p>
        </w:tc>
        <w:tc>
          <w:tcPr>
            <w:tcW w:w="1432" w:type="dxa"/>
          </w:tcPr>
          <w:p w:rsidR="00B32641" w:rsidRPr="000F3931" w:rsidRDefault="00F441B3" w:rsidP="00853B6F">
            <w:pPr>
              <w:spacing w:after="200" w:line="276" w:lineRule="auto"/>
              <w:jc w:val="center"/>
              <w:rPr>
                <w:rFonts w:ascii="Times New Roman" w:hAnsi="Times New Roman"/>
                <w:sz w:val="16"/>
                <w:szCs w:val="16"/>
              </w:rPr>
            </w:pPr>
            <w:r w:rsidRPr="000F3931">
              <w:rPr>
                <w:rFonts w:ascii="Times New Roman" w:hAnsi="Times New Roman"/>
                <w:sz w:val="16"/>
                <w:szCs w:val="16"/>
              </w:rPr>
              <w:t>OM-0059</w:t>
            </w:r>
          </w:p>
        </w:tc>
        <w:tc>
          <w:tcPr>
            <w:tcW w:w="2096"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Precambrian/Cambrian </w:t>
            </w:r>
          </w:p>
        </w:tc>
        <w:tc>
          <w:tcPr>
            <w:tcW w:w="227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Distal Marine Shale/ Marine Marl </w:t>
            </w:r>
          </w:p>
        </w:tc>
        <w:tc>
          <w:tcPr>
            <w:tcW w:w="1987" w:type="dxa"/>
          </w:tcPr>
          <w:p w:rsidR="00B32641" w:rsidRPr="006F7CD0" w:rsidRDefault="00B32641" w:rsidP="00853B6F">
            <w:pPr>
              <w:spacing w:after="200" w:line="276" w:lineRule="auto"/>
              <w:jc w:val="center"/>
              <w:rPr>
                <w:rFonts w:ascii="Times New Roman" w:eastAsia="Times New Roman" w:hAnsi="Times New Roman" w:cs="Times New Roman"/>
                <w:sz w:val="16"/>
                <w:szCs w:val="16"/>
              </w:rPr>
            </w:pPr>
            <w:proofErr w:type="spellStart"/>
            <w:r w:rsidRPr="006F7CD0">
              <w:rPr>
                <w:rFonts w:ascii="Times New Roman" w:eastAsia="Times New Roman" w:hAnsi="Times New Roman" w:cs="Times New Roman"/>
                <w:sz w:val="16"/>
                <w:szCs w:val="16"/>
              </w:rPr>
              <w:t>Fahud</w:t>
            </w:r>
            <w:proofErr w:type="spellEnd"/>
            <w:r w:rsidRPr="006F7CD0">
              <w:rPr>
                <w:rFonts w:ascii="Times New Roman" w:eastAsia="Times New Roman" w:hAnsi="Times New Roman" w:cs="Times New Roman"/>
                <w:sz w:val="16"/>
                <w:szCs w:val="16"/>
              </w:rPr>
              <w:t xml:space="preserve"> Salt Basin, Oman </w:t>
            </w:r>
          </w:p>
        </w:tc>
      </w:tr>
      <w:tr w:rsidR="00B32641" w:rsidRPr="006F7CD0" w:rsidTr="00B32641">
        <w:tc>
          <w:tcPr>
            <w:tcW w:w="704" w:type="dxa"/>
            <w:tcBorders>
              <w:bottom w:val="single" w:sz="4" w:space="0" w:color="auto"/>
            </w:tcBorders>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62</w:t>
            </w:r>
          </w:p>
        </w:tc>
        <w:tc>
          <w:tcPr>
            <w:tcW w:w="1432" w:type="dxa"/>
            <w:tcBorders>
              <w:bottom w:val="single" w:sz="4" w:space="0" w:color="auto"/>
            </w:tcBorders>
          </w:tcPr>
          <w:p w:rsidR="00B32641" w:rsidRPr="000F3931" w:rsidRDefault="00F441B3" w:rsidP="00853B6F">
            <w:pPr>
              <w:spacing w:after="200" w:line="276" w:lineRule="auto"/>
              <w:jc w:val="center"/>
              <w:rPr>
                <w:rFonts w:ascii="Times New Roman" w:hAnsi="Times New Roman"/>
                <w:sz w:val="16"/>
                <w:szCs w:val="16"/>
              </w:rPr>
            </w:pPr>
            <w:r w:rsidRPr="000F3931">
              <w:rPr>
                <w:rFonts w:ascii="Times New Roman" w:hAnsi="Times New Roman"/>
                <w:sz w:val="16"/>
                <w:szCs w:val="16"/>
              </w:rPr>
              <w:t>OM-0012</w:t>
            </w:r>
          </w:p>
        </w:tc>
        <w:tc>
          <w:tcPr>
            <w:tcW w:w="2096" w:type="dxa"/>
            <w:tcBorders>
              <w:bottom w:val="single" w:sz="4" w:space="0" w:color="auto"/>
            </w:tcBorders>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Precambrian/Cambrian</w:t>
            </w:r>
          </w:p>
        </w:tc>
        <w:tc>
          <w:tcPr>
            <w:tcW w:w="2277" w:type="dxa"/>
            <w:tcBorders>
              <w:bottom w:val="single" w:sz="4" w:space="0" w:color="auto"/>
            </w:tcBorders>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 xml:space="preserve">Marine Marl </w:t>
            </w:r>
          </w:p>
        </w:tc>
        <w:tc>
          <w:tcPr>
            <w:tcW w:w="1987" w:type="dxa"/>
            <w:tcBorders>
              <w:bottom w:val="single" w:sz="4" w:space="0" w:color="auto"/>
            </w:tcBorders>
          </w:tcPr>
          <w:p w:rsidR="00B32641" w:rsidRPr="006F7CD0" w:rsidRDefault="00B32641" w:rsidP="00853B6F">
            <w:pPr>
              <w:spacing w:after="200" w:line="276" w:lineRule="auto"/>
              <w:jc w:val="center"/>
              <w:rPr>
                <w:rFonts w:ascii="Times New Roman" w:eastAsia="Times New Roman" w:hAnsi="Times New Roman" w:cs="Times New Roman"/>
                <w:sz w:val="16"/>
                <w:szCs w:val="16"/>
              </w:rPr>
            </w:pPr>
            <w:r w:rsidRPr="006F7CD0">
              <w:rPr>
                <w:rFonts w:ascii="Times New Roman" w:eastAsia="Times New Roman" w:hAnsi="Times New Roman" w:cs="Times New Roman"/>
                <w:sz w:val="16"/>
                <w:szCs w:val="16"/>
              </w:rPr>
              <w:t>South Oman Salt Basin, Oman</w:t>
            </w:r>
          </w:p>
        </w:tc>
      </w:tr>
    </w:tbl>
    <w:p w:rsidR="006F7CD0" w:rsidRPr="006F7CD0" w:rsidRDefault="006F7CD0" w:rsidP="006F7CD0">
      <w:pPr>
        <w:spacing w:after="200" w:line="240" w:lineRule="auto"/>
        <w:rPr>
          <w:rFonts w:ascii="Times New Roman" w:hAnsi="Times New Roman"/>
          <w:sz w:val="18"/>
          <w:szCs w:val="18"/>
        </w:rPr>
      </w:pPr>
    </w:p>
    <w:p w:rsidR="006F7CD0" w:rsidRDefault="006F7CD0" w:rsidP="006F7CD0">
      <w:pPr>
        <w:rPr>
          <w:rFonts w:ascii="Times New Roman" w:hAnsi="Times New Roman"/>
        </w:rPr>
      </w:pPr>
    </w:p>
    <w:p w:rsidR="006F7CD0" w:rsidRDefault="006F7CD0" w:rsidP="006F7CD0">
      <w:pPr>
        <w:rPr>
          <w:rFonts w:ascii="Times New Roman" w:hAnsi="Times New Roman"/>
        </w:rPr>
      </w:pPr>
    </w:p>
    <w:p w:rsidR="006F7CD0" w:rsidRDefault="006F7CD0" w:rsidP="006F7CD0">
      <w:pPr>
        <w:rPr>
          <w:rFonts w:ascii="Times New Roman" w:hAnsi="Times New Roman"/>
        </w:rPr>
      </w:pPr>
    </w:p>
    <w:p w:rsidR="006F7CD0" w:rsidRDefault="006F7CD0" w:rsidP="006F7CD0">
      <w:pPr>
        <w:rPr>
          <w:rFonts w:ascii="Times New Roman" w:hAnsi="Times New Roman"/>
        </w:rPr>
      </w:pPr>
    </w:p>
    <w:p w:rsidR="006F7CD0" w:rsidRDefault="006F7CD0" w:rsidP="006F7CD0">
      <w:pPr>
        <w:rPr>
          <w:rFonts w:ascii="Times New Roman" w:hAnsi="Times New Roman"/>
        </w:rPr>
      </w:pPr>
    </w:p>
    <w:p w:rsidR="006F7CD0" w:rsidRDefault="006F7CD0" w:rsidP="006F7CD0">
      <w:pPr>
        <w:rPr>
          <w:rFonts w:ascii="Times New Roman" w:hAnsi="Times New Roman"/>
        </w:rPr>
      </w:pPr>
    </w:p>
    <w:p w:rsidR="00F441B3" w:rsidRDefault="00F441B3" w:rsidP="006F7CD0">
      <w:pPr>
        <w:rPr>
          <w:rFonts w:ascii="Times New Roman" w:hAnsi="Times New Roman"/>
        </w:rPr>
      </w:pPr>
    </w:p>
    <w:p w:rsidR="002B4B56" w:rsidRDefault="002B4B56" w:rsidP="006F7CD0">
      <w:pPr>
        <w:jc w:val="center"/>
        <w:rPr>
          <w:b/>
          <w:sz w:val="28"/>
          <w:szCs w:val="28"/>
        </w:rPr>
      </w:pPr>
    </w:p>
    <w:p w:rsidR="006F7CD0" w:rsidRPr="002B4B56" w:rsidRDefault="006F7CD0" w:rsidP="002B4B56">
      <w:pPr>
        <w:jc w:val="center"/>
        <w:rPr>
          <w:b/>
          <w:sz w:val="28"/>
          <w:szCs w:val="28"/>
        </w:rPr>
      </w:pPr>
      <w:r w:rsidRPr="002B4B56">
        <w:rPr>
          <w:b/>
          <w:sz w:val="28"/>
          <w:szCs w:val="28"/>
        </w:rPr>
        <w:lastRenderedPageBreak/>
        <w:t>Appendix 2</w:t>
      </w:r>
      <w:r w:rsidR="002B4B56" w:rsidRPr="002B4B56">
        <w:rPr>
          <w:b/>
          <w:sz w:val="28"/>
          <w:szCs w:val="28"/>
        </w:rPr>
        <w:t xml:space="preserve">: </w:t>
      </w:r>
      <w:r w:rsidRPr="002B4B56">
        <w:rPr>
          <w:rFonts w:ascii="Times New Roman" w:hAnsi="Times New Roman"/>
          <w:b/>
          <w:iCs/>
          <w:sz w:val="28"/>
          <w:szCs w:val="28"/>
        </w:rPr>
        <w:t>Age and δ</w:t>
      </w:r>
      <w:r w:rsidRPr="002B4B56">
        <w:rPr>
          <w:rFonts w:ascii="Times New Roman" w:hAnsi="Times New Roman"/>
          <w:b/>
          <w:sz w:val="28"/>
          <w:szCs w:val="28"/>
          <w:vertAlign w:val="superscript"/>
        </w:rPr>
        <w:t>15</w:t>
      </w:r>
      <w:r w:rsidRPr="002B4B56">
        <w:rPr>
          <w:rFonts w:ascii="Times New Roman" w:hAnsi="Times New Roman"/>
          <w:b/>
          <w:sz w:val="28"/>
          <w:szCs w:val="28"/>
        </w:rPr>
        <w:t>N values for</w:t>
      </w:r>
      <w:r w:rsidR="002B4B56" w:rsidRPr="002B4B56">
        <w:rPr>
          <w:rFonts w:ascii="Times New Roman" w:hAnsi="Times New Roman"/>
          <w:b/>
          <w:sz w:val="28"/>
          <w:szCs w:val="28"/>
        </w:rPr>
        <w:t xml:space="preserve"> the </w:t>
      </w:r>
      <w:r w:rsidRPr="002B4B56">
        <w:rPr>
          <w:rFonts w:ascii="Times New Roman" w:hAnsi="Times New Roman"/>
          <w:b/>
          <w:sz w:val="28"/>
          <w:szCs w:val="28"/>
        </w:rPr>
        <w:t xml:space="preserve">for each oil sample </w:t>
      </w:r>
    </w:p>
    <w:tbl>
      <w:tblPr>
        <w:tblStyle w:val="Style1"/>
        <w:tblW w:w="0" w:type="auto"/>
        <w:tblLook w:val="04A0" w:firstRow="1" w:lastRow="0" w:firstColumn="1" w:lastColumn="0" w:noHBand="0" w:noVBand="1"/>
      </w:tblPr>
      <w:tblGrid>
        <w:gridCol w:w="702"/>
        <w:gridCol w:w="1969"/>
        <w:gridCol w:w="3021"/>
        <w:gridCol w:w="2804"/>
      </w:tblGrid>
      <w:tr w:rsidR="006F7CD0" w:rsidRPr="00CC1A34" w:rsidTr="00853B6F">
        <w:tc>
          <w:tcPr>
            <w:tcW w:w="703" w:type="dxa"/>
            <w:tcBorders>
              <w:top w:val="single" w:sz="4" w:space="0" w:color="auto"/>
              <w:bottom w:val="single" w:sz="4" w:space="0" w:color="auto"/>
            </w:tcBorders>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 xml:space="preserve">Sample ID </w:t>
            </w:r>
          </w:p>
        </w:tc>
        <w:tc>
          <w:tcPr>
            <w:tcW w:w="2014" w:type="dxa"/>
            <w:tcBorders>
              <w:top w:val="single" w:sz="4" w:space="0" w:color="auto"/>
              <w:bottom w:val="single" w:sz="4" w:space="0" w:color="auto"/>
            </w:tcBorders>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 xml:space="preserve">Geologic Age of Source Rocks </w:t>
            </w:r>
          </w:p>
        </w:tc>
        <w:tc>
          <w:tcPr>
            <w:tcW w:w="3403" w:type="dxa"/>
            <w:tcBorders>
              <w:top w:val="single" w:sz="4" w:space="0" w:color="auto"/>
              <w:bottom w:val="single" w:sz="4" w:space="0" w:color="auto"/>
            </w:tcBorders>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δ</w:t>
            </w:r>
            <w:r w:rsidRPr="00CC1A34">
              <w:rPr>
                <w:rFonts w:ascii="Times New Roman" w:eastAsia="Times New Roman" w:hAnsi="Times New Roman"/>
                <w:sz w:val="16"/>
                <w:szCs w:val="16"/>
                <w:vertAlign w:val="superscript"/>
              </w:rPr>
              <w:t>15</w:t>
            </w:r>
            <w:r w:rsidRPr="00CC1A34">
              <w:rPr>
                <w:rFonts w:ascii="Times New Roman" w:eastAsia="Times New Roman" w:hAnsi="Times New Roman"/>
                <w:sz w:val="16"/>
                <w:szCs w:val="16"/>
              </w:rPr>
              <w:t>N ‰ (NSO)</w:t>
            </w:r>
          </w:p>
        </w:tc>
        <w:tc>
          <w:tcPr>
            <w:tcW w:w="3150" w:type="dxa"/>
            <w:tcBorders>
              <w:top w:val="single" w:sz="4" w:space="0" w:color="auto"/>
              <w:bottom w:val="single" w:sz="4" w:space="0" w:color="auto"/>
            </w:tcBorders>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 xml:space="preserve"> δ</w:t>
            </w:r>
            <w:r w:rsidRPr="00CC1A34">
              <w:rPr>
                <w:rFonts w:ascii="Times New Roman" w:eastAsia="Times New Roman" w:hAnsi="Times New Roman"/>
                <w:sz w:val="16"/>
                <w:szCs w:val="16"/>
                <w:vertAlign w:val="superscript"/>
              </w:rPr>
              <w:t>15</w:t>
            </w:r>
            <w:r w:rsidRPr="00CC1A34">
              <w:rPr>
                <w:rFonts w:ascii="Times New Roman" w:eastAsia="Times New Roman" w:hAnsi="Times New Roman"/>
                <w:sz w:val="16"/>
                <w:szCs w:val="16"/>
              </w:rPr>
              <w:t>N ‰ (Asp)</w:t>
            </w:r>
          </w:p>
        </w:tc>
      </w:tr>
      <w:tr w:rsidR="006F7CD0" w:rsidRPr="00CC1A34" w:rsidTr="00853B6F">
        <w:tc>
          <w:tcPr>
            <w:tcW w:w="703" w:type="dxa"/>
            <w:tcBorders>
              <w:top w:val="single" w:sz="4" w:space="0" w:color="auto"/>
            </w:tcBorders>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1</w:t>
            </w:r>
          </w:p>
        </w:tc>
        <w:tc>
          <w:tcPr>
            <w:tcW w:w="2014" w:type="dxa"/>
            <w:tcBorders>
              <w:top w:val="single" w:sz="4" w:space="0" w:color="auto"/>
            </w:tcBorders>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Neogene</w:t>
            </w:r>
          </w:p>
        </w:tc>
        <w:tc>
          <w:tcPr>
            <w:tcW w:w="3403" w:type="dxa"/>
            <w:tcBorders>
              <w:top w:val="single" w:sz="4" w:space="0" w:color="auto"/>
            </w:tcBorders>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7.92 ± 0.57</w:t>
            </w:r>
          </w:p>
        </w:tc>
        <w:tc>
          <w:tcPr>
            <w:tcW w:w="3150" w:type="dxa"/>
            <w:tcBorders>
              <w:top w:val="single" w:sz="4" w:space="0" w:color="auto"/>
            </w:tcBorders>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7.44 ± 0.39</w:t>
            </w:r>
          </w:p>
        </w:tc>
      </w:tr>
      <w:tr w:rsidR="006F7CD0" w:rsidRPr="00CC1A34" w:rsidTr="00853B6F">
        <w:tc>
          <w:tcPr>
            <w:tcW w:w="7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2</w:t>
            </w:r>
          </w:p>
        </w:tc>
        <w:tc>
          <w:tcPr>
            <w:tcW w:w="2014"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Neogene</w:t>
            </w:r>
          </w:p>
        </w:tc>
        <w:tc>
          <w:tcPr>
            <w:tcW w:w="34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6.20 ± 0.13</w:t>
            </w:r>
          </w:p>
        </w:tc>
        <w:tc>
          <w:tcPr>
            <w:tcW w:w="3150"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5.61 ± 1.22</w:t>
            </w:r>
          </w:p>
        </w:tc>
      </w:tr>
      <w:tr w:rsidR="006F7CD0" w:rsidRPr="00CC1A34" w:rsidTr="00853B6F">
        <w:tc>
          <w:tcPr>
            <w:tcW w:w="7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3</w:t>
            </w:r>
          </w:p>
        </w:tc>
        <w:tc>
          <w:tcPr>
            <w:tcW w:w="2014"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Neogene</w:t>
            </w:r>
          </w:p>
        </w:tc>
        <w:tc>
          <w:tcPr>
            <w:tcW w:w="34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1.23 ± 0.45</w:t>
            </w:r>
          </w:p>
        </w:tc>
        <w:tc>
          <w:tcPr>
            <w:tcW w:w="3150"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0.96 ± 0.23</w:t>
            </w:r>
          </w:p>
        </w:tc>
      </w:tr>
      <w:tr w:rsidR="006F7CD0" w:rsidRPr="00CC1A34" w:rsidTr="00853B6F">
        <w:tc>
          <w:tcPr>
            <w:tcW w:w="7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4</w:t>
            </w:r>
          </w:p>
        </w:tc>
        <w:tc>
          <w:tcPr>
            <w:tcW w:w="2014"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 xml:space="preserve">Neogene </w:t>
            </w:r>
          </w:p>
        </w:tc>
        <w:tc>
          <w:tcPr>
            <w:tcW w:w="34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3.04 ± 0.69</w:t>
            </w:r>
          </w:p>
        </w:tc>
        <w:tc>
          <w:tcPr>
            <w:tcW w:w="3150"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4.22 ± 0.45</w:t>
            </w:r>
          </w:p>
        </w:tc>
      </w:tr>
      <w:tr w:rsidR="006F7CD0" w:rsidRPr="00CC1A34" w:rsidTr="00853B6F">
        <w:tc>
          <w:tcPr>
            <w:tcW w:w="7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5</w:t>
            </w:r>
          </w:p>
        </w:tc>
        <w:tc>
          <w:tcPr>
            <w:tcW w:w="2014"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Paleogene</w:t>
            </w:r>
          </w:p>
        </w:tc>
        <w:tc>
          <w:tcPr>
            <w:tcW w:w="34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0.07 ± 0.30</w:t>
            </w:r>
          </w:p>
        </w:tc>
        <w:tc>
          <w:tcPr>
            <w:tcW w:w="3150"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0.96 ± 0.44</w:t>
            </w:r>
          </w:p>
        </w:tc>
      </w:tr>
      <w:tr w:rsidR="006F7CD0" w:rsidRPr="00CC1A34" w:rsidTr="00853B6F">
        <w:tc>
          <w:tcPr>
            <w:tcW w:w="7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6</w:t>
            </w:r>
          </w:p>
        </w:tc>
        <w:tc>
          <w:tcPr>
            <w:tcW w:w="2014"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Paleogene</w:t>
            </w:r>
          </w:p>
        </w:tc>
        <w:tc>
          <w:tcPr>
            <w:tcW w:w="34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1.78 ± 1.10</w:t>
            </w:r>
          </w:p>
        </w:tc>
        <w:tc>
          <w:tcPr>
            <w:tcW w:w="3150"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2.2 1± 0.11</w:t>
            </w:r>
          </w:p>
        </w:tc>
      </w:tr>
      <w:tr w:rsidR="006F7CD0" w:rsidRPr="00CC1A34" w:rsidTr="00853B6F">
        <w:tc>
          <w:tcPr>
            <w:tcW w:w="7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7</w:t>
            </w:r>
          </w:p>
        </w:tc>
        <w:tc>
          <w:tcPr>
            <w:tcW w:w="2014"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Paleogene</w:t>
            </w:r>
          </w:p>
        </w:tc>
        <w:tc>
          <w:tcPr>
            <w:tcW w:w="34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2.18 ± 0.72</w:t>
            </w:r>
          </w:p>
        </w:tc>
        <w:tc>
          <w:tcPr>
            <w:tcW w:w="3150"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2.10 ± 0.51</w:t>
            </w:r>
          </w:p>
        </w:tc>
      </w:tr>
      <w:tr w:rsidR="006F7CD0" w:rsidRPr="00CC1A34" w:rsidTr="00853B6F">
        <w:tc>
          <w:tcPr>
            <w:tcW w:w="7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8</w:t>
            </w:r>
          </w:p>
        </w:tc>
        <w:tc>
          <w:tcPr>
            <w:tcW w:w="2014"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Upper Cretaceous</w:t>
            </w:r>
          </w:p>
        </w:tc>
        <w:tc>
          <w:tcPr>
            <w:tcW w:w="34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2.06 ± 0.05</w:t>
            </w:r>
          </w:p>
        </w:tc>
        <w:tc>
          <w:tcPr>
            <w:tcW w:w="3150"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1.74 ± 0.16</w:t>
            </w:r>
          </w:p>
        </w:tc>
      </w:tr>
      <w:tr w:rsidR="006F7CD0" w:rsidRPr="00CC1A34" w:rsidTr="00853B6F">
        <w:tc>
          <w:tcPr>
            <w:tcW w:w="7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9</w:t>
            </w:r>
          </w:p>
        </w:tc>
        <w:tc>
          <w:tcPr>
            <w:tcW w:w="2014"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Upper Cretaceous</w:t>
            </w:r>
          </w:p>
        </w:tc>
        <w:tc>
          <w:tcPr>
            <w:tcW w:w="34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1.62 ± 0.52</w:t>
            </w:r>
          </w:p>
        </w:tc>
        <w:tc>
          <w:tcPr>
            <w:tcW w:w="3150"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1.36 ± 0.41</w:t>
            </w:r>
          </w:p>
        </w:tc>
      </w:tr>
      <w:tr w:rsidR="006F7CD0" w:rsidRPr="00CC1A34" w:rsidTr="00853B6F">
        <w:tc>
          <w:tcPr>
            <w:tcW w:w="7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10</w:t>
            </w:r>
          </w:p>
        </w:tc>
        <w:tc>
          <w:tcPr>
            <w:tcW w:w="2014"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 xml:space="preserve">Upper Cretaceous </w:t>
            </w:r>
          </w:p>
        </w:tc>
        <w:tc>
          <w:tcPr>
            <w:tcW w:w="34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-1.60 ± 0.64</w:t>
            </w:r>
          </w:p>
        </w:tc>
        <w:tc>
          <w:tcPr>
            <w:tcW w:w="3150"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-0.52 ± 0.25</w:t>
            </w:r>
          </w:p>
        </w:tc>
      </w:tr>
      <w:tr w:rsidR="006F7CD0" w:rsidRPr="00CC1A34" w:rsidTr="00853B6F">
        <w:tc>
          <w:tcPr>
            <w:tcW w:w="7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11</w:t>
            </w:r>
          </w:p>
        </w:tc>
        <w:tc>
          <w:tcPr>
            <w:tcW w:w="2014"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 xml:space="preserve">Upper Cretaceous </w:t>
            </w:r>
          </w:p>
        </w:tc>
        <w:tc>
          <w:tcPr>
            <w:tcW w:w="34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5.42 ± 0.41</w:t>
            </w:r>
          </w:p>
        </w:tc>
        <w:tc>
          <w:tcPr>
            <w:tcW w:w="3150"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5.35</w:t>
            </w:r>
          </w:p>
        </w:tc>
      </w:tr>
      <w:tr w:rsidR="006F7CD0" w:rsidRPr="00CC1A34" w:rsidTr="00853B6F">
        <w:tc>
          <w:tcPr>
            <w:tcW w:w="7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12</w:t>
            </w:r>
          </w:p>
        </w:tc>
        <w:tc>
          <w:tcPr>
            <w:tcW w:w="2014"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 xml:space="preserve">Upper Cretaceous </w:t>
            </w:r>
          </w:p>
        </w:tc>
        <w:tc>
          <w:tcPr>
            <w:tcW w:w="34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1.44 ± 0.67</w:t>
            </w:r>
          </w:p>
        </w:tc>
        <w:tc>
          <w:tcPr>
            <w:tcW w:w="3150"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1.71 ± 0.88</w:t>
            </w:r>
          </w:p>
        </w:tc>
      </w:tr>
      <w:tr w:rsidR="006F7CD0" w:rsidRPr="00CC1A34" w:rsidTr="00853B6F">
        <w:tc>
          <w:tcPr>
            <w:tcW w:w="7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13</w:t>
            </w:r>
          </w:p>
        </w:tc>
        <w:tc>
          <w:tcPr>
            <w:tcW w:w="2014"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 xml:space="preserve">Upper Cretaceous </w:t>
            </w:r>
          </w:p>
        </w:tc>
        <w:tc>
          <w:tcPr>
            <w:tcW w:w="34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3.50 ± 0.37</w:t>
            </w:r>
          </w:p>
        </w:tc>
        <w:tc>
          <w:tcPr>
            <w:tcW w:w="3150"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2.38 ± 0.87</w:t>
            </w:r>
          </w:p>
        </w:tc>
      </w:tr>
      <w:tr w:rsidR="006F7CD0" w:rsidRPr="00CC1A34" w:rsidTr="00853B6F">
        <w:tc>
          <w:tcPr>
            <w:tcW w:w="7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14</w:t>
            </w:r>
          </w:p>
        </w:tc>
        <w:tc>
          <w:tcPr>
            <w:tcW w:w="2014"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 xml:space="preserve">Upper Cretaceous </w:t>
            </w:r>
          </w:p>
        </w:tc>
        <w:tc>
          <w:tcPr>
            <w:tcW w:w="34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-0.06 ± 0.10</w:t>
            </w:r>
          </w:p>
        </w:tc>
        <w:tc>
          <w:tcPr>
            <w:tcW w:w="3150"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-0.09 ± 0.32</w:t>
            </w:r>
          </w:p>
        </w:tc>
      </w:tr>
      <w:tr w:rsidR="006F7CD0" w:rsidRPr="00CC1A34" w:rsidTr="00853B6F">
        <w:tc>
          <w:tcPr>
            <w:tcW w:w="7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15</w:t>
            </w:r>
          </w:p>
        </w:tc>
        <w:tc>
          <w:tcPr>
            <w:tcW w:w="2014"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 xml:space="preserve">Upper Cretaceous </w:t>
            </w:r>
          </w:p>
        </w:tc>
        <w:tc>
          <w:tcPr>
            <w:tcW w:w="34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-0.24 ± 0.37</w:t>
            </w:r>
          </w:p>
        </w:tc>
        <w:tc>
          <w:tcPr>
            <w:tcW w:w="3150"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0.09 ± 0.36</w:t>
            </w:r>
          </w:p>
        </w:tc>
      </w:tr>
      <w:tr w:rsidR="006F7CD0" w:rsidRPr="00CC1A34" w:rsidTr="00853B6F">
        <w:tc>
          <w:tcPr>
            <w:tcW w:w="7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16</w:t>
            </w:r>
          </w:p>
        </w:tc>
        <w:tc>
          <w:tcPr>
            <w:tcW w:w="2014"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Lower Cretaceous</w:t>
            </w:r>
          </w:p>
        </w:tc>
        <w:tc>
          <w:tcPr>
            <w:tcW w:w="34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1.17 ± 0.04</w:t>
            </w:r>
          </w:p>
        </w:tc>
        <w:tc>
          <w:tcPr>
            <w:tcW w:w="3150"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0.02 ± 0.05</w:t>
            </w:r>
          </w:p>
        </w:tc>
      </w:tr>
      <w:tr w:rsidR="006F7CD0" w:rsidRPr="00CC1A34" w:rsidTr="00853B6F">
        <w:tc>
          <w:tcPr>
            <w:tcW w:w="7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17</w:t>
            </w:r>
          </w:p>
        </w:tc>
        <w:tc>
          <w:tcPr>
            <w:tcW w:w="2014"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 xml:space="preserve">Lower Cretaceous </w:t>
            </w:r>
          </w:p>
        </w:tc>
        <w:tc>
          <w:tcPr>
            <w:tcW w:w="34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0.80 ± 0.17</w:t>
            </w:r>
          </w:p>
        </w:tc>
        <w:tc>
          <w:tcPr>
            <w:tcW w:w="3150"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1.28 ± 0.54</w:t>
            </w:r>
          </w:p>
        </w:tc>
      </w:tr>
      <w:tr w:rsidR="006F7CD0" w:rsidRPr="00CC1A34" w:rsidTr="00853B6F">
        <w:tc>
          <w:tcPr>
            <w:tcW w:w="7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18</w:t>
            </w:r>
          </w:p>
        </w:tc>
        <w:tc>
          <w:tcPr>
            <w:tcW w:w="2014"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 xml:space="preserve">Lower Cretaceous </w:t>
            </w:r>
          </w:p>
        </w:tc>
        <w:tc>
          <w:tcPr>
            <w:tcW w:w="34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-0.23 ± 0.13</w:t>
            </w:r>
          </w:p>
        </w:tc>
        <w:tc>
          <w:tcPr>
            <w:tcW w:w="3150"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-0.26</w:t>
            </w:r>
          </w:p>
        </w:tc>
      </w:tr>
      <w:tr w:rsidR="006F7CD0" w:rsidRPr="00CC1A34" w:rsidTr="00853B6F">
        <w:tc>
          <w:tcPr>
            <w:tcW w:w="7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19</w:t>
            </w:r>
          </w:p>
        </w:tc>
        <w:tc>
          <w:tcPr>
            <w:tcW w:w="2014"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 xml:space="preserve">Lower Cretaceous </w:t>
            </w:r>
          </w:p>
        </w:tc>
        <w:tc>
          <w:tcPr>
            <w:tcW w:w="34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-0.25 ± 0.04</w:t>
            </w:r>
          </w:p>
        </w:tc>
        <w:tc>
          <w:tcPr>
            <w:tcW w:w="3150"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1.40 ± 0.40</w:t>
            </w:r>
          </w:p>
        </w:tc>
      </w:tr>
      <w:tr w:rsidR="006F7CD0" w:rsidRPr="00CC1A34" w:rsidTr="00853B6F">
        <w:tc>
          <w:tcPr>
            <w:tcW w:w="7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20</w:t>
            </w:r>
          </w:p>
        </w:tc>
        <w:tc>
          <w:tcPr>
            <w:tcW w:w="2014"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 xml:space="preserve">Lower Cretaceous </w:t>
            </w:r>
          </w:p>
        </w:tc>
        <w:tc>
          <w:tcPr>
            <w:tcW w:w="34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-0.37 ± 0.47</w:t>
            </w:r>
          </w:p>
        </w:tc>
        <w:tc>
          <w:tcPr>
            <w:tcW w:w="3150"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1.24 ± 0.01</w:t>
            </w:r>
          </w:p>
        </w:tc>
      </w:tr>
      <w:tr w:rsidR="006F7CD0" w:rsidRPr="00CC1A34" w:rsidTr="00853B6F">
        <w:tc>
          <w:tcPr>
            <w:tcW w:w="7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21</w:t>
            </w:r>
          </w:p>
        </w:tc>
        <w:tc>
          <w:tcPr>
            <w:tcW w:w="2014"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Upper Jurassic/Lower Cretaceous</w:t>
            </w:r>
          </w:p>
        </w:tc>
        <w:tc>
          <w:tcPr>
            <w:tcW w:w="34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0.59 ± 1.13</w:t>
            </w:r>
          </w:p>
        </w:tc>
        <w:tc>
          <w:tcPr>
            <w:tcW w:w="3150"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0.51 ± 0.82</w:t>
            </w:r>
          </w:p>
        </w:tc>
      </w:tr>
      <w:tr w:rsidR="006F7CD0" w:rsidRPr="00CC1A34" w:rsidTr="00853B6F">
        <w:tc>
          <w:tcPr>
            <w:tcW w:w="7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22</w:t>
            </w:r>
          </w:p>
        </w:tc>
        <w:tc>
          <w:tcPr>
            <w:tcW w:w="2014"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Upper Jurassic/Lower Cretaceous</w:t>
            </w:r>
          </w:p>
        </w:tc>
        <w:tc>
          <w:tcPr>
            <w:tcW w:w="34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0.20 ± 0.19</w:t>
            </w:r>
          </w:p>
        </w:tc>
        <w:tc>
          <w:tcPr>
            <w:tcW w:w="3150"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-0.80 ± 0.23</w:t>
            </w:r>
          </w:p>
        </w:tc>
      </w:tr>
      <w:tr w:rsidR="006F7CD0" w:rsidRPr="00CC1A34" w:rsidTr="00853B6F">
        <w:tc>
          <w:tcPr>
            <w:tcW w:w="7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23</w:t>
            </w:r>
          </w:p>
        </w:tc>
        <w:tc>
          <w:tcPr>
            <w:tcW w:w="2014"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Upper Jurassic/Lower Cretaceous</w:t>
            </w:r>
          </w:p>
        </w:tc>
        <w:tc>
          <w:tcPr>
            <w:tcW w:w="34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1.45 ± 0.78</w:t>
            </w:r>
          </w:p>
        </w:tc>
        <w:tc>
          <w:tcPr>
            <w:tcW w:w="3150"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1.05 ± 0.44</w:t>
            </w:r>
          </w:p>
        </w:tc>
      </w:tr>
      <w:tr w:rsidR="006F7CD0" w:rsidRPr="00CC1A34" w:rsidTr="00853B6F">
        <w:tc>
          <w:tcPr>
            <w:tcW w:w="7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24</w:t>
            </w:r>
          </w:p>
        </w:tc>
        <w:tc>
          <w:tcPr>
            <w:tcW w:w="2014"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 xml:space="preserve">Upper Jurassic </w:t>
            </w:r>
          </w:p>
        </w:tc>
        <w:tc>
          <w:tcPr>
            <w:tcW w:w="34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-0.25 ± 0.59</w:t>
            </w:r>
          </w:p>
        </w:tc>
        <w:tc>
          <w:tcPr>
            <w:tcW w:w="3150"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-0.33 ± 0.35</w:t>
            </w:r>
          </w:p>
        </w:tc>
      </w:tr>
      <w:tr w:rsidR="006F7CD0" w:rsidRPr="00CC1A34" w:rsidTr="00853B6F">
        <w:tc>
          <w:tcPr>
            <w:tcW w:w="7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25</w:t>
            </w:r>
          </w:p>
        </w:tc>
        <w:tc>
          <w:tcPr>
            <w:tcW w:w="2014"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 xml:space="preserve">Upper Jurassic </w:t>
            </w:r>
          </w:p>
        </w:tc>
        <w:tc>
          <w:tcPr>
            <w:tcW w:w="34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1.20 ± 0.61</w:t>
            </w:r>
          </w:p>
        </w:tc>
        <w:tc>
          <w:tcPr>
            <w:tcW w:w="3150"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2.20 ± 0.41</w:t>
            </w:r>
          </w:p>
        </w:tc>
      </w:tr>
      <w:tr w:rsidR="006F7CD0" w:rsidRPr="00CC1A34" w:rsidTr="00853B6F">
        <w:tc>
          <w:tcPr>
            <w:tcW w:w="7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26</w:t>
            </w:r>
          </w:p>
        </w:tc>
        <w:tc>
          <w:tcPr>
            <w:tcW w:w="2014"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 xml:space="preserve">Upper Jurassic </w:t>
            </w:r>
          </w:p>
        </w:tc>
        <w:tc>
          <w:tcPr>
            <w:tcW w:w="34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1.91 ± 0.64</w:t>
            </w:r>
          </w:p>
        </w:tc>
        <w:tc>
          <w:tcPr>
            <w:tcW w:w="3150"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2.40 ± 0.44</w:t>
            </w:r>
          </w:p>
        </w:tc>
      </w:tr>
      <w:tr w:rsidR="006F7CD0" w:rsidRPr="00CC1A34" w:rsidTr="00853B6F">
        <w:tc>
          <w:tcPr>
            <w:tcW w:w="7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lastRenderedPageBreak/>
              <w:t>27</w:t>
            </w:r>
          </w:p>
        </w:tc>
        <w:tc>
          <w:tcPr>
            <w:tcW w:w="2014"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 xml:space="preserve">Upper Jurassic </w:t>
            </w:r>
          </w:p>
        </w:tc>
        <w:tc>
          <w:tcPr>
            <w:tcW w:w="34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0.59 ± 0.50</w:t>
            </w:r>
          </w:p>
        </w:tc>
        <w:tc>
          <w:tcPr>
            <w:tcW w:w="3150"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1.46 ± 0.33</w:t>
            </w:r>
          </w:p>
        </w:tc>
      </w:tr>
      <w:tr w:rsidR="006F7CD0" w:rsidRPr="00CC1A34" w:rsidTr="00853B6F">
        <w:tc>
          <w:tcPr>
            <w:tcW w:w="7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28</w:t>
            </w:r>
          </w:p>
        </w:tc>
        <w:tc>
          <w:tcPr>
            <w:tcW w:w="2014"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 xml:space="preserve">Upper Jurassic </w:t>
            </w:r>
          </w:p>
        </w:tc>
        <w:tc>
          <w:tcPr>
            <w:tcW w:w="34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1.74 ± 0.01</w:t>
            </w:r>
          </w:p>
        </w:tc>
        <w:tc>
          <w:tcPr>
            <w:tcW w:w="3150"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1.20 ± 0.17</w:t>
            </w:r>
          </w:p>
        </w:tc>
      </w:tr>
      <w:tr w:rsidR="006F7CD0" w:rsidRPr="00CC1A34" w:rsidTr="00853B6F">
        <w:tc>
          <w:tcPr>
            <w:tcW w:w="7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29</w:t>
            </w:r>
          </w:p>
        </w:tc>
        <w:tc>
          <w:tcPr>
            <w:tcW w:w="2014"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 xml:space="preserve">Upper Jurassic </w:t>
            </w:r>
          </w:p>
        </w:tc>
        <w:tc>
          <w:tcPr>
            <w:tcW w:w="34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1.14 ± 0.23</w:t>
            </w:r>
          </w:p>
        </w:tc>
        <w:tc>
          <w:tcPr>
            <w:tcW w:w="3150"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0.82 ± 0.03</w:t>
            </w:r>
          </w:p>
        </w:tc>
      </w:tr>
      <w:tr w:rsidR="006F7CD0" w:rsidRPr="00CC1A34" w:rsidTr="00853B6F">
        <w:tc>
          <w:tcPr>
            <w:tcW w:w="7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30</w:t>
            </w:r>
          </w:p>
        </w:tc>
        <w:tc>
          <w:tcPr>
            <w:tcW w:w="2014"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 xml:space="preserve">Upper Jurassic </w:t>
            </w:r>
          </w:p>
        </w:tc>
        <w:tc>
          <w:tcPr>
            <w:tcW w:w="34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1.24 ± 0.87</w:t>
            </w:r>
          </w:p>
        </w:tc>
        <w:tc>
          <w:tcPr>
            <w:tcW w:w="3150"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-0.70 ± 0.61</w:t>
            </w:r>
          </w:p>
        </w:tc>
      </w:tr>
      <w:tr w:rsidR="006F7CD0" w:rsidRPr="00CC1A34" w:rsidTr="00853B6F">
        <w:tc>
          <w:tcPr>
            <w:tcW w:w="7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31</w:t>
            </w:r>
          </w:p>
        </w:tc>
        <w:tc>
          <w:tcPr>
            <w:tcW w:w="2014"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Upper Jurassic</w:t>
            </w:r>
          </w:p>
        </w:tc>
        <w:tc>
          <w:tcPr>
            <w:tcW w:w="34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0.65 ± 0.97</w:t>
            </w:r>
          </w:p>
        </w:tc>
        <w:tc>
          <w:tcPr>
            <w:tcW w:w="3150"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-0.34 ± 0.21</w:t>
            </w:r>
          </w:p>
        </w:tc>
      </w:tr>
      <w:tr w:rsidR="006F7CD0" w:rsidRPr="00CC1A34" w:rsidTr="00853B6F">
        <w:tc>
          <w:tcPr>
            <w:tcW w:w="7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32</w:t>
            </w:r>
          </w:p>
        </w:tc>
        <w:tc>
          <w:tcPr>
            <w:tcW w:w="2014"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Upper Jurassic</w:t>
            </w:r>
          </w:p>
        </w:tc>
        <w:tc>
          <w:tcPr>
            <w:tcW w:w="34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0.70 ± 0.81</w:t>
            </w:r>
          </w:p>
        </w:tc>
        <w:tc>
          <w:tcPr>
            <w:tcW w:w="3150"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0.17 ± 0.32</w:t>
            </w:r>
          </w:p>
        </w:tc>
      </w:tr>
      <w:tr w:rsidR="006F7CD0" w:rsidRPr="00CC1A34" w:rsidTr="00853B6F">
        <w:tc>
          <w:tcPr>
            <w:tcW w:w="7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33</w:t>
            </w:r>
          </w:p>
        </w:tc>
        <w:tc>
          <w:tcPr>
            <w:tcW w:w="2014"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Upper Jurassic</w:t>
            </w:r>
          </w:p>
        </w:tc>
        <w:tc>
          <w:tcPr>
            <w:tcW w:w="34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-0.87 ± 0.60</w:t>
            </w:r>
          </w:p>
        </w:tc>
        <w:tc>
          <w:tcPr>
            <w:tcW w:w="3150"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-0.92 ± 0.42</w:t>
            </w:r>
          </w:p>
        </w:tc>
      </w:tr>
      <w:tr w:rsidR="006F7CD0" w:rsidRPr="00CC1A34" w:rsidTr="00853B6F">
        <w:tc>
          <w:tcPr>
            <w:tcW w:w="7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34</w:t>
            </w:r>
          </w:p>
        </w:tc>
        <w:tc>
          <w:tcPr>
            <w:tcW w:w="2014"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 xml:space="preserve">Upper Jurassic </w:t>
            </w:r>
          </w:p>
        </w:tc>
        <w:tc>
          <w:tcPr>
            <w:tcW w:w="34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0.39 ± 0.50</w:t>
            </w:r>
          </w:p>
        </w:tc>
        <w:tc>
          <w:tcPr>
            <w:tcW w:w="3150"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0.04 ± 0.15</w:t>
            </w:r>
          </w:p>
        </w:tc>
      </w:tr>
      <w:tr w:rsidR="006F7CD0" w:rsidRPr="00CC1A34" w:rsidTr="00853B6F">
        <w:tc>
          <w:tcPr>
            <w:tcW w:w="7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35</w:t>
            </w:r>
          </w:p>
        </w:tc>
        <w:tc>
          <w:tcPr>
            <w:tcW w:w="2014"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 xml:space="preserve">Upper Jurassic </w:t>
            </w:r>
          </w:p>
        </w:tc>
        <w:tc>
          <w:tcPr>
            <w:tcW w:w="34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1.51 ± 0.33</w:t>
            </w:r>
          </w:p>
        </w:tc>
        <w:tc>
          <w:tcPr>
            <w:tcW w:w="3150"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2.65 ± 0.69</w:t>
            </w:r>
          </w:p>
        </w:tc>
      </w:tr>
      <w:tr w:rsidR="006F7CD0" w:rsidRPr="00CC1A34" w:rsidTr="00853B6F">
        <w:tc>
          <w:tcPr>
            <w:tcW w:w="7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36</w:t>
            </w:r>
          </w:p>
        </w:tc>
        <w:tc>
          <w:tcPr>
            <w:tcW w:w="2014"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Lower-Middle Jurassic</w:t>
            </w:r>
          </w:p>
        </w:tc>
        <w:tc>
          <w:tcPr>
            <w:tcW w:w="34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1.11 ± 0.62</w:t>
            </w:r>
          </w:p>
        </w:tc>
        <w:tc>
          <w:tcPr>
            <w:tcW w:w="3150"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0.44 ± 0.48</w:t>
            </w:r>
          </w:p>
        </w:tc>
      </w:tr>
      <w:tr w:rsidR="006F7CD0" w:rsidRPr="00CC1A34" w:rsidTr="00853B6F">
        <w:tc>
          <w:tcPr>
            <w:tcW w:w="7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37</w:t>
            </w:r>
          </w:p>
        </w:tc>
        <w:tc>
          <w:tcPr>
            <w:tcW w:w="2014"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Lower-Middle Jurassic</w:t>
            </w:r>
          </w:p>
        </w:tc>
        <w:tc>
          <w:tcPr>
            <w:tcW w:w="34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0.79 ± 0.34</w:t>
            </w:r>
          </w:p>
        </w:tc>
        <w:tc>
          <w:tcPr>
            <w:tcW w:w="3150"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0.82 ± 0.43</w:t>
            </w:r>
          </w:p>
        </w:tc>
      </w:tr>
      <w:tr w:rsidR="006F7CD0" w:rsidRPr="00CC1A34" w:rsidTr="00853B6F">
        <w:tc>
          <w:tcPr>
            <w:tcW w:w="7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38</w:t>
            </w:r>
          </w:p>
        </w:tc>
        <w:tc>
          <w:tcPr>
            <w:tcW w:w="2014"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 xml:space="preserve"> Triassic</w:t>
            </w:r>
          </w:p>
        </w:tc>
        <w:tc>
          <w:tcPr>
            <w:tcW w:w="34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6.48 ± 0.78</w:t>
            </w:r>
          </w:p>
        </w:tc>
        <w:tc>
          <w:tcPr>
            <w:tcW w:w="3150"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7.12 ± 0.62</w:t>
            </w:r>
          </w:p>
        </w:tc>
      </w:tr>
      <w:tr w:rsidR="006F7CD0" w:rsidRPr="00CC1A34" w:rsidTr="00853B6F">
        <w:tc>
          <w:tcPr>
            <w:tcW w:w="7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39</w:t>
            </w:r>
          </w:p>
        </w:tc>
        <w:tc>
          <w:tcPr>
            <w:tcW w:w="2014"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 xml:space="preserve">Triassic </w:t>
            </w:r>
          </w:p>
        </w:tc>
        <w:tc>
          <w:tcPr>
            <w:tcW w:w="34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2.0 ± 0.23</w:t>
            </w:r>
          </w:p>
        </w:tc>
        <w:tc>
          <w:tcPr>
            <w:tcW w:w="3150"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1.88 ± 0.35</w:t>
            </w:r>
          </w:p>
        </w:tc>
      </w:tr>
      <w:tr w:rsidR="006F7CD0" w:rsidRPr="00CC1A34" w:rsidTr="00853B6F">
        <w:tc>
          <w:tcPr>
            <w:tcW w:w="7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40</w:t>
            </w:r>
          </w:p>
        </w:tc>
        <w:tc>
          <w:tcPr>
            <w:tcW w:w="2014"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Triassic</w:t>
            </w:r>
          </w:p>
        </w:tc>
        <w:tc>
          <w:tcPr>
            <w:tcW w:w="34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5.04 ± 0.12</w:t>
            </w:r>
          </w:p>
        </w:tc>
        <w:tc>
          <w:tcPr>
            <w:tcW w:w="3150"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3.20 ± 0.49</w:t>
            </w:r>
          </w:p>
        </w:tc>
      </w:tr>
      <w:tr w:rsidR="006F7CD0" w:rsidRPr="00CC1A34" w:rsidTr="00853B6F">
        <w:tc>
          <w:tcPr>
            <w:tcW w:w="7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41</w:t>
            </w:r>
          </w:p>
        </w:tc>
        <w:tc>
          <w:tcPr>
            <w:tcW w:w="2014"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Triassic</w:t>
            </w:r>
          </w:p>
        </w:tc>
        <w:tc>
          <w:tcPr>
            <w:tcW w:w="34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5.43 ± 0.22</w:t>
            </w:r>
          </w:p>
        </w:tc>
        <w:tc>
          <w:tcPr>
            <w:tcW w:w="3150"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5.30 ± 0.91</w:t>
            </w:r>
          </w:p>
        </w:tc>
      </w:tr>
      <w:tr w:rsidR="006F7CD0" w:rsidRPr="00CC1A34" w:rsidTr="00853B6F">
        <w:tc>
          <w:tcPr>
            <w:tcW w:w="7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42</w:t>
            </w:r>
          </w:p>
        </w:tc>
        <w:tc>
          <w:tcPr>
            <w:tcW w:w="2014"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 xml:space="preserve">Permian </w:t>
            </w:r>
          </w:p>
        </w:tc>
        <w:tc>
          <w:tcPr>
            <w:tcW w:w="34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11.49 ± 0.86</w:t>
            </w:r>
          </w:p>
        </w:tc>
        <w:tc>
          <w:tcPr>
            <w:tcW w:w="3150"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12.71 ± 0.56</w:t>
            </w:r>
          </w:p>
        </w:tc>
      </w:tr>
      <w:tr w:rsidR="006F7CD0" w:rsidRPr="00CC1A34" w:rsidTr="00853B6F">
        <w:tc>
          <w:tcPr>
            <w:tcW w:w="7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43</w:t>
            </w:r>
          </w:p>
        </w:tc>
        <w:tc>
          <w:tcPr>
            <w:tcW w:w="2014"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 xml:space="preserve">Permian </w:t>
            </w:r>
          </w:p>
        </w:tc>
        <w:tc>
          <w:tcPr>
            <w:tcW w:w="34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13.32 ± 0.53</w:t>
            </w:r>
          </w:p>
        </w:tc>
        <w:tc>
          <w:tcPr>
            <w:tcW w:w="3150"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16.00 ± 1.08</w:t>
            </w:r>
          </w:p>
        </w:tc>
      </w:tr>
      <w:tr w:rsidR="006F7CD0" w:rsidRPr="00CC1A34" w:rsidTr="00853B6F">
        <w:tc>
          <w:tcPr>
            <w:tcW w:w="7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44</w:t>
            </w:r>
          </w:p>
        </w:tc>
        <w:tc>
          <w:tcPr>
            <w:tcW w:w="2014"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 xml:space="preserve">Permian </w:t>
            </w:r>
          </w:p>
        </w:tc>
        <w:tc>
          <w:tcPr>
            <w:tcW w:w="34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6.24 ± 1.11</w:t>
            </w:r>
          </w:p>
        </w:tc>
        <w:tc>
          <w:tcPr>
            <w:tcW w:w="3150"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6.70 ± 0.30</w:t>
            </w:r>
          </w:p>
        </w:tc>
      </w:tr>
      <w:tr w:rsidR="006F7CD0" w:rsidRPr="00CC1A34" w:rsidTr="00853B6F">
        <w:tc>
          <w:tcPr>
            <w:tcW w:w="7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45</w:t>
            </w:r>
          </w:p>
        </w:tc>
        <w:tc>
          <w:tcPr>
            <w:tcW w:w="2014"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 xml:space="preserve">Permian </w:t>
            </w:r>
          </w:p>
        </w:tc>
        <w:tc>
          <w:tcPr>
            <w:tcW w:w="34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9.23 ± 0.24</w:t>
            </w:r>
          </w:p>
        </w:tc>
        <w:tc>
          <w:tcPr>
            <w:tcW w:w="3150"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11.32 ± 0.62</w:t>
            </w:r>
          </w:p>
        </w:tc>
      </w:tr>
      <w:tr w:rsidR="006F7CD0" w:rsidRPr="00CC1A34" w:rsidTr="00853B6F">
        <w:tc>
          <w:tcPr>
            <w:tcW w:w="7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46</w:t>
            </w:r>
          </w:p>
        </w:tc>
        <w:tc>
          <w:tcPr>
            <w:tcW w:w="2014"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 xml:space="preserve">Permian </w:t>
            </w:r>
          </w:p>
        </w:tc>
        <w:tc>
          <w:tcPr>
            <w:tcW w:w="34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8.73 ± 1.02</w:t>
            </w:r>
          </w:p>
        </w:tc>
        <w:tc>
          <w:tcPr>
            <w:tcW w:w="3150"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9.40 ± 1.55</w:t>
            </w:r>
          </w:p>
        </w:tc>
      </w:tr>
      <w:tr w:rsidR="006F7CD0" w:rsidRPr="00CC1A34" w:rsidTr="00853B6F">
        <w:tc>
          <w:tcPr>
            <w:tcW w:w="7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47</w:t>
            </w:r>
          </w:p>
        </w:tc>
        <w:tc>
          <w:tcPr>
            <w:tcW w:w="2014"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Permian</w:t>
            </w:r>
          </w:p>
        </w:tc>
        <w:tc>
          <w:tcPr>
            <w:tcW w:w="34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4.78 ± 0.33</w:t>
            </w:r>
          </w:p>
        </w:tc>
        <w:tc>
          <w:tcPr>
            <w:tcW w:w="3150"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1.53</w:t>
            </w:r>
          </w:p>
        </w:tc>
      </w:tr>
      <w:tr w:rsidR="006F7CD0" w:rsidRPr="00CC1A34" w:rsidTr="00853B6F">
        <w:tc>
          <w:tcPr>
            <w:tcW w:w="7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48</w:t>
            </w:r>
          </w:p>
        </w:tc>
        <w:tc>
          <w:tcPr>
            <w:tcW w:w="2014"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 xml:space="preserve">Lower Permian </w:t>
            </w:r>
          </w:p>
        </w:tc>
        <w:tc>
          <w:tcPr>
            <w:tcW w:w="34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8.33 ± 0.53</w:t>
            </w:r>
          </w:p>
        </w:tc>
        <w:tc>
          <w:tcPr>
            <w:tcW w:w="3150"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9.68 ± 0.89</w:t>
            </w:r>
          </w:p>
        </w:tc>
      </w:tr>
      <w:tr w:rsidR="006F7CD0" w:rsidRPr="00CC1A34" w:rsidTr="00853B6F">
        <w:tc>
          <w:tcPr>
            <w:tcW w:w="7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49</w:t>
            </w:r>
          </w:p>
        </w:tc>
        <w:tc>
          <w:tcPr>
            <w:tcW w:w="2014"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 xml:space="preserve">Lower Permian </w:t>
            </w:r>
          </w:p>
        </w:tc>
        <w:tc>
          <w:tcPr>
            <w:tcW w:w="34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11.93 ± 0.25</w:t>
            </w:r>
          </w:p>
        </w:tc>
        <w:tc>
          <w:tcPr>
            <w:tcW w:w="3150"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12.27 ± 0.34</w:t>
            </w:r>
          </w:p>
        </w:tc>
      </w:tr>
      <w:tr w:rsidR="006F7CD0" w:rsidRPr="00CC1A34" w:rsidTr="00853B6F">
        <w:tc>
          <w:tcPr>
            <w:tcW w:w="7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50</w:t>
            </w:r>
          </w:p>
        </w:tc>
        <w:tc>
          <w:tcPr>
            <w:tcW w:w="2014"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 xml:space="preserve">Upper Pennsylvanian </w:t>
            </w:r>
          </w:p>
        </w:tc>
        <w:tc>
          <w:tcPr>
            <w:tcW w:w="34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15.57 ± 0.20</w:t>
            </w:r>
          </w:p>
        </w:tc>
        <w:tc>
          <w:tcPr>
            <w:tcW w:w="3150" w:type="dxa"/>
          </w:tcPr>
          <w:p w:rsidR="006F7CD0" w:rsidRPr="00CC1A34" w:rsidRDefault="006F7CD0" w:rsidP="00853B6F">
            <w:pPr>
              <w:spacing w:after="200" w:line="276" w:lineRule="auto"/>
              <w:jc w:val="center"/>
              <w:rPr>
                <w:rFonts w:ascii="Times New Roman" w:eastAsia="Times New Roman" w:hAnsi="Times New Roman"/>
                <w:sz w:val="16"/>
                <w:szCs w:val="16"/>
              </w:rPr>
            </w:pPr>
          </w:p>
        </w:tc>
      </w:tr>
      <w:tr w:rsidR="006F7CD0" w:rsidRPr="00CC1A34" w:rsidTr="00853B6F">
        <w:tc>
          <w:tcPr>
            <w:tcW w:w="7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51</w:t>
            </w:r>
          </w:p>
        </w:tc>
        <w:tc>
          <w:tcPr>
            <w:tcW w:w="2014"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Carboniferous</w:t>
            </w:r>
          </w:p>
        </w:tc>
        <w:tc>
          <w:tcPr>
            <w:tcW w:w="34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3.93 ± 0.78</w:t>
            </w:r>
          </w:p>
        </w:tc>
        <w:tc>
          <w:tcPr>
            <w:tcW w:w="3150"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3.26 ± 0.73</w:t>
            </w:r>
          </w:p>
        </w:tc>
      </w:tr>
      <w:tr w:rsidR="006F7CD0" w:rsidRPr="00CC1A34" w:rsidTr="00853B6F">
        <w:tc>
          <w:tcPr>
            <w:tcW w:w="7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52</w:t>
            </w:r>
          </w:p>
        </w:tc>
        <w:tc>
          <w:tcPr>
            <w:tcW w:w="2014"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 xml:space="preserve">Upper Mississippian </w:t>
            </w:r>
          </w:p>
        </w:tc>
        <w:tc>
          <w:tcPr>
            <w:tcW w:w="34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9.72 ± 0.44</w:t>
            </w:r>
          </w:p>
        </w:tc>
        <w:tc>
          <w:tcPr>
            <w:tcW w:w="3150" w:type="dxa"/>
          </w:tcPr>
          <w:p w:rsidR="006F7CD0" w:rsidRPr="00CC1A34" w:rsidRDefault="006F7CD0" w:rsidP="00853B6F">
            <w:pPr>
              <w:spacing w:after="200" w:line="276" w:lineRule="auto"/>
              <w:jc w:val="center"/>
              <w:rPr>
                <w:rFonts w:ascii="Times New Roman" w:eastAsia="Times New Roman" w:hAnsi="Times New Roman"/>
                <w:sz w:val="16"/>
                <w:szCs w:val="16"/>
              </w:rPr>
            </w:pPr>
          </w:p>
        </w:tc>
      </w:tr>
      <w:tr w:rsidR="006F7CD0" w:rsidRPr="00CC1A34" w:rsidTr="00853B6F">
        <w:tc>
          <w:tcPr>
            <w:tcW w:w="7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53</w:t>
            </w:r>
          </w:p>
        </w:tc>
        <w:tc>
          <w:tcPr>
            <w:tcW w:w="2014"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Upper Devonian/ Lower Mississippian</w:t>
            </w:r>
          </w:p>
        </w:tc>
        <w:tc>
          <w:tcPr>
            <w:tcW w:w="34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0.87 ± 0.21</w:t>
            </w:r>
          </w:p>
        </w:tc>
        <w:tc>
          <w:tcPr>
            <w:tcW w:w="3150"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0.67 ± 0.24</w:t>
            </w:r>
          </w:p>
        </w:tc>
      </w:tr>
      <w:tr w:rsidR="006F7CD0" w:rsidRPr="00CC1A34" w:rsidTr="00853B6F">
        <w:tc>
          <w:tcPr>
            <w:tcW w:w="7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54</w:t>
            </w:r>
          </w:p>
        </w:tc>
        <w:tc>
          <w:tcPr>
            <w:tcW w:w="2014"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 xml:space="preserve"> Devonian</w:t>
            </w:r>
          </w:p>
        </w:tc>
        <w:tc>
          <w:tcPr>
            <w:tcW w:w="34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-0.68 ± 0.54</w:t>
            </w:r>
          </w:p>
        </w:tc>
        <w:tc>
          <w:tcPr>
            <w:tcW w:w="3150"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1.76 ± 0.36</w:t>
            </w:r>
          </w:p>
        </w:tc>
      </w:tr>
      <w:tr w:rsidR="006F7CD0" w:rsidRPr="00CC1A34" w:rsidTr="00853B6F">
        <w:tc>
          <w:tcPr>
            <w:tcW w:w="7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55</w:t>
            </w:r>
          </w:p>
        </w:tc>
        <w:tc>
          <w:tcPr>
            <w:tcW w:w="2014"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Upper Devonian/ Lower Mississippian</w:t>
            </w:r>
          </w:p>
        </w:tc>
        <w:tc>
          <w:tcPr>
            <w:tcW w:w="34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0.45 ± 0.33</w:t>
            </w:r>
          </w:p>
        </w:tc>
        <w:tc>
          <w:tcPr>
            <w:tcW w:w="3150" w:type="dxa"/>
          </w:tcPr>
          <w:p w:rsidR="006F7CD0" w:rsidRPr="00CC1A34" w:rsidRDefault="006F7CD0" w:rsidP="00853B6F">
            <w:pPr>
              <w:spacing w:after="200" w:line="276" w:lineRule="auto"/>
              <w:jc w:val="center"/>
              <w:rPr>
                <w:rFonts w:ascii="Times New Roman" w:eastAsia="Times New Roman" w:hAnsi="Times New Roman"/>
                <w:sz w:val="16"/>
                <w:szCs w:val="16"/>
              </w:rPr>
            </w:pPr>
          </w:p>
        </w:tc>
      </w:tr>
      <w:tr w:rsidR="006F7CD0" w:rsidRPr="00CC1A34" w:rsidTr="00853B6F">
        <w:tc>
          <w:tcPr>
            <w:tcW w:w="7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56</w:t>
            </w:r>
          </w:p>
        </w:tc>
        <w:tc>
          <w:tcPr>
            <w:tcW w:w="2014"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Devonian</w:t>
            </w:r>
          </w:p>
        </w:tc>
        <w:tc>
          <w:tcPr>
            <w:tcW w:w="34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0.14 ± 0.82</w:t>
            </w:r>
          </w:p>
        </w:tc>
        <w:tc>
          <w:tcPr>
            <w:tcW w:w="3150"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0.24 ± 0.12</w:t>
            </w:r>
          </w:p>
        </w:tc>
      </w:tr>
      <w:tr w:rsidR="006F7CD0" w:rsidRPr="00CC1A34" w:rsidTr="00853B6F">
        <w:tc>
          <w:tcPr>
            <w:tcW w:w="7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lastRenderedPageBreak/>
              <w:t>57</w:t>
            </w:r>
          </w:p>
        </w:tc>
        <w:tc>
          <w:tcPr>
            <w:tcW w:w="2014"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 xml:space="preserve"> Devonian</w:t>
            </w:r>
          </w:p>
        </w:tc>
        <w:tc>
          <w:tcPr>
            <w:tcW w:w="34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-0.26 ± 0.56</w:t>
            </w:r>
          </w:p>
        </w:tc>
        <w:tc>
          <w:tcPr>
            <w:tcW w:w="3150"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-0.20 ± 0.20</w:t>
            </w:r>
          </w:p>
        </w:tc>
      </w:tr>
      <w:tr w:rsidR="006F7CD0" w:rsidRPr="00CC1A34" w:rsidTr="00853B6F">
        <w:tc>
          <w:tcPr>
            <w:tcW w:w="7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58</w:t>
            </w:r>
          </w:p>
        </w:tc>
        <w:tc>
          <w:tcPr>
            <w:tcW w:w="2014"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 xml:space="preserve">Ordovician/Silurian </w:t>
            </w:r>
          </w:p>
        </w:tc>
        <w:tc>
          <w:tcPr>
            <w:tcW w:w="34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-0.93 ± 0.38</w:t>
            </w:r>
          </w:p>
        </w:tc>
        <w:tc>
          <w:tcPr>
            <w:tcW w:w="3150"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-1.30 ± 0.36</w:t>
            </w:r>
          </w:p>
        </w:tc>
      </w:tr>
      <w:tr w:rsidR="006F7CD0" w:rsidRPr="00CC1A34" w:rsidTr="00853B6F">
        <w:tc>
          <w:tcPr>
            <w:tcW w:w="7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59</w:t>
            </w:r>
          </w:p>
        </w:tc>
        <w:tc>
          <w:tcPr>
            <w:tcW w:w="2014"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 xml:space="preserve">Silurian </w:t>
            </w:r>
          </w:p>
        </w:tc>
        <w:tc>
          <w:tcPr>
            <w:tcW w:w="34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2.40 ± 1.30</w:t>
            </w:r>
          </w:p>
        </w:tc>
        <w:tc>
          <w:tcPr>
            <w:tcW w:w="3150"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0.54</w:t>
            </w:r>
          </w:p>
        </w:tc>
      </w:tr>
      <w:tr w:rsidR="006F7CD0" w:rsidRPr="00CC1A34" w:rsidTr="00853B6F">
        <w:tc>
          <w:tcPr>
            <w:tcW w:w="7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60</w:t>
            </w:r>
          </w:p>
        </w:tc>
        <w:tc>
          <w:tcPr>
            <w:tcW w:w="2014"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 xml:space="preserve">Ordovician </w:t>
            </w:r>
          </w:p>
        </w:tc>
        <w:tc>
          <w:tcPr>
            <w:tcW w:w="34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5.60 ± 0.45</w:t>
            </w:r>
          </w:p>
        </w:tc>
        <w:tc>
          <w:tcPr>
            <w:tcW w:w="3150"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3.68 ± 0.67</w:t>
            </w:r>
          </w:p>
        </w:tc>
      </w:tr>
      <w:tr w:rsidR="006F7CD0" w:rsidRPr="00CC1A34" w:rsidTr="00853B6F">
        <w:tc>
          <w:tcPr>
            <w:tcW w:w="7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61</w:t>
            </w:r>
          </w:p>
        </w:tc>
        <w:tc>
          <w:tcPr>
            <w:tcW w:w="2014"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 xml:space="preserve">Precambrian/Cambrian </w:t>
            </w:r>
          </w:p>
        </w:tc>
        <w:tc>
          <w:tcPr>
            <w:tcW w:w="3403"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2.61 ± 0.72</w:t>
            </w:r>
          </w:p>
        </w:tc>
        <w:tc>
          <w:tcPr>
            <w:tcW w:w="3150" w:type="dxa"/>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2.83 ± 0.18</w:t>
            </w:r>
          </w:p>
        </w:tc>
      </w:tr>
      <w:tr w:rsidR="006F7CD0" w:rsidRPr="00CC1A34" w:rsidTr="00853B6F">
        <w:tc>
          <w:tcPr>
            <w:tcW w:w="703" w:type="dxa"/>
            <w:tcBorders>
              <w:bottom w:val="single" w:sz="4" w:space="0" w:color="auto"/>
            </w:tcBorders>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62</w:t>
            </w:r>
          </w:p>
        </w:tc>
        <w:tc>
          <w:tcPr>
            <w:tcW w:w="2014" w:type="dxa"/>
            <w:tcBorders>
              <w:bottom w:val="single" w:sz="4" w:space="0" w:color="auto"/>
            </w:tcBorders>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Precambrian/Cambrian</w:t>
            </w:r>
          </w:p>
        </w:tc>
        <w:tc>
          <w:tcPr>
            <w:tcW w:w="3403" w:type="dxa"/>
            <w:tcBorders>
              <w:bottom w:val="single" w:sz="4" w:space="0" w:color="auto"/>
            </w:tcBorders>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3.88 ± 0.53</w:t>
            </w:r>
          </w:p>
        </w:tc>
        <w:tc>
          <w:tcPr>
            <w:tcW w:w="3150" w:type="dxa"/>
            <w:tcBorders>
              <w:bottom w:val="single" w:sz="4" w:space="0" w:color="auto"/>
            </w:tcBorders>
          </w:tcPr>
          <w:p w:rsidR="006F7CD0" w:rsidRPr="00CC1A34" w:rsidRDefault="006F7CD0" w:rsidP="00853B6F">
            <w:pPr>
              <w:spacing w:after="200" w:line="276" w:lineRule="auto"/>
              <w:jc w:val="center"/>
              <w:rPr>
                <w:rFonts w:ascii="Times New Roman" w:eastAsia="Times New Roman" w:hAnsi="Times New Roman"/>
                <w:sz w:val="16"/>
                <w:szCs w:val="16"/>
              </w:rPr>
            </w:pPr>
            <w:r w:rsidRPr="00CC1A34">
              <w:rPr>
                <w:rFonts w:ascii="Times New Roman" w:eastAsia="Times New Roman" w:hAnsi="Times New Roman"/>
                <w:sz w:val="16"/>
                <w:szCs w:val="16"/>
              </w:rPr>
              <w:t>2.38 ± 0.27</w:t>
            </w:r>
          </w:p>
        </w:tc>
      </w:tr>
    </w:tbl>
    <w:p w:rsidR="006F7CD0" w:rsidRPr="00CC1A34" w:rsidRDefault="006F7CD0" w:rsidP="006F7CD0">
      <w:pPr>
        <w:spacing w:after="200" w:line="240" w:lineRule="auto"/>
        <w:rPr>
          <w:rFonts w:ascii="Times New Roman" w:hAnsi="Times New Roman"/>
          <w:sz w:val="18"/>
          <w:szCs w:val="18"/>
        </w:rPr>
      </w:pPr>
    </w:p>
    <w:p w:rsidR="006F7CD0" w:rsidRPr="00CC1A34" w:rsidRDefault="006F7CD0" w:rsidP="006F7CD0">
      <w:pPr>
        <w:spacing w:after="200" w:line="240" w:lineRule="auto"/>
        <w:rPr>
          <w:rFonts w:ascii="Times New Roman" w:hAnsi="Times New Roman"/>
          <w:sz w:val="18"/>
          <w:szCs w:val="18"/>
        </w:rPr>
      </w:pPr>
    </w:p>
    <w:p w:rsidR="006F7CD0" w:rsidRPr="006F7CD0" w:rsidRDefault="006F7CD0" w:rsidP="006F7CD0">
      <w:pPr>
        <w:jc w:val="center"/>
        <w:rPr>
          <w:rFonts w:ascii="Times New Roman" w:hAnsi="Times New Roman"/>
          <w:b/>
          <w:sz w:val="28"/>
          <w:szCs w:val="28"/>
        </w:rPr>
      </w:pPr>
    </w:p>
    <w:sectPr w:rsidR="006F7CD0" w:rsidRPr="006F7CD0" w:rsidSect="00DA1971">
      <w:footerReference w:type="default" r:id="rId32"/>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763E" w:rsidRDefault="0052763E" w:rsidP="008E1C26">
      <w:pPr>
        <w:spacing w:line="240" w:lineRule="auto"/>
      </w:pPr>
      <w:r>
        <w:separator/>
      </w:r>
    </w:p>
  </w:endnote>
  <w:endnote w:type="continuationSeparator" w:id="0">
    <w:p w:rsidR="0052763E" w:rsidRDefault="0052763E"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dvTT3713a231">
    <w:altName w:val="Cambria"/>
    <w:panose1 w:val="00000000000000000000"/>
    <w:charset w:val="00"/>
    <w:family w:val="roman"/>
    <w:notTrueType/>
    <w:pitch w:val="default"/>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763E" w:rsidRDefault="0052763E" w:rsidP="008E1C26">
    <w:pPr>
      <w:pStyle w:val="Footer"/>
      <w:jc w:val="center"/>
    </w:pPr>
    <w:r>
      <w:fldChar w:fldCharType="begin"/>
    </w:r>
    <w:r>
      <w:instrText xml:space="preserve"> PAGE   \* MERGEFORMAT </w:instrText>
    </w:r>
    <w:r>
      <w:fldChar w:fldCharType="separate"/>
    </w:r>
    <w:r w:rsidR="007B7066">
      <w:rPr>
        <w:noProof/>
      </w:rPr>
      <w:t>v</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763E" w:rsidRDefault="0052763E" w:rsidP="008E1C26">
    <w:pPr>
      <w:pStyle w:val="Footer"/>
      <w:jc w:val="center"/>
    </w:pPr>
    <w:r>
      <w:fldChar w:fldCharType="begin"/>
    </w:r>
    <w:r>
      <w:instrText xml:space="preserve"> PAGE   \* MERGEFORMAT </w:instrText>
    </w:r>
    <w:r>
      <w:fldChar w:fldCharType="separate"/>
    </w:r>
    <w:r w:rsidR="007B7066">
      <w:rPr>
        <w:noProof/>
      </w:rPr>
      <w:t>31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763E" w:rsidRDefault="0052763E" w:rsidP="008E1C26">
      <w:pPr>
        <w:spacing w:line="240" w:lineRule="auto"/>
      </w:pPr>
      <w:r>
        <w:separator/>
      </w:r>
    </w:p>
  </w:footnote>
  <w:footnote w:type="continuationSeparator" w:id="0">
    <w:p w:rsidR="0052763E" w:rsidRDefault="0052763E" w:rsidP="008E1C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8"/>
  </w:num>
  <w:num w:numId="2">
    <w:abstractNumId w:val="0"/>
  </w:num>
  <w:num w:numId="3">
    <w:abstractNumId w:val="1"/>
  </w:num>
  <w:num w:numId="4">
    <w:abstractNumId w:val="4"/>
  </w:num>
  <w:num w:numId="5">
    <w:abstractNumId w:val="3"/>
  </w:num>
  <w:num w:numId="6">
    <w:abstractNumId w:val="5"/>
  </w:num>
  <w:num w:numId="7">
    <w:abstractNumId w:val="7"/>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characterSpacingControl w:val="doNotCompress"/>
  <w:hdrShapeDefaults>
    <o:shapedefaults v:ext="edit" spidmax="97281">
      <o:colormenu v:ext="edit" fillcolor="none [3212]" strokecolor="none [321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60D"/>
    <w:rsid w:val="00000239"/>
    <w:rsid w:val="00025A12"/>
    <w:rsid w:val="000324AD"/>
    <w:rsid w:val="00041638"/>
    <w:rsid w:val="00076B36"/>
    <w:rsid w:val="00077F0A"/>
    <w:rsid w:val="0008061A"/>
    <w:rsid w:val="0008176F"/>
    <w:rsid w:val="000844F6"/>
    <w:rsid w:val="000C18E6"/>
    <w:rsid w:val="000C24B8"/>
    <w:rsid w:val="000D0CE4"/>
    <w:rsid w:val="000E2188"/>
    <w:rsid w:val="000F3931"/>
    <w:rsid w:val="000F56FF"/>
    <w:rsid w:val="00101F51"/>
    <w:rsid w:val="00105BBB"/>
    <w:rsid w:val="00106C83"/>
    <w:rsid w:val="00111915"/>
    <w:rsid w:val="0011372F"/>
    <w:rsid w:val="001315CA"/>
    <w:rsid w:val="00144B35"/>
    <w:rsid w:val="00172240"/>
    <w:rsid w:val="00173030"/>
    <w:rsid w:val="00174266"/>
    <w:rsid w:val="00177E36"/>
    <w:rsid w:val="00180428"/>
    <w:rsid w:val="00187691"/>
    <w:rsid w:val="001B12EF"/>
    <w:rsid w:val="001B57D4"/>
    <w:rsid w:val="001C3B63"/>
    <w:rsid w:val="001E2404"/>
    <w:rsid w:val="001E68B6"/>
    <w:rsid w:val="001F1F49"/>
    <w:rsid w:val="002039E5"/>
    <w:rsid w:val="002147D8"/>
    <w:rsid w:val="002251F2"/>
    <w:rsid w:val="0023375C"/>
    <w:rsid w:val="00260F9A"/>
    <w:rsid w:val="00267E79"/>
    <w:rsid w:val="00271ED6"/>
    <w:rsid w:val="002726CA"/>
    <w:rsid w:val="00272CAD"/>
    <w:rsid w:val="00287A33"/>
    <w:rsid w:val="002932A6"/>
    <w:rsid w:val="002A4CD5"/>
    <w:rsid w:val="002B4B56"/>
    <w:rsid w:val="002D6E20"/>
    <w:rsid w:val="002E157F"/>
    <w:rsid w:val="00301A5F"/>
    <w:rsid w:val="0030639F"/>
    <w:rsid w:val="00306FF7"/>
    <w:rsid w:val="0030767B"/>
    <w:rsid w:val="00314F3F"/>
    <w:rsid w:val="003218D0"/>
    <w:rsid w:val="003240AA"/>
    <w:rsid w:val="00343673"/>
    <w:rsid w:val="003450B1"/>
    <w:rsid w:val="003635D6"/>
    <w:rsid w:val="00385E9D"/>
    <w:rsid w:val="00386E26"/>
    <w:rsid w:val="003912D4"/>
    <w:rsid w:val="00393159"/>
    <w:rsid w:val="00396207"/>
    <w:rsid w:val="00397ACF"/>
    <w:rsid w:val="003A060D"/>
    <w:rsid w:val="003A7D22"/>
    <w:rsid w:val="003B73A8"/>
    <w:rsid w:val="003B763D"/>
    <w:rsid w:val="003D30E3"/>
    <w:rsid w:val="003E22B5"/>
    <w:rsid w:val="003F1757"/>
    <w:rsid w:val="003F5F3A"/>
    <w:rsid w:val="0040735B"/>
    <w:rsid w:val="00407C66"/>
    <w:rsid w:val="00413755"/>
    <w:rsid w:val="0041769D"/>
    <w:rsid w:val="004431F8"/>
    <w:rsid w:val="00444FEE"/>
    <w:rsid w:val="00451067"/>
    <w:rsid w:val="004514C8"/>
    <w:rsid w:val="00461AA9"/>
    <w:rsid w:val="00466511"/>
    <w:rsid w:val="00470A0B"/>
    <w:rsid w:val="00472B7F"/>
    <w:rsid w:val="00472F10"/>
    <w:rsid w:val="00476A8A"/>
    <w:rsid w:val="004A0DF8"/>
    <w:rsid w:val="004B0F1F"/>
    <w:rsid w:val="004B55DC"/>
    <w:rsid w:val="004D14F0"/>
    <w:rsid w:val="004E586A"/>
    <w:rsid w:val="0052763E"/>
    <w:rsid w:val="0053028C"/>
    <w:rsid w:val="005341BF"/>
    <w:rsid w:val="00535105"/>
    <w:rsid w:val="005354E8"/>
    <w:rsid w:val="0055541E"/>
    <w:rsid w:val="00564BAC"/>
    <w:rsid w:val="00565343"/>
    <w:rsid w:val="0057676C"/>
    <w:rsid w:val="0057775C"/>
    <w:rsid w:val="00582EBC"/>
    <w:rsid w:val="00596960"/>
    <w:rsid w:val="005A020C"/>
    <w:rsid w:val="005A2B79"/>
    <w:rsid w:val="005B0705"/>
    <w:rsid w:val="005C67D8"/>
    <w:rsid w:val="005C7477"/>
    <w:rsid w:val="005D1824"/>
    <w:rsid w:val="005D5D67"/>
    <w:rsid w:val="005F44F2"/>
    <w:rsid w:val="00616A57"/>
    <w:rsid w:val="006229B6"/>
    <w:rsid w:val="00623D86"/>
    <w:rsid w:val="0062521D"/>
    <w:rsid w:val="006273C0"/>
    <w:rsid w:val="00633C74"/>
    <w:rsid w:val="006459A1"/>
    <w:rsid w:val="00645A8F"/>
    <w:rsid w:val="00645CC7"/>
    <w:rsid w:val="00653C73"/>
    <w:rsid w:val="00660B74"/>
    <w:rsid w:val="00661C13"/>
    <w:rsid w:val="00666642"/>
    <w:rsid w:val="00680780"/>
    <w:rsid w:val="0069415A"/>
    <w:rsid w:val="00695898"/>
    <w:rsid w:val="006A16BA"/>
    <w:rsid w:val="006A6340"/>
    <w:rsid w:val="006B1896"/>
    <w:rsid w:val="006B1D41"/>
    <w:rsid w:val="006B5145"/>
    <w:rsid w:val="006B5C7A"/>
    <w:rsid w:val="006E3332"/>
    <w:rsid w:val="006F10CE"/>
    <w:rsid w:val="006F2CF0"/>
    <w:rsid w:val="006F7B55"/>
    <w:rsid w:val="006F7CD0"/>
    <w:rsid w:val="006F7E97"/>
    <w:rsid w:val="0070017B"/>
    <w:rsid w:val="00705086"/>
    <w:rsid w:val="007138B4"/>
    <w:rsid w:val="00722FF5"/>
    <w:rsid w:val="00730F0A"/>
    <w:rsid w:val="00732532"/>
    <w:rsid w:val="00736597"/>
    <w:rsid w:val="00746E16"/>
    <w:rsid w:val="007478E4"/>
    <w:rsid w:val="007510EC"/>
    <w:rsid w:val="0075283B"/>
    <w:rsid w:val="007559B1"/>
    <w:rsid w:val="00761FDB"/>
    <w:rsid w:val="00765714"/>
    <w:rsid w:val="0077328F"/>
    <w:rsid w:val="007739FB"/>
    <w:rsid w:val="00775701"/>
    <w:rsid w:val="00777E64"/>
    <w:rsid w:val="0078679A"/>
    <w:rsid w:val="00794CBA"/>
    <w:rsid w:val="007A3C32"/>
    <w:rsid w:val="007B3298"/>
    <w:rsid w:val="007B7066"/>
    <w:rsid w:val="007D05EA"/>
    <w:rsid w:val="007D6C91"/>
    <w:rsid w:val="007E4EAE"/>
    <w:rsid w:val="007E5847"/>
    <w:rsid w:val="007F2648"/>
    <w:rsid w:val="007F7A84"/>
    <w:rsid w:val="00806E2C"/>
    <w:rsid w:val="00844477"/>
    <w:rsid w:val="00851C56"/>
    <w:rsid w:val="00853B6F"/>
    <w:rsid w:val="0086523C"/>
    <w:rsid w:val="00887DB7"/>
    <w:rsid w:val="008A4233"/>
    <w:rsid w:val="008A4F22"/>
    <w:rsid w:val="008B2222"/>
    <w:rsid w:val="008D4F69"/>
    <w:rsid w:val="008E1C26"/>
    <w:rsid w:val="008E1CF0"/>
    <w:rsid w:val="008F1822"/>
    <w:rsid w:val="00900E1D"/>
    <w:rsid w:val="00902A09"/>
    <w:rsid w:val="00917D6C"/>
    <w:rsid w:val="009210B2"/>
    <w:rsid w:val="009245C5"/>
    <w:rsid w:val="00927233"/>
    <w:rsid w:val="00941CCD"/>
    <w:rsid w:val="009501BE"/>
    <w:rsid w:val="00952303"/>
    <w:rsid w:val="009571FE"/>
    <w:rsid w:val="009671ED"/>
    <w:rsid w:val="009774C8"/>
    <w:rsid w:val="00981B1B"/>
    <w:rsid w:val="00992C28"/>
    <w:rsid w:val="009B49FC"/>
    <w:rsid w:val="009C4FEF"/>
    <w:rsid w:val="00A0094B"/>
    <w:rsid w:val="00A07FBA"/>
    <w:rsid w:val="00A16B4B"/>
    <w:rsid w:val="00A3042E"/>
    <w:rsid w:val="00A40406"/>
    <w:rsid w:val="00A40587"/>
    <w:rsid w:val="00A460F3"/>
    <w:rsid w:val="00A50007"/>
    <w:rsid w:val="00A5070D"/>
    <w:rsid w:val="00A5626C"/>
    <w:rsid w:val="00A63C7F"/>
    <w:rsid w:val="00A76D67"/>
    <w:rsid w:val="00A773AA"/>
    <w:rsid w:val="00A90647"/>
    <w:rsid w:val="00A96143"/>
    <w:rsid w:val="00AA0B13"/>
    <w:rsid w:val="00AA1B3B"/>
    <w:rsid w:val="00AA30BB"/>
    <w:rsid w:val="00AA4AED"/>
    <w:rsid w:val="00AC5E50"/>
    <w:rsid w:val="00AF0BB2"/>
    <w:rsid w:val="00B13AC0"/>
    <w:rsid w:val="00B2061F"/>
    <w:rsid w:val="00B218C6"/>
    <w:rsid w:val="00B242CA"/>
    <w:rsid w:val="00B26394"/>
    <w:rsid w:val="00B32641"/>
    <w:rsid w:val="00B36426"/>
    <w:rsid w:val="00B4425D"/>
    <w:rsid w:val="00B560B2"/>
    <w:rsid w:val="00B60C80"/>
    <w:rsid w:val="00B711DA"/>
    <w:rsid w:val="00B91E22"/>
    <w:rsid w:val="00BA1A3A"/>
    <w:rsid w:val="00BA6AC9"/>
    <w:rsid w:val="00BB2DDE"/>
    <w:rsid w:val="00BB3F72"/>
    <w:rsid w:val="00BB678C"/>
    <w:rsid w:val="00BC1C3C"/>
    <w:rsid w:val="00BD1142"/>
    <w:rsid w:val="00BD2769"/>
    <w:rsid w:val="00BD45C8"/>
    <w:rsid w:val="00BD6CA1"/>
    <w:rsid w:val="00BE26B4"/>
    <w:rsid w:val="00C15C5E"/>
    <w:rsid w:val="00C16C66"/>
    <w:rsid w:val="00C30CCE"/>
    <w:rsid w:val="00C36E17"/>
    <w:rsid w:val="00C3745C"/>
    <w:rsid w:val="00C378FA"/>
    <w:rsid w:val="00C4062A"/>
    <w:rsid w:val="00C444FF"/>
    <w:rsid w:val="00C4480F"/>
    <w:rsid w:val="00C462C4"/>
    <w:rsid w:val="00C63C23"/>
    <w:rsid w:val="00C8326D"/>
    <w:rsid w:val="00C92079"/>
    <w:rsid w:val="00CA5D73"/>
    <w:rsid w:val="00CA70C0"/>
    <w:rsid w:val="00CB05DB"/>
    <w:rsid w:val="00CB2AFD"/>
    <w:rsid w:val="00CC04DB"/>
    <w:rsid w:val="00CD0846"/>
    <w:rsid w:val="00CD7A2E"/>
    <w:rsid w:val="00CE1629"/>
    <w:rsid w:val="00D23514"/>
    <w:rsid w:val="00D332B1"/>
    <w:rsid w:val="00D413EC"/>
    <w:rsid w:val="00D417E2"/>
    <w:rsid w:val="00D418C5"/>
    <w:rsid w:val="00D431E9"/>
    <w:rsid w:val="00D72088"/>
    <w:rsid w:val="00D76F5F"/>
    <w:rsid w:val="00D86E14"/>
    <w:rsid w:val="00DA0169"/>
    <w:rsid w:val="00DA10D5"/>
    <w:rsid w:val="00DA1971"/>
    <w:rsid w:val="00DB664C"/>
    <w:rsid w:val="00DB74B3"/>
    <w:rsid w:val="00DE1EF7"/>
    <w:rsid w:val="00DE50F8"/>
    <w:rsid w:val="00DE78B1"/>
    <w:rsid w:val="00DF7412"/>
    <w:rsid w:val="00E0501B"/>
    <w:rsid w:val="00E13792"/>
    <w:rsid w:val="00E20B9A"/>
    <w:rsid w:val="00E252B0"/>
    <w:rsid w:val="00E453E8"/>
    <w:rsid w:val="00E53D7E"/>
    <w:rsid w:val="00E57213"/>
    <w:rsid w:val="00E6062A"/>
    <w:rsid w:val="00E74EDB"/>
    <w:rsid w:val="00E77477"/>
    <w:rsid w:val="00E90675"/>
    <w:rsid w:val="00E915E0"/>
    <w:rsid w:val="00E948D0"/>
    <w:rsid w:val="00EA4F84"/>
    <w:rsid w:val="00EA7E4F"/>
    <w:rsid w:val="00EB21E1"/>
    <w:rsid w:val="00EC63D1"/>
    <w:rsid w:val="00ED12A5"/>
    <w:rsid w:val="00EE3797"/>
    <w:rsid w:val="00F00C34"/>
    <w:rsid w:val="00F061D4"/>
    <w:rsid w:val="00F27248"/>
    <w:rsid w:val="00F441B3"/>
    <w:rsid w:val="00F46A49"/>
    <w:rsid w:val="00F6021C"/>
    <w:rsid w:val="00F63E0B"/>
    <w:rsid w:val="00F948D8"/>
    <w:rsid w:val="00F95643"/>
    <w:rsid w:val="00FA2425"/>
    <w:rsid w:val="00FC3631"/>
    <w:rsid w:val="00FC5D6F"/>
    <w:rsid w:val="00FC6A58"/>
    <w:rsid w:val="00FF3A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7281">
      <o:colormenu v:ext="edit" fillcolor="none [3212]" strokecolor="none [3212]"/>
    </o:shapedefaults>
    <o:shapelayout v:ext="edit">
      <o:idmap v:ext="edit" data="1"/>
    </o:shapelayout>
  </w:shapeDefaults>
  <w:decimalSymbol w:val="."/>
  <w:listSeparator w:val=","/>
  <w14:docId w14:val="46C8168B"/>
  <w15:docId w15:val="{286AE649-732D-4F4A-AE07-BBE22F1EF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86523C"/>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523C"/>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qFormat/>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rsid w:val="00660B74"/>
    <w:pPr>
      <w:ind w:left="720"/>
      <w:contextualSpacing/>
    </w:pPr>
  </w:style>
  <w:style w:type="table" w:customStyle="1" w:styleId="Style1">
    <w:name w:val="Style1"/>
    <w:basedOn w:val="TableNormal"/>
    <w:uiPriority w:val="99"/>
    <w:rsid w:val="008D4F69"/>
    <w:rPr>
      <w:rFonts w:asciiTheme="minorHAnsi" w:eastAsiaTheme="minorEastAsia" w:hAnsiTheme="minorHAnsi" w:cstheme="minorBidi"/>
      <w:sz w:val="22"/>
      <w:szCs w:val="22"/>
      <w:lang w:eastAsia="zh-CN"/>
    </w:rPr>
    <w:tblPr/>
  </w:style>
  <w:style w:type="table" w:customStyle="1" w:styleId="Style11">
    <w:name w:val="Style11"/>
    <w:basedOn w:val="TableNormal"/>
    <w:uiPriority w:val="99"/>
    <w:rsid w:val="0008061A"/>
    <w:rPr>
      <w:rFonts w:ascii="Calibri" w:eastAsia="DengXian" w:hAnsi="Calibri"/>
      <w:sz w:val="22"/>
      <w:szCs w:val="22"/>
      <w:lang w:eastAsia="zh-CN"/>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chart" Target="charts/chart7.xml"/><Relationship Id="rId26" Type="http://schemas.openxmlformats.org/officeDocument/2006/relationships/image" Target="media/image5.jpg"/><Relationship Id="rId3" Type="http://schemas.openxmlformats.org/officeDocument/2006/relationships/styles" Target="styles.xml"/><Relationship Id="rId21" Type="http://schemas.openxmlformats.org/officeDocument/2006/relationships/chart" Target="charts/chart10.xml"/><Relationship Id="rId34"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6.xml"/><Relationship Id="rId25" Type="http://schemas.openxmlformats.org/officeDocument/2006/relationships/image" Target="media/image4.jp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chart" Target="charts/chart9.xml"/><Relationship Id="rId29" Type="http://schemas.openxmlformats.org/officeDocument/2006/relationships/image" Target="media/image8.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chart" Target="charts/chart13.xm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chart" Target="charts/chart12.xml"/><Relationship Id="rId28" Type="http://schemas.openxmlformats.org/officeDocument/2006/relationships/image" Target="media/image7.jpg"/><Relationship Id="rId10" Type="http://schemas.openxmlformats.org/officeDocument/2006/relationships/image" Target="media/image2.jpg"/><Relationship Id="rId19" Type="http://schemas.openxmlformats.org/officeDocument/2006/relationships/chart" Target="charts/chart8.xml"/><Relationship Id="rId31" Type="http://schemas.openxmlformats.org/officeDocument/2006/relationships/chart" Target="charts/chart15.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chart" Target="charts/chart3.xml"/><Relationship Id="rId22" Type="http://schemas.openxmlformats.org/officeDocument/2006/relationships/chart" Target="charts/chart11.xml"/><Relationship Id="rId27" Type="http://schemas.openxmlformats.org/officeDocument/2006/relationships/image" Target="media/image6.jpg"/><Relationship Id="rId30" Type="http://schemas.openxmlformats.org/officeDocument/2006/relationships/chart" Target="charts/chart14.xml"/><Relationship Id="rId35"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chartUserShapes" Target="../drawings/drawing1.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5.xml"/><Relationship Id="rId1" Type="http://schemas.microsoft.com/office/2011/relationships/chartStyle" Target="style15.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a:solidFill>
                  <a:sysClr val="windowText" lastClr="000000"/>
                </a:solidFill>
                <a:latin typeface="Times New Roman" panose="02020603050405020304" pitchFamily="18" charset="0"/>
                <a:cs typeface="Times New Roman" panose="02020603050405020304" pitchFamily="18" charset="0"/>
              </a:rPr>
              <a:t>δ</a:t>
            </a:r>
            <a:r>
              <a:rPr lang="en-US" baseline="30000">
                <a:solidFill>
                  <a:sysClr val="windowText" lastClr="000000"/>
                </a:solidFill>
                <a:latin typeface="Times New Roman" panose="02020603050405020304" pitchFamily="18" charset="0"/>
                <a:cs typeface="Times New Roman" panose="02020603050405020304" pitchFamily="18" charset="0"/>
              </a:rPr>
              <a:t>15</a:t>
            </a:r>
            <a:r>
              <a:rPr lang="en-US">
                <a:solidFill>
                  <a:sysClr val="windowText" lastClr="000000"/>
                </a:solidFill>
                <a:latin typeface="Times New Roman" panose="02020603050405020304" pitchFamily="18" charset="0"/>
                <a:cs typeface="Times New Roman" panose="02020603050405020304" pitchFamily="18" charset="0"/>
              </a:rPr>
              <a:t>N</a:t>
            </a:r>
            <a:r>
              <a:rPr lang="en-US" baseline="0">
                <a:solidFill>
                  <a:sysClr val="windowText" lastClr="000000"/>
                </a:solidFill>
                <a:latin typeface="Times New Roman" panose="02020603050405020304" pitchFamily="18" charset="0"/>
                <a:cs typeface="Times New Roman" panose="02020603050405020304" pitchFamily="18" charset="0"/>
              </a:rPr>
              <a:t> NSO Mexican Oils</a:t>
            </a:r>
            <a:endParaRPr lang="en-US">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scatterChart>
        <c:scatterStyle val="lineMarker"/>
        <c:varyColors val="0"/>
        <c:ser>
          <c:idx val="0"/>
          <c:order val="0"/>
          <c:spPr>
            <a:ln w="19050" cap="rnd">
              <a:noFill/>
              <a:round/>
            </a:ln>
            <a:effectLst/>
          </c:spPr>
          <c:marker>
            <c:symbol val="circle"/>
            <c:size val="5"/>
            <c:spPr>
              <a:solidFill>
                <a:schemeClr val="tx1"/>
              </a:solidFill>
              <a:ln w="9525">
                <a:solidFill>
                  <a:schemeClr val="tx1"/>
                </a:solidFill>
              </a:ln>
              <a:effectLst/>
            </c:spPr>
          </c:marker>
          <c:dLbls>
            <c:dLbl>
              <c:idx val="0"/>
              <c:tx>
                <c:rich>
                  <a:bodyPr/>
                  <a:lstStyle/>
                  <a:p>
                    <a:r>
                      <a:rPr lang="en-US"/>
                      <a:t>22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769-4C11-A413-81B8371AF76D}"/>
                </c:ext>
              </c:extLst>
            </c:dLbl>
            <c:dLbl>
              <c:idx val="1"/>
              <c:tx>
                <c:rich>
                  <a:bodyPr/>
                  <a:lstStyle/>
                  <a:p>
                    <a:r>
                      <a:rPr lang="en-US"/>
                      <a:t>33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769-4C11-A413-81B8371AF76D}"/>
                </c:ext>
              </c:extLst>
            </c:dLbl>
            <c:dLbl>
              <c:idx val="2"/>
              <c:tx>
                <c:rich>
                  <a:bodyPr/>
                  <a:lstStyle/>
                  <a:p>
                    <a:r>
                      <a:rPr lang="en-US"/>
                      <a:t>31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769-4C11-A413-81B8371AF76D}"/>
                </c:ext>
              </c:extLst>
            </c:dLbl>
            <c:dLbl>
              <c:idx val="3"/>
              <c:layout>
                <c:manualLayout>
                  <c:x val="-5.3511696290926662E-2"/>
                  <c:y val="1.0840111485283055E-2"/>
                </c:manualLayout>
              </c:layout>
              <c:tx>
                <c:rich>
                  <a:bodyPr/>
                  <a:lstStyle/>
                  <a:p>
                    <a:r>
                      <a:rPr lang="en-US"/>
                      <a:t>32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769-4C11-A413-81B8371AF76D}"/>
                </c:ext>
              </c:extLst>
            </c:dLbl>
            <c:dLbl>
              <c:idx val="4"/>
              <c:tx>
                <c:rich>
                  <a:bodyPr/>
                  <a:lstStyle/>
                  <a:p>
                    <a:r>
                      <a:rPr lang="en-US"/>
                      <a:t>30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769-4C11-A413-81B8371AF76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Dir val="x"/>
            <c:errBarType val="both"/>
            <c:errValType val="fixedVal"/>
            <c:noEndCap val="0"/>
            <c:val val="0"/>
            <c:spPr>
              <a:noFill/>
              <a:ln w="9525" cap="flat" cmpd="sng" algn="ctr">
                <a:solidFill>
                  <a:schemeClr val="tx1">
                    <a:lumMod val="65000"/>
                    <a:lumOff val="35000"/>
                  </a:schemeClr>
                </a:solidFill>
                <a:round/>
              </a:ln>
              <a:effectLst/>
            </c:spPr>
          </c:errBars>
          <c:errBars>
            <c:errDir val="y"/>
            <c:errBarType val="both"/>
            <c:errValType val="cust"/>
            <c:noEndCap val="0"/>
            <c:plus>
              <c:numRef>
                <c:f>Sheet1!$D$5:$D$9</c:f>
                <c:numCache>
                  <c:formatCode>General</c:formatCode>
                  <c:ptCount val="5"/>
                  <c:pt idx="0">
                    <c:v>0.19</c:v>
                  </c:pt>
                  <c:pt idx="1">
                    <c:v>0.6</c:v>
                  </c:pt>
                  <c:pt idx="2">
                    <c:v>0.97</c:v>
                  </c:pt>
                  <c:pt idx="3">
                    <c:v>0.81</c:v>
                  </c:pt>
                  <c:pt idx="4">
                    <c:v>0.87</c:v>
                  </c:pt>
                </c:numCache>
              </c:numRef>
            </c:plus>
            <c:minus>
              <c:numRef>
                <c:f>Sheet1!$D$5:$D$9</c:f>
                <c:numCache>
                  <c:formatCode>General</c:formatCode>
                  <c:ptCount val="5"/>
                  <c:pt idx="0">
                    <c:v>0.19</c:v>
                  </c:pt>
                  <c:pt idx="1">
                    <c:v>0.6</c:v>
                  </c:pt>
                  <c:pt idx="2">
                    <c:v>0.97</c:v>
                  </c:pt>
                  <c:pt idx="3">
                    <c:v>0.81</c:v>
                  </c:pt>
                  <c:pt idx="4">
                    <c:v>0.87</c:v>
                  </c:pt>
                </c:numCache>
              </c:numRef>
            </c:minus>
            <c:spPr>
              <a:noFill/>
              <a:ln w="9525" cap="flat" cmpd="sng" algn="ctr">
                <a:solidFill>
                  <a:schemeClr val="tx1">
                    <a:lumMod val="65000"/>
                    <a:lumOff val="35000"/>
                  </a:schemeClr>
                </a:solidFill>
                <a:round/>
              </a:ln>
              <a:effectLst/>
            </c:spPr>
          </c:errBars>
          <c:xVal>
            <c:numRef>
              <c:f>Sheet1!$B$5:$B$9</c:f>
              <c:numCache>
                <c:formatCode>0.0</c:formatCode>
                <c:ptCount val="5"/>
                <c:pt idx="0">
                  <c:v>12.8</c:v>
                </c:pt>
                <c:pt idx="1">
                  <c:v>15</c:v>
                </c:pt>
                <c:pt idx="2">
                  <c:v>18.100000000000001</c:v>
                </c:pt>
                <c:pt idx="3">
                  <c:v>31.9</c:v>
                </c:pt>
                <c:pt idx="4">
                  <c:v>32.6</c:v>
                </c:pt>
              </c:numCache>
            </c:numRef>
          </c:xVal>
          <c:yVal>
            <c:numRef>
              <c:f>Sheet1!$C$5:$C$9</c:f>
              <c:numCache>
                <c:formatCode>0.00</c:formatCode>
                <c:ptCount val="5"/>
                <c:pt idx="0">
                  <c:v>0.2</c:v>
                </c:pt>
                <c:pt idx="1">
                  <c:v>-0.87</c:v>
                </c:pt>
                <c:pt idx="2">
                  <c:v>0.65</c:v>
                </c:pt>
                <c:pt idx="3">
                  <c:v>0.7</c:v>
                </c:pt>
                <c:pt idx="4">
                  <c:v>1.24</c:v>
                </c:pt>
              </c:numCache>
            </c:numRef>
          </c:yVal>
          <c:smooth val="0"/>
          <c:extLst>
            <c:ext xmlns:c16="http://schemas.microsoft.com/office/drawing/2014/chart" uri="{C3380CC4-5D6E-409C-BE32-E72D297353CC}">
              <c16:uniqueId val="{00000005-B769-4C11-A413-81B8371AF76D}"/>
            </c:ext>
          </c:extLst>
        </c:ser>
        <c:dLbls>
          <c:showLegendKey val="0"/>
          <c:showVal val="0"/>
          <c:showCatName val="0"/>
          <c:showSerName val="0"/>
          <c:showPercent val="0"/>
          <c:showBubbleSize val="0"/>
        </c:dLbls>
        <c:axId val="136931760"/>
        <c:axId val="136938416"/>
      </c:scatterChart>
      <c:valAx>
        <c:axId val="136931760"/>
        <c:scaling>
          <c:orientation val="minMax"/>
          <c:min val="10"/>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latin typeface="Times New Roman" panose="02020603050405020304" pitchFamily="18" charset="0"/>
                    <a:cs typeface="Times New Roman" panose="02020603050405020304" pitchFamily="18" charset="0"/>
                  </a:rPr>
                  <a:t>API</a:t>
                </a:r>
                <a:r>
                  <a:rPr lang="en-US" baseline="0">
                    <a:solidFill>
                      <a:sysClr val="windowText" lastClr="000000"/>
                    </a:solidFill>
                    <a:latin typeface="Times New Roman" panose="02020603050405020304" pitchFamily="18" charset="0"/>
                    <a:cs typeface="Times New Roman" panose="02020603050405020304" pitchFamily="18" charset="0"/>
                  </a:rPr>
                  <a:t> Gravity </a:t>
                </a:r>
                <a:endParaRPr lang="en-US">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6938416"/>
        <c:crossesAt val="-2"/>
        <c:crossBetween val="midCat"/>
      </c:valAx>
      <c:valAx>
        <c:axId val="136938416"/>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sz="1000" b="0" i="0" u="none" strike="noStrike" baseline="0">
                    <a:solidFill>
                      <a:sysClr val="windowText" lastClr="000000"/>
                    </a:solidFill>
                    <a:effectLst/>
                    <a:latin typeface="Times New Roman" panose="02020603050405020304" pitchFamily="18" charset="0"/>
                    <a:cs typeface="Times New Roman" panose="02020603050405020304" pitchFamily="18" charset="0"/>
                  </a:rPr>
                  <a:t>δ</a:t>
                </a:r>
                <a:r>
                  <a:rPr lang="en-US" sz="1000" b="0" i="0" u="none" strike="noStrike" baseline="30000">
                    <a:solidFill>
                      <a:sysClr val="windowText" lastClr="000000"/>
                    </a:solidFill>
                    <a:effectLst/>
                    <a:latin typeface="Times New Roman" panose="02020603050405020304" pitchFamily="18" charset="0"/>
                    <a:cs typeface="Times New Roman" panose="02020603050405020304" pitchFamily="18" charset="0"/>
                  </a:rPr>
                  <a:t>15</a:t>
                </a:r>
                <a:r>
                  <a:rPr lang="en-US" sz="1000" b="0" i="0" u="none" strike="noStrike" baseline="0">
                    <a:solidFill>
                      <a:sysClr val="windowText" lastClr="000000"/>
                    </a:solidFill>
                    <a:effectLst/>
                    <a:latin typeface="Times New Roman" panose="02020603050405020304" pitchFamily="18" charset="0"/>
                    <a:cs typeface="Times New Roman" panose="02020603050405020304" pitchFamily="18" charset="0"/>
                  </a:rPr>
                  <a:t>N </a:t>
                </a:r>
                <a:r>
                  <a:rPr lang="en-US" sz="1000" b="0" i="0" u="none" strike="noStrike" baseline="0">
                    <a:effectLst/>
                  </a:rPr>
                  <a:t>‰</a:t>
                </a:r>
                <a:endParaRPr lang="en-US">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6931760"/>
        <c:crossesAt val="0"/>
        <c:crossBetween val="midCat"/>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Hypersaline/Lacustrine </a:t>
            </a:r>
            <a:r>
              <a:rPr lang="el-GR" sz="1400" b="0" i="0" u="none" strike="noStrike" baseline="0">
                <a:effectLst/>
              </a:rPr>
              <a:t>δ</a:t>
            </a:r>
            <a:r>
              <a:rPr lang="en-US" sz="1400" b="0" i="0" u="none" strike="noStrike" baseline="30000">
                <a:effectLst/>
              </a:rPr>
              <a:t>15</a:t>
            </a:r>
            <a:r>
              <a:rPr lang="en-US" sz="1400" b="0" i="0" u="none" strike="noStrike" baseline="0">
                <a:effectLst/>
              </a:rPr>
              <a:t>N NSO and ASP</a:t>
            </a:r>
            <a:r>
              <a:rPr lang="en-US" baseline="0"/>
              <a:t> </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v>NSO</c:v>
          </c:tx>
          <c:spPr>
            <a:ln w="19050" cap="rnd">
              <a:noFill/>
              <a:round/>
            </a:ln>
            <a:effectLst/>
          </c:spPr>
          <c:marker>
            <c:symbol val="plus"/>
            <c:size val="9"/>
            <c:spPr>
              <a:noFill/>
              <a:ln w="9525">
                <a:solidFill>
                  <a:srgbClr val="C00000"/>
                </a:solidFill>
              </a:ln>
              <a:effectLst/>
            </c:spPr>
          </c:marker>
          <c:xVal>
            <c:numRef>
              <c:f>Sheet1!$J$81:$J$83</c:f>
              <c:numCache>
                <c:formatCode>General</c:formatCode>
                <c:ptCount val="3"/>
                <c:pt idx="0">
                  <c:v>239.2</c:v>
                </c:pt>
                <c:pt idx="1">
                  <c:v>241.8</c:v>
                </c:pt>
                <c:pt idx="2">
                  <c:v>278.39999999999998</c:v>
                </c:pt>
              </c:numCache>
            </c:numRef>
          </c:xVal>
          <c:yVal>
            <c:numRef>
              <c:f>Sheet1!$K$81:$K$83</c:f>
              <c:numCache>
                <c:formatCode>General</c:formatCode>
                <c:ptCount val="3"/>
                <c:pt idx="0">
                  <c:v>5.04</c:v>
                </c:pt>
                <c:pt idx="1">
                  <c:v>5.43</c:v>
                </c:pt>
                <c:pt idx="2">
                  <c:v>4.78</c:v>
                </c:pt>
              </c:numCache>
            </c:numRef>
          </c:yVal>
          <c:smooth val="0"/>
          <c:extLst>
            <c:ext xmlns:c16="http://schemas.microsoft.com/office/drawing/2014/chart" uri="{C3380CC4-5D6E-409C-BE32-E72D297353CC}">
              <c16:uniqueId val="{00000000-6254-4C45-AACE-6D02E683CBFF}"/>
            </c:ext>
          </c:extLst>
        </c:ser>
        <c:ser>
          <c:idx val="1"/>
          <c:order val="1"/>
          <c:tx>
            <c:v>Asphaltene</c:v>
          </c:tx>
          <c:spPr>
            <a:ln w="25400" cap="rnd">
              <a:noFill/>
              <a:round/>
            </a:ln>
            <a:effectLst/>
          </c:spPr>
          <c:marker>
            <c:symbol val="x"/>
            <c:size val="6"/>
            <c:spPr>
              <a:noFill/>
              <a:ln w="9525">
                <a:solidFill>
                  <a:schemeClr val="tx1"/>
                </a:solidFill>
              </a:ln>
              <a:effectLst/>
            </c:spPr>
          </c:marker>
          <c:dLbls>
            <c:dLbl>
              <c:idx val="0"/>
              <c:layout>
                <c:manualLayout>
                  <c:x val="1.6103328422733827E-2"/>
                  <c:y val="-7.8516902944383904E-2"/>
                </c:manualLayout>
              </c:layout>
              <c:tx>
                <c:rich>
                  <a:bodyPr/>
                  <a:lstStyle/>
                  <a:p>
                    <a:r>
                      <a:rPr lang="en-US"/>
                      <a:t>40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254-4C45-AACE-6D02E683CBFF}"/>
                </c:ext>
              </c:extLst>
            </c:dLbl>
            <c:dLbl>
              <c:idx val="1"/>
              <c:layout>
                <c:manualLayout>
                  <c:x val="-8.0516642113669629E-2"/>
                  <c:y val="-2.6172300981461286E-2"/>
                </c:manualLayout>
              </c:layout>
              <c:tx>
                <c:rich>
                  <a:bodyPr/>
                  <a:lstStyle/>
                  <a:p>
                    <a:r>
                      <a:rPr lang="en-US"/>
                      <a:t>41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254-4C45-AACE-6D02E683CBFF}"/>
                </c:ext>
              </c:extLst>
            </c:dLbl>
            <c:dLbl>
              <c:idx val="2"/>
              <c:layout>
                <c:manualLayout>
                  <c:x val="-7.5148865972758355E-2"/>
                  <c:y val="-0.17011995637949837"/>
                </c:manualLayout>
              </c:layout>
              <c:tx>
                <c:rich>
                  <a:bodyPr/>
                  <a:lstStyle/>
                  <a:p>
                    <a:r>
                      <a:rPr lang="en-US"/>
                      <a:t>47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254-4C45-AACE-6D02E683CBF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Sheet1!$O$81:$O$83</c:f>
              <c:numCache>
                <c:formatCode>General</c:formatCode>
                <c:ptCount val="3"/>
                <c:pt idx="0">
                  <c:v>239.2</c:v>
                </c:pt>
                <c:pt idx="1">
                  <c:v>241.8</c:v>
                </c:pt>
                <c:pt idx="2">
                  <c:v>278.39999999999998</c:v>
                </c:pt>
              </c:numCache>
            </c:numRef>
          </c:xVal>
          <c:yVal>
            <c:numRef>
              <c:f>Sheet1!$P$81:$P$83</c:f>
              <c:numCache>
                <c:formatCode>General</c:formatCode>
                <c:ptCount val="3"/>
                <c:pt idx="0">
                  <c:v>3.2</c:v>
                </c:pt>
                <c:pt idx="1">
                  <c:v>5.3</c:v>
                </c:pt>
                <c:pt idx="2">
                  <c:v>1.53</c:v>
                </c:pt>
              </c:numCache>
            </c:numRef>
          </c:yVal>
          <c:smooth val="0"/>
          <c:extLst>
            <c:ext xmlns:c16="http://schemas.microsoft.com/office/drawing/2014/chart" uri="{C3380CC4-5D6E-409C-BE32-E72D297353CC}">
              <c16:uniqueId val="{00000004-6254-4C45-AACE-6D02E683CBFF}"/>
            </c:ext>
          </c:extLst>
        </c:ser>
        <c:dLbls>
          <c:showLegendKey val="0"/>
          <c:showVal val="0"/>
          <c:showCatName val="0"/>
          <c:showSerName val="0"/>
          <c:showPercent val="0"/>
          <c:showBubbleSize val="0"/>
        </c:dLbls>
        <c:axId val="499114056"/>
        <c:axId val="499118320"/>
      </c:scatterChart>
      <c:valAx>
        <c:axId val="499114056"/>
        <c:scaling>
          <c:orientation val="maxMin"/>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Millions</a:t>
                </a:r>
                <a:r>
                  <a:rPr lang="en-US" baseline="0"/>
                  <a:t> of years </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9118320"/>
        <c:crosses val="autoZero"/>
        <c:crossBetween val="midCat"/>
      </c:valAx>
      <c:valAx>
        <c:axId val="499118320"/>
        <c:scaling>
          <c:orientation val="minMax"/>
        </c:scaling>
        <c:delete val="0"/>
        <c:axPos val="l"/>
        <c:title>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r>
                  <a:rPr lang="en-US" sz="800" b="0" i="0" baseline="0">
                    <a:effectLst/>
                  </a:rPr>
                  <a:t>δ</a:t>
                </a:r>
                <a:r>
                  <a:rPr lang="en-US" sz="800" b="0" i="0" baseline="30000">
                    <a:effectLst/>
                  </a:rPr>
                  <a:t>15</a:t>
                </a:r>
                <a:r>
                  <a:rPr lang="en-US" sz="800" b="0" i="0" baseline="0">
                    <a:effectLst/>
                  </a:rPr>
                  <a:t>N</a:t>
                </a:r>
                <a:endParaRPr lang="en-US" sz="800">
                  <a:effectLst/>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en-US"/>
              </a:p>
            </c:rich>
          </c:tx>
          <c:overlay val="0"/>
          <c:spPr>
            <a:noFill/>
            <a:ln>
              <a:noFill/>
            </a:ln>
            <a:effectLst/>
          </c:spPr>
          <c:txPr>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9114056"/>
        <c:crosses val="max"/>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δ</a:t>
            </a:r>
            <a:r>
              <a:rPr lang="en-US" baseline="30000">
                <a:latin typeface="Times New Roman" panose="02020603050405020304" pitchFamily="18" charset="0"/>
                <a:cs typeface="Times New Roman" panose="02020603050405020304" pitchFamily="18" charset="0"/>
              </a:rPr>
              <a:t>15</a:t>
            </a:r>
            <a:r>
              <a:rPr lang="en-US">
                <a:latin typeface="Times New Roman" panose="02020603050405020304" pitchFamily="18" charset="0"/>
                <a:cs typeface="Times New Roman" panose="02020603050405020304" pitchFamily="18" charset="0"/>
              </a:rPr>
              <a:t>N NSO </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v>Siliclastic </c:v>
          </c:tx>
          <c:spPr>
            <a:ln w="19050" cap="rnd">
              <a:noFill/>
              <a:round/>
            </a:ln>
            <a:effectLst/>
          </c:spPr>
          <c:marker>
            <c:symbol val="circle"/>
            <c:size val="5"/>
            <c:spPr>
              <a:solidFill>
                <a:schemeClr val="tx1"/>
              </a:solidFill>
              <a:ln w="9525">
                <a:solidFill>
                  <a:schemeClr val="tx1"/>
                </a:solidFill>
              </a:ln>
              <a:effectLst/>
            </c:spPr>
          </c:marker>
          <c:xVal>
            <c:numRef>
              <c:f>Sheet1!$D$7:$D$36</c:f>
              <c:numCache>
                <c:formatCode>General</c:formatCode>
                <c:ptCount val="30"/>
                <c:pt idx="0">
                  <c:v>13.8</c:v>
                </c:pt>
                <c:pt idx="1">
                  <c:v>14</c:v>
                </c:pt>
                <c:pt idx="2">
                  <c:v>14.9</c:v>
                </c:pt>
                <c:pt idx="3">
                  <c:v>28.1</c:v>
                </c:pt>
                <c:pt idx="4">
                  <c:v>33.9</c:v>
                </c:pt>
                <c:pt idx="5">
                  <c:v>49.8</c:v>
                </c:pt>
                <c:pt idx="6">
                  <c:v>76.2</c:v>
                </c:pt>
                <c:pt idx="7">
                  <c:v>77.400000000000006</c:v>
                </c:pt>
                <c:pt idx="8">
                  <c:v>92.9</c:v>
                </c:pt>
                <c:pt idx="9">
                  <c:v>93.3</c:v>
                </c:pt>
                <c:pt idx="10">
                  <c:v>93.9</c:v>
                </c:pt>
                <c:pt idx="11">
                  <c:v>100</c:v>
                </c:pt>
                <c:pt idx="12">
                  <c:v>105.2</c:v>
                </c:pt>
                <c:pt idx="13">
                  <c:v>108.4</c:v>
                </c:pt>
                <c:pt idx="14">
                  <c:v>148.9</c:v>
                </c:pt>
                <c:pt idx="15">
                  <c:v>155.5</c:v>
                </c:pt>
                <c:pt idx="16">
                  <c:v>156.5</c:v>
                </c:pt>
                <c:pt idx="17">
                  <c:v>168.3</c:v>
                </c:pt>
                <c:pt idx="18">
                  <c:v>179.4</c:v>
                </c:pt>
                <c:pt idx="19">
                  <c:v>279.10000000000002</c:v>
                </c:pt>
                <c:pt idx="20">
                  <c:v>280.39999999999998</c:v>
                </c:pt>
                <c:pt idx="21">
                  <c:v>298.89999999999998</c:v>
                </c:pt>
                <c:pt idx="22">
                  <c:v>307.60000000000002</c:v>
                </c:pt>
                <c:pt idx="23">
                  <c:v>339.9</c:v>
                </c:pt>
                <c:pt idx="24">
                  <c:v>360.9</c:v>
                </c:pt>
                <c:pt idx="25">
                  <c:v>366.1</c:v>
                </c:pt>
                <c:pt idx="26">
                  <c:v>388.1</c:v>
                </c:pt>
                <c:pt idx="27">
                  <c:v>444</c:v>
                </c:pt>
                <c:pt idx="28">
                  <c:v>465.5</c:v>
                </c:pt>
                <c:pt idx="29">
                  <c:v>541</c:v>
                </c:pt>
              </c:numCache>
            </c:numRef>
          </c:xVal>
          <c:yVal>
            <c:numRef>
              <c:f>Sheet1!$E$7:$E$36</c:f>
              <c:numCache>
                <c:formatCode>General</c:formatCode>
                <c:ptCount val="30"/>
                <c:pt idx="0">
                  <c:v>7.92</c:v>
                </c:pt>
                <c:pt idx="1">
                  <c:v>6.2</c:v>
                </c:pt>
                <c:pt idx="2">
                  <c:v>3.04</c:v>
                </c:pt>
                <c:pt idx="3">
                  <c:v>7.0000000000000007E-2</c:v>
                </c:pt>
                <c:pt idx="4">
                  <c:v>1.78</c:v>
                </c:pt>
                <c:pt idx="5">
                  <c:v>2.1800000000000002</c:v>
                </c:pt>
                <c:pt idx="6">
                  <c:v>5.42</c:v>
                </c:pt>
                <c:pt idx="7">
                  <c:v>-1.6</c:v>
                </c:pt>
                <c:pt idx="8">
                  <c:v>1.44</c:v>
                </c:pt>
                <c:pt idx="9">
                  <c:v>-0.06</c:v>
                </c:pt>
                <c:pt idx="10">
                  <c:v>-0.24</c:v>
                </c:pt>
                <c:pt idx="11">
                  <c:v>0.8</c:v>
                </c:pt>
                <c:pt idx="12">
                  <c:v>-0.23</c:v>
                </c:pt>
                <c:pt idx="13">
                  <c:v>-0.37</c:v>
                </c:pt>
                <c:pt idx="14">
                  <c:v>-0.25</c:v>
                </c:pt>
                <c:pt idx="15">
                  <c:v>1.74</c:v>
                </c:pt>
                <c:pt idx="16">
                  <c:v>1.1399999999999999</c:v>
                </c:pt>
                <c:pt idx="17">
                  <c:v>1.1100000000000001</c:v>
                </c:pt>
                <c:pt idx="18">
                  <c:v>0.79</c:v>
                </c:pt>
                <c:pt idx="19">
                  <c:v>8.33</c:v>
                </c:pt>
                <c:pt idx="20">
                  <c:v>11.93</c:v>
                </c:pt>
                <c:pt idx="21">
                  <c:v>15.57</c:v>
                </c:pt>
                <c:pt idx="22">
                  <c:v>3.93</c:v>
                </c:pt>
                <c:pt idx="23">
                  <c:v>9.7200000000000006</c:v>
                </c:pt>
                <c:pt idx="24">
                  <c:v>0.87</c:v>
                </c:pt>
                <c:pt idx="25">
                  <c:v>-0.68</c:v>
                </c:pt>
                <c:pt idx="26">
                  <c:v>0.45</c:v>
                </c:pt>
                <c:pt idx="27">
                  <c:v>-0.93</c:v>
                </c:pt>
                <c:pt idx="28">
                  <c:v>5.6</c:v>
                </c:pt>
                <c:pt idx="29">
                  <c:v>2.61</c:v>
                </c:pt>
              </c:numCache>
            </c:numRef>
          </c:yVal>
          <c:smooth val="0"/>
          <c:extLst>
            <c:ext xmlns:c16="http://schemas.microsoft.com/office/drawing/2014/chart" uri="{C3380CC4-5D6E-409C-BE32-E72D297353CC}">
              <c16:uniqueId val="{00000000-DC64-4ABD-8D2F-0714A35CBA6D}"/>
            </c:ext>
          </c:extLst>
        </c:ser>
        <c:ser>
          <c:idx val="1"/>
          <c:order val="1"/>
          <c:tx>
            <c:v>Carbonate </c:v>
          </c:tx>
          <c:spPr>
            <a:ln w="25400" cap="rnd">
              <a:noFill/>
              <a:round/>
            </a:ln>
            <a:effectLst/>
          </c:spPr>
          <c:marker>
            <c:symbol val="triangle"/>
            <c:size val="5"/>
            <c:spPr>
              <a:solidFill>
                <a:schemeClr val="tx2"/>
              </a:solidFill>
              <a:ln w="9525">
                <a:solidFill>
                  <a:schemeClr val="tx2"/>
                </a:solidFill>
              </a:ln>
              <a:effectLst/>
            </c:spPr>
          </c:marker>
          <c:xVal>
            <c:numRef>
              <c:f>Sheet1!$D$54:$D$82</c:f>
              <c:numCache>
                <c:formatCode>General</c:formatCode>
                <c:ptCount val="29"/>
                <c:pt idx="0">
                  <c:v>15.97</c:v>
                </c:pt>
                <c:pt idx="1">
                  <c:v>66.7</c:v>
                </c:pt>
                <c:pt idx="2">
                  <c:v>72.099999999999994</c:v>
                </c:pt>
                <c:pt idx="3">
                  <c:v>93.3</c:v>
                </c:pt>
                <c:pt idx="4">
                  <c:v>133.9</c:v>
                </c:pt>
                <c:pt idx="5">
                  <c:v>139.4</c:v>
                </c:pt>
                <c:pt idx="6">
                  <c:v>145.30000000000001</c:v>
                </c:pt>
                <c:pt idx="7">
                  <c:v>145.69999999999999</c:v>
                </c:pt>
                <c:pt idx="8">
                  <c:v>145.9</c:v>
                </c:pt>
                <c:pt idx="9">
                  <c:v>147</c:v>
                </c:pt>
                <c:pt idx="10">
                  <c:v>147</c:v>
                </c:pt>
                <c:pt idx="11">
                  <c:v>147</c:v>
                </c:pt>
                <c:pt idx="12">
                  <c:v>150</c:v>
                </c:pt>
                <c:pt idx="13">
                  <c:v>150</c:v>
                </c:pt>
                <c:pt idx="14">
                  <c:v>150</c:v>
                </c:pt>
                <c:pt idx="15">
                  <c:v>150</c:v>
                </c:pt>
                <c:pt idx="16">
                  <c:v>150.5</c:v>
                </c:pt>
                <c:pt idx="17">
                  <c:v>164.1</c:v>
                </c:pt>
                <c:pt idx="18">
                  <c:v>207</c:v>
                </c:pt>
                <c:pt idx="19">
                  <c:v>237</c:v>
                </c:pt>
                <c:pt idx="20">
                  <c:v>254.8</c:v>
                </c:pt>
                <c:pt idx="21">
                  <c:v>256</c:v>
                </c:pt>
                <c:pt idx="22">
                  <c:v>272.3</c:v>
                </c:pt>
                <c:pt idx="23">
                  <c:v>275.60000000000002</c:v>
                </c:pt>
                <c:pt idx="24">
                  <c:v>279.3</c:v>
                </c:pt>
                <c:pt idx="25">
                  <c:v>368</c:v>
                </c:pt>
                <c:pt idx="26">
                  <c:v>388.1</c:v>
                </c:pt>
                <c:pt idx="27">
                  <c:v>433</c:v>
                </c:pt>
                <c:pt idx="28">
                  <c:v>510</c:v>
                </c:pt>
              </c:numCache>
            </c:numRef>
          </c:xVal>
          <c:yVal>
            <c:numRef>
              <c:f>Sheet1!$E$54:$E$82</c:f>
              <c:numCache>
                <c:formatCode>General</c:formatCode>
                <c:ptCount val="29"/>
                <c:pt idx="0">
                  <c:v>1.23</c:v>
                </c:pt>
                <c:pt idx="1">
                  <c:v>2.06</c:v>
                </c:pt>
                <c:pt idx="2">
                  <c:v>1.62</c:v>
                </c:pt>
                <c:pt idx="3">
                  <c:v>3.5</c:v>
                </c:pt>
                <c:pt idx="4">
                  <c:v>1.17</c:v>
                </c:pt>
                <c:pt idx="5">
                  <c:v>-0.25</c:v>
                </c:pt>
                <c:pt idx="6">
                  <c:v>0.59</c:v>
                </c:pt>
                <c:pt idx="7">
                  <c:v>1.45</c:v>
                </c:pt>
                <c:pt idx="8">
                  <c:v>0.2</c:v>
                </c:pt>
                <c:pt idx="9">
                  <c:v>1.2</c:v>
                </c:pt>
                <c:pt idx="10">
                  <c:v>1.91</c:v>
                </c:pt>
                <c:pt idx="11">
                  <c:v>0.59</c:v>
                </c:pt>
                <c:pt idx="12">
                  <c:v>1.24</c:v>
                </c:pt>
                <c:pt idx="13">
                  <c:v>0.65</c:v>
                </c:pt>
                <c:pt idx="14">
                  <c:v>0.7</c:v>
                </c:pt>
                <c:pt idx="15">
                  <c:v>-0.87</c:v>
                </c:pt>
                <c:pt idx="16">
                  <c:v>0.39</c:v>
                </c:pt>
                <c:pt idx="17">
                  <c:v>1.51</c:v>
                </c:pt>
                <c:pt idx="18">
                  <c:v>6.48</c:v>
                </c:pt>
                <c:pt idx="19">
                  <c:v>2</c:v>
                </c:pt>
                <c:pt idx="20">
                  <c:v>11.49</c:v>
                </c:pt>
                <c:pt idx="21">
                  <c:v>13.32</c:v>
                </c:pt>
                <c:pt idx="22">
                  <c:v>6.24</c:v>
                </c:pt>
                <c:pt idx="23">
                  <c:v>9.23</c:v>
                </c:pt>
                <c:pt idx="24">
                  <c:v>8.73</c:v>
                </c:pt>
                <c:pt idx="25">
                  <c:v>-0.26</c:v>
                </c:pt>
                <c:pt idx="26">
                  <c:v>0.14000000000000001</c:v>
                </c:pt>
                <c:pt idx="27">
                  <c:v>2.4</c:v>
                </c:pt>
                <c:pt idx="28">
                  <c:v>3.88</c:v>
                </c:pt>
              </c:numCache>
            </c:numRef>
          </c:yVal>
          <c:smooth val="0"/>
          <c:extLst>
            <c:ext xmlns:c16="http://schemas.microsoft.com/office/drawing/2014/chart" uri="{C3380CC4-5D6E-409C-BE32-E72D297353CC}">
              <c16:uniqueId val="{00000001-DC64-4ABD-8D2F-0714A35CBA6D}"/>
            </c:ext>
          </c:extLst>
        </c:ser>
        <c:ser>
          <c:idx val="2"/>
          <c:order val="2"/>
          <c:tx>
            <c:v>Hypersaline/Lacustrine </c:v>
          </c:tx>
          <c:spPr>
            <a:ln w="25400" cap="rnd">
              <a:noFill/>
              <a:round/>
            </a:ln>
            <a:effectLst/>
          </c:spPr>
          <c:marker>
            <c:symbol val="plus"/>
            <c:size val="8"/>
            <c:spPr>
              <a:noFill/>
              <a:ln w="9525">
                <a:solidFill>
                  <a:srgbClr val="3328C0"/>
                </a:solidFill>
              </a:ln>
              <a:effectLst/>
            </c:spPr>
          </c:marker>
          <c:xVal>
            <c:numRef>
              <c:f>Sheet1!$J$81:$J$83</c:f>
              <c:numCache>
                <c:formatCode>General</c:formatCode>
                <c:ptCount val="3"/>
                <c:pt idx="0">
                  <c:v>239.2</c:v>
                </c:pt>
                <c:pt idx="1">
                  <c:v>241.8</c:v>
                </c:pt>
                <c:pt idx="2">
                  <c:v>278.39999999999998</c:v>
                </c:pt>
              </c:numCache>
            </c:numRef>
          </c:xVal>
          <c:yVal>
            <c:numRef>
              <c:f>Sheet1!$K$81:$K$83</c:f>
              <c:numCache>
                <c:formatCode>General</c:formatCode>
                <c:ptCount val="3"/>
                <c:pt idx="0">
                  <c:v>5.04</c:v>
                </c:pt>
                <c:pt idx="1">
                  <c:v>5.43</c:v>
                </c:pt>
                <c:pt idx="2">
                  <c:v>4.78</c:v>
                </c:pt>
              </c:numCache>
            </c:numRef>
          </c:yVal>
          <c:smooth val="0"/>
          <c:extLst>
            <c:ext xmlns:c16="http://schemas.microsoft.com/office/drawing/2014/chart" uri="{C3380CC4-5D6E-409C-BE32-E72D297353CC}">
              <c16:uniqueId val="{00000002-DC64-4ABD-8D2F-0714A35CBA6D}"/>
            </c:ext>
          </c:extLst>
        </c:ser>
        <c:dLbls>
          <c:showLegendKey val="0"/>
          <c:showVal val="0"/>
          <c:showCatName val="0"/>
          <c:showSerName val="0"/>
          <c:showPercent val="0"/>
          <c:showBubbleSize val="0"/>
        </c:dLbls>
        <c:axId val="479463216"/>
        <c:axId val="479461904"/>
      </c:scatterChart>
      <c:valAx>
        <c:axId val="479463216"/>
        <c:scaling>
          <c:orientation val="maxMin"/>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ysClr val="windowText" lastClr="000000"/>
                    </a:solidFill>
                    <a:latin typeface="Times New Roman" panose="02020603050405020304" pitchFamily="18" charset="0"/>
                    <a:cs typeface="Times New Roman" panose="02020603050405020304" pitchFamily="18" charset="0"/>
                  </a:rPr>
                  <a:t>Million</a:t>
                </a:r>
                <a:r>
                  <a:rPr lang="en-US" baseline="0">
                    <a:solidFill>
                      <a:sysClr val="windowText" lastClr="000000"/>
                    </a:solidFill>
                    <a:latin typeface="Times New Roman" panose="02020603050405020304" pitchFamily="18" charset="0"/>
                    <a:cs typeface="Times New Roman" panose="02020603050405020304" pitchFamily="18" charset="0"/>
                  </a:rPr>
                  <a:t>s of years </a:t>
                </a:r>
                <a:endParaRPr lang="en-US">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9461904"/>
        <c:crossesAt val="-4"/>
        <c:crossBetween val="midCat"/>
      </c:valAx>
      <c:valAx>
        <c:axId val="479461904"/>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ysClr val="windowText" lastClr="000000"/>
                    </a:solidFill>
                    <a:latin typeface="Times New Roman" panose="02020603050405020304" pitchFamily="18" charset="0"/>
                    <a:cs typeface="Times New Roman" panose="02020603050405020304" pitchFamily="18" charset="0"/>
                  </a:rPr>
                  <a:t>δ</a:t>
                </a:r>
                <a:r>
                  <a:rPr lang="en-US" baseline="30000">
                    <a:solidFill>
                      <a:sysClr val="windowText" lastClr="000000"/>
                    </a:solidFill>
                    <a:latin typeface="Times New Roman" panose="02020603050405020304" pitchFamily="18" charset="0"/>
                    <a:cs typeface="Times New Roman" panose="02020603050405020304" pitchFamily="18" charset="0"/>
                  </a:rPr>
                  <a:t>15</a:t>
                </a:r>
                <a:r>
                  <a:rPr lang="en-US">
                    <a:solidFill>
                      <a:sysClr val="windowText" lastClr="000000"/>
                    </a:solidFill>
                    <a:latin typeface="Times New Roman" panose="02020603050405020304" pitchFamily="18" charset="0"/>
                    <a:cs typeface="Times New Roman" panose="02020603050405020304" pitchFamily="18" charset="0"/>
                  </a:rPr>
                  <a:t>N</a:t>
                </a:r>
                <a:r>
                  <a:rPr lang="en-US" sz="1000" b="0" i="0" u="none" strike="noStrike" baseline="0">
                    <a:solidFill>
                      <a:sysClr val="windowText" lastClr="000000"/>
                    </a:solidFill>
                    <a:effectLst/>
                  </a:rPr>
                  <a:t> ‰</a:t>
                </a:r>
                <a:endParaRPr lang="en-US">
                  <a:solidFill>
                    <a:sysClr val="windowText" lastClr="000000"/>
                  </a:solidFill>
                </a:endParaRPr>
              </a:p>
            </c:rich>
          </c:tx>
          <c:layout>
            <c:manualLayout>
              <c:xMode val="edge"/>
              <c:yMode val="edge"/>
              <c:x val="1.4393195943735688E-2"/>
              <c:y val="0.4513607679239762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9463216"/>
        <c:crosses val="max"/>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a:latin typeface="Times New Roman" panose="02020603050405020304" pitchFamily="18" charset="0"/>
                <a:cs typeface="Times New Roman" panose="02020603050405020304" pitchFamily="18" charset="0"/>
              </a:rPr>
              <a:t>δ15N Asphaltene </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7.3113091227019839E-2"/>
          <c:y val="9.7633536173089924E-2"/>
          <c:w val="0.87131199748917665"/>
          <c:h val="0.78793332375035274"/>
        </c:manualLayout>
      </c:layout>
      <c:scatterChart>
        <c:scatterStyle val="lineMarker"/>
        <c:varyColors val="0"/>
        <c:ser>
          <c:idx val="0"/>
          <c:order val="0"/>
          <c:tx>
            <c:v>Siliclastic</c:v>
          </c:tx>
          <c:spPr>
            <a:ln w="19050" cap="rnd">
              <a:noFill/>
              <a:round/>
            </a:ln>
            <a:effectLst/>
          </c:spPr>
          <c:marker>
            <c:symbol val="circle"/>
            <c:size val="5"/>
            <c:spPr>
              <a:solidFill>
                <a:schemeClr val="tx1"/>
              </a:solidFill>
              <a:ln w="9525">
                <a:solidFill>
                  <a:schemeClr val="tx1"/>
                </a:solidFill>
              </a:ln>
              <a:effectLst/>
            </c:spPr>
          </c:marker>
          <c:xVal>
            <c:numRef>
              <c:f>Sheet1!$V$7:$V$33</c:f>
              <c:numCache>
                <c:formatCode>General</c:formatCode>
                <c:ptCount val="27"/>
                <c:pt idx="0">
                  <c:v>13.8</c:v>
                </c:pt>
                <c:pt idx="1">
                  <c:v>14</c:v>
                </c:pt>
                <c:pt idx="2">
                  <c:v>14.9</c:v>
                </c:pt>
                <c:pt idx="3">
                  <c:v>28.1</c:v>
                </c:pt>
                <c:pt idx="4">
                  <c:v>33.9</c:v>
                </c:pt>
                <c:pt idx="5">
                  <c:v>33.9</c:v>
                </c:pt>
                <c:pt idx="6">
                  <c:v>76.2</c:v>
                </c:pt>
                <c:pt idx="7">
                  <c:v>77.400000000000006</c:v>
                </c:pt>
                <c:pt idx="8">
                  <c:v>92.9</c:v>
                </c:pt>
                <c:pt idx="9">
                  <c:v>93.3</c:v>
                </c:pt>
                <c:pt idx="10">
                  <c:v>93.9</c:v>
                </c:pt>
                <c:pt idx="11">
                  <c:v>100</c:v>
                </c:pt>
                <c:pt idx="12">
                  <c:v>105.2</c:v>
                </c:pt>
                <c:pt idx="13">
                  <c:v>108.4</c:v>
                </c:pt>
                <c:pt idx="14">
                  <c:v>148.9</c:v>
                </c:pt>
                <c:pt idx="15">
                  <c:v>155.5</c:v>
                </c:pt>
                <c:pt idx="16">
                  <c:v>156.5</c:v>
                </c:pt>
                <c:pt idx="17">
                  <c:v>168.3</c:v>
                </c:pt>
                <c:pt idx="18">
                  <c:v>179.4</c:v>
                </c:pt>
                <c:pt idx="19">
                  <c:v>279.10000000000002</c:v>
                </c:pt>
                <c:pt idx="20">
                  <c:v>280.39999999999998</c:v>
                </c:pt>
                <c:pt idx="21">
                  <c:v>307.60000000000002</c:v>
                </c:pt>
                <c:pt idx="22">
                  <c:v>360.9</c:v>
                </c:pt>
                <c:pt idx="23">
                  <c:v>366.1</c:v>
                </c:pt>
                <c:pt idx="24">
                  <c:v>444</c:v>
                </c:pt>
                <c:pt idx="25">
                  <c:v>465.5</c:v>
                </c:pt>
                <c:pt idx="26">
                  <c:v>541</c:v>
                </c:pt>
              </c:numCache>
            </c:numRef>
          </c:xVal>
          <c:yVal>
            <c:numRef>
              <c:f>Sheet1!$W$7:$W$33</c:f>
              <c:numCache>
                <c:formatCode>General</c:formatCode>
                <c:ptCount val="27"/>
                <c:pt idx="0">
                  <c:v>7.44</c:v>
                </c:pt>
                <c:pt idx="1">
                  <c:v>5.61</c:v>
                </c:pt>
                <c:pt idx="2">
                  <c:v>4.22</c:v>
                </c:pt>
                <c:pt idx="3">
                  <c:v>0.96</c:v>
                </c:pt>
                <c:pt idx="4">
                  <c:v>2.1</c:v>
                </c:pt>
                <c:pt idx="5">
                  <c:v>2.21</c:v>
                </c:pt>
                <c:pt idx="6">
                  <c:v>5.35</c:v>
                </c:pt>
                <c:pt idx="7">
                  <c:v>-0.52</c:v>
                </c:pt>
                <c:pt idx="8">
                  <c:v>1.71</c:v>
                </c:pt>
                <c:pt idx="9">
                  <c:v>-0.09</c:v>
                </c:pt>
                <c:pt idx="10">
                  <c:v>0.09</c:v>
                </c:pt>
                <c:pt idx="11">
                  <c:v>1.28</c:v>
                </c:pt>
                <c:pt idx="12">
                  <c:v>-0.26</c:v>
                </c:pt>
                <c:pt idx="13">
                  <c:v>1.24</c:v>
                </c:pt>
                <c:pt idx="14">
                  <c:v>-0.33</c:v>
                </c:pt>
                <c:pt idx="15">
                  <c:v>1.2</c:v>
                </c:pt>
                <c:pt idx="16">
                  <c:v>0.82</c:v>
                </c:pt>
                <c:pt idx="17">
                  <c:v>0.44</c:v>
                </c:pt>
                <c:pt idx="18">
                  <c:v>0.82</c:v>
                </c:pt>
                <c:pt idx="19">
                  <c:v>9.68</c:v>
                </c:pt>
                <c:pt idx="20">
                  <c:v>12.27</c:v>
                </c:pt>
                <c:pt idx="21">
                  <c:v>3.26</c:v>
                </c:pt>
                <c:pt idx="22">
                  <c:v>0.67</c:v>
                </c:pt>
                <c:pt idx="23">
                  <c:v>1.76</c:v>
                </c:pt>
                <c:pt idx="24">
                  <c:v>-1.3</c:v>
                </c:pt>
                <c:pt idx="25">
                  <c:v>3.68</c:v>
                </c:pt>
                <c:pt idx="26">
                  <c:v>2.83</c:v>
                </c:pt>
              </c:numCache>
            </c:numRef>
          </c:yVal>
          <c:smooth val="0"/>
          <c:extLst>
            <c:ext xmlns:c16="http://schemas.microsoft.com/office/drawing/2014/chart" uri="{C3380CC4-5D6E-409C-BE32-E72D297353CC}">
              <c16:uniqueId val="{00000000-5A8E-476A-8F49-55733D4ECB21}"/>
            </c:ext>
          </c:extLst>
        </c:ser>
        <c:ser>
          <c:idx val="1"/>
          <c:order val="1"/>
          <c:tx>
            <c:v>Carbonate </c:v>
          </c:tx>
          <c:spPr>
            <a:ln w="25400" cap="rnd">
              <a:noFill/>
              <a:round/>
            </a:ln>
            <a:effectLst/>
          </c:spPr>
          <c:marker>
            <c:symbol val="triangle"/>
            <c:size val="5"/>
            <c:spPr>
              <a:solidFill>
                <a:srgbClr val="002060"/>
              </a:solidFill>
              <a:ln w="9525">
                <a:solidFill>
                  <a:srgbClr val="002060"/>
                </a:solidFill>
              </a:ln>
              <a:effectLst/>
            </c:spPr>
          </c:marker>
          <c:xVal>
            <c:numRef>
              <c:f>Sheet1!$V$52:$V$80</c:f>
              <c:numCache>
                <c:formatCode>General</c:formatCode>
                <c:ptCount val="29"/>
                <c:pt idx="0">
                  <c:v>15.97</c:v>
                </c:pt>
                <c:pt idx="1">
                  <c:v>66.7</c:v>
                </c:pt>
                <c:pt idx="2">
                  <c:v>72.099999999999994</c:v>
                </c:pt>
                <c:pt idx="3">
                  <c:v>93.3</c:v>
                </c:pt>
                <c:pt idx="4">
                  <c:v>133.9</c:v>
                </c:pt>
                <c:pt idx="5">
                  <c:v>139.4</c:v>
                </c:pt>
                <c:pt idx="6">
                  <c:v>145.30000000000001</c:v>
                </c:pt>
                <c:pt idx="7">
                  <c:v>145.69999999999999</c:v>
                </c:pt>
                <c:pt idx="8">
                  <c:v>145.9</c:v>
                </c:pt>
                <c:pt idx="9">
                  <c:v>147</c:v>
                </c:pt>
                <c:pt idx="10">
                  <c:v>147</c:v>
                </c:pt>
                <c:pt idx="11">
                  <c:v>147</c:v>
                </c:pt>
                <c:pt idx="12">
                  <c:v>150</c:v>
                </c:pt>
                <c:pt idx="13">
                  <c:v>150</c:v>
                </c:pt>
                <c:pt idx="14">
                  <c:v>150</c:v>
                </c:pt>
                <c:pt idx="15">
                  <c:v>150</c:v>
                </c:pt>
                <c:pt idx="16">
                  <c:v>150.5</c:v>
                </c:pt>
                <c:pt idx="17">
                  <c:v>164.1</c:v>
                </c:pt>
                <c:pt idx="18">
                  <c:v>207</c:v>
                </c:pt>
                <c:pt idx="19">
                  <c:v>237</c:v>
                </c:pt>
                <c:pt idx="20">
                  <c:v>254.8</c:v>
                </c:pt>
                <c:pt idx="21">
                  <c:v>256</c:v>
                </c:pt>
                <c:pt idx="22">
                  <c:v>272.3</c:v>
                </c:pt>
                <c:pt idx="23">
                  <c:v>275.60000000000002</c:v>
                </c:pt>
                <c:pt idx="24">
                  <c:v>279.3</c:v>
                </c:pt>
                <c:pt idx="25">
                  <c:v>368</c:v>
                </c:pt>
                <c:pt idx="26">
                  <c:v>433</c:v>
                </c:pt>
                <c:pt idx="27">
                  <c:v>510</c:v>
                </c:pt>
              </c:numCache>
            </c:numRef>
          </c:xVal>
          <c:yVal>
            <c:numRef>
              <c:f>Sheet1!$W$52:$W$80</c:f>
              <c:numCache>
                <c:formatCode>General</c:formatCode>
                <c:ptCount val="29"/>
                <c:pt idx="0">
                  <c:v>0.96</c:v>
                </c:pt>
                <c:pt idx="1">
                  <c:v>1.74</c:v>
                </c:pt>
                <c:pt idx="2">
                  <c:v>1.36</c:v>
                </c:pt>
                <c:pt idx="3">
                  <c:v>2.38</c:v>
                </c:pt>
                <c:pt idx="4">
                  <c:v>0.02</c:v>
                </c:pt>
                <c:pt idx="5">
                  <c:v>1.4</c:v>
                </c:pt>
                <c:pt idx="6">
                  <c:v>0.51</c:v>
                </c:pt>
                <c:pt idx="7">
                  <c:v>1.05</c:v>
                </c:pt>
                <c:pt idx="8">
                  <c:v>-0.8</c:v>
                </c:pt>
                <c:pt idx="9">
                  <c:v>2.2000000000000002</c:v>
                </c:pt>
                <c:pt idx="10">
                  <c:v>2.4</c:v>
                </c:pt>
                <c:pt idx="11">
                  <c:v>1.46</c:v>
                </c:pt>
                <c:pt idx="12">
                  <c:v>-0.7</c:v>
                </c:pt>
                <c:pt idx="13">
                  <c:v>-0.34</c:v>
                </c:pt>
                <c:pt idx="14">
                  <c:v>0.17</c:v>
                </c:pt>
                <c:pt idx="15">
                  <c:v>-0.92</c:v>
                </c:pt>
                <c:pt idx="16">
                  <c:v>0.04</c:v>
                </c:pt>
                <c:pt idx="17">
                  <c:v>2.65</c:v>
                </c:pt>
                <c:pt idx="18">
                  <c:v>7.12</c:v>
                </c:pt>
                <c:pt idx="19">
                  <c:v>1.88</c:v>
                </c:pt>
                <c:pt idx="20">
                  <c:v>12.71</c:v>
                </c:pt>
                <c:pt idx="21">
                  <c:v>16</c:v>
                </c:pt>
                <c:pt idx="22">
                  <c:v>6.7</c:v>
                </c:pt>
                <c:pt idx="23">
                  <c:v>11.32</c:v>
                </c:pt>
                <c:pt idx="24">
                  <c:v>9.4</c:v>
                </c:pt>
                <c:pt idx="25">
                  <c:v>-0.2</c:v>
                </c:pt>
                <c:pt idx="26">
                  <c:v>0.54</c:v>
                </c:pt>
                <c:pt idx="27">
                  <c:v>2.38</c:v>
                </c:pt>
              </c:numCache>
            </c:numRef>
          </c:yVal>
          <c:smooth val="0"/>
          <c:extLst>
            <c:ext xmlns:c16="http://schemas.microsoft.com/office/drawing/2014/chart" uri="{C3380CC4-5D6E-409C-BE32-E72D297353CC}">
              <c16:uniqueId val="{00000001-5A8E-476A-8F49-55733D4ECB21}"/>
            </c:ext>
          </c:extLst>
        </c:ser>
        <c:ser>
          <c:idx val="2"/>
          <c:order val="2"/>
          <c:tx>
            <c:v>Hypersaline/Lacustine</c:v>
          </c:tx>
          <c:spPr>
            <a:ln w="25400" cap="rnd">
              <a:noFill/>
              <a:round/>
            </a:ln>
            <a:effectLst/>
          </c:spPr>
          <c:marker>
            <c:symbol val="plus"/>
            <c:size val="9"/>
            <c:spPr>
              <a:noFill/>
              <a:ln w="9525">
                <a:solidFill>
                  <a:srgbClr val="4A25A7"/>
                </a:solidFill>
              </a:ln>
              <a:effectLst/>
            </c:spPr>
          </c:marker>
          <c:xVal>
            <c:numRef>
              <c:f>Sheet1!$O$81:$O$83</c:f>
              <c:numCache>
                <c:formatCode>General</c:formatCode>
                <c:ptCount val="3"/>
                <c:pt idx="0">
                  <c:v>239.2</c:v>
                </c:pt>
                <c:pt idx="1">
                  <c:v>241.8</c:v>
                </c:pt>
                <c:pt idx="2">
                  <c:v>278.39999999999998</c:v>
                </c:pt>
              </c:numCache>
            </c:numRef>
          </c:xVal>
          <c:yVal>
            <c:numRef>
              <c:f>Sheet1!$P$81:$P$83</c:f>
              <c:numCache>
                <c:formatCode>General</c:formatCode>
                <c:ptCount val="3"/>
                <c:pt idx="0">
                  <c:v>3.2</c:v>
                </c:pt>
                <c:pt idx="1">
                  <c:v>5.3</c:v>
                </c:pt>
                <c:pt idx="2">
                  <c:v>1.53</c:v>
                </c:pt>
              </c:numCache>
            </c:numRef>
          </c:yVal>
          <c:smooth val="0"/>
          <c:extLst>
            <c:ext xmlns:c16="http://schemas.microsoft.com/office/drawing/2014/chart" uri="{C3380CC4-5D6E-409C-BE32-E72D297353CC}">
              <c16:uniqueId val="{00000002-5A8E-476A-8F49-55733D4ECB21}"/>
            </c:ext>
          </c:extLst>
        </c:ser>
        <c:dLbls>
          <c:showLegendKey val="0"/>
          <c:showVal val="0"/>
          <c:showCatName val="0"/>
          <c:showSerName val="0"/>
          <c:showPercent val="0"/>
          <c:showBubbleSize val="0"/>
        </c:dLbls>
        <c:axId val="490482696"/>
        <c:axId val="490485976"/>
      </c:scatterChart>
      <c:valAx>
        <c:axId val="490482696"/>
        <c:scaling>
          <c:orientation val="maxMin"/>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latin typeface="Times New Roman" panose="02020603050405020304" pitchFamily="18" charset="0"/>
                    <a:cs typeface="Times New Roman" panose="02020603050405020304" pitchFamily="18" charset="0"/>
                  </a:rPr>
                  <a:t>Millions of years </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90485976"/>
        <c:crossesAt val="-4"/>
        <c:crossBetween val="midCat"/>
      </c:valAx>
      <c:valAx>
        <c:axId val="490485976"/>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latin typeface="Times New Roman" panose="02020603050405020304" pitchFamily="18" charset="0"/>
                    <a:cs typeface="Times New Roman" panose="02020603050405020304" pitchFamily="18" charset="0"/>
                  </a:rPr>
                  <a:t>δ15N ‰</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90482696"/>
        <c:crosses val="max"/>
        <c:crossBetween val="midCat"/>
      </c:valAx>
      <c:spPr>
        <a:noFill/>
        <a:ln>
          <a:noFill/>
        </a:ln>
        <a:effectLst/>
      </c:spPr>
    </c:plotArea>
    <c:legend>
      <c:legendPos val="r"/>
      <c:layout>
        <c:manualLayout>
          <c:xMode val="edge"/>
          <c:yMode val="edge"/>
          <c:x val="0.7338238493928001"/>
          <c:y val="0.24780778670414672"/>
          <c:w val="0.16066618577718816"/>
          <c:h val="0.12872498442765648"/>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solidFill>
            <a:sysClr val="windowText" lastClr="000000"/>
          </a:solidFill>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latin typeface="Times New Roman" panose="02020603050405020304" pitchFamily="18" charset="0"/>
                <a:cs typeface="Times New Roman" panose="02020603050405020304" pitchFamily="18" charset="0"/>
              </a:rPr>
              <a:t> </a:t>
            </a:r>
            <a:r>
              <a:rPr lang="en-US" sz="1400" b="0" i="0" u="none" strike="noStrike" baseline="0">
                <a:solidFill>
                  <a:sysClr val="windowText" lastClr="000000"/>
                </a:solidFill>
                <a:effectLst/>
                <a:latin typeface="Times New Roman" panose="02020603050405020304" pitchFamily="18" charset="0"/>
                <a:cs typeface="Times New Roman" panose="02020603050405020304" pitchFamily="18" charset="0"/>
              </a:rPr>
              <a:t>δ</a:t>
            </a:r>
            <a:r>
              <a:rPr lang="en-US" sz="1400" b="0" i="0" u="none" strike="noStrike" baseline="30000">
                <a:solidFill>
                  <a:sysClr val="windowText" lastClr="000000"/>
                </a:solidFill>
                <a:effectLst/>
                <a:latin typeface="Times New Roman" panose="02020603050405020304" pitchFamily="18" charset="0"/>
                <a:cs typeface="Times New Roman" panose="02020603050405020304" pitchFamily="18" charset="0"/>
              </a:rPr>
              <a:t>15</a:t>
            </a:r>
            <a:r>
              <a:rPr lang="en-US" sz="1400" b="0" i="0" u="none" strike="noStrike" baseline="0">
                <a:solidFill>
                  <a:sysClr val="windowText" lastClr="000000"/>
                </a:solidFill>
                <a:effectLst/>
                <a:latin typeface="Times New Roman" panose="02020603050405020304" pitchFamily="18" charset="0"/>
                <a:cs typeface="Times New Roman" panose="02020603050405020304" pitchFamily="18" charset="0"/>
              </a:rPr>
              <a:t>N NSO and δ</a:t>
            </a:r>
            <a:r>
              <a:rPr lang="en-US" sz="1400" b="0" i="0" u="none" strike="noStrike" baseline="30000">
                <a:solidFill>
                  <a:sysClr val="windowText" lastClr="000000"/>
                </a:solidFill>
                <a:effectLst/>
                <a:latin typeface="Times New Roman" panose="02020603050405020304" pitchFamily="18" charset="0"/>
                <a:cs typeface="Times New Roman" panose="02020603050405020304" pitchFamily="18" charset="0"/>
              </a:rPr>
              <a:t>15</a:t>
            </a:r>
            <a:r>
              <a:rPr lang="en-US" sz="1400" b="0" i="0" u="none" strike="noStrike" baseline="0">
                <a:solidFill>
                  <a:sysClr val="windowText" lastClr="000000"/>
                </a:solidFill>
                <a:effectLst/>
                <a:latin typeface="Times New Roman" panose="02020603050405020304" pitchFamily="18" charset="0"/>
                <a:cs typeface="Times New Roman" panose="02020603050405020304" pitchFamily="18" charset="0"/>
              </a:rPr>
              <a:t>N Asphaltene </a:t>
            </a:r>
            <a:r>
              <a:rPr lang="en-US">
                <a:solidFill>
                  <a:sysClr val="windowText" lastClr="000000"/>
                </a:solidFill>
                <a:latin typeface="Times New Roman" panose="02020603050405020304" pitchFamily="18" charset="0"/>
                <a:cs typeface="Times New Roman" panose="02020603050405020304" pitchFamily="18" charset="0"/>
              </a:rPr>
              <a:t> </a:t>
            </a:r>
            <a:r>
              <a:rPr lang="en-US" baseline="0">
                <a:solidFill>
                  <a:sysClr val="windowText" lastClr="000000"/>
                </a:solidFill>
                <a:latin typeface="Times New Roman" panose="02020603050405020304" pitchFamily="18" charset="0"/>
                <a:cs typeface="Times New Roman" panose="02020603050405020304" pitchFamily="18" charset="0"/>
              </a:rPr>
              <a:t> </a:t>
            </a:r>
            <a:endParaRPr lang="en-US">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scatterChart>
        <c:scatterStyle val="lineMarker"/>
        <c:varyColors val="0"/>
        <c:ser>
          <c:idx val="0"/>
          <c:order val="0"/>
          <c:tx>
            <c:v>Siliciclastic NSO</c:v>
          </c:tx>
          <c:spPr>
            <a:ln w="19050" cap="rnd">
              <a:noFill/>
              <a:round/>
            </a:ln>
            <a:effectLst/>
          </c:spPr>
          <c:marker>
            <c:symbol val="circle"/>
            <c:size val="5"/>
            <c:spPr>
              <a:solidFill>
                <a:srgbClr val="225686"/>
              </a:solidFill>
              <a:ln w="9525">
                <a:solidFill>
                  <a:schemeClr val="accent1"/>
                </a:solidFill>
              </a:ln>
              <a:effectLst/>
            </c:spPr>
          </c:marker>
          <c:dPt>
            <c:idx val="21"/>
            <c:marker>
              <c:symbol val="circle"/>
              <c:size val="5"/>
              <c:spPr>
                <a:solidFill>
                  <a:srgbClr val="225686"/>
                </a:solidFill>
                <a:ln w="9525">
                  <a:solidFill>
                    <a:schemeClr val="accent5">
                      <a:lumMod val="75000"/>
                    </a:schemeClr>
                  </a:solidFill>
                </a:ln>
                <a:effectLst/>
              </c:spPr>
            </c:marker>
            <c:bubble3D val="0"/>
            <c:extLst>
              <c:ext xmlns:c16="http://schemas.microsoft.com/office/drawing/2014/chart" uri="{C3380CC4-5D6E-409C-BE32-E72D297353CC}">
                <c16:uniqueId val="{00000000-16B3-4A87-A404-1E6955A79896}"/>
              </c:ext>
            </c:extLst>
          </c:dPt>
          <c:xVal>
            <c:numRef>
              <c:f>Sheet1!$D$7:$D$36</c:f>
              <c:numCache>
                <c:formatCode>General</c:formatCode>
                <c:ptCount val="30"/>
                <c:pt idx="0">
                  <c:v>13.8</c:v>
                </c:pt>
                <c:pt idx="1">
                  <c:v>14</c:v>
                </c:pt>
                <c:pt idx="2">
                  <c:v>14.9</c:v>
                </c:pt>
                <c:pt idx="3">
                  <c:v>28.1</c:v>
                </c:pt>
                <c:pt idx="4">
                  <c:v>33.9</c:v>
                </c:pt>
                <c:pt idx="5">
                  <c:v>49.8</c:v>
                </c:pt>
                <c:pt idx="6">
                  <c:v>76.2</c:v>
                </c:pt>
                <c:pt idx="7">
                  <c:v>77.400000000000006</c:v>
                </c:pt>
                <c:pt idx="8">
                  <c:v>92.9</c:v>
                </c:pt>
                <c:pt idx="9">
                  <c:v>93.3</c:v>
                </c:pt>
                <c:pt idx="10">
                  <c:v>93.9</c:v>
                </c:pt>
                <c:pt idx="11">
                  <c:v>100</c:v>
                </c:pt>
                <c:pt idx="12">
                  <c:v>105.2</c:v>
                </c:pt>
                <c:pt idx="13">
                  <c:v>108.4</c:v>
                </c:pt>
                <c:pt idx="14">
                  <c:v>148.9</c:v>
                </c:pt>
                <c:pt idx="15">
                  <c:v>155.5</c:v>
                </c:pt>
                <c:pt idx="16">
                  <c:v>156.5</c:v>
                </c:pt>
                <c:pt idx="17">
                  <c:v>168.3</c:v>
                </c:pt>
                <c:pt idx="18">
                  <c:v>179.4</c:v>
                </c:pt>
                <c:pt idx="19">
                  <c:v>279.10000000000002</c:v>
                </c:pt>
                <c:pt idx="20">
                  <c:v>280.39999999999998</c:v>
                </c:pt>
                <c:pt idx="21">
                  <c:v>298.89999999999998</c:v>
                </c:pt>
                <c:pt idx="22">
                  <c:v>307.60000000000002</c:v>
                </c:pt>
                <c:pt idx="23">
                  <c:v>339.9</c:v>
                </c:pt>
                <c:pt idx="24">
                  <c:v>360.9</c:v>
                </c:pt>
                <c:pt idx="25">
                  <c:v>366.1</c:v>
                </c:pt>
                <c:pt idx="26">
                  <c:v>388.1</c:v>
                </c:pt>
                <c:pt idx="27">
                  <c:v>444</c:v>
                </c:pt>
                <c:pt idx="28">
                  <c:v>465.5</c:v>
                </c:pt>
                <c:pt idx="29">
                  <c:v>541</c:v>
                </c:pt>
              </c:numCache>
            </c:numRef>
          </c:xVal>
          <c:yVal>
            <c:numRef>
              <c:f>Sheet1!$E$7:$E$36</c:f>
              <c:numCache>
                <c:formatCode>General</c:formatCode>
                <c:ptCount val="30"/>
                <c:pt idx="0">
                  <c:v>7.92</c:v>
                </c:pt>
                <c:pt idx="1">
                  <c:v>6.2</c:v>
                </c:pt>
                <c:pt idx="2">
                  <c:v>3.04</c:v>
                </c:pt>
                <c:pt idx="3">
                  <c:v>7.0000000000000007E-2</c:v>
                </c:pt>
                <c:pt idx="4">
                  <c:v>1.78</c:v>
                </c:pt>
                <c:pt idx="5">
                  <c:v>2.1800000000000002</c:v>
                </c:pt>
                <c:pt idx="6">
                  <c:v>5.42</c:v>
                </c:pt>
                <c:pt idx="7">
                  <c:v>-1.6</c:v>
                </c:pt>
                <c:pt idx="8">
                  <c:v>1.44</c:v>
                </c:pt>
                <c:pt idx="9">
                  <c:v>-0.06</c:v>
                </c:pt>
                <c:pt idx="10">
                  <c:v>-0.24</c:v>
                </c:pt>
                <c:pt idx="11">
                  <c:v>0.8</c:v>
                </c:pt>
                <c:pt idx="12">
                  <c:v>-0.23</c:v>
                </c:pt>
                <c:pt idx="13">
                  <c:v>-0.37</c:v>
                </c:pt>
                <c:pt idx="14">
                  <c:v>-0.25</c:v>
                </c:pt>
                <c:pt idx="15">
                  <c:v>1.74</c:v>
                </c:pt>
                <c:pt idx="16">
                  <c:v>1.1399999999999999</c:v>
                </c:pt>
                <c:pt idx="17">
                  <c:v>1.1100000000000001</c:v>
                </c:pt>
                <c:pt idx="18">
                  <c:v>0.79</c:v>
                </c:pt>
                <c:pt idx="19">
                  <c:v>8.33</c:v>
                </c:pt>
                <c:pt idx="20">
                  <c:v>11.93</c:v>
                </c:pt>
                <c:pt idx="21">
                  <c:v>15.57</c:v>
                </c:pt>
                <c:pt idx="22">
                  <c:v>3.93</c:v>
                </c:pt>
                <c:pt idx="23">
                  <c:v>9.7200000000000006</c:v>
                </c:pt>
                <c:pt idx="24">
                  <c:v>0.87</c:v>
                </c:pt>
                <c:pt idx="25">
                  <c:v>-0.68</c:v>
                </c:pt>
                <c:pt idx="26">
                  <c:v>0.45</c:v>
                </c:pt>
                <c:pt idx="27">
                  <c:v>-0.93</c:v>
                </c:pt>
                <c:pt idx="28">
                  <c:v>5.6</c:v>
                </c:pt>
                <c:pt idx="29">
                  <c:v>2.61</c:v>
                </c:pt>
              </c:numCache>
            </c:numRef>
          </c:yVal>
          <c:smooth val="0"/>
          <c:extLst>
            <c:ext xmlns:c16="http://schemas.microsoft.com/office/drawing/2014/chart" uri="{C3380CC4-5D6E-409C-BE32-E72D297353CC}">
              <c16:uniqueId val="{00000001-16B3-4A87-A404-1E6955A79896}"/>
            </c:ext>
          </c:extLst>
        </c:ser>
        <c:ser>
          <c:idx val="1"/>
          <c:order val="1"/>
          <c:tx>
            <c:v>Siliciclastic Aspaltene</c:v>
          </c:tx>
          <c:spPr>
            <a:ln w="25400" cap="rnd">
              <a:noFill/>
              <a:round/>
            </a:ln>
            <a:effectLst/>
          </c:spPr>
          <c:marker>
            <c:symbol val="circle"/>
            <c:size val="5"/>
            <c:spPr>
              <a:solidFill>
                <a:schemeClr val="tx1"/>
              </a:solidFill>
              <a:ln w="9525">
                <a:solidFill>
                  <a:schemeClr val="tx1"/>
                </a:solidFill>
              </a:ln>
              <a:effectLst/>
            </c:spPr>
          </c:marker>
          <c:xVal>
            <c:numRef>
              <c:f>Sheet1!$V$7:$V$33</c:f>
              <c:numCache>
                <c:formatCode>General</c:formatCode>
                <c:ptCount val="27"/>
                <c:pt idx="0">
                  <c:v>13.8</c:v>
                </c:pt>
                <c:pt idx="1">
                  <c:v>14</c:v>
                </c:pt>
                <c:pt idx="2">
                  <c:v>14.9</c:v>
                </c:pt>
                <c:pt idx="3">
                  <c:v>28.1</c:v>
                </c:pt>
                <c:pt idx="4">
                  <c:v>33.9</c:v>
                </c:pt>
                <c:pt idx="5">
                  <c:v>33.9</c:v>
                </c:pt>
                <c:pt idx="6">
                  <c:v>76.2</c:v>
                </c:pt>
                <c:pt idx="7">
                  <c:v>77.400000000000006</c:v>
                </c:pt>
                <c:pt idx="8">
                  <c:v>92.9</c:v>
                </c:pt>
                <c:pt idx="9">
                  <c:v>93.3</c:v>
                </c:pt>
                <c:pt idx="10">
                  <c:v>93.9</c:v>
                </c:pt>
                <c:pt idx="11">
                  <c:v>100</c:v>
                </c:pt>
                <c:pt idx="12">
                  <c:v>105.2</c:v>
                </c:pt>
                <c:pt idx="13">
                  <c:v>108.4</c:v>
                </c:pt>
                <c:pt idx="14">
                  <c:v>148.9</c:v>
                </c:pt>
                <c:pt idx="15">
                  <c:v>155.5</c:v>
                </c:pt>
                <c:pt idx="16">
                  <c:v>156.5</c:v>
                </c:pt>
                <c:pt idx="17">
                  <c:v>168.3</c:v>
                </c:pt>
                <c:pt idx="18">
                  <c:v>179.4</c:v>
                </c:pt>
                <c:pt idx="19">
                  <c:v>279.10000000000002</c:v>
                </c:pt>
                <c:pt idx="20">
                  <c:v>280.39999999999998</c:v>
                </c:pt>
                <c:pt idx="21">
                  <c:v>307.60000000000002</c:v>
                </c:pt>
                <c:pt idx="22">
                  <c:v>360.9</c:v>
                </c:pt>
                <c:pt idx="23">
                  <c:v>366.1</c:v>
                </c:pt>
                <c:pt idx="24">
                  <c:v>444</c:v>
                </c:pt>
                <c:pt idx="25">
                  <c:v>465.5</c:v>
                </c:pt>
                <c:pt idx="26">
                  <c:v>541</c:v>
                </c:pt>
              </c:numCache>
            </c:numRef>
          </c:xVal>
          <c:yVal>
            <c:numRef>
              <c:f>Sheet1!$W$7:$W$33</c:f>
              <c:numCache>
                <c:formatCode>General</c:formatCode>
                <c:ptCount val="27"/>
                <c:pt idx="0">
                  <c:v>7.44</c:v>
                </c:pt>
                <c:pt idx="1">
                  <c:v>5.61</c:v>
                </c:pt>
                <c:pt idx="2">
                  <c:v>4.22</c:v>
                </c:pt>
                <c:pt idx="3">
                  <c:v>0.96</c:v>
                </c:pt>
                <c:pt idx="4">
                  <c:v>2.1</c:v>
                </c:pt>
                <c:pt idx="5">
                  <c:v>2.21</c:v>
                </c:pt>
                <c:pt idx="6">
                  <c:v>5.35</c:v>
                </c:pt>
                <c:pt idx="7">
                  <c:v>-0.52</c:v>
                </c:pt>
                <c:pt idx="8">
                  <c:v>1.71</c:v>
                </c:pt>
                <c:pt idx="9">
                  <c:v>-0.09</c:v>
                </c:pt>
                <c:pt idx="10">
                  <c:v>0.09</c:v>
                </c:pt>
                <c:pt idx="11">
                  <c:v>1.28</c:v>
                </c:pt>
                <c:pt idx="12">
                  <c:v>-0.26</c:v>
                </c:pt>
                <c:pt idx="13">
                  <c:v>1.24</c:v>
                </c:pt>
                <c:pt idx="14">
                  <c:v>-0.33</c:v>
                </c:pt>
                <c:pt idx="15">
                  <c:v>1.2</c:v>
                </c:pt>
                <c:pt idx="16">
                  <c:v>0.82</c:v>
                </c:pt>
                <c:pt idx="17">
                  <c:v>0.44</c:v>
                </c:pt>
                <c:pt idx="18">
                  <c:v>0.82</c:v>
                </c:pt>
                <c:pt idx="19">
                  <c:v>9.68</c:v>
                </c:pt>
                <c:pt idx="20">
                  <c:v>12.27</c:v>
                </c:pt>
                <c:pt idx="21">
                  <c:v>3.26</c:v>
                </c:pt>
                <c:pt idx="22">
                  <c:v>0.67</c:v>
                </c:pt>
                <c:pt idx="23">
                  <c:v>1.76</c:v>
                </c:pt>
                <c:pt idx="24">
                  <c:v>-1.3</c:v>
                </c:pt>
                <c:pt idx="25">
                  <c:v>3.68</c:v>
                </c:pt>
                <c:pt idx="26">
                  <c:v>2.83</c:v>
                </c:pt>
              </c:numCache>
            </c:numRef>
          </c:yVal>
          <c:smooth val="0"/>
          <c:extLst>
            <c:ext xmlns:c16="http://schemas.microsoft.com/office/drawing/2014/chart" uri="{C3380CC4-5D6E-409C-BE32-E72D297353CC}">
              <c16:uniqueId val="{00000002-16B3-4A87-A404-1E6955A79896}"/>
            </c:ext>
          </c:extLst>
        </c:ser>
        <c:ser>
          <c:idx val="2"/>
          <c:order val="2"/>
          <c:tx>
            <c:v>Carbonate/Marl NSO</c:v>
          </c:tx>
          <c:spPr>
            <a:ln w="25400" cap="rnd">
              <a:noFill/>
              <a:round/>
            </a:ln>
            <a:effectLst/>
          </c:spPr>
          <c:marker>
            <c:symbol val="triangle"/>
            <c:size val="7"/>
            <c:spPr>
              <a:solidFill>
                <a:srgbClr val="4A25A7"/>
              </a:solidFill>
              <a:ln w="9525">
                <a:solidFill>
                  <a:srgbClr val="7030A0"/>
                </a:solidFill>
              </a:ln>
              <a:effectLst/>
            </c:spPr>
          </c:marker>
          <c:xVal>
            <c:numRef>
              <c:f>Sheet1!$D$54:$D$82</c:f>
              <c:numCache>
                <c:formatCode>General</c:formatCode>
                <c:ptCount val="29"/>
                <c:pt idx="0">
                  <c:v>15.97</c:v>
                </c:pt>
                <c:pt idx="1">
                  <c:v>66.7</c:v>
                </c:pt>
                <c:pt idx="2">
                  <c:v>72.099999999999994</c:v>
                </c:pt>
                <c:pt idx="3">
                  <c:v>93.3</c:v>
                </c:pt>
                <c:pt idx="4">
                  <c:v>133.9</c:v>
                </c:pt>
                <c:pt idx="5">
                  <c:v>139.4</c:v>
                </c:pt>
                <c:pt idx="6">
                  <c:v>145.30000000000001</c:v>
                </c:pt>
                <c:pt idx="7">
                  <c:v>145.69999999999999</c:v>
                </c:pt>
                <c:pt idx="8">
                  <c:v>145.9</c:v>
                </c:pt>
                <c:pt idx="9">
                  <c:v>147</c:v>
                </c:pt>
                <c:pt idx="10">
                  <c:v>147</c:v>
                </c:pt>
                <c:pt idx="11">
                  <c:v>147</c:v>
                </c:pt>
                <c:pt idx="12">
                  <c:v>150</c:v>
                </c:pt>
                <c:pt idx="13">
                  <c:v>150</c:v>
                </c:pt>
                <c:pt idx="14">
                  <c:v>150</c:v>
                </c:pt>
                <c:pt idx="15">
                  <c:v>150</c:v>
                </c:pt>
                <c:pt idx="16">
                  <c:v>150.5</c:v>
                </c:pt>
                <c:pt idx="17">
                  <c:v>164.1</c:v>
                </c:pt>
                <c:pt idx="18">
                  <c:v>207</c:v>
                </c:pt>
                <c:pt idx="19">
                  <c:v>237</c:v>
                </c:pt>
                <c:pt idx="20">
                  <c:v>254.8</c:v>
                </c:pt>
                <c:pt idx="21">
                  <c:v>256</c:v>
                </c:pt>
                <c:pt idx="22">
                  <c:v>272.3</c:v>
                </c:pt>
                <c:pt idx="23">
                  <c:v>275.60000000000002</c:v>
                </c:pt>
                <c:pt idx="24">
                  <c:v>279.3</c:v>
                </c:pt>
                <c:pt idx="25">
                  <c:v>368</c:v>
                </c:pt>
                <c:pt idx="26">
                  <c:v>388.1</c:v>
                </c:pt>
                <c:pt idx="27">
                  <c:v>433</c:v>
                </c:pt>
                <c:pt idx="28">
                  <c:v>510</c:v>
                </c:pt>
              </c:numCache>
            </c:numRef>
          </c:xVal>
          <c:yVal>
            <c:numRef>
              <c:f>Sheet1!$E$54:$E$82</c:f>
              <c:numCache>
                <c:formatCode>General</c:formatCode>
                <c:ptCount val="29"/>
                <c:pt idx="0">
                  <c:v>1.23</c:v>
                </c:pt>
                <c:pt idx="1">
                  <c:v>2.06</c:v>
                </c:pt>
                <c:pt idx="2">
                  <c:v>1.62</c:v>
                </c:pt>
                <c:pt idx="3">
                  <c:v>3.5</c:v>
                </c:pt>
                <c:pt idx="4">
                  <c:v>1.17</c:v>
                </c:pt>
                <c:pt idx="5">
                  <c:v>-0.25</c:v>
                </c:pt>
                <c:pt idx="6">
                  <c:v>0.59</c:v>
                </c:pt>
                <c:pt idx="7">
                  <c:v>1.45</c:v>
                </c:pt>
                <c:pt idx="8">
                  <c:v>0.2</c:v>
                </c:pt>
                <c:pt idx="9">
                  <c:v>1.2</c:v>
                </c:pt>
                <c:pt idx="10">
                  <c:v>1.91</c:v>
                </c:pt>
                <c:pt idx="11">
                  <c:v>0.59</c:v>
                </c:pt>
                <c:pt idx="12">
                  <c:v>1.24</c:v>
                </c:pt>
                <c:pt idx="13">
                  <c:v>0.65</c:v>
                </c:pt>
                <c:pt idx="14">
                  <c:v>0.7</c:v>
                </c:pt>
                <c:pt idx="15">
                  <c:v>-0.87</c:v>
                </c:pt>
                <c:pt idx="16">
                  <c:v>0.39</c:v>
                </c:pt>
                <c:pt idx="17">
                  <c:v>1.51</c:v>
                </c:pt>
                <c:pt idx="18">
                  <c:v>6.48</c:v>
                </c:pt>
                <c:pt idx="19">
                  <c:v>2</c:v>
                </c:pt>
                <c:pt idx="20">
                  <c:v>11.49</c:v>
                </c:pt>
                <c:pt idx="21">
                  <c:v>13.32</c:v>
                </c:pt>
                <c:pt idx="22">
                  <c:v>6.24</c:v>
                </c:pt>
                <c:pt idx="23">
                  <c:v>9.23</c:v>
                </c:pt>
                <c:pt idx="24">
                  <c:v>8.73</c:v>
                </c:pt>
                <c:pt idx="25">
                  <c:v>-0.26</c:v>
                </c:pt>
                <c:pt idx="26">
                  <c:v>0.14000000000000001</c:v>
                </c:pt>
                <c:pt idx="27">
                  <c:v>2.4</c:v>
                </c:pt>
                <c:pt idx="28">
                  <c:v>3.88</c:v>
                </c:pt>
              </c:numCache>
            </c:numRef>
          </c:yVal>
          <c:smooth val="0"/>
          <c:extLst>
            <c:ext xmlns:c16="http://schemas.microsoft.com/office/drawing/2014/chart" uri="{C3380CC4-5D6E-409C-BE32-E72D297353CC}">
              <c16:uniqueId val="{00000003-16B3-4A87-A404-1E6955A79896}"/>
            </c:ext>
          </c:extLst>
        </c:ser>
        <c:ser>
          <c:idx val="3"/>
          <c:order val="3"/>
          <c:tx>
            <c:v>Carbonate/Marl Asphaltene</c:v>
          </c:tx>
          <c:spPr>
            <a:ln w="25400" cap="rnd">
              <a:noFill/>
              <a:round/>
            </a:ln>
            <a:effectLst/>
          </c:spPr>
          <c:marker>
            <c:symbol val="triangle"/>
            <c:size val="7"/>
            <c:spPr>
              <a:solidFill>
                <a:schemeClr val="bg2">
                  <a:lumMod val="25000"/>
                </a:schemeClr>
              </a:solidFill>
              <a:ln w="9525">
                <a:solidFill>
                  <a:schemeClr val="bg2">
                    <a:lumMod val="25000"/>
                  </a:schemeClr>
                </a:solidFill>
              </a:ln>
              <a:effectLst/>
            </c:spPr>
          </c:marker>
          <c:xVal>
            <c:numRef>
              <c:f>Sheet1!$V$52:$V$79</c:f>
              <c:numCache>
                <c:formatCode>General</c:formatCode>
                <c:ptCount val="28"/>
                <c:pt idx="0">
                  <c:v>15.97</c:v>
                </c:pt>
                <c:pt idx="1">
                  <c:v>66.7</c:v>
                </c:pt>
                <c:pt idx="2">
                  <c:v>72.099999999999994</c:v>
                </c:pt>
                <c:pt idx="3">
                  <c:v>93.3</c:v>
                </c:pt>
                <c:pt idx="4">
                  <c:v>133.9</c:v>
                </c:pt>
                <c:pt idx="5">
                  <c:v>139.4</c:v>
                </c:pt>
                <c:pt idx="6">
                  <c:v>145.30000000000001</c:v>
                </c:pt>
                <c:pt idx="7">
                  <c:v>145.69999999999999</c:v>
                </c:pt>
                <c:pt idx="8">
                  <c:v>145.9</c:v>
                </c:pt>
                <c:pt idx="9">
                  <c:v>147</c:v>
                </c:pt>
                <c:pt idx="10">
                  <c:v>147</c:v>
                </c:pt>
                <c:pt idx="11">
                  <c:v>147</c:v>
                </c:pt>
                <c:pt idx="12">
                  <c:v>150</c:v>
                </c:pt>
                <c:pt idx="13">
                  <c:v>150</c:v>
                </c:pt>
                <c:pt idx="14">
                  <c:v>150</c:v>
                </c:pt>
                <c:pt idx="15">
                  <c:v>150</c:v>
                </c:pt>
                <c:pt idx="16">
                  <c:v>150.5</c:v>
                </c:pt>
                <c:pt idx="17">
                  <c:v>164.1</c:v>
                </c:pt>
                <c:pt idx="18">
                  <c:v>207</c:v>
                </c:pt>
                <c:pt idx="19">
                  <c:v>237</c:v>
                </c:pt>
                <c:pt idx="20">
                  <c:v>254.8</c:v>
                </c:pt>
                <c:pt idx="21">
                  <c:v>256</c:v>
                </c:pt>
                <c:pt idx="22">
                  <c:v>272.3</c:v>
                </c:pt>
                <c:pt idx="23">
                  <c:v>275.60000000000002</c:v>
                </c:pt>
                <c:pt idx="24">
                  <c:v>279.3</c:v>
                </c:pt>
                <c:pt idx="25">
                  <c:v>368</c:v>
                </c:pt>
                <c:pt idx="26">
                  <c:v>433</c:v>
                </c:pt>
                <c:pt idx="27">
                  <c:v>510</c:v>
                </c:pt>
              </c:numCache>
            </c:numRef>
          </c:xVal>
          <c:yVal>
            <c:numRef>
              <c:f>Sheet1!$W$52:$W$79</c:f>
              <c:numCache>
                <c:formatCode>General</c:formatCode>
                <c:ptCount val="28"/>
                <c:pt idx="0">
                  <c:v>0.96</c:v>
                </c:pt>
                <c:pt idx="1">
                  <c:v>1.74</c:v>
                </c:pt>
                <c:pt idx="2">
                  <c:v>1.36</c:v>
                </c:pt>
                <c:pt idx="3">
                  <c:v>2.38</c:v>
                </c:pt>
                <c:pt idx="4">
                  <c:v>0.02</c:v>
                </c:pt>
                <c:pt idx="5">
                  <c:v>1.4</c:v>
                </c:pt>
                <c:pt idx="6">
                  <c:v>0.51</c:v>
                </c:pt>
                <c:pt idx="7">
                  <c:v>1.05</c:v>
                </c:pt>
                <c:pt idx="8">
                  <c:v>-0.8</c:v>
                </c:pt>
                <c:pt idx="9">
                  <c:v>2.2000000000000002</c:v>
                </c:pt>
                <c:pt idx="10">
                  <c:v>2.4</c:v>
                </c:pt>
                <c:pt idx="11">
                  <c:v>1.46</c:v>
                </c:pt>
                <c:pt idx="12">
                  <c:v>-0.7</c:v>
                </c:pt>
                <c:pt idx="13">
                  <c:v>-0.34</c:v>
                </c:pt>
                <c:pt idx="14">
                  <c:v>0.17</c:v>
                </c:pt>
                <c:pt idx="15">
                  <c:v>-0.92</c:v>
                </c:pt>
                <c:pt idx="16">
                  <c:v>0.04</c:v>
                </c:pt>
                <c:pt idx="17">
                  <c:v>2.65</c:v>
                </c:pt>
                <c:pt idx="18">
                  <c:v>7.12</c:v>
                </c:pt>
                <c:pt idx="19">
                  <c:v>1.88</c:v>
                </c:pt>
                <c:pt idx="20">
                  <c:v>12.71</c:v>
                </c:pt>
                <c:pt idx="21">
                  <c:v>16</c:v>
                </c:pt>
                <c:pt idx="22">
                  <c:v>6.7</c:v>
                </c:pt>
                <c:pt idx="23">
                  <c:v>11.32</c:v>
                </c:pt>
                <c:pt idx="24">
                  <c:v>9.4</c:v>
                </c:pt>
                <c:pt idx="25">
                  <c:v>-0.2</c:v>
                </c:pt>
                <c:pt idx="26">
                  <c:v>0.54</c:v>
                </c:pt>
                <c:pt idx="27">
                  <c:v>2.38</c:v>
                </c:pt>
              </c:numCache>
            </c:numRef>
          </c:yVal>
          <c:smooth val="0"/>
          <c:extLst>
            <c:ext xmlns:c16="http://schemas.microsoft.com/office/drawing/2014/chart" uri="{C3380CC4-5D6E-409C-BE32-E72D297353CC}">
              <c16:uniqueId val="{00000004-16B3-4A87-A404-1E6955A79896}"/>
            </c:ext>
          </c:extLst>
        </c:ser>
        <c:ser>
          <c:idx val="4"/>
          <c:order val="4"/>
          <c:tx>
            <c:v>Hypersaline/lacustrine NSO</c:v>
          </c:tx>
          <c:spPr>
            <a:ln w="25400" cap="rnd">
              <a:noFill/>
              <a:round/>
            </a:ln>
            <a:effectLst/>
          </c:spPr>
          <c:marker>
            <c:symbol val="x"/>
            <c:size val="7"/>
            <c:spPr>
              <a:noFill/>
              <a:ln w="9525">
                <a:solidFill>
                  <a:srgbClr val="1A0280"/>
                </a:solidFill>
              </a:ln>
              <a:effectLst/>
            </c:spPr>
          </c:marker>
          <c:xVal>
            <c:numRef>
              <c:f>Sheet1!$J$81:$J$83</c:f>
              <c:numCache>
                <c:formatCode>General</c:formatCode>
                <c:ptCount val="3"/>
                <c:pt idx="0">
                  <c:v>239.2</c:v>
                </c:pt>
                <c:pt idx="1">
                  <c:v>241.8</c:v>
                </c:pt>
                <c:pt idx="2">
                  <c:v>278.39999999999998</c:v>
                </c:pt>
              </c:numCache>
            </c:numRef>
          </c:xVal>
          <c:yVal>
            <c:numRef>
              <c:f>Sheet1!$K$81:$K$83</c:f>
              <c:numCache>
                <c:formatCode>General</c:formatCode>
                <c:ptCount val="3"/>
                <c:pt idx="0">
                  <c:v>5.04</c:v>
                </c:pt>
                <c:pt idx="1">
                  <c:v>5.43</c:v>
                </c:pt>
                <c:pt idx="2">
                  <c:v>4.78</c:v>
                </c:pt>
              </c:numCache>
            </c:numRef>
          </c:yVal>
          <c:smooth val="0"/>
          <c:extLst>
            <c:ext xmlns:c16="http://schemas.microsoft.com/office/drawing/2014/chart" uri="{C3380CC4-5D6E-409C-BE32-E72D297353CC}">
              <c16:uniqueId val="{00000005-16B3-4A87-A404-1E6955A79896}"/>
            </c:ext>
          </c:extLst>
        </c:ser>
        <c:ser>
          <c:idx val="5"/>
          <c:order val="5"/>
          <c:tx>
            <c:v>Hypersaline/lacustrine Asphaltene</c:v>
          </c:tx>
          <c:spPr>
            <a:ln w="25400" cap="rnd">
              <a:noFill/>
              <a:round/>
            </a:ln>
            <a:effectLst/>
          </c:spPr>
          <c:marker>
            <c:symbol val="x"/>
            <c:size val="7"/>
            <c:spPr>
              <a:noFill/>
              <a:ln w="9525">
                <a:solidFill>
                  <a:srgbClr val="760000"/>
                </a:solidFill>
              </a:ln>
              <a:effectLst/>
            </c:spPr>
          </c:marker>
          <c:xVal>
            <c:numRef>
              <c:f>Sheet1!$O$81:$O$83</c:f>
              <c:numCache>
                <c:formatCode>General</c:formatCode>
                <c:ptCount val="3"/>
                <c:pt idx="0">
                  <c:v>239.2</c:v>
                </c:pt>
                <c:pt idx="1">
                  <c:v>241.8</c:v>
                </c:pt>
                <c:pt idx="2">
                  <c:v>278.39999999999998</c:v>
                </c:pt>
              </c:numCache>
            </c:numRef>
          </c:xVal>
          <c:yVal>
            <c:numRef>
              <c:f>Sheet1!$P$81:$P$83</c:f>
              <c:numCache>
                <c:formatCode>General</c:formatCode>
                <c:ptCount val="3"/>
                <c:pt idx="0">
                  <c:v>3.2</c:v>
                </c:pt>
                <c:pt idx="1">
                  <c:v>5.3</c:v>
                </c:pt>
                <c:pt idx="2">
                  <c:v>1.53</c:v>
                </c:pt>
              </c:numCache>
            </c:numRef>
          </c:yVal>
          <c:smooth val="0"/>
          <c:extLst>
            <c:ext xmlns:c16="http://schemas.microsoft.com/office/drawing/2014/chart" uri="{C3380CC4-5D6E-409C-BE32-E72D297353CC}">
              <c16:uniqueId val="{00000006-16B3-4A87-A404-1E6955A79896}"/>
            </c:ext>
          </c:extLst>
        </c:ser>
        <c:dLbls>
          <c:showLegendKey val="0"/>
          <c:showVal val="0"/>
          <c:showCatName val="0"/>
          <c:showSerName val="0"/>
          <c:showPercent val="0"/>
          <c:showBubbleSize val="0"/>
        </c:dLbls>
        <c:axId val="486000968"/>
        <c:axId val="486007856"/>
      </c:scatterChart>
      <c:valAx>
        <c:axId val="486000968"/>
        <c:scaling>
          <c:orientation val="maxMin"/>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latin typeface="Times New Roman" panose="02020603050405020304" pitchFamily="18" charset="0"/>
                    <a:cs typeface="Times New Roman" panose="02020603050405020304" pitchFamily="18" charset="0"/>
                  </a:rPr>
                  <a:t>Millions</a:t>
                </a:r>
                <a:r>
                  <a:rPr lang="en-US" baseline="0">
                    <a:solidFill>
                      <a:sysClr val="windowText" lastClr="000000"/>
                    </a:solidFill>
                    <a:latin typeface="Times New Roman" panose="02020603050405020304" pitchFamily="18" charset="0"/>
                    <a:cs typeface="Times New Roman" panose="02020603050405020304" pitchFamily="18" charset="0"/>
                  </a:rPr>
                  <a:t> of years </a:t>
                </a:r>
                <a:endParaRPr lang="en-US">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6007856"/>
        <c:crossesAt val="-4"/>
        <c:crossBetween val="midCat"/>
      </c:valAx>
      <c:valAx>
        <c:axId val="486007856"/>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latin typeface="Times New Roman" panose="02020603050405020304" pitchFamily="18" charset="0"/>
                    <a:cs typeface="Times New Roman" panose="02020603050405020304" pitchFamily="18" charset="0"/>
                  </a:rPr>
                  <a:t>δ</a:t>
                </a:r>
                <a:r>
                  <a:rPr lang="en-US" baseline="30000">
                    <a:solidFill>
                      <a:sysClr val="windowText" lastClr="000000"/>
                    </a:solidFill>
                    <a:latin typeface="Times New Roman" panose="02020603050405020304" pitchFamily="18" charset="0"/>
                    <a:cs typeface="Times New Roman" panose="02020603050405020304" pitchFamily="18" charset="0"/>
                  </a:rPr>
                  <a:t>15</a:t>
                </a:r>
                <a:r>
                  <a:rPr lang="en-US">
                    <a:solidFill>
                      <a:sysClr val="windowText" lastClr="000000"/>
                    </a:solidFill>
                    <a:latin typeface="Times New Roman" panose="02020603050405020304" pitchFamily="18" charset="0"/>
                    <a:cs typeface="Times New Roman" panose="02020603050405020304" pitchFamily="18" charset="0"/>
                  </a:rPr>
                  <a:t>N</a:t>
                </a:r>
                <a:r>
                  <a:rPr lang="en-US" sz="1000" b="0" i="0" u="none" strike="noStrike" baseline="0">
                    <a:solidFill>
                      <a:sysClr val="windowText" lastClr="000000"/>
                    </a:solidFill>
                    <a:effectLst/>
                    <a:latin typeface="Times New Roman" panose="02020603050405020304" pitchFamily="18" charset="0"/>
                    <a:cs typeface="Times New Roman" panose="02020603050405020304" pitchFamily="18" charset="0"/>
                  </a:rPr>
                  <a:t>‰</a:t>
                </a:r>
                <a:endParaRPr lang="en-US">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6000968"/>
        <c:crosses val="max"/>
        <c:crossBetween val="midCat"/>
      </c:valAx>
      <c:spPr>
        <a:noFill/>
        <a:ln>
          <a:noFill/>
        </a:ln>
        <a:effectLst/>
      </c:spPr>
    </c:plotArea>
    <c:legend>
      <c:legendPos val="r"/>
      <c:layout>
        <c:manualLayout>
          <c:xMode val="edge"/>
          <c:yMode val="edge"/>
          <c:x val="0.7819834434329419"/>
          <c:y val="0.17222622045341185"/>
          <c:w val="0.16943169159797641"/>
          <c:h val="0.28739072709861413"/>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latin typeface="Times New Roman" panose="02020603050405020304" pitchFamily="18" charset="0"/>
                <a:cs typeface="Times New Roman" panose="02020603050405020304" pitchFamily="18" charset="0"/>
              </a:rPr>
              <a:t> </a:t>
            </a:r>
            <a:r>
              <a:rPr lang="en-US" sz="1400" b="0" i="0" u="none" strike="noStrike" baseline="0">
                <a:solidFill>
                  <a:sysClr val="windowText" lastClr="000000"/>
                </a:solidFill>
                <a:effectLst/>
                <a:latin typeface="Times New Roman" panose="02020603050405020304" pitchFamily="18" charset="0"/>
                <a:cs typeface="Times New Roman" panose="02020603050405020304" pitchFamily="18" charset="0"/>
              </a:rPr>
              <a:t>δ</a:t>
            </a:r>
            <a:r>
              <a:rPr lang="en-US" sz="1400" b="0" i="0" u="none" strike="noStrike" baseline="30000">
                <a:solidFill>
                  <a:sysClr val="windowText" lastClr="000000"/>
                </a:solidFill>
                <a:effectLst/>
                <a:latin typeface="Times New Roman" panose="02020603050405020304" pitchFamily="18" charset="0"/>
                <a:cs typeface="Times New Roman" panose="02020603050405020304" pitchFamily="18" charset="0"/>
              </a:rPr>
              <a:t>15</a:t>
            </a:r>
            <a:r>
              <a:rPr lang="en-US" sz="1400" b="0" i="0" u="none" strike="noStrike" baseline="0">
                <a:solidFill>
                  <a:sysClr val="windowText" lastClr="000000"/>
                </a:solidFill>
                <a:effectLst/>
                <a:latin typeface="Times New Roman" panose="02020603050405020304" pitchFamily="18" charset="0"/>
                <a:cs typeface="Times New Roman" panose="02020603050405020304" pitchFamily="18" charset="0"/>
              </a:rPr>
              <a:t>N of all 62 oils and </a:t>
            </a:r>
            <a:r>
              <a:rPr lang="en-US" sz="1400" b="0" i="0" u="none" strike="noStrike" baseline="0">
                <a:effectLst/>
              </a:rPr>
              <a:t>δ</a:t>
            </a:r>
            <a:r>
              <a:rPr lang="en-US" sz="1400" b="0" i="0" u="none" strike="noStrike" baseline="30000">
                <a:effectLst/>
              </a:rPr>
              <a:t>15</a:t>
            </a:r>
            <a:r>
              <a:rPr lang="en-US" sz="1400" b="0" i="0" u="none" strike="noStrike" baseline="0">
                <a:effectLst/>
              </a:rPr>
              <a:t>N values of Carbonates and Shales found in the literature </a:t>
            </a:r>
            <a:r>
              <a:rPr lang="en-US" sz="1400" b="0" i="0" u="none" strike="noStrike" baseline="0">
                <a:solidFill>
                  <a:sysClr val="windowText" lastClr="000000"/>
                </a:solidFill>
                <a:effectLst/>
                <a:latin typeface="Times New Roman" panose="02020603050405020304" pitchFamily="18" charset="0"/>
                <a:cs typeface="Times New Roman" panose="02020603050405020304" pitchFamily="18" charset="0"/>
              </a:rPr>
              <a:t>   </a:t>
            </a:r>
            <a:r>
              <a:rPr lang="en-US">
                <a:solidFill>
                  <a:sysClr val="windowText" lastClr="000000"/>
                </a:solidFill>
                <a:latin typeface="Times New Roman" panose="02020603050405020304" pitchFamily="18" charset="0"/>
                <a:cs typeface="Times New Roman" panose="02020603050405020304" pitchFamily="18" charset="0"/>
              </a:rPr>
              <a:t> </a:t>
            </a:r>
            <a:r>
              <a:rPr lang="en-US" baseline="0">
                <a:solidFill>
                  <a:sysClr val="windowText" lastClr="000000"/>
                </a:solidFill>
                <a:latin typeface="Times New Roman" panose="02020603050405020304" pitchFamily="18" charset="0"/>
                <a:cs typeface="Times New Roman" panose="02020603050405020304" pitchFamily="18" charset="0"/>
              </a:rPr>
              <a:t> </a:t>
            </a:r>
            <a:endParaRPr lang="en-US">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6.0799035447542941E-2"/>
          <c:y val="5.8986945525927544E-2"/>
          <c:w val="0.90334359633617223"/>
          <c:h val="0.89934640522875819"/>
        </c:manualLayout>
      </c:layout>
      <c:scatterChart>
        <c:scatterStyle val="lineMarker"/>
        <c:varyColors val="0"/>
        <c:ser>
          <c:idx val="6"/>
          <c:order val="0"/>
          <c:tx>
            <c:v>Literature Shales </c:v>
          </c:tx>
          <c:spPr>
            <a:ln w="25400" cap="rnd">
              <a:noFill/>
              <a:round/>
            </a:ln>
            <a:effectLst/>
          </c:spPr>
          <c:marker>
            <c:symbol val="circle"/>
            <c:size val="5"/>
            <c:spPr>
              <a:solidFill>
                <a:schemeClr val="tx1"/>
              </a:solidFill>
              <a:ln w="9525">
                <a:solidFill>
                  <a:schemeClr val="tx1"/>
                </a:solidFill>
              </a:ln>
              <a:effectLst/>
            </c:spPr>
          </c:marker>
          <c:xVal>
            <c:numRef>
              <c:f>Sheet1!$B$2:$B$70</c:f>
              <c:numCache>
                <c:formatCode>General</c:formatCode>
                <c:ptCount val="69"/>
                <c:pt idx="0">
                  <c:v>640</c:v>
                </c:pt>
                <c:pt idx="1">
                  <c:v>610</c:v>
                </c:pt>
                <c:pt idx="2">
                  <c:v>570</c:v>
                </c:pt>
                <c:pt idx="3">
                  <c:v>550</c:v>
                </c:pt>
                <c:pt idx="4">
                  <c:v>540</c:v>
                </c:pt>
                <c:pt idx="5">
                  <c:v>530</c:v>
                </c:pt>
                <c:pt idx="6">
                  <c:v>530</c:v>
                </c:pt>
                <c:pt idx="7">
                  <c:v>530</c:v>
                </c:pt>
                <c:pt idx="8">
                  <c:v>530</c:v>
                </c:pt>
                <c:pt idx="9">
                  <c:v>530</c:v>
                </c:pt>
                <c:pt idx="10">
                  <c:v>530</c:v>
                </c:pt>
                <c:pt idx="11">
                  <c:v>530</c:v>
                </c:pt>
                <c:pt idx="12">
                  <c:v>530</c:v>
                </c:pt>
                <c:pt idx="13">
                  <c:v>530</c:v>
                </c:pt>
                <c:pt idx="14">
                  <c:v>520</c:v>
                </c:pt>
                <c:pt idx="15">
                  <c:v>520</c:v>
                </c:pt>
                <c:pt idx="16">
                  <c:v>520</c:v>
                </c:pt>
                <c:pt idx="17">
                  <c:v>470</c:v>
                </c:pt>
                <c:pt idx="18">
                  <c:v>445</c:v>
                </c:pt>
                <c:pt idx="19">
                  <c:v>445</c:v>
                </c:pt>
                <c:pt idx="20">
                  <c:v>437</c:v>
                </c:pt>
                <c:pt idx="21">
                  <c:v>437</c:v>
                </c:pt>
                <c:pt idx="22">
                  <c:v>375</c:v>
                </c:pt>
                <c:pt idx="23">
                  <c:v>372</c:v>
                </c:pt>
                <c:pt idx="24">
                  <c:v>369</c:v>
                </c:pt>
                <c:pt idx="25">
                  <c:v>365</c:v>
                </c:pt>
                <c:pt idx="26">
                  <c:v>270</c:v>
                </c:pt>
                <c:pt idx="27">
                  <c:v>270</c:v>
                </c:pt>
                <c:pt idx="28">
                  <c:v>270</c:v>
                </c:pt>
                <c:pt idx="29">
                  <c:v>253.6</c:v>
                </c:pt>
                <c:pt idx="30">
                  <c:v>253</c:v>
                </c:pt>
                <c:pt idx="31">
                  <c:v>252</c:v>
                </c:pt>
                <c:pt idx="32">
                  <c:v>252</c:v>
                </c:pt>
                <c:pt idx="33">
                  <c:v>251</c:v>
                </c:pt>
                <c:pt idx="34">
                  <c:v>251</c:v>
                </c:pt>
                <c:pt idx="35">
                  <c:v>248</c:v>
                </c:pt>
                <c:pt idx="36">
                  <c:v>248</c:v>
                </c:pt>
                <c:pt idx="37">
                  <c:v>210</c:v>
                </c:pt>
                <c:pt idx="38">
                  <c:v>210</c:v>
                </c:pt>
                <c:pt idx="39">
                  <c:v>200</c:v>
                </c:pt>
                <c:pt idx="40">
                  <c:v>185</c:v>
                </c:pt>
                <c:pt idx="41">
                  <c:v>125</c:v>
                </c:pt>
                <c:pt idx="42">
                  <c:v>108</c:v>
                </c:pt>
                <c:pt idx="43">
                  <c:v>105</c:v>
                </c:pt>
                <c:pt idx="44">
                  <c:v>105</c:v>
                </c:pt>
                <c:pt idx="45">
                  <c:v>105</c:v>
                </c:pt>
                <c:pt idx="46">
                  <c:v>105</c:v>
                </c:pt>
                <c:pt idx="47">
                  <c:v>105</c:v>
                </c:pt>
                <c:pt idx="48">
                  <c:v>105</c:v>
                </c:pt>
                <c:pt idx="49">
                  <c:v>101</c:v>
                </c:pt>
                <c:pt idx="50">
                  <c:v>97</c:v>
                </c:pt>
                <c:pt idx="51">
                  <c:v>95</c:v>
                </c:pt>
                <c:pt idx="52">
                  <c:v>95</c:v>
                </c:pt>
                <c:pt idx="53">
                  <c:v>95</c:v>
                </c:pt>
                <c:pt idx="54">
                  <c:v>94.2</c:v>
                </c:pt>
                <c:pt idx="55">
                  <c:v>94.2</c:v>
                </c:pt>
                <c:pt idx="56">
                  <c:v>94</c:v>
                </c:pt>
                <c:pt idx="57">
                  <c:v>94</c:v>
                </c:pt>
                <c:pt idx="58">
                  <c:v>93</c:v>
                </c:pt>
                <c:pt idx="59">
                  <c:v>92</c:v>
                </c:pt>
                <c:pt idx="60">
                  <c:v>90</c:v>
                </c:pt>
                <c:pt idx="61">
                  <c:v>60</c:v>
                </c:pt>
                <c:pt idx="62">
                  <c:v>45</c:v>
                </c:pt>
                <c:pt idx="63">
                  <c:v>30</c:v>
                </c:pt>
                <c:pt idx="64">
                  <c:v>30</c:v>
                </c:pt>
                <c:pt idx="65">
                  <c:v>30</c:v>
                </c:pt>
                <c:pt idx="66">
                  <c:v>29</c:v>
                </c:pt>
                <c:pt idx="67">
                  <c:v>14</c:v>
                </c:pt>
                <c:pt idx="68">
                  <c:v>12</c:v>
                </c:pt>
              </c:numCache>
            </c:numRef>
          </c:xVal>
          <c:yVal>
            <c:numRef>
              <c:f>Sheet1!$E$2:$E$70</c:f>
              <c:numCache>
                <c:formatCode>0.00</c:formatCode>
                <c:ptCount val="69"/>
                <c:pt idx="0">
                  <c:v>5.8166666666666664</c:v>
                </c:pt>
                <c:pt idx="1">
                  <c:v>6.2190476190476192</c:v>
                </c:pt>
                <c:pt idx="2">
                  <c:v>2.85</c:v>
                </c:pt>
                <c:pt idx="3">
                  <c:v>3.1357142857142857</c:v>
                </c:pt>
                <c:pt idx="4">
                  <c:v>1.1280851063829787</c:v>
                </c:pt>
                <c:pt idx="5">
                  <c:v>0.57659121428571436</c:v>
                </c:pt>
                <c:pt idx="6">
                  <c:v>4.0680555555555564</c:v>
                </c:pt>
                <c:pt idx="7">
                  <c:v>-1.0450594999999998</c:v>
                </c:pt>
                <c:pt idx="8">
                  <c:v>1.5372368421052638</c:v>
                </c:pt>
                <c:pt idx="9">
                  <c:v>2.3400000000000003</c:v>
                </c:pt>
                <c:pt idx="10">
                  <c:v>2.79</c:v>
                </c:pt>
                <c:pt idx="11">
                  <c:v>2.6291666666666669</c:v>
                </c:pt>
                <c:pt idx="12">
                  <c:v>3.6374999999999993</c:v>
                </c:pt>
                <c:pt idx="13">
                  <c:v>4.0875000000000004</c:v>
                </c:pt>
                <c:pt idx="14">
                  <c:v>-0.32500000000000007</c:v>
                </c:pt>
                <c:pt idx="15">
                  <c:v>4.1833333333333336</c:v>
                </c:pt>
                <c:pt idx="16">
                  <c:v>3.0666666666666664</c:v>
                </c:pt>
                <c:pt idx="17">
                  <c:v>3.6</c:v>
                </c:pt>
                <c:pt idx="18">
                  <c:v>0.14857142857142858</c:v>
                </c:pt>
                <c:pt idx="19">
                  <c:v>1.2062499999999998</c:v>
                </c:pt>
                <c:pt idx="20">
                  <c:v>0.15</c:v>
                </c:pt>
                <c:pt idx="21">
                  <c:v>-1.125</c:v>
                </c:pt>
                <c:pt idx="22">
                  <c:v>1.6445000000000001</c:v>
                </c:pt>
                <c:pt idx="23">
                  <c:v>-1.0166666666666664</c:v>
                </c:pt>
                <c:pt idx="24">
                  <c:v>0.96056338028169042</c:v>
                </c:pt>
                <c:pt idx="25">
                  <c:v>0.29500000000000004</c:v>
                </c:pt>
                <c:pt idx="26">
                  <c:v>12.7</c:v>
                </c:pt>
                <c:pt idx="27">
                  <c:v>5.4</c:v>
                </c:pt>
                <c:pt idx="28">
                  <c:v>4.2</c:v>
                </c:pt>
                <c:pt idx="29">
                  <c:v>8.85</c:v>
                </c:pt>
                <c:pt idx="30">
                  <c:v>-0.32777777777777783</c:v>
                </c:pt>
                <c:pt idx="31">
                  <c:v>5.5972222222222214</c:v>
                </c:pt>
                <c:pt idx="32">
                  <c:v>5.2405357142857119</c:v>
                </c:pt>
                <c:pt idx="33">
                  <c:v>8.1300000000000008</c:v>
                </c:pt>
                <c:pt idx="34">
                  <c:v>3.44</c:v>
                </c:pt>
                <c:pt idx="35">
                  <c:v>0.498</c:v>
                </c:pt>
                <c:pt idx="36">
                  <c:v>3.4947368421052634</c:v>
                </c:pt>
                <c:pt idx="37">
                  <c:v>2.0423076923076917</c:v>
                </c:pt>
                <c:pt idx="38">
                  <c:v>2.4666666666666668</c:v>
                </c:pt>
                <c:pt idx="39">
                  <c:v>0.8666666666666667</c:v>
                </c:pt>
                <c:pt idx="40">
                  <c:v>-0.59464285714285758</c:v>
                </c:pt>
                <c:pt idx="41">
                  <c:v>3.9249999999999998</c:v>
                </c:pt>
                <c:pt idx="42">
                  <c:v>-0.31238095238095231</c:v>
                </c:pt>
                <c:pt idx="43">
                  <c:v>1.1056521739130434</c:v>
                </c:pt>
                <c:pt idx="44">
                  <c:v>-0.7</c:v>
                </c:pt>
                <c:pt idx="45">
                  <c:v>-0.5</c:v>
                </c:pt>
                <c:pt idx="46">
                  <c:v>-1.7</c:v>
                </c:pt>
                <c:pt idx="47">
                  <c:v>-2.2999999999999998</c:v>
                </c:pt>
                <c:pt idx="48">
                  <c:v>-2.5</c:v>
                </c:pt>
                <c:pt idx="49">
                  <c:v>0.19400000000000003</c:v>
                </c:pt>
                <c:pt idx="50">
                  <c:v>-0.46500000000000002</c:v>
                </c:pt>
                <c:pt idx="51">
                  <c:v>-1.7156626506024093</c:v>
                </c:pt>
                <c:pt idx="52">
                  <c:v>1.4</c:v>
                </c:pt>
                <c:pt idx="53">
                  <c:v>-1.2822222222222215</c:v>
                </c:pt>
                <c:pt idx="54">
                  <c:v>-3.4191304347826068</c:v>
                </c:pt>
                <c:pt idx="55">
                  <c:v>-2.8461538461538463</c:v>
                </c:pt>
                <c:pt idx="56">
                  <c:v>-1.5230769230769234</c:v>
                </c:pt>
                <c:pt idx="57">
                  <c:v>-2.0633333333333335</c:v>
                </c:pt>
                <c:pt idx="58">
                  <c:v>-1.4567567567567565</c:v>
                </c:pt>
                <c:pt idx="59">
                  <c:v>-0.2639999999999999</c:v>
                </c:pt>
                <c:pt idx="60">
                  <c:v>-1.3125000000000002</c:v>
                </c:pt>
                <c:pt idx="61">
                  <c:v>6.5200000000000005</c:v>
                </c:pt>
                <c:pt idx="62">
                  <c:v>4.7558823529411764</c:v>
                </c:pt>
                <c:pt idx="63">
                  <c:v>3</c:v>
                </c:pt>
                <c:pt idx="64">
                  <c:v>2.7</c:v>
                </c:pt>
                <c:pt idx="65">
                  <c:v>0.85000000000000009</c:v>
                </c:pt>
                <c:pt idx="66">
                  <c:v>4.1499999999999977</c:v>
                </c:pt>
                <c:pt idx="67">
                  <c:v>4.2065476190476234</c:v>
                </c:pt>
                <c:pt idx="68">
                  <c:v>6.4217391304347817</c:v>
                </c:pt>
              </c:numCache>
            </c:numRef>
          </c:yVal>
          <c:smooth val="0"/>
          <c:extLst>
            <c:ext xmlns:c16="http://schemas.microsoft.com/office/drawing/2014/chart" uri="{C3380CC4-5D6E-409C-BE32-E72D297353CC}">
              <c16:uniqueId val="{00000000-50B3-4CA7-A73C-74738BF43F4F}"/>
            </c:ext>
          </c:extLst>
        </c:ser>
        <c:ser>
          <c:idx val="7"/>
          <c:order val="1"/>
          <c:tx>
            <c:v>Literature Carbonates </c:v>
          </c:tx>
          <c:spPr>
            <a:ln w="25400" cap="rnd">
              <a:noFill/>
              <a:round/>
            </a:ln>
            <a:effectLst/>
          </c:spPr>
          <c:marker>
            <c:symbol val="circle"/>
            <c:size val="5"/>
            <c:spPr>
              <a:solidFill>
                <a:schemeClr val="bg1">
                  <a:lumMod val="65000"/>
                </a:schemeClr>
              </a:solidFill>
              <a:ln w="9525">
                <a:solidFill>
                  <a:schemeClr val="tx1">
                    <a:lumMod val="85000"/>
                    <a:lumOff val="15000"/>
                  </a:schemeClr>
                </a:solidFill>
              </a:ln>
              <a:effectLst/>
            </c:spPr>
          </c:marker>
          <c:xVal>
            <c:numRef>
              <c:f>Sheet1!$K$2:$K$12</c:f>
              <c:numCache>
                <c:formatCode>General</c:formatCode>
                <c:ptCount val="11"/>
                <c:pt idx="0">
                  <c:v>570</c:v>
                </c:pt>
                <c:pt idx="1">
                  <c:v>540</c:v>
                </c:pt>
                <c:pt idx="2">
                  <c:v>530</c:v>
                </c:pt>
                <c:pt idx="3">
                  <c:v>530</c:v>
                </c:pt>
                <c:pt idx="4">
                  <c:v>259</c:v>
                </c:pt>
                <c:pt idx="5">
                  <c:v>253</c:v>
                </c:pt>
                <c:pt idx="6">
                  <c:v>252</c:v>
                </c:pt>
                <c:pt idx="7">
                  <c:v>251</c:v>
                </c:pt>
                <c:pt idx="8">
                  <c:v>204</c:v>
                </c:pt>
                <c:pt idx="9">
                  <c:v>204</c:v>
                </c:pt>
                <c:pt idx="10">
                  <c:v>201</c:v>
                </c:pt>
              </c:numCache>
            </c:numRef>
          </c:xVal>
          <c:yVal>
            <c:numRef>
              <c:f>Sheet1!$M$2:$M$12</c:f>
              <c:numCache>
                <c:formatCode>0.00</c:formatCode>
                <c:ptCount val="11"/>
                <c:pt idx="0">
                  <c:v>3.976923076923077</c:v>
                </c:pt>
                <c:pt idx="1">
                  <c:v>1.5758823529411765</c:v>
                </c:pt>
                <c:pt idx="2">
                  <c:v>-0.38</c:v>
                </c:pt>
                <c:pt idx="3">
                  <c:v>-2.3E-2</c:v>
                </c:pt>
                <c:pt idx="4">
                  <c:v>0.44210526315789478</c:v>
                </c:pt>
                <c:pt idx="5">
                  <c:v>-0.29090909090909089</c:v>
                </c:pt>
                <c:pt idx="6">
                  <c:v>7.3361702127659578</c:v>
                </c:pt>
                <c:pt idx="7">
                  <c:v>-0.40909090909090912</c:v>
                </c:pt>
                <c:pt idx="8">
                  <c:v>3.786</c:v>
                </c:pt>
                <c:pt idx="9">
                  <c:v>1.32</c:v>
                </c:pt>
                <c:pt idx="10">
                  <c:v>2.536159090909091</c:v>
                </c:pt>
              </c:numCache>
            </c:numRef>
          </c:yVal>
          <c:smooth val="0"/>
          <c:extLst>
            <c:ext xmlns:c16="http://schemas.microsoft.com/office/drawing/2014/chart" uri="{C3380CC4-5D6E-409C-BE32-E72D297353CC}">
              <c16:uniqueId val="{00000001-50B3-4CA7-A73C-74738BF43F4F}"/>
            </c:ext>
          </c:extLst>
        </c:ser>
        <c:ser>
          <c:idx val="0"/>
          <c:order val="2"/>
          <c:tx>
            <c:v>Siliciclastic NSO</c:v>
          </c:tx>
          <c:spPr>
            <a:ln w="19050" cap="rnd">
              <a:noFill/>
              <a:round/>
            </a:ln>
            <a:effectLst/>
          </c:spPr>
          <c:marker>
            <c:symbol val="star"/>
            <c:size val="5"/>
            <c:spPr>
              <a:solidFill>
                <a:schemeClr val="accent1"/>
              </a:solidFill>
              <a:ln w="9525">
                <a:solidFill>
                  <a:schemeClr val="accent1"/>
                </a:solidFill>
              </a:ln>
              <a:effectLst/>
            </c:spPr>
          </c:marker>
          <c:xVal>
            <c:numRef>
              <c:f>[3]Sheet1!$D$7:$D$36</c:f>
              <c:numCache>
                <c:formatCode>General</c:formatCode>
                <c:ptCount val="30"/>
                <c:pt idx="0">
                  <c:v>13.8</c:v>
                </c:pt>
                <c:pt idx="1">
                  <c:v>14</c:v>
                </c:pt>
                <c:pt idx="2">
                  <c:v>14.9</c:v>
                </c:pt>
                <c:pt idx="3">
                  <c:v>28.1</c:v>
                </c:pt>
                <c:pt idx="4">
                  <c:v>33.9</c:v>
                </c:pt>
                <c:pt idx="5">
                  <c:v>49.8</c:v>
                </c:pt>
                <c:pt idx="6">
                  <c:v>76.2</c:v>
                </c:pt>
                <c:pt idx="7">
                  <c:v>77.400000000000006</c:v>
                </c:pt>
                <c:pt idx="8">
                  <c:v>92.9</c:v>
                </c:pt>
                <c:pt idx="9">
                  <c:v>93.3</c:v>
                </c:pt>
                <c:pt idx="10">
                  <c:v>93.9</c:v>
                </c:pt>
                <c:pt idx="11">
                  <c:v>100</c:v>
                </c:pt>
                <c:pt idx="12">
                  <c:v>105.2</c:v>
                </c:pt>
                <c:pt idx="13">
                  <c:v>108.4</c:v>
                </c:pt>
                <c:pt idx="14">
                  <c:v>148.9</c:v>
                </c:pt>
                <c:pt idx="15">
                  <c:v>155.5</c:v>
                </c:pt>
                <c:pt idx="16">
                  <c:v>156.5</c:v>
                </c:pt>
                <c:pt idx="17">
                  <c:v>168.3</c:v>
                </c:pt>
                <c:pt idx="18">
                  <c:v>179.4</c:v>
                </c:pt>
                <c:pt idx="19">
                  <c:v>279.10000000000002</c:v>
                </c:pt>
                <c:pt idx="20">
                  <c:v>280.39999999999998</c:v>
                </c:pt>
                <c:pt idx="21">
                  <c:v>298.89999999999998</c:v>
                </c:pt>
                <c:pt idx="22">
                  <c:v>307.60000000000002</c:v>
                </c:pt>
                <c:pt idx="23">
                  <c:v>339.9</c:v>
                </c:pt>
                <c:pt idx="24">
                  <c:v>360.9</c:v>
                </c:pt>
                <c:pt idx="25">
                  <c:v>366.1</c:v>
                </c:pt>
                <c:pt idx="26">
                  <c:v>388.1</c:v>
                </c:pt>
                <c:pt idx="27">
                  <c:v>444</c:v>
                </c:pt>
                <c:pt idx="28">
                  <c:v>465.5</c:v>
                </c:pt>
                <c:pt idx="29">
                  <c:v>541</c:v>
                </c:pt>
              </c:numCache>
            </c:numRef>
          </c:xVal>
          <c:yVal>
            <c:numRef>
              <c:f>[3]Sheet1!$E$7:$E$36</c:f>
              <c:numCache>
                <c:formatCode>General</c:formatCode>
                <c:ptCount val="30"/>
                <c:pt idx="0">
                  <c:v>7.92</c:v>
                </c:pt>
                <c:pt idx="1">
                  <c:v>6.2</c:v>
                </c:pt>
                <c:pt idx="2">
                  <c:v>3.04</c:v>
                </c:pt>
                <c:pt idx="3">
                  <c:v>7.0000000000000007E-2</c:v>
                </c:pt>
                <c:pt idx="4">
                  <c:v>1.78</c:v>
                </c:pt>
                <c:pt idx="5">
                  <c:v>2.1800000000000002</c:v>
                </c:pt>
                <c:pt idx="6">
                  <c:v>5.42</c:v>
                </c:pt>
                <c:pt idx="7">
                  <c:v>-1.6</c:v>
                </c:pt>
                <c:pt idx="8">
                  <c:v>1.44</c:v>
                </c:pt>
                <c:pt idx="9">
                  <c:v>-0.06</c:v>
                </c:pt>
                <c:pt idx="10">
                  <c:v>-0.24</c:v>
                </c:pt>
                <c:pt idx="11">
                  <c:v>0.8</c:v>
                </c:pt>
                <c:pt idx="12">
                  <c:v>-0.23</c:v>
                </c:pt>
                <c:pt idx="13">
                  <c:v>-0.37</c:v>
                </c:pt>
                <c:pt idx="14">
                  <c:v>-0.25</c:v>
                </c:pt>
                <c:pt idx="15">
                  <c:v>1.74</c:v>
                </c:pt>
                <c:pt idx="16">
                  <c:v>1.1399999999999999</c:v>
                </c:pt>
                <c:pt idx="17">
                  <c:v>1.1100000000000001</c:v>
                </c:pt>
                <c:pt idx="18">
                  <c:v>0.79</c:v>
                </c:pt>
                <c:pt idx="19">
                  <c:v>8.33</c:v>
                </c:pt>
                <c:pt idx="20">
                  <c:v>11.93</c:v>
                </c:pt>
                <c:pt idx="21">
                  <c:v>15.57</c:v>
                </c:pt>
                <c:pt idx="22">
                  <c:v>3.93</c:v>
                </c:pt>
                <c:pt idx="23">
                  <c:v>9.7200000000000006</c:v>
                </c:pt>
                <c:pt idx="24">
                  <c:v>0.87</c:v>
                </c:pt>
                <c:pt idx="25">
                  <c:v>-0.68</c:v>
                </c:pt>
                <c:pt idx="26">
                  <c:v>0.45</c:v>
                </c:pt>
                <c:pt idx="27">
                  <c:v>-0.93</c:v>
                </c:pt>
                <c:pt idx="28">
                  <c:v>5.6</c:v>
                </c:pt>
                <c:pt idx="29">
                  <c:v>2.61</c:v>
                </c:pt>
              </c:numCache>
            </c:numRef>
          </c:yVal>
          <c:smooth val="0"/>
          <c:extLst>
            <c:ext xmlns:c16="http://schemas.microsoft.com/office/drawing/2014/chart" uri="{C3380CC4-5D6E-409C-BE32-E72D297353CC}">
              <c16:uniqueId val="{00000002-50B3-4CA7-A73C-74738BF43F4F}"/>
            </c:ext>
          </c:extLst>
        </c:ser>
        <c:ser>
          <c:idx val="1"/>
          <c:order val="3"/>
          <c:tx>
            <c:v>Siliciclastic Asphaltene</c:v>
          </c:tx>
          <c:spPr>
            <a:ln w="25400" cap="rnd">
              <a:noFill/>
              <a:round/>
            </a:ln>
            <a:effectLst/>
          </c:spPr>
          <c:marker>
            <c:symbol val="x"/>
            <c:size val="5"/>
            <c:spPr>
              <a:solidFill>
                <a:schemeClr val="accent2"/>
              </a:solidFill>
              <a:ln w="9525">
                <a:solidFill>
                  <a:schemeClr val="accent2"/>
                </a:solidFill>
              </a:ln>
              <a:effectLst/>
            </c:spPr>
          </c:marker>
          <c:xVal>
            <c:numRef>
              <c:f>[3]Sheet1!$V$7:$V$33</c:f>
              <c:numCache>
                <c:formatCode>General</c:formatCode>
                <c:ptCount val="27"/>
                <c:pt idx="0">
                  <c:v>13.8</c:v>
                </c:pt>
                <c:pt idx="1">
                  <c:v>14</c:v>
                </c:pt>
                <c:pt idx="2">
                  <c:v>14.9</c:v>
                </c:pt>
                <c:pt idx="3">
                  <c:v>28.1</c:v>
                </c:pt>
                <c:pt idx="4">
                  <c:v>33.9</c:v>
                </c:pt>
                <c:pt idx="5">
                  <c:v>33.9</c:v>
                </c:pt>
                <c:pt idx="6">
                  <c:v>76.2</c:v>
                </c:pt>
                <c:pt idx="7">
                  <c:v>77.400000000000006</c:v>
                </c:pt>
                <c:pt idx="8">
                  <c:v>92.9</c:v>
                </c:pt>
                <c:pt idx="9">
                  <c:v>93.3</c:v>
                </c:pt>
                <c:pt idx="10">
                  <c:v>93.9</c:v>
                </c:pt>
                <c:pt idx="11">
                  <c:v>100</c:v>
                </c:pt>
                <c:pt idx="12">
                  <c:v>105.2</c:v>
                </c:pt>
                <c:pt idx="13">
                  <c:v>108.4</c:v>
                </c:pt>
                <c:pt idx="14">
                  <c:v>148.9</c:v>
                </c:pt>
                <c:pt idx="15">
                  <c:v>155.5</c:v>
                </c:pt>
                <c:pt idx="16">
                  <c:v>156.5</c:v>
                </c:pt>
                <c:pt idx="17">
                  <c:v>168.3</c:v>
                </c:pt>
                <c:pt idx="18">
                  <c:v>179.4</c:v>
                </c:pt>
                <c:pt idx="19">
                  <c:v>279.10000000000002</c:v>
                </c:pt>
                <c:pt idx="20">
                  <c:v>280.39999999999998</c:v>
                </c:pt>
                <c:pt idx="21">
                  <c:v>307.60000000000002</c:v>
                </c:pt>
                <c:pt idx="22">
                  <c:v>360.9</c:v>
                </c:pt>
                <c:pt idx="23">
                  <c:v>366.1</c:v>
                </c:pt>
                <c:pt idx="24">
                  <c:v>444</c:v>
                </c:pt>
                <c:pt idx="25">
                  <c:v>465.5</c:v>
                </c:pt>
                <c:pt idx="26">
                  <c:v>541</c:v>
                </c:pt>
              </c:numCache>
            </c:numRef>
          </c:xVal>
          <c:yVal>
            <c:numRef>
              <c:f>[3]Sheet1!$W$7:$W$33</c:f>
              <c:numCache>
                <c:formatCode>General</c:formatCode>
                <c:ptCount val="27"/>
                <c:pt idx="0">
                  <c:v>7.44</c:v>
                </c:pt>
                <c:pt idx="1">
                  <c:v>5.61</c:v>
                </c:pt>
                <c:pt idx="2">
                  <c:v>4.22</c:v>
                </c:pt>
                <c:pt idx="3">
                  <c:v>0.96</c:v>
                </c:pt>
                <c:pt idx="4">
                  <c:v>2.1</c:v>
                </c:pt>
                <c:pt idx="5">
                  <c:v>2.21</c:v>
                </c:pt>
                <c:pt idx="6">
                  <c:v>5.35</c:v>
                </c:pt>
                <c:pt idx="7">
                  <c:v>-0.52</c:v>
                </c:pt>
                <c:pt idx="8">
                  <c:v>1.71</c:v>
                </c:pt>
                <c:pt idx="9">
                  <c:v>-0.09</c:v>
                </c:pt>
                <c:pt idx="10">
                  <c:v>0.09</c:v>
                </c:pt>
                <c:pt idx="11">
                  <c:v>1.28</c:v>
                </c:pt>
                <c:pt idx="12">
                  <c:v>-0.26</c:v>
                </c:pt>
                <c:pt idx="13">
                  <c:v>1.24</c:v>
                </c:pt>
                <c:pt idx="14">
                  <c:v>-0.33</c:v>
                </c:pt>
                <c:pt idx="15">
                  <c:v>1.2</c:v>
                </c:pt>
                <c:pt idx="16">
                  <c:v>0.82</c:v>
                </c:pt>
                <c:pt idx="17">
                  <c:v>0.44</c:v>
                </c:pt>
                <c:pt idx="18">
                  <c:v>0.82</c:v>
                </c:pt>
                <c:pt idx="19">
                  <c:v>9.68</c:v>
                </c:pt>
                <c:pt idx="20">
                  <c:v>12.27</c:v>
                </c:pt>
                <c:pt idx="21">
                  <c:v>3.26</c:v>
                </c:pt>
                <c:pt idx="22">
                  <c:v>0.67</c:v>
                </c:pt>
                <c:pt idx="23">
                  <c:v>1.76</c:v>
                </c:pt>
                <c:pt idx="24">
                  <c:v>-1.3</c:v>
                </c:pt>
                <c:pt idx="25">
                  <c:v>3.68</c:v>
                </c:pt>
                <c:pt idx="26">
                  <c:v>2.83</c:v>
                </c:pt>
              </c:numCache>
            </c:numRef>
          </c:yVal>
          <c:smooth val="0"/>
          <c:extLst>
            <c:ext xmlns:c16="http://schemas.microsoft.com/office/drawing/2014/chart" uri="{C3380CC4-5D6E-409C-BE32-E72D297353CC}">
              <c16:uniqueId val="{00000003-50B3-4CA7-A73C-74738BF43F4F}"/>
            </c:ext>
          </c:extLst>
        </c:ser>
        <c:ser>
          <c:idx val="2"/>
          <c:order val="4"/>
          <c:tx>
            <c:v>Carbonate/Marl NSO</c:v>
          </c:tx>
          <c:spPr>
            <a:ln w="25400" cap="rnd">
              <a:noFill/>
              <a:round/>
            </a:ln>
            <a:effectLst/>
          </c:spPr>
          <c:marker>
            <c:symbol val="triangle"/>
            <c:size val="7"/>
            <c:spPr>
              <a:solidFill>
                <a:srgbClr val="6747EF"/>
              </a:solidFill>
              <a:ln w="9525">
                <a:solidFill>
                  <a:schemeClr val="accent3"/>
                </a:solidFill>
              </a:ln>
              <a:effectLst/>
            </c:spPr>
          </c:marker>
          <c:xVal>
            <c:numRef>
              <c:f>[3]Sheet1!$D$54:$D$82</c:f>
              <c:numCache>
                <c:formatCode>General</c:formatCode>
                <c:ptCount val="29"/>
                <c:pt idx="0">
                  <c:v>15.97</c:v>
                </c:pt>
                <c:pt idx="1">
                  <c:v>66.7</c:v>
                </c:pt>
                <c:pt idx="2">
                  <c:v>72.099999999999994</c:v>
                </c:pt>
                <c:pt idx="3">
                  <c:v>93.3</c:v>
                </c:pt>
                <c:pt idx="4">
                  <c:v>133.9</c:v>
                </c:pt>
                <c:pt idx="5">
                  <c:v>139.4</c:v>
                </c:pt>
                <c:pt idx="6">
                  <c:v>145.30000000000001</c:v>
                </c:pt>
                <c:pt idx="7">
                  <c:v>145.69999999999999</c:v>
                </c:pt>
                <c:pt idx="8">
                  <c:v>145.9</c:v>
                </c:pt>
                <c:pt idx="9">
                  <c:v>147</c:v>
                </c:pt>
                <c:pt idx="10">
                  <c:v>147</c:v>
                </c:pt>
                <c:pt idx="11">
                  <c:v>147</c:v>
                </c:pt>
                <c:pt idx="12">
                  <c:v>150</c:v>
                </c:pt>
                <c:pt idx="13">
                  <c:v>150</c:v>
                </c:pt>
                <c:pt idx="14">
                  <c:v>150</c:v>
                </c:pt>
                <c:pt idx="15">
                  <c:v>150</c:v>
                </c:pt>
                <c:pt idx="16">
                  <c:v>150.5</c:v>
                </c:pt>
                <c:pt idx="17">
                  <c:v>164.1</c:v>
                </c:pt>
                <c:pt idx="18">
                  <c:v>207</c:v>
                </c:pt>
                <c:pt idx="19">
                  <c:v>237</c:v>
                </c:pt>
                <c:pt idx="20">
                  <c:v>254.8</c:v>
                </c:pt>
                <c:pt idx="21">
                  <c:v>256</c:v>
                </c:pt>
                <c:pt idx="22">
                  <c:v>272.3</c:v>
                </c:pt>
                <c:pt idx="23">
                  <c:v>275.60000000000002</c:v>
                </c:pt>
                <c:pt idx="24">
                  <c:v>279.3</c:v>
                </c:pt>
                <c:pt idx="25">
                  <c:v>368</c:v>
                </c:pt>
                <c:pt idx="26">
                  <c:v>388.1</c:v>
                </c:pt>
                <c:pt idx="27">
                  <c:v>433</c:v>
                </c:pt>
                <c:pt idx="28">
                  <c:v>510</c:v>
                </c:pt>
              </c:numCache>
            </c:numRef>
          </c:xVal>
          <c:yVal>
            <c:numRef>
              <c:f>[3]Sheet1!$E$54:$E$82</c:f>
              <c:numCache>
                <c:formatCode>General</c:formatCode>
                <c:ptCount val="29"/>
                <c:pt idx="0">
                  <c:v>1.23</c:v>
                </c:pt>
                <c:pt idx="1">
                  <c:v>2.06</c:v>
                </c:pt>
                <c:pt idx="2">
                  <c:v>1.62</c:v>
                </c:pt>
                <c:pt idx="3">
                  <c:v>3.5</c:v>
                </c:pt>
                <c:pt idx="4">
                  <c:v>1.17</c:v>
                </c:pt>
                <c:pt idx="5">
                  <c:v>-0.25</c:v>
                </c:pt>
                <c:pt idx="6">
                  <c:v>0.59</c:v>
                </c:pt>
                <c:pt idx="7">
                  <c:v>1.45</c:v>
                </c:pt>
                <c:pt idx="8">
                  <c:v>0.2</c:v>
                </c:pt>
                <c:pt idx="9">
                  <c:v>1.2</c:v>
                </c:pt>
                <c:pt idx="10">
                  <c:v>1.91</c:v>
                </c:pt>
                <c:pt idx="11">
                  <c:v>0.59</c:v>
                </c:pt>
                <c:pt idx="12">
                  <c:v>1.24</c:v>
                </c:pt>
                <c:pt idx="13">
                  <c:v>0.65</c:v>
                </c:pt>
                <c:pt idx="14">
                  <c:v>0.7</c:v>
                </c:pt>
                <c:pt idx="15">
                  <c:v>-0.87</c:v>
                </c:pt>
                <c:pt idx="16">
                  <c:v>0.39</c:v>
                </c:pt>
                <c:pt idx="17">
                  <c:v>1.51</c:v>
                </c:pt>
                <c:pt idx="18">
                  <c:v>6.48</c:v>
                </c:pt>
                <c:pt idx="19">
                  <c:v>2</c:v>
                </c:pt>
                <c:pt idx="20">
                  <c:v>11.49</c:v>
                </c:pt>
                <c:pt idx="21">
                  <c:v>13.32</c:v>
                </c:pt>
                <c:pt idx="22">
                  <c:v>6.24</c:v>
                </c:pt>
                <c:pt idx="23">
                  <c:v>9.23</c:v>
                </c:pt>
                <c:pt idx="24">
                  <c:v>8.73</c:v>
                </c:pt>
                <c:pt idx="25">
                  <c:v>-0.26</c:v>
                </c:pt>
                <c:pt idx="26">
                  <c:v>0.14000000000000001</c:v>
                </c:pt>
                <c:pt idx="27">
                  <c:v>2.4</c:v>
                </c:pt>
                <c:pt idx="28">
                  <c:v>3.88</c:v>
                </c:pt>
              </c:numCache>
            </c:numRef>
          </c:yVal>
          <c:smooth val="0"/>
          <c:extLst>
            <c:ext xmlns:c16="http://schemas.microsoft.com/office/drawing/2014/chart" uri="{C3380CC4-5D6E-409C-BE32-E72D297353CC}">
              <c16:uniqueId val="{00000004-50B3-4CA7-A73C-74738BF43F4F}"/>
            </c:ext>
          </c:extLst>
        </c:ser>
        <c:ser>
          <c:idx val="3"/>
          <c:order val="5"/>
          <c:tx>
            <c:v>Carbonate/Marl Asphaltene</c:v>
          </c:tx>
          <c:spPr>
            <a:ln w="25400" cap="rnd">
              <a:noFill/>
              <a:round/>
            </a:ln>
            <a:effectLst/>
          </c:spPr>
          <c:marker>
            <c:symbol val="triangle"/>
            <c:size val="7"/>
            <c:spPr>
              <a:solidFill>
                <a:schemeClr val="accent4"/>
              </a:solidFill>
              <a:ln w="9525">
                <a:solidFill>
                  <a:schemeClr val="accent4"/>
                </a:solidFill>
              </a:ln>
              <a:effectLst/>
            </c:spPr>
          </c:marker>
          <c:xVal>
            <c:numRef>
              <c:f>[3]Sheet1!$V$52:$V$79</c:f>
              <c:numCache>
                <c:formatCode>General</c:formatCode>
                <c:ptCount val="28"/>
                <c:pt idx="0">
                  <c:v>15.97</c:v>
                </c:pt>
                <c:pt idx="1">
                  <c:v>66.7</c:v>
                </c:pt>
                <c:pt idx="2">
                  <c:v>72.099999999999994</c:v>
                </c:pt>
                <c:pt idx="3">
                  <c:v>93.3</c:v>
                </c:pt>
                <c:pt idx="4">
                  <c:v>133.9</c:v>
                </c:pt>
                <c:pt idx="5">
                  <c:v>139.4</c:v>
                </c:pt>
                <c:pt idx="6">
                  <c:v>145.30000000000001</c:v>
                </c:pt>
                <c:pt idx="7">
                  <c:v>145.69999999999999</c:v>
                </c:pt>
                <c:pt idx="8">
                  <c:v>145.9</c:v>
                </c:pt>
                <c:pt idx="9">
                  <c:v>147</c:v>
                </c:pt>
                <c:pt idx="10">
                  <c:v>147</c:v>
                </c:pt>
                <c:pt idx="11">
                  <c:v>147</c:v>
                </c:pt>
                <c:pt idx="12">
                  <c:v>150</c:v>
                </c:pt>
                <c:pt idx="13">
                  <c:v>150</c:v>
                </c:pt>
                <c:pt idx="14">
                  <c:v>150</c:v>
                </c:pt>
                <c:pt idx="15">
                  <c:v>150</c:v>
                </c:pt>
                <c:pt idx="16">
                  <c:v>150.5</c:v>
                </c:pt>
                <c:pt idx="17">
                  <c:v>164.1</c:v>
                </c:pt>
                <c:pt idx="18">
                  <c:v>207</c:v>
                </c:pt>
                <c:pt idx="19">
                  <c:v>237</c:v>
                </c:pt>
                <c:pt idx="20">
                  <c:v>254.8</c:v>
                </c:pt>
                <c:pt idx="21">
                  <c:v>256</c:v>
                </c:pt>
                <c:pt idx="22">
                  <c:v>272.3</c:v>
                </c:pt>
                <c:pt idx="23">
                  <c:v>275.60000000000002</c:v>
                </c:pt>
                <c:pt idx="24">
                  <c:v>279.3</c:v>
                </c:pt>
                <c:pt idx="25">
                  <c:v>368</c:v>
                </c:pt>
                <c:pt idx="26">
                  <c:v>433</c:v>
                </c:pt>
                <c:pt idx="27">
                  <c:v>510</c:v>
                </c:pt>
              </c:numCache>
            </c:numRef>
          </c:xVal>
          <c:yVal>
            <c:numRef>
              <c:f>[3]Sheet1!$W$52:$W$79</c:f>
              <c:numCache>
                <c:formatCode>General</c:formatCode>
                <c:ptCount val="28"/>
                <c:pt idx="0">
                  <c:v>0.96</c:v>
                </c:pt>
                <c:pt idx="1">
                  <c:v>1.74</c:v>
                </c:pt>
                <c:pt idx="2">
                  <c:v>1.36</c:v>
                </c:pt>
                <c:pt idx="3">
                  <c:v>2.38</c:v>
                </c:pt>
                <c:pt idx="4">
                  <c:v>0.02</c:v>
                </c:pt>
                <c:pt idx="5">
                  <c:v>1.4</c:v>
                </c:pt>
                <c:pt idx="6">
                  <c:v>0.51</c:v>
                </c:pt>
                <c:pt idx="7">
                  <c:v>1.05</c:v>
                </c:pt>
                <c:pt idx="8">
                  <c:v>-0.8</c:v>
                </c:pt>
                <c:pt idx="9">
                  <c:v>2.2000000000000002</c:v>
                </c:pt>
                <c:pt idx="10">
                  <c:v>2.4</c:v>
                </c:pt>
                <c:pt idx="11">
                  <c:v>1.46</c:v>
                </c:pt>
                <c:pt idx="12">
                  <c:v>-0.7</c:v>
                </c:pt>
                <c:pt idx="13">
                  <c:v>-0.34</c:v>
                </c:pt>
                <c:pt idx="14">
                  <c:v>0.17</c:v>
                </c:pt>
                <c:pt idx="15">
                  <c:v>-0.92</c:v>
                </c:pt>
                <c:pt idx="16">
                  <c:v>0.04</c:v>
                </c:pt>
                <c:pt idx="17">
                  <c:v>2.65</c:v>
                </c:pt>
                <c:pt idx="18">
                  <c:v>7.12</c:v>
                </c:pt>
                <c:pt idx="19">
                  <c:v>1.88</c:v>
                </c:pt>
                <c:pt idx="20">
                  <c:v>12.71</c:v>
                </c:pt>
                <c:pt idx="21">
                  <c:v>16</c:v>
                </c:pt>
                <c:pt idx="22">
                  <c:v>6.7</c:v>
                </c:pt>
                <c:pt idx="23">
                  <c:v>11.32</c:v>
                </c:pt>
                <c:pt idx="24">
                  <c:v>9.4</c:v>
                </c:pt>
                <c:pt idx="25">
                  <c:v>-0.2</c:v>
                </c:pt>
                <c:pt idx="26">
                  <c:v>0.54</c:v>
                </c:pt>
                <c:pt idx="27">
                  <c:v>2.38</c:v>
                </c:pt>
              </c:numCache>
            </c:numRef>
          </c:yVal>
          <c:smooth val="0"/>
          <c:extLst>
            <c:ext xmlns:c16="http://schemas.microsoft.com/office/drawing/2014/chart" uri="{C3380CC4-5D6E-409C-BE32-E72D297353CC}">
              <c16:uniqueId val="{00000005-50B3-4CA7-A73C-74738BF43F4F}"/>
            </c:ext>
          </c:extLst>
        </c:ser>
        <c:ser>
          <c:idx val="4"/>
          <c:order val="6"/>
          <c:tx>
            <c:v>Hypersaline/lacustrine NSO</c:v>
          </c:tx>
          <c:spPr>
            <a:ln w="25400" cap="rnd">
              <a:noFill/>
              <a:round/>
            </a:ln>
            <a:effectLst/>
          </c:spPr>
          <c:marker>
            <c:symbol val="x"/>
            <c:size val="7"/>
            <c:spPr>
              <a:noFill/>
              <a:ln w="9525">
                <a:solidFill>
                  <a:schemeClr val="accent5"/>
                </a:solidFill>
              </a:ln>
              <a:effectLst/>
            </c:spPr>
          </c:marker>
          <c:xVal>
            <c:numRef>
              <c:f>[3]Sheet1!$J$81:$J$83</c:f>
              <c:numCache>
                <c:formatCode>General</c:formatCode>
                <c:ptCount val="3"/>
                <c:pt idx="0">
                  <c:v>239.2</c:v>
                </c:pt>
                <c:pt idx="1">
                  <c:v>241.8</c:v>
                </c:pt>
                <c:pt idx="2">
                  <c:v>278.39999999999998</c:v>
                </c:pt>
              </c:numCache>
            </c:numRef>
          </c:xVal>
          <c:yVal>
            <c:numRef>
              <c:f>[3]Sheet1!$K$81:$K$83</c:f>
              <c:numCache>
                <c:formatCode>General</c:formatCode>
                <c:ptCount val="3"/>
                <c:pt idx="0">
                  <c:v>5.04</c:v>
                </c:pt>
                <c:pt idx="1">
                  <c:v>5.43</c:v>
                </c:pt>
                <c:pt idx="2">
                  <c:v>4.78</c:v>
                </c:pt>
              </c:numCache>
            </c:numRef>
          </c:yVal>
          <c:smooth val="0"/>
          <c:extLst>
            <c:ext xmlns:c16="http://schemas.microsoft.com/office/drawing/2014/chart" uri="{C3380CC4-5D6E-409C-BE32-E72D297353CC}">
              <c16:uniqueId val="{00000006-50B3-4CA7-A73C-74738BF43F4F}"/>
            </c:ext>
          </c:extLst>
        </c:ser>
        <c:ser>
          <c:idx val="5"/>
          <c:order val="7"/>
          <c:tx>
            <c:v>Hypersaline/lacustrine Asphaltene</c:v>
          </c:tx>
          <c:spPr>
            <a:ln w="25400" cap="rnd">
              <a:noFill/>
              <a:round/>
            </a:ln>
            <a:effectLst/>
          </c:spPr>
          <c:marker>
            <c:symbol val="x"/>
            <c:size val="7"/>
            <c:spPr>
              <a:noFill/>
              <a:ln w="9525">
                <a:solidFill>
                  <a:srgbClr val="D51C09"/>
                </a:solidFill>
              </a:ln>
              <a:effectLst/>
            </c:spPr>
          </c:marker>
          <c:xVal>
            <c:numRef>
              <c:f>[3]Sheet1!$O$81:$O$83</c:f>
              <c:numCache>
                <c:formatCode>General</c:formatCode>
                <c:ptCount val="3"/>
                <c:pt idx="0">
                  <c:v>239.2</c:v>
                </c:pt>
                <c:pt idx="1">
                  <c:v>241.8</c:v>
                </c:pt>
                <c:pt idx="2">
                  <c:v>278.39999999999998</c:v>
                </c:pt>
              </c:numCache>
            </c:numRef>
          </c:xVal>
          <c:yVal>
            <c:numRef>
              <c:f>[3]Sheet1!$P$81:$P$83</c:f>
              <c:numCache>
                <c:formatCode>General</c:formatCode>
                <c:ptCount val="3"/>
                <c:pt idx="0">
                  <c:v>3.2</c:v>
                </c:pt>
                <c:pt idx="1">
                  <c:v>5.3</c:v>
                </c:pt>
                <c:pt idx="2">
                  <c:v>1.53</c:v>
                </c:pt>
              </c:numCache>
            </c:numRef>
          </c:yVal>
          <c:smooth val="0"/>
          <c:extLst>
            <c:ext xmlns:c16="http://schemas.microsoft.com/office/drawing/2014/chart" uri="{C3380CC4-5D6E-409C-BE32-E72D297353CC}">
              <c16:uniqueId val="{00000007-50B3-4CA7-A73C-74738BF43F4F}"/>
            </c:ext>
          </c:extLst>
        </c:ser>
        <c:dLbls>
          <c:showLegendKey val="0"/>
          <c:showVal val="0"/>
          <c:showCatName val="0"/>
          <c:showSerName val="0"/>
          <c:showPercent val="0"/>
          <c:showBubbleSize val="0"/>
        </c:dLbls>
        <c:axId val="486000968"/>
        <c:axId val="486007856"/>
      </c:scatterChart>
      <c:valAx>
        <c:axId val="486000968"/>
        <c:scaling>
          <c:orientation val="maxMin"/>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latin typeface="Times New Roman" panose="02020603050405020304" pitchFamily="18" charset="0"/>
                    <a:cs typeface="Times New Roman" panose="02020603050405020304" pitchFamily="18" charset="0"/>
                  </a:rPr>
                  <a:t>Millions</a:t>
                </a:r>
                <a:r>
                  <a:rPr lang="en-US" baseline="0">
                    <a:solidFill>
                      <a:sysClr val="windowText" lastClr="000000"/>
                    </a:solidFill>
                    <a:latin typeface="Times New Roman" panose="02020603050405020304" pitchFamily="18" charset="0"/>
                    <a:cs typeface="Times New Roman" panose="02020603050405020304" pitchFamily="18" charset="0"/>
                  </a:rPr>
                  <a:t> of years </a:t>
                </a:r>
                <a:endParaRPr lang="en-US">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86007856"/>
        <c:crossesAt val="-5"/>
        <c:crossBetween val="midCat"/>
      </c:valAx>
      <c:valAx>
        <c:axId val="486007856"/>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latin typeface="Times New Roman" panose="02020603050405020304" pitchFamily="18" charset="0"/>
                    <a:cs typeface="Times New Roman" panose="02020603050405020304" pitchFamily="18" charset="0"/>
                  </a:rPr>
                  <a:t>δ</a:t>
                </a:r>
                <a:r>
                  <a:rPr lang="en-US" baseline="30000">
                    <a:solidFill>
                      <a:sysClr val="windowText" lastClr="000000"/>
                    </a:solidFill>
                    <a:latin typeface="Times New Roman" panose="02020603050405020304" pitchFamily="18" charset="0"/>
                    <a:cs typeface="Times New Roman" panose="02020603050405020304" pitchFamily="18" charset="0"/>
                  </a:rPr>
                  <a:t>15</a:t>
                </a:r>
                <a:r>
                  <a:rPr lang="en-US">
                    <a:solidFill>
                      <a:sysClr val="windowText" lastClr="000000"/>
                    </a:solidFill>
                    <a:latin typeface="Times New Roman" panose="02020603050405020304" pitchFamily="18" charset="0"/>
                    <a:cs typeface="Times New Roman" panose="02020603050405020304" pitchFamily="18" charset="0"/>
                  </a:rPr>
                  <a:t>N</a:t>
                </a:r>
                <a:r>
                  <a:rPr lang="en-US" sz="1000" b="0" i="0" u="none" strike="noStrike" baseline="0">
                    <a:solidFill>
                      <a:sysClr val="windowText" lastClr="000000"/>
                    </a:solidFill>
                    <a:effectLst/>
                    <a:latin typeface="Times New Roman" panose="02020603050405020304" pitchFamily="18" charset="0"/>
                    <a:cs typeface="Times New Roman" panose="02020603050405020304" pitchFamily="18" charset="0"/>
                  </a:rPr>
                  <a:t>‰</a:t>
                </a:r>
                <a:endParaRPr lang="en-US">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86000968"/>
        <c:crosses val="max"/>
        <c:crossBetween val="midCat"/>
      </c:valAx>
      <c:spPr>
        <a:noFill/>
        <a:ln>
          <a:noFill/>
        </a:ln>
        <a:effectLst/>
      </c:spPr>
    </c:plotArea>
    <c:legend>
      <c:legendPos val="r"/>
      <c:layout>
        <c:manualLayout>
          <c:xMode val="edge"/>
          <c:yMode val="edge"/>
          <c:x val="8.0747371801414503E-2"/>
          <c:y val="9.5727849468871279E-2"/>
          <c:w val="0.22127453006091596"/>
          <c:h val="0.41836629298944661"/>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3">
    <c:autoUpdate val="0"/>
  </c:externalData>
  <c:userShapes r:id="rId4"/>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a:solidFill>
                  <a:sysClr val="windowText" lastClr="000000"/>
                </a:solidFill>
                <a:latin typeface="Times New Roman" panose="02020603050405020304" pitchFamily="18" charset="0"/>
                <a:cs typeface="Times New Roman" panose="02020603050405020304" pitchFamily="18" charset="0"/>
              </a:rPr>
              <a:t>High</a:t>
            </a:r>
            <a:r>
              <a:rPr lang="en-US" baseline="0">
                <a:solidFill>
                  <a:sysClr val="windowText" lastClr="000000"/>
                </a:solidFill>
                <a:latin typeface="Times New Roman" panose="02020603050405020304" pitchFamily="18" charset="0"/>
                <a:cs typeface="Times New Roman" panose="02020603050405020304" pitchFamily="18" charset="0"/>
              </a:rPr>
              <a:t> Resolution of the Upper Mississippiann to the Middle Triassic </a:t>
            </a:r>
            <a:endParaRPr lang="en-US">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9.3266832380444822E-2"/>
          <c:y val="0.10107418472580308"/>
          <c:w val="0.87087898963124644"/>
          <c:h val="0.84345407114486781"/>
        </c:manualLayout>
      </c:layout>
      <c:scatterChart>
        <c:scatterStyle val="lineMarker"/>
        <c:varyColors val="0"/>
        <c:ser>
          <c:idx val="0"/>
          <c:order val="0"/>
          <c:tx>
            <c:v>Literature Shales </c:v>
          </c:tx>
          <c:spPr>
            <a:ln w="19050" cap="rnd">
              <a:noFill/>
              <a:round/>
            </a:ln>
            <a:effectLst/>
          </c:spPr>
          <c:marker>
            <c:symbol val="circle"/>
            <c:size val="5"/>
            <c:spPr>
              <a:solidFill>
                <a:schemeClr val="tx1"/>
              </a:solidFill>
              <a:ln w="9525">
                <a:solidFill>
                  <a:schemeClr val="tx1"/>
                </a:solidFill>
              </a:ln>
              <a:effectLst/>
            </c:spPr>
          </c:marker>
          <c:xVal>
            <c:numRef>
              <c:f>Sheet1!$AU$14:$AU$24</c:f>
              <c:numCache>
                <c:formatCode>General</c:formatCode>
                <c:ptCount val="11"/>
                <c:pt idx="0">
                  <c:v>270</c:v>
                </c:pt>
                <c:pt idx="1">
                  <c:v>270</c:v>
                </c:pt>
                <c:pt idx="2">
                  <c:v>270</c:v>
                </c:pt>
                <c:pt idx="3">
                  <c:v>253.6</c:v>
                </c:pt>
                <c:pt idx="4">
                  <c:v>253</c:v>
                </c:pt>
                <c:pt idx="5">
                  <c:v>252</c:v>
                </c:pt>
                <c:pt idx="6">
                  <c:v>252</c:v>
                </c:pt>
                <c:pt idx="7">
                  <c:v>251</c:v>
                </c:pt>
                <c:pt idx="8">
                  <c:v>251</c:v>
                </c:pt>
                <c:pt idx="9">
                  <c:v>248</c:v>
                </c:pt>
                <c:pt idx="10">
                  <c:v>248</c:v>
                </c:pt>
              </c:numCache>
            </c:numRef>
          </c:xVal>
          <c:yVal>
            <c:numRef>
              <c:f>Sheet1!$AV$14:$AV$24</c:f>
              <c:numCache>
                <c:formatCode>0.00</c:formatCode>
                <c:ptCount val="11"/>
                <c:pt idx="0">
                  <c:v>12.7</c:v>
                </c:pt>
                <c:pt idx="1">
                  <c:v>5.4</c:v>
                </c:pt>
                <c:pt idx="2">
                  <c:v>4.2</c:v>
                </c:pt>
                <c:pt idx="3">
                  <c:v>8.85</c:v>
                </c:pt>
                <c:pt idx="4">
                  <c:v>-0.32777777777777783</c:v>
                </c:pt>
                <c:pt idx="5">
                  <c:v>5.5972222222222214</c:v>
                </c:pt>
                <c:pt idx="6">
                  <c:v>5.2405357142857119</c:v>
                </c:pt>
                <c:pt idx="7">
                  <c:v>8.1300000000000008</c:v>
                </c:pt>
                <c:pt idx="8">
                  <c:v>3.44</c:v>
                </c:pt>
                <c:pt idx="9">
                  <c:v>0.498</c:v>
                </c:pt>
                <c:pt idx="10">
                  <c:v>3.4947368421052634</c:v>
                </c:pt>
              </c:numCache>
            </c:numRef>
          </c:yVal>
          <c:smooth val="0"/>
          <c:extLst>
            <c:ext xmlns:c16="http://schemas.microsoft.com/office/drawing/2014/chart" uri="{C3380CC4-5D6E-409C-BE32-E72D297353CC}">
              <c16:uniqueId val="{00000000-76F9-4F7E-ABA4-65A5CF01551E}"/>
            </c:ext>
          </c:extLst>
        </c:ser>
        <c:ser>
          <c:idx val="1"/>
          <c:order val="1"/>
          <c:tx>
            <c:v>Literature Carbonates </c:v>
          </c:tx>
          <c:spPr>
            <a:ln w="25400" cap="rnd">
              <a:noFill/>
              <a:round/>
            </a:ln>
            <a:effectLst/>
          </c:spPr>
          <c:marker>
            <c:symbol val="circle"/>
            <c:size val="5"/>
            <c:spPr>
              <a:solidFill>
                <a:schemeClr val="bg2">
                  <a:lumMod val="75000"/>
                </a:schemeClr>
              </a:solidFill>
              <a:ln w="9525">
                <a:solidFill>
                  <a:schemeClr val="tx1"/>
                </a:solidFill>
              </a:ln>
              <a:effectLst/>
            </c:spPr>
          </c:marker>
          <c:xVal>
            <c:numRef>
              <c:f>Sheet1!$AU$7:$AU$10</c:f>
              <c:numCache>
                <c:formatCode>General</c:formatCode>
                <c:ptCount val="4"/>
                <c:pt idx="0">
                  <c:v>259</c:v>
                </c:pt>
                <c:pt idx="1">
                  <c:v>253</c:v>
                </c:pt>
                <c:pt idx="2">
                  <c:v>252</c:v>
                </c:pt>
                <c:pt idx="3">
                  <c:v>251</c:v>
                </c:pt>
              </c:numCache>
            </c:numRef>
          </c:xVal>
          <c:yVal>
            <c:numRef>
              <c:f>Sheet1!$AV$7:$AV$10</c:f>
              <c:numCache>
                <c:formatCode>0.00</c:formatCode>
                <c:ptCount val="4"/>
                <c:pt idx="0">
                  <c:v>0.44210526315789478</c:v>
                </c:pt>
                <c:pt idx="1">
                  <c:v>-0.29090909090909089</c:v>
                </c:pt>
                <c:pt idx="2">
                  <c:v>7.3361702127659578</c:v>
                </c:pt>
                <c:pt idx="3">
                  <c:v>-0.40909090909090912</c:v>
                </c:pt>
              </c:numCache>
            </c:numRef>
          </c:yVal>
          <c:smooth val="0"/>
          <c:extLst>
            <c:ext xmlns:c16="http://schemas.microsoft.com/office/drawing/2014/chart" uri="{C3380CC4-5D6E-409C-BE32-E72D297353CC}">
              <c16:uniqueId val="{00000001-76F9-4F7E-ABA4-65A5CF01551E}"/>
            </c:ext>
          </c:extLst>
        </c:ser>
        <c:ser>
          <c:idx val="2"/>
          <c:order val="2"/>
          <c:tx>
            <c:v>Siliciclastic NSO </c:v>
          </c:tx>
          <c:spPr>
            <a:ln w="25400" cap="rnd">
              <a:noFill/>
              <a:round/>
            </a:ln>
            <a:effectLst/>
          </c:spPr>
          <c:marker>
            <c:symbol val="square"/>
            <c:size val="5"/>
            <c:spPr>
              <a:solidFill>
                <a:schemeClr val="accent1"/>
              </a:solidFill>
              <a:ln w="9525">
                <a:solidFill>
                  <a:schemeClr val="accent1"/>
                </a:solidFill>
              </a:ln>
              <a:effectLst/>
            </c:spPr>
          </c:marker>
          <c:xVal>
            <c:numRef>
              <c:f>Sheet1!$AN$14:$AN$20</c:f>
              <c:numCache>
                <c:formatCode>General</c:formatCode>
                <c:ptCount val="7"/>
                <c:pt idx="0">
                  <c:v>279.10000000000002</c:v>
                </c:pt>
                <c:pt idx="1">
                  <c:v>280.39999999999998</c:v>
                </c:pt>
                <c:pt idx="2">
                  <c:v>298.89999999999998</c:v>
                </c:pt>
                <c:pt idx="3">
                  <c:v>307.60000000000002</c:v>
                </c:pt>
                <c:pt idx="4">
                  <c:v>339.9</c:v>
                </c:pt>
              </c:numCache>
            </c:numRef>
          </c:xVal>
          <c:yVal>
            <c:numRef>
              <c:f>Sheet1!$AO$14:$AO$20</c:f>
              <c:numCache>
                <c:formatCode>General</c:formatCode>
                <c:ptCount val="7"/>
                <c:pt idx="0">
                  <c:v>8.33</c:v>
                </c:pt>
                <c:pt idx="1">
                  <c:v>11.93</c:v>
                </c:pt>
                <c:pt idx="2">
                  <c:v>15.57</c:v>
                </c:pt>
                <c:pt idx="3">
                  <c:v>3.93</c:v>
                </c:pt>
                <c:pt idx="4">
                  <c:v>9.7200000000000006</c:v>
                </c:pt>
              </c:numCache>
            </c:numRef>
          </c:yVal>
          <c:smooth val="0"/>
          <c:extLst>
            <c:ext xmlns:c16="http://schemas.microsoft.com/office/drawing/2014/chart" uri="{C3380CC4-5D6E-409C-BE32-E72D297353CC}">
              <c16:uniqueId val="{00000002-76F9-4F7E-ABA4-65A5CF01551E}"/>
            </c:ext>
          </c:extLst>
        </c:ser>
        <c:ser>
          <c:idx val="3"/>
          <c:order val="3"/>
          <c:tx>
            <c:v>Siliciclasitc Asphaltene</c:v>
          </c:tx>
          <c:spPr>
            <a:ln w="25400" cap="rnd">
              <a:noFill/>
              <a:round/>
            </a:ln>
            <a:effectLst/>
          </c:spPr>
          <c:marker>
            <c:symbol val="square"/>
            <c:size val="5"/>
            <c:spPr>
              <a:solidFill>
                <a:srgbClr val="C00000"/>
              </a:solidFill>
              <a:ln w="9525">
                <a:solidFill>
                  <a:srgbClr val="C00000"/>
                </a:solidFill>
              </a:ln>
              <a:effectLst/>
            </c:spPr>
          </c:marker>
          <c:xVal>
            <c:numRef>
              <c:f>Sheet1!$AR$14:$AR$18</c:f>
              <c:numCache>
                <c:formatCode>General</c:formatCode>
                <c:ptCount val="5"/>
                <c:pt idx="0">
                  <c:v>279.10000000000002</c:v>
                </c:pt>
                <c:pt idx="1">
                  <c:v>280.39999999999998</c:v>
                </c:pt>
                <c:pt idx="2">
                  <c:v>307.60000000000002</c:v>
                </c:pt>
              </c:numCache>
            </c:numRef>
          </c:xVal>
          <c:yVal>
            <c:numRef>
              <c:f>Sheet1!$AS$14:$AS$18</c:f>
              <c:numCache>
                <c:formatCode>General</c:formatCode>
                <c:ptCount val="5"/>
                <c:pt idx="0">
                  <c:v>9.68</c:v>
                </c:pt>
                <c:pt idx="1">
                  <c:v>12.27</c:v>
                </c:pt>
                <c:pt idx="2">
                  <c:v>3.26</c:v>
                </c:pt>
              </c:numCache>
            </c:numRef>
          </c:yVal>
          <c:smooth val="0"/>
          <c:extLst>
            <c:ext xmlns:c16="http://schemas.microsoft.com/office/drawing/2014/chart" uri="{C3380CC4-5D6E-409C-BE32-E72D297353CC}">
              <c16:uniqueId val="{00000003-76F9-4F7E-ABA4-65A5CF01551E}"/>
            </c:ext>
          </c:extLst>
        </c:ser>
        <c:ser>
          <c:idx val="4"/>
          <c:order val="4"/>
          <c:tx>
            <c:v>Carbonate/Marl NSO</c:v>
          </c:tx>
          <c:spPr>
            <a:ln w="25400" cap="rnd">
              <a:noFill/>
              <a:round/>
            </a:ln>
            <a:effectLst/>
          </c:spPr>
          <c:marker>
            <c:symbol val="triangle"/>
            <c:size val="5"/>
            <c:spPr>
              <a:solidFill>
                <a:srgbClr val="7030A0"/>
              </a:solidFill>
              <a:ln w="9525">
                <a:solidFill>
                  <a:schemeClr val="accent1"/>
                </a:solidFill>
              </a:ln>
              <a:effectLst/>
            </c:spPr>
          </c:marker>
          <c:xVal>
            <c:numRef>
              <c:f>Sheet1!$AN$6:$AN$12</c:f>
              <c:numCache>
                <c:formatCode>General</c:formatCode>
                <c:ptCount val="7"/>
                <c:pt idx="0">
                  <c:v>237</c:v>
                </c:pt>
                <c:pt idx="1">
                  <c:v>254.8</c:v>
                </c:pt>
                <c:pt idx="2">
                  <c:v>256</c:v>
                </c:pt>
                <c:pt idx="3">
                  <c:v>272.3</c:v>
                </c:pt>
                <c:pt idx="4">
                  <c:v>275.60000000000002</c:v>
                </c:pt>
                <c:pt idx="5">
                  <c:v>279.3</c:v>
                </c:pt>
              </c:numCache>
            </c:numRef>
          </c:xVal>
          <c:yVal>
            <c:numRef>
              <c:f>Sheet1!$AO$6:$AO$12</c:f>
              <c:numCache>
                <c:formatCode>General</c:formatCode>
                <c:ptCount val="7"/>
                <c:pt idx="0">
                  <c:v>2</c:v>
                </c:pt>
                <c:pt idx="1">
                  <c:v>11.49</c:v>
                </c:pt>
                <c:pt idx="2">
                  <c:v>13.32</c:v>
                </c:pt>
                <c:pt idx="3">
                  <c:v>6.24</c:v>
                </c:pt>
                <c:pt idx="4">
                  <c:v>9.23</c:v>
                </c:pt>
                <c:pt idx="5">
                  <c:v>8.73</c:v>
                </c:pt>
              </c:numCache>
            </c:numRef>
          </c:yVal>
          <c:smooth val="0"/>
          <c:extLst>
            <c:ext xmlns:c16="http://schemas.microsoft.com/office/drawing/2014/chart" uri="{C3380CC4-5D6E-409C-BE32-E72D297353CC}">
              <c16:uniqueId val="{00000004-76F9-4F7E-ABA4-65A5CF01551E}"/>
            </c:ext>
          </c:extLst>
        </c:ser>
        <c:ser>
          <c:idx val="5"/>
          <c:order val="5"/>
          <c:tx>
            <c:v>Carbonate/Marl Asphaltene </c:v>
          </c:tx>
          <c:spPr>
            <a:ln w="25400" cap="rnd">
              <a:noFill/>
              <a:round/>
            </a:ln>
            <a:effectLst/>
          </c:spPr>
          <c:marker>
            <c:symbol val="triangle"/>
            <c:size val="5"/>
            <c:spPr>
              <a:solidFill>
                <a:srgbClr val="9966FF"/>
              </a:solidFill>
              <a:ln w="9525">
                <a:solidFill>
                  <a:srgbClr val="9966FF"/>
                </a:solidFill>
              </a:ln>
              <a:effectLst/>
            </c:spPr>
          </c:marker>
          <c:xVal>
            <c:numRef>
              <c:f>Sheet1!$AR$7:$AR$12</c:f>
              <c:numCache>
                <c:formatCode>General</c:formatCode>
                <c:ptCount val="6"/>
                <c:pt idx="0">
                  <c:v>254.8</c:v>
                </c:pt>
                <c:pt idx="1">
                  <c:v>256</c:v>
                </c:pt>
                <c:pt idx="2">
                  <c:v>272.3</c:v>
                </c:pt>
                <c:pt idx="3">
                  <c:v>275.60000000000002</c:v>
                </c:pt>
                <c:pt idx="4">
                  <c:v>279.3</c:v>
                </c:pt>
              </c:numCache>
            </c:numRef>
          </c:xVal>
          <c:yVal>
            <c:numRef>
              <c:f>Sheet1!$AS$7:$AS$12</c:f>
              <c:numCache>
                <c:formatCode>General</c:formatCode>
                <c:ptCount val="6"/>
                <c:pt idx="0">
                  <c:v>12.71</c:v>
                </c:pt>
                <c:pt idx="1">
                  <c:v>16</c:v>
                </c:pt>
                <c:pt idx="2">
                  <c:v>6.7</c:v>
                </c:pt>
                <c:pt idx="3">
                  <c:v>11.32</c:v>
                </c:pt>
                <c:pt idx="4">
                  <c:v>9.4</c:v>
                </c:pt>
              </c:numCache>
            </c:numRef>
          </c:yVal>
          <c:smooth val="0"/>
          <c:extLst>
            <c:ext xmlns:c16="http://schemas.microsoft.com/office/drawing/2014/chart" uri="{C3380CC4-5D6E-409C-BE32-E72D297353CC}">
              <c16:uniqueId val="{00000005-76F9-4F7E-ABA4-65A5CF01551E}"/>
            </c:ext>
          </c:extLst>
        </c:ser>
        <c:ser>
          <c:idx val="6"/>
          <c:order val="6"/>
          <c:tx>
            <c:v>Hypersaline/Lacustrine NSO</c:v>
          </c:tx>
          <c:spPr>
            <a:ln w="25400" cap="rnd">
              <a:noFill/>
              <a:round/>
            </a:ln>
            <a:effectLst/>
          </c:spPr>
          <c:marker>
            <c:symbol val="x"/>
            <c:size val="5"/>
            <c:spPr>
              <a:noFill/>
              <a:ln w="9525">
                <a:solidFill>
                  <a:srgbClr val="249292"/>
                </a:solidFill>
              </a:ln>
              <a:effectLst/>
            </c:spPr>
          </c:marker>
          <c:xVal>
            <c:numRef>
              <c:f>Sheet1!$AN$21:$AN$23</c:f>
              <c:numCache>
                <c:formatCode>General</c:formatCode>
                <c:ptCount val="3"/>
                <c:pt idx="0">
                  <c:v>239.2</c:v>
                </c:pt>
                <c:pt idx="1">
                  <c:v>241.8</c:v>
                </c:pt>
                <c:pt idx="2">
                  <c:v>278.39999999999998</c:v>
                </c:pt>
              </c:numCache>
            </c:numRef>
          </c:xVal>
          <c:yVal>
            <c:numRef>
              <c:f>Sheet1!$AO$21:$AO$23</c:f>
              <c:numCache>
                <c:formatCode>General</c:formatCode>
                <c:ptCount val="3"/>
                <c:pt idx="0">
                  <c:v>5.04</c:v>
                </c:pt>
                <c:pt idx="1">
                  <c:v>5.43</c:v>
                </c:pt>
                <c:pt idx="2">
                  <c:v>4.78</c:v>
                </c:pt>
              </c:numCache>
            </c:numRef>
          </c:yVal>
          <c:smooth val="0"/>
          <c:extLst>
            <c:ext xmlns:c16="http://schemas.microsoft.com/office/drawing/2014/chart" uri="{C3380CC4-5D6E-409C-BE32-E72D297353CC}">
              <c16:uniqueId val="{00000006-76F9-4F7E-ABA4-65A5CF01551E}"/>
            </c:ext>
          </c:extLst>
        </c:ser>
        <c:ser>
          <c:idx val="7"/>
          <c:order val="7"/>
          <c:tx>
            <c:v>Hypersaline/Lacustine Asphaltene </c:v>
          </c:tx>
          <c:spPr>
            <a:ln w="25400" cap="rnd">
              <a:noFill/>
              <a:round/>
            </a:ln>
            <a:effectLst/>
          </c:spPr>
          <c:marker>
            <c:symbol val="x"/>
            <c:size val="5"/>
            <c:spPr>
              <a:noFill/>
              <a:ln w="9525">
                <a:solidFill>
                  <a:srgbClr val="FF0000"/>
                </a:solidFill>
              </a:ln>
              <a:effectLst/>
            </c:spPr>
          </c:marker>
          <c:xVal>
            <c:numRef>
              <c:f>Sheet1!$AR$21:$AR$23</c:f>
              <c:numCache>
                <c:formatCode>General</c:formatCode>
                <c:ptCount val="3"/>
                <c:pt idx="0">
                  <c:v>239.2</c:v>
                </c:pt>
                <c:pt idx="1">
                  <c:v>241.8</c:v>
                </c:pt>
                <c:pt idx="2">
                  <c:v>278.39999999999998</c:v>
                </c:pt>
              </c:numCache>
            </c:numRef>
          </c:xVal>
          <c:yVal>
            <c:numRef>
              <c:f>Sheet1!$AS$21:$AS$23</c:f>
              <c:numCache>
                <c:formatCode>General</c:formatCode>
                <c:ptCount val="3"/>
                <c:pt idx="0">
                  <c:v>3.2</c:v>
                </c:pt>
                <c:pt idx="1">
                  <c:v>5.3</c:v>
                </c:pt>
                <c:pt idx="2">
                  <c:v>1.53</c:v>
                </c:pt>
              </c:numCache>
            </c:numRef>
          </c:yVal>
          <c:smooth val="0"/>
          <c:extLst>
            <c:ext xmlns:c16="http://schemas.microsoft.com/office/drawing/2014/chart" uri="{C3380CC4-5D6E-409C-BE32-E72D297353CC}">
              <c16:uniqueId val="{00000007-76F9-4F7E-ABA4-65A5CF01551E}"/>
            </c:ext>
          </c:extLst>
        </c:ser>
        <c:dLbls>
          <c:showLegendKey val="0"/>
          <c:showVal val="0"/>
          <c:showCatName val="0"/>
          <c:showSerName val="0"/>
          <c:showPercent val="0"/>
          <c:showBubbleSize val="0"/>
        </c:dLbls>
        <c:axId val="614622032"/>
        <c:axId val="614618424"/>
      </c:scatterChart>
      <c:valAx>
        <c:axId val="614622032"/>
        <c:scaling>
          <c:orientation val="maxMin"/>
          <c:min val="200"/>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ysClr val="windowText" lastClr="000000"/>
                    </a:solidFill>
                    <a:latin typeface="Times New Roman" panose="02020603050405020304" pitchFamily="18" charset="0"/>
                    <a:cs typeface="Times New Roman" panose="02020603050405020304" pitchFamily="18" charset="0"/>
                  </a:rPr>
                  <a:t>Millions</a:t>
                </a:r>
                <a:r>
                  <a:rPr lang="en-US" baseline="0">
                    <a:solidFill>
                      <a:sysClr val="windowText" lastClr="000000"/>
                    </a:solidFill>
                    <a:latin typeface="Times New Roman" panose="02020603050405020304" pitchFamily="18" charset="0"/>
                    <a:cs typeface="Times New Roman" panose="02020603050405020304" pitchFamily="18" charset="0"/>
                  </a:rPr>
                  <a:t> of years</a:t>
                </a:r>
                <a:endParaRPr lang="en-US">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14618424"/>
        <c:crossesAt val="-2"/>
        <c:crossBetween val="midCat"/>
      </c:valAx>
      <c:valAx>
        <c:axId val="614618424"/>
        <c:scaling>
          <c:orientation val="minMax"/>
        </c:scaling>
        <c:delete val="0"/>
        <c:axPos val="l"/>
        <c:title>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solidFill>
                    <a:latin typeface="+mn-lt"/>
                    <a:ea typeface="+mn-ea"/>
                    <a:cs typeface="+mn-cs"/>
                  </a:defRPr>
                </a:pPr>
                <a:r>
                  <a:rPr lang="en-US" sz="1000" b="0" i="0" baseline="0">
                    <a:solidFill>
                      <a:sysClr val="windowText" lastClr="000000"/>
                    </a:solidFill>
                    <a:effectLst/>
                    <a:latin typeface="Times New Roman" panose="02020603050405020304" pitchFamily="18" charset="0"/>
                    <a:cs typeface="Times New Roman" panose="02020603050405020304" pitchFamily="18" charset="0"/>
                  </a:rPr>
                  <a:t>δ</a:t>
                </a:r>
                <a:r>
                  <a:rPr lang="en-US" sz="1000" b="0" i="0" baseline="30000">
                    <a:solidFill>
                      <a:sysClr val="windowText" lastClr="000000"/>
                    </a:solidFill>
                    <a:effectLst/>
                    <a:latin typeface="Times New Roman" panose="02020603050405020304" pitchFamily="18" charset="0"/>
                    <a:cs typeface="Times New Roman" panose="02020603050405020304" pitchFamily="18" charset="0"/>
                  </a:rPr>
                  <a:t>15</a:t>
                </a:r>
                <a:r>
                  <a:rPr lang="en-US" sz="1000" b="0" i="0" baseline="0">
                    <a:solidFill>
                      <a:sysClr val="windowText" lastClr="000000"/>
                    </a:solidFill>
                    <a:effectLst/>
                    <a:latin typeface="Times New Roman" panose="02020603050405020304" pitchFamily="18" charset="0"/>
                    <a:cs typeface="Times New Roman" panose="02020603050405020304" pitchFamily="18" charset="0"/>
                  </a:rPr>
                  <a:t>N‰</a:t>
                </a:r>
                <a:endParaRPr lang="en-US" sz="1000" b="0">
                  <a:solidFill>
                    <a:sysClr val="windowText" lastClr="000000"/>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ysClr val="windowText" lastClr="000000"/>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14622032"/>
        <c:crosses val="max"/>
        <c:crossBetween val="midCat"/>
      </c:valAx>
      <c:spPr>
        <a:noFill/>
        <a:ln>
          <a:noFill/>
        </a:ln>
        <a:effectLst/>
      </c:spPr>
    </c:plotArea>
    <c:legend>
      <c:legendPos val="r"/>
      <c:layout>
        <c:manualLayout>
          <c:xMode val="edge"/>
          <c:yMode val="edge"/>
          <c:x val="0.7597119486277808"/>
          <c:y val="8.0914520926186145E-2"/>
          <c:w val="0.23862322452411894"/>
          <c:h val="0.4586651977144832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sz="1400" b="0" i="0" u="none" strike="noStrike" baseline="0">
                <a:solidFill>
                  <a:sysClr val="windowText" lastClr="000000"/>
                </a:solidFill>
                <a:effectLst/>
                <a:latin typeface="Times New Roman" panose="02020603050405020304" pitchFamily="18" charset="0"/>
                <a:cs typeface="Times New Roman" panose="02020603050405020304" pitchFamily="18" charset="0"/>
              </a:rPr>
              <a:t>δ</a:t>
            </a:r>
            <a:r>
              <a:rPr lang="en-US" sz="1400" b="0" i="0" u="none" strike="noStrike" baseline="30000">
                <a:solidFill>
                  <a:sysClr val="windowText" lastClr="000000"/>
                </a:solidFill>
                <a:effectLst/>
                <a:latin typeface="Times New Roman" panose="02020603050405020304" pitchFamily="18" charset="0"/>
                <a:cs typeface="Times New Roman" panose="02020603050405020304" pitchFamily="18" charset="0"/>
              </a:rPr>
              <a:t>15</a:t>
            </a:r>
            <a:r>
              <a:rPr lang="en-US" sz="1400" b="0" i="0" u="none" strike="noStrike" baseline="0">
                <a:solidFill>
                  <a:sysClr val="windowText" lastClr="000000"/>
                </a:solidFill>
                <a:effectLst/>
                <a:latin typeface="Times New Roman" panose="02020603050405020304" pitchFamily="18" charset="0"/>
                <a:cs typeface="Times New Roman" panose="02020603050405020304" pitchFamily="18" charset="0"/>
              </a:rPr>
              <a:t>N Asphaltene Mexican Oils</a:t>
            </a:r>
            <a:endParaRPr lang="en-US">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scatterChart>
        <c:scatterStyle val="lineMarker"/>
        <c:varyColors val="0"/>
        <c:ser>
          <c:idx val="0"/>
          <c:order val="0"/>
          <c:spPr>
            <a:ln w="19050" cap="rnd">
              <a:noFill/>
              <a:round/>
            </a:ln>
            <a:effectLst/>
          </c:spPr>
          <c:marker>
            <c:symbol val="circle"/>
            <c:size val="5"/>
            <c:spPr>
              <a:solidFill>
                <a:schemeClr val="tx1"/>
              </a:solidFill>
              <a:ln w="9525">
                <a:solidFill>
                  <a:schemeClr val="tx1"/>
                </a:solidFill>
              </a:ln>
              <a:effectLst/>
            </c:spPr>
          </c:marker>
          <c:dLbls>
            <c:dLbl>
              <c:idx val="0"/>
              <c:tx>
                <c:rich>
                  <a:bodyPr/>
                  <a:lstStyle/>
                  <a:p>
                    <a:r>
                      <a:rPr lang="en-US"/>
                      <a:t>22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C14-4413-A3F3-4E3D4CD65F4B}"/>
                </c:ext>
              </c:extLst>
            </c:dLbl>
            <c:dLbl>
              <c:idx val="1"/>
              <c:tx>
                <c:rich>
                  <a:bodyPr/>
                  <a:lstStyle/>
                  <a:p>
                    <a:r>
                      <a:rPr lang="en-US"/>
                      <a:t>33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C14-4413-A3F3-4E3D4CD65F4B}"/>
                </c:ext>
              </c:extLst>
            </c:dLbl>
            <c:dLbl>
              <c:idx val="2"/>
              <c:tx>
                <c:rich>
                  <a:bodyPr/>
                  <a:lstStyle/>
                  <a:p>
                    <a:r>
                      <a:rPr lang="en-US"/>
                      <a:t>31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C14-4413-A3F3-4E3D4CD65F4B}"/>
                </c:ext>
              </c:extLst>
            </c:dLbl>
            <c:dLbl>
              <c:idx val="3"/>
              <c:tx>
                <c:rich>
                  <a:bodyPr/>
                  <a:lstStyle/>
                  <a:p>
                    <a:r>
                      <a:rPr lang="en-US"/>
                      <a:t>32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C14-4413-A3F3-4E3D4CD65F4B}"/>
                </c:ext>
              </c:extLst>
            </c:dLbl>
            <c:dLbl>
              <c:idx val="4"/>
              <c:tx>
                <c:rich>
                  <a:bodyPr/>
                  <a:lstStyle/>
                  <a:p>
                    <a:r>
                      <a:rPr lang="en-US"/>
                      <a:t>30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C14-4413-A3F3-4E3D4CD65F4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Dir val="x"/>
            <c:errBarType val="both"/>
            <c:errValType val="fixedVal"/>
            <c:noEndCap val="0"/>
            <c:val val="0"/>
            <c:spPr>
              <a:noFill/>
              <a:ln w="9525" cap="flat" cmpd="sng" algn="ctr">
                <a:solidFill>
                  <a:schemeClr val="tx1">
                    <a:lumMod val="65000"/>
                    <a:lumOff val="35000"/>
                  </a:schemeClr>
                </a:solidFill>
                <a:round/>
              </a:ln>
              <a:effectLst/>
            </c:spPr>
          </c:errBars>
          <c:errBars>
            <c:errDir val="y"/>
            <c:errBarType val="both"/>
            <c:errValType val="cust"/>
            <c:noEndCap val="0"/>
            <c:plus>
              <c:numRef>
                <c:f>Sheet1!$G$5:$G$9</c:f>
                <c:numCache>
                  <c:formatCode>General</c:formatCode>
                  <c:ptCount val="5"/>
                  <c:pt idx="0">
                    <c:v>0.23</c:v>
                  </c:pt>
                  <c:pt idx="1">
                    <c:v>0.42</c:v>
                  </c:pt>
                  <c:pt idx="2">
                    <c:v>0.21</c:v>
                  </c:pt>
                  <c:pt idx="3">
                    <c:v>0.32</c:v>
                  </c:pt>
                  <c:pt idx="4">
                    <c:v>0.61</c:v>
                  </c:pt>
                </c:numCache>
              </c:numRef>
            </c:plus>
            <c:minus>
              <c:numRef>
                <c:f>Sheet1!$G$5:$G$9</c:f>
                <c:numCache>
                  <c:formatCode>General</c:formatCode>
                  <c:ptCount val="5"/>
                  <c:pt idx="0">
                    <c:v>0.23</c:v>
                  </c:pt>
                  <c:pt idx="1">
                    <c:v>0.42</c:v>
                  </c:pt>
                  <c:pt idx="2">
                    <c:v>0.21</c:v>
                  </c:pt>
                  <c:pt idx="3">
                    <c:v>0.32</c:v>
                  </c:pt>
                  <c:pt idx="4">
                    <c:v>0.61</c:v>
                  </c:pt>
                </c:numCache>
              </c:numRef>
            </c:minus>
            <c:spPr>
              <a:noFill/>
              <a:ln w="9525" cap="flat" cmpd="sng" algn="ctr">
                <a:solidFill>
                  <a:schemeClr val="tx1">
                    <a:lumMod val="65000"/>
                    <a:lumOff val="35000"/>
                  </a:schemeClr>
                </a:solidFill>
                <a:round/>
              </a:ln>
              <a:effectLst/>
            </c:spPr>
          </c:errBars>
          <c:xVal>
            <c:numRef>
              <c:f>Sheet1!$E$5:$E$9</c:f>
              <c:numCache>
                <c:formatCode>0.0</c:formatCode>
                <c:ptCount val="5"/>
                <c:pt idx="0">
                  <c:v>12.8</c:v>
                </c:pt>
                <c:pt idx="1">
                  <c:v>15</c:v>
                </c:pt>
                <c:pt idx="2">
                  <c:v>18.100000000000001</c:v>
                </c:pt>
                <c:pt idx="3">
                  <c:v>31.9</c:v>
                </c:pt>
                <c:pt idx="4">
                  <c:v>32.6</c:v>
                </c:pt>
              </c:numCache>
            </c:numRef>
          </c:xVal>
          <c:yVal>
            <c:numRef>
              <c:f>Sheet1!$F$5:$F$9</c:f>
              <c:numCache>
                <c:formatCode>0.00</c:formatCode>
                <c:ptCount val="5"/>
                <c:pt idx="0">
                  <c:v>-0.8</c:v>
                </c:pt>
                <c:pt idx="1">
                  <c:v>-0.92</c:v>
                </c:pt>
                <c:pt idx="2">
                  <c:v>-0.34</c:v>
                </c:pt>
                <c:pt idx="3">
                  <c:v>0.17</c:v>
                </c:pt>
                <c:pt idx="4">
                  <c:v>-0.7</c:v>
                </c:pt>
              </c:numCache>
            </c:numRef>
          </c:yVal>
          <c:smooth val="0"/>
          <c:extLst>
            <c:ext xmlns:c16="http://schemas.microsoft.com/office/drawing/2014/chart" uri="{C3380CC4-5D6E-409C-BE32-E72D297353CC}">
              <c16:uniqueId val="{00000005-AC14-4413-A3F3-4E3D4CD65F4B}"/>
            </c:ext>
          </c:extLst>
        </c:ser>
        <c:dLbls>
          <c:showLegendKey val="0"/>
          <c:showVal val="0"/>
          <c:showCatName val="0"/>
          <c:showSerName val="0"/>
          <c:showPercent val="0"/>
          <c:showBubbleSize val="0"/>
        </c:dLbls>
        <c:axId val="144006544"/>
        <c:axId val="144011120"/>
      </c:scatterChart>
      <c:valAx>
        <c:axId val="144006544"/>
        <c:scaling>
          <c:orientation val="minMax"/>
          <c:min val="10"/>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latin typeface="Times New Roman" panose="02020603050405020304" pitchFamily="18" charset="0"/>
                    <a:cs typeface="Times New Roman" panose="02020603050405020304" pitchFamily="18" charset="0"/>
                  </a:rPr>
                  <a:t>API</a:t>
                </a:r>
                <a:r>
                  <a:rPr lang="en-US" baseline="0">
                    <a:solidFill>
                      <a:sysClr val="windowText" lastClr="000000"/>
                    </a:solidFill>
                    <a:latin typeface="Times New Roman" panose="02020603050405020304" pitchFamily="18" charset="0"/>
                    <a:cs typeface="Times New Roman" panose="02020603050405020304" pitchFamily="18" charset="0"/>
                  </a:rPr>
                  <a:t> Gravity </a:t>
                </a:r>
                <a:endParaRPr lang="en-US">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4011120"/>
        <c:crossesAt val="-1.5"/>
        <c:crossBetween val="midCat"/>
      </c:valAx>
      <c:valAx>
        <c:axId val="144011120"/>
        <c:scaling>
          <c:orientation val="minMax"/>
        </c:scaling>
        <c:delete val="0"/>
        <c:axPos val="l"/>
        <c:title>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00" b="0" i="0" baseline="0">
                    <a:solidFill>
                      <a:sysClr val="windowText" lastClr="000000"/>
                    </a:solidFill>
                    <a:effectLst/>
                    <a:latin typeface="Times New Roman" panose="02020603050405020304" pitchFamily="18" charset="0"/>
                    <a:cs typeface="Times New Roman" panose="02020603050405020304" pitchFamily="18" charset="0"/>
                  </a:rPr>
                  <a:t>δ</a:t>
                </a:r>
                <a:r>
                  <a:rPr lang="en-US" sz="1000" b="0" i="0" baseline="30000">
                    <a:solidFill>
                      <a:sysClr val="windowText" lastClr="000000"/>
                    </a:solidFill>
                    <a:effectLst/>
                    <a:latin typeface="Times New Roman" panose="02020603050405020304" pitchFamily="18" charset="0"/>
                    <a:cs typeface="Times New Roman" panose="02020603050405020304" pitchFamily="18" charset="0"/>
                  </a:rPr>
                  <a:t>15</a:t>
                </a:r>
                <a:r>
                  <a:rPr lang="en-US" sz="1000" b="0" i="0" baseline="0">
                    <a:solidFill>
                      <a:sysClr val="windowText" lastClr="000000"/>
                    </a:solidFill>
                    <a:effectLst/>
                    <a:latin typeface="Times New Roman" panose="02020603050405020304" pitchFamily="18" charset="0"/>
                    <a:cs typeface="Times New Roman" panose="02020603050405020304" pitchFamily="18" charset="0"/>
                  </a:rPr>
                  <a:t>N </a:t>
                </a:r>
                <a:r>
                  <a:rPr lang="en-US" sz="1000" b="0" i="0" u="none" strike="noStrike" baseline="0">
                    <a:solidFill>
                      <a:sysClr val="windowText" lastClr="000000"/>
                    </a:solidFill>
                    <a:effectLst/>
                    <a:latin typeface="Times New Roman" panose="02020603050405020304" pitchFamily="18" charset="0"/>
                    <a:cs typeface="Times New Roman" panose="02020603050405020304" pitchFamily="18" charset="0"/>
                  </a:rPr>
                  <a:t>‰</a:t>
                </a:r>
                <a:endParaRPr lang="en-US" sz="1000">
                  <a:solidFill>
                    <a:sysClr val="windowText" lastClr="000000"/>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4006544"/>
        <c:crosses val="autoZero"/>
        <c:crossBetween val="midCat"/>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sz="1400" b="0" i="0" u="none" strike="noStrike" baseline="0">
                <a:solidFill>
                  <a:sysClr val="windowText" lastClr="000000"/>
                </a:solidFill>
                <a:effectLst/>
                <a:latin typeface="Times New Roman" panose="02020603050405020304" pitchFamily="18" charset="0"/>
                <a:cs typeface="Times New Roman" panose="02020603050405020304" pitchFamily="18" charset="0"/>
              </a:rPr>
              <a:t>δ</a:t>
            </a:r>
            <a:r>
              <a:rPr lang="en-US" sz="1400" b="0" i="0" u="none" strike="noStrike" baseline="30000">
                <a:solidFill>
                  <a:sysClr val="windowText" lastClr="000000"/>
                </a:solidFill>
                <a:effectLst/>
                <a:latin typeface="Times New Roman" panose="02020603050405020304" pitchFamily="18" charset="0"/>
                <a:cs typeface="Times New Roman" panose="02020603050405020304" pitchFamily="18" charset="0"/>
              </a:rPr>
              <a:t>15</a:t>
            </a:r>
            <a:r>
              <a:rPr lang="en-US" sz="1400" b="0" i="0" u="none" strike="noStrike" baseline="0">
                <a:solidFill>
                  <a:sysClr val="windowText" lastClr="000000"/>
                </a:solidFill>
                <a:effectLst/>
                <a:latin typeface="Times New Roman" panose="02020603050405020304" pitchFamily="18" charset="0"/>
                <a:cs typeface="Times New Roman" panose="02020603050405020304" pitchFamily="18" charset="0"/>
              </a:rPr>
              <a:t>N NSO Middle East Oils  </a:t>
            </a:r>
            <a:endParaRPr lang="en-US">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manualLayout>
          <c:layoutTarget val="inner"/>
          <c:xMode val="edge"/>
          <c:yMode val="edge"/>
          <c:x val="0.10909011373578302"/>
          <c:y val="0.13611840110699511"/>
          <c:w val="0.84395484218318861"/>
          <c:h val="0.72219916591604227"/>
        </c:manualLayout>
      </c:layout>
      <c:scatterChart>
        <c:scatterStyle val="lineMarker"/>
        <c:varyColors val="0"/>
        <c:ser>
          <c:idx val="0"/>
          <c:order val="0"/>
          <c:spPr>
            <a:ln w="19050" cap="rnd">
              <a:noFill/>
              <a:round/>
            </a:ln>
            <a:effectLst/>
          </c:spPr>
          <c:marker>
            <c:symbol val="circle"/>
            <c:size val="5"/>
            <c:spPr>
              <a:solidFill>
                <a:schemeClr val="tx1"/>
              </a:solidFill>
              <a:ln w="9525">
                <a:solidFill>
                  <a:schemeClr val="tx1"/>
                </a:solidFill>
              </a:ln>
              <a:effectLst/>
            </c:spPr>
          </c:marker>
          <c:dLbls>
            <c:dLbl>
              <c:idx val="0"/>
              <c:tx>
                <c:rich>
                  <a:bodyPr/>
                  <a:lstStyle/>
                  <a:p>
                    <a:r>
                      <a:rPr lang="en-US"/>
                      <a:t>21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BF2-4AC1-97AE-C78CDEC60086}"/>
                </c:ext>
              </c:extLst>
            </c:dLbl>
            <c:dLbl>
              <c:idx val="1"/>
              <c:tx>
                <c:rich>
                  <a:bodyPr/>
                  <a:lstStyle/>
                  <a:p>
                    <a:r>
                      <a:rPr lang="en-US"/>
                      <a:t>27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BF2-4AC1-97AE-C78CDEC60086}"/>
                </c:ext>
              </c:extLst>
            </c:dLbl>
            <c:dLbl>
              <c:idx val="2"/>
              <c:layout>
                <c:manualLayout>
                  <c:x val="-5.128205128205144E-2"/>
                  <c:y val="-3.4812890308694396E-3"/>
                </c:manualLayout>
              </c:layout>
              <c:tx>
                <c:rich>
                  <a:bodyPr/>
                  <a:lstStyle/>
                  <a:p>
                    <a:r>
                      <a:rPr lang="en-US"/>
                      <a:t>26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BF2-4AC1-97AE-C78CDEC60086}"/>
                </c:ext>
              </c:extLst>
            </c:dLbl>
            <c:dLbl>
              <c:idx val="3"/>
              <c:tx>
                <c:rich>
                  <a:bodyPr/>
                  <a:lstStyle/>
                  <a:p>
                    <a:r>
                      <a:rPr lang="en-US"/>
                      <a:t>25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BF2-4AC1-97AE-C78CDEC6008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Dir val="x"/>
            <c:errBarType val="both"/>
            <c:errValType val="fixedVal"/>
            <c:noEndCap val="0"/>
            <c:val val="0"/>
            <c:spPr>
              <a:noFill/>
              <a:ln w="9525" cap="flat" cmpd="sng" algn="ctr">
                <a:solidFill>
                  <a:schemeClr val="tx1">
                    <a:lumMod val="65000"/>
                    <a:lumOff val="35000"/>
                  </a:schemeClr>
                </a:solidFill>
                <a:round/>
              </a:ln>
              <a:effectLst/>
            </c:spPr>
          </c:errBars>
          <c:errBars>
            <c:errDir val="y"/>
            <c:errBarType val="both"/>
            <c:errValType val="cust"/>
            <c:noEndCap val="0"/>
            <c:plus>
              <c:numRef>
                <c:f>Sheet1!$D$12:$D$15</c:f>
                <c:numCache>
                  <c:formatCode>General</c:formatCode>
                  <c:ptCount val="4"/>
                  <c:pt idx="0">
                    <c:v>1.1299999999999999</c:v>
                  </c:pt>
                  <c:pt idx="1">
                    <c:v>0.5</c:v>
                  </c:pt>
                  <c:pt idx="2">
                    <c:v>0.64</c:v>
                  </c:pt>
                  <c:pt idx="3">
                    <c:v>0.61</c:v>
                  </c:pt>
                </c:numCache>
              </c:numRef>
            </c:plus>
            <c:minus>
              <c:numRef>
                <c:f>Sheet1!$D$12:$D$15</c:f>
                <c:numCache>
                  <c:formatCode>General</c:formatCode>
                  <c:ptCount val="4"/>
                  <c:pt idx="0">
                    <c:v>1.1299999999999999</c:v>
                  </c:pt>
                  <c:pt idx="1">
                    <c:v>0.5</c:v>
                  </c:pt>
                  <c:pt idx="2">
                    <c:v>0.64</c:v>
                  </c:pt>
                  <c:pt idx="3">
                    <c:v>0.61</c:v>
                  </c:pt>
                </c:numCache>
              </c:numRef>
            </c:minus>
            <c:spPr>
              <a:noFill/>
              <a:ln w="9525" cap="flat" cmpd="sng" algn="ctr">
                <a:solidFill>
                  <a:schemeClr val="tx1">
                    <a:lumMod val="65000"/>
                    <a:lumOff val="35000"/>
                  </a:schemeClr>
                </a:solidFill>
                <a:round/>
              </a:ln>
              <a:effectLst/>
            </c:spPr>
          </c:errBars>
          <c:xVal>
            <c:numRef>
              <c:f>Sheet1!$B$12:$B$15</c:f>
              <c:numCache>
                <c:formatCode>0.0</c:formatCode>
                <c:ptCount val="4"/>
                <c:pt idx="0">
                  <c:v>27</c:v>
                </c:pt>
                <c:pt idx="1">
                  <c:v>31.7</c:v>
                </c:pt>
                <c:pt idx="2">
                  <c:v>32.9</c:v>
                </c:pt>
                <c:pt idx="3">
                  <c:v>33.200000000000003</c:v>
                </c:pt>
              </c:numCache>
            </c:numRef>
          </c:xVal>
          <c:yVal>
            <c:numRef>
              <c:f>Sheet1!$C$12:$C$15</c:f>
              <c:numCache>
                <c:formatCode>0.00</c:formatCode>
                <c:ptCount val="4"/>
                <c:pt idx="0">
                  <c:v>0.59</c:v>
                </c:pt>
                <c:pt idx="1">
                  <c:v>0.59</c:v>
                </c:pt>
                <c:pt idx="2">
                  <c:v>1.91</c:v>
                </c:pt>
                <c:pt idx="3">
                  <c:v>1.2</c:v>
                </c:pt>
              </c:numCache>
            </c:numRef>
          </c:yVal>
          <c:smooth val="0"/>
          <c:extLst>
            <c:ext xmlns:c16="http://schemas.microsoft.com/office/drawing/2014/chart" uri="{C3380CC4-5D6E-409C-BE32-E72D297353CC}">
              <c16:uniqueId val="{00000004-FBF2-4AC1-97AE-C78CDEC60086}"/>
            </c:ext>
          </c:extLst>
        </c:ser>
        <c:dLbls>
          <c:showLegendKey val="0"/>
          <c:showVal val="0"/>
          <c:showCatName val="0"/>
          <c:showSerName val="0"/>
          <c:showPercent val="0"/>
          <c:showBubbleSize val="0"/>
        </c:dLbls>
        <c:axId val="198119872"/>
        <c:axId val="198120288"/>
      </c:scatterChart>
      <c:valAx>
        <c:axId val="198119872"/>
        <c:scaling>
          <c:orientation val="minMax"/>
          <c:min val="25"/>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latin typeface="Times New Roman" panose="02020603050405020304" pitchFamily="18" charset="0"/>
                    <a:cs typeface="Times New Roman" panose="02020603050405020304" pitchFamily="18" charset="0"/>
                  </a:rPr>
                  <a:t>API</a:t>
                </a:r>
                <a:r>
                  <a:rPr lang="en-US" baseline="0">
                    <a:solidFill>
                      <a:sysClr val="windowText" lastClr="000000"/>
                    </a:solidFill>
                    <a:latin typeface="Times New Roman" panose="02020603050405020304" pitchFamily="18" charset="0"/>
                    <a:cs typeface="Times New Roman" panose="02020603050405020304" pitchFamily="18" charset="0"/>
                  </a:rPr>
                  <a:t> Gravity </a:t>
                </a:r>
                <a:endParaRPr lang="en-US">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8120288"/>
        <c:crossesAt val="-1"/>
        <c:crossBetween val="midCat"/>
      </c:valAx>
      <c:valAx>
        <c:axId val="198120288"/>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sz="1000" b="0" i="0" u="none" strike="noStrike" baseline="0">
                    <a:solidFill>
                      <a:sysClr val="windowText" lastClr="000000"/>
                    </a:solidFill>
                    <a:effectLst/>
                    <a:latin typeface="Times New Roman" panose="02020603050405020304" pitchFamily="18" charset="0"/>
                    <a:cs typeface="Times New Roman" panose="02020603050405020304" pitchFamily="18" charset="0"/>
                  </a:rPr>
                  <a:t>δ</a:t>
                </a:r>
                <a:r>
                  <a:rPr lang="en-US" sz="1000" b="0" i="0" u="none" strike="noStrike" baseline="30000">
                    <a:solidFill>
                      <a:sysClr val="windowText" lastClr="000000"/>
                    </a:solidFill>
                    <a:effectLst/>
                    <a:latin typeface="Times New Roman" panose="02020603050405020304" pitchFamily="18" charset="0"/>
                    <a:cs typeface="Times New Roman" panose="02020603050405020304" pitchFamily="18" charset="0"/>
                  </a:rPr>
                  <a:t>15</a:t>
                </a:r>
                <a:r>
                  <a:rPr lang="en-US" sz="1000" b="0" i="0" u="none" strike="noStrike" baseline="0">
                    <a:solidFill>
                      <a:sysClr val="windowText" lastClr="000000"/>
                    </a:solidFill>
                    <a:effectLst/>
                    <a:latin typeface="Times New Roman" panose="02020603050405020304" pitchFamily="18" charset="0"/>
                    <a:cs typeface="Times New Roman" panose="02020603050405020304" pitchFamily="18" charset="0"/>
                  </a:rPr>
                  <a:t>N </a:t>
                </a:r>
                <a:r>
                  <a:rPr lang="en-US" sz="1000" b="0" i="0" u="none" strike="noStrike" baseline="0">
                    <a:solidFill>
                      <a:sysClr val="windowText" lastClr="000000"/>
                    </a:solidFill>
                    <a:effectLst/>
                  </a:rPr>
                  <a:t>‰</a:t>
                </a:r>
                <a:endParaRPr lang="en-US">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8119872"/>
        <c:crosses val="autoZero"/>
        <c:crossBetween val="midCat"/>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sz="1400" b="0" i="0" u="none" strike="noStrike" baseline="0">
                <a:solidFill>
                  <a:sysClr val="windowText" lastClr="000000"/>
                </a:solidFill>
                <a:effectLst/>
                <a:latin typeface="Times New Roman" panose="02020603050405020304" pitchFamily="18" charset="0"/>
                <a:cs typeface="Times New Roman" panose="02020603050405020304" pitchFamily="18" charset="0"/>
              </a:rPr>
              <a:t>δ</a:t>
            </a:r>
            <a:r>
              <a:rPr lang="en-US" sz="1400" b="0" i="0" u="none" strike="noStrike" baseline="30000">
                <a:solidFill>
                  <a:sysClr val="windowText" lastClr="000000"/>
                </a:solidFill>
                <a:effectLst/>
                <a:latin typeface="Times New Roman" panose="02020603050405020304" pitchFamily="18" charset="0"/>
                <a:cs typeface="Times New Roman" panose="02020603050405020304" pitchFamily="18" charset="0"/>
              </a:rPr>
              <a:t>15</a:t>
            </a:r>
            <a:r>
              <a:rPr lang="en-US" sz="1400" b="0" i="0" u="none" strike="noStrike" baseline="0">
                <a:solidFill>
                  <a:sysClr val="windowText" lastClr="000000"/>
                </a:solidFill>
                <a:effectLst/>
                <a:latin typeface="Times New Roman" panose="02020603050405020304" pitchFamily="18" charset="0"/>
                <a:cs typeface="Times New Roman" panose="02020603050405020304" pitchFamily="18" charset="0"/>
              </a:rPr>
              <a:t>N Asphaltene Middle East Oils </a:t>
            </a:r>
            <a:endParaRPr lang="en-US">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scatterChart>
        <c:scatterStyle val="lineMarker"/>
        <c:varyColors val="0"/>
        <c:ser>
          <c:idx val="0"/>
          <c:order val="0"/>
          <c:spPr>
            <a:ln w="19050" cap="rnd">
              <a:noFill/>
              <a:round/>
            </a:ln>
            <a:effectLst/>
          </c:spPr>
          <c:marker>
            <c:symbol val="circle"/>
            <c:size val="5"/>
            <c:spPr>
              <a:solidFill>
                <a:schemeClr val="tx1"/>
              </a:solidFill>
              <a:ln w="9525">
                <a:solidFill>
                  <a:schemeClr val="tx1"/>
                </a:solidFill>
              </a:ln>
              <a:effectLst/>
            </c:spPr>
          </c:marker>
          <c:dLbls>
            <c:dLbl>
              <c:idx val="0"/>
              <c:tx>
                <c:rich>
                  <a:bodyPr/>
                  <a:lstStyle/>
                  <a:p>
                    <a:r>
                      <a:rPr lang="en-US"/>
                      <a:t>21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A37-4807-81E8-9DEA342E6948}"/>
                </c:ext>
              </c:extLst>
            </c:dLbl>
            <c:dLbl>
              <c:idx val="1"/>
              <c:tx>
                <c:rich>
                  <a:bodyPr/>
                  <a:lstStyle/>
                  <a:p>
                    <a:r>
                      <a:rPr lang="en-US"/>
                      <a:t>27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A37-4807-81E8-9DEA342E6948}"/>
                </c:ext>
              </c:extLst>
            </c:dLbl>
            <c:dLbl>
              <c:idx val="2"/>
              <c:layout>
                <c:manualLayout>
                  <c:x val="-5.4700854700854701E-2"/>
                  <c:y val="-1.0443864229765013E-2"/>
                </c:manualLayout>
              </c:layout>
              <c:tx>
                <c:rich>
                  <a:bodyPr/>
                  <a:lstStyle/>
                  <a:p>
                    <a:r>
                      <a:rPr lang="en-US"/>
                      <a:t>26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A37-4807-81E8-9DEA342E6948}"/>
                </c:ext>
              </c:extLst>
            </c:dLbl>
            <c:dLbl>
              <c:idx val="3"/>
              <c:tx>
                <c:rich>
                  <a:bodyPr/>
                  <a:lstStyle/>
                  <a:p>
                    <a:r>
                      <a:rPr lang="en-US"/>
                      <a:t>25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A37-4807-81E8-9DEA342E694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Dir val="x"/>
            <c:errBarType val="both"/>
            <c:errValType val="fixedVal"/>
            <c:noEndCap val="0"/>
            <c:val val="0"/>
            <c:spPr>
              <a:noFill/>
              <a:ln w="9525" cap="flat" cmpd="sng" algn="ctr">
                <a:solidFill>
                  <a:schemeClr val="tx1">
                    <a:lumMod val="65000"/>
                    <a:lumOff val="35000"/>
                  </a:schemeClr>
                </a:solidFill>
                <a:round/>
              </a:ln>
              <a:effectLst/>
            </c:spPr>
          </c:errBars>
          <c:errBars>
            <c:errDir val="y"/>
            <c:errBarType val="both"/>
            <c:errValType val="cust"/>
            <c:noEndCap val="0"/>
            <c:plus>
              <c:numRef>
                <c:f>Sheet1!$G$12:$G$15</c:f>
                <c:numCache>
                  <c:formatCode>General</c:formatCode>
                  <c:ptCount val="4"/>
                  <c:pt idx="0">
                    <c:v>0.82</c:v>
                  </c:pt>
                  <c:pt idx="1">
                    <c:v>0.33</c:v>
                  </c:pt>
                  <c:pt idx="2">
                    <c:v>0.44</c:v>
                  </c:pt>
                  <c:pt idx="3">
                    <c:v>0.41</c:v>
                  </c:pt>
                </c:numCache>
              </c:numRef>
            </c:plus>
            <c:minus>
              <c:numRef>
                <c:f>Sheet1!$G$12:$G$15</c:f>
                <c:numCache>
                  <c:formatCode>General</c:formatCode>
                  <c:ptCount val="4"/>
                  <c:pt idx="0">
                    <c:v>0.82</c:v>
                  </c:pt>
                  <c:pt idx="1">
                    <c:v>0.33</c:v>
                  </c:pt>
                  <c:pt idx="2">
                    <c:v>0.44</c:v>
                  </c:pt>
                  <c:pt idx="3">
                    <c:v>0.41</c:v>
                  </c:pt>
                </c:numCache>
              </c:numRef>
            </c:minus>
            <c:spPr>
              <a:noFill/>
              <a:ln w="9525" cap="flat" cmpd="sng" algn="ctr">
                <a:solidFill>
                  <a:schemeClr val="tx1">
                    <a:lumMod val="65000"/>
                    <a:lumOff val="35000"/>
                  </a:schemeClr>
                </a:solidFill>
                <a:round/>
              </a:ln>
              <a:effectLst/>
            </c:spPr>
          </c:errBars>
          <c:xVal>
            <c:numRef>
              <c:f>Sheet1!$E$12:$E$15</c:f>
              <c:numCache>
                <c:formatCode>0.0</c:formatCode>
                <c:ptCount val="4"/>
                <c:pt idx="0">
                  <c:v>27</c:v>
                </c:pt>
                <c:pt idx="1">
                  <c:v>31.7</c:v>
                </c:pt>
                <c:pt idx="2">
                  <c:v>32.9</c:v>
                </c:pt>
                <c:pt idx="3">
                  <c:v>33.200000000000003</c:v>
                </c:pt>
              </c:numCache>
            </c:numRef>
          </c:xVal>
          <c:yVal>
            <c:numRef>
              <c:f>Sheet1!$F$12:$F$15</c:f>
              <c:numCache>
                <c:formatCode>0.00</c:formatCode>
                <c:ptCount val="4"/>
                <c:pt idx="0">
                  <c:v>0.51</c:v>
                </c:pt>
                <c:pt idx="1">
                  <c:v>1.46</c:v>
                </c:pt>
                <c:pt idx="2" formatCode="General">
                  <c:v>2.4</c:v>
                </c:pt>
                <c:pt idx="3" formatCode="General">
                  <c:v>2.2000000000000002</c:v>
                </c:pt>
              </c:numCache>
            </c:numRef>
          </c:yVal>
          <c:smooth val="0"/>
          <c:extLst>
            <c:ext xmlns:c16="http://schemas.microsoft.com/office/drawing/2014/chart" uri="{C3380CC4-5D6E-409C-BE32-E72D297353CC}">
              <c16:uniqueId val="{00000004-FA37-4807-81E8-9DEA342E6948}"/>
            </c:ext>
          </c:extLst>
        </c:ser>
        <c:dLbls>
          <c:showLegendKey val="0"/>
          <c:showVal val="0"/>
          <c:showCatName val="0"/>
          <c:showSerName val="0"/>
          <c:showPercent val="0"/>
          <c:showBubbleSize val="0"/>
        </c:dLbls>
        <c:axId val="136933840"/>
        <c:axId val="136934672"/>
      </c:scatterChart>
      <c:valAx>
        <c:axId val="136933840"/>
        <c:scaling>
          <c:orientation val="minMax"/>
          <c:min val="25"/>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latin typeface="Times New Roman" panose="02020603050405020304" pitchFamily="18" charset="0"/>
                    <a:cs typeface="Times New Roman" panose="02020603050405020304" pitchFamily="18" charset="0"/>
                  </a:rPr>
                  <a:t>API</a:t>
                </a:r>
                <a:r>
                  <a:rPr lang="en-US" baseline="0">
                    <a:solidFill>
                      <a:sysClr val="windowText" lastClr="000000"/>
                    </a:solidFill>
                    <a:latin typeface="Times New Roman" panose="02020603050405020304" pitchFamily="18" charset="0"/>
                    <a:cs typeface="Times New Roman" panose="02020603050405020304" pitchFamily="18" charset="0"/>
                  </a:rPr>
                  <a:t> Gravity </a:t>
                </a:r>
                <a:endParaRPr lang="en-US">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6934672"/>
        <c:crossesAt val="-0.5"/>
        <c:crossBetween val="midCat"/>
      </c:valAx>
      <c:valAx>
        <c:axId val="136934672"/>
        <c:scaling>
          <c:orientation val="minMax"/>
        </c:scaling>
        <c:delete val="0"/>
        <c:axPos val="l"/>
        <c:title>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solidFill>
                    <a:latin typeface="+mn-lt"/>
                    <a:ea typeface="+mn-ea"/>
                    <a:cs typeface="+mn-cs"/>
                  </a:defRPr>
                </a:pPr>
                <a:r>
                  <a:rPr lang="en-US" sz="1000" b="0" i="0" baseline="0">
                    <a:solidFill>
                      <a:sysClr val="windowText" lastClr="000000"/>
                    </a:solidFill>
                    <a:effectLst/>
                    <a:latin typeface="Times New Roman" panose="02020603050405020304" pitchFamily="18" charset="0"/>
                    <a:cs typeface="Times New Roman" panose="02020603050405020304" pitchFamily="18" charset="0"/>
                  </a:rPr>
                  <a:t>δ</a:t>
                </a:r>
                <a:r>
                  <a:rPr lang="en-US" sz="1000" b="0" i="0" baseline="30000">
                    <a:solidFill>
                      <a:sysClr val="windowText" lastClr="000000"/>
                    </a:solidFill>
                    <a:effectLst/>
                    <a:latin typeface="Times New Roman" panose="02020603050405020304" pitchFamily="18" charset="0"/>
                    <a:cs typeface="Times New Roman" panose="02020603050405020304" pitchFamily="18" charset="0"/>
                  </a:rPr>
                  <a:t>15</a:t>
                </a:r>
                <a:r>
                  <a:rPr lang="en-US" sz="1000" b="0" i="0" baseline="0">
                    <a:solidFill>
                      <a:sysClr val="windowText" lastClr="000000"/>
                    </a:solidFill>
                    <a:effectLst/>
                    <a:latin typeface="Times New Roman" panose="02020603050405020304" pitchFamily="18" charset="0"/>
                    <a:cs typeface="Times New Roman" panose="02020603050405020304" pitchFamily="18" charset="0"/>
                  </a:rPr>
                  <a:t>N </a:t>
                </a:r>
                <a:r>
                  <a:rPr lang="en-US" sz="1000" b="0" i="0" u="none" strike="noStrike" baseline="0">
                    <a:solidFill>
                      <a:sysClr val="windowText" lastClr="000000"/>
                    </a:solidFill>
                    <a:effectLst/>
                  </a:rPr>
                  <a:t>‰</a:t>
                </a:r>
                <a:endParaRPr lang="en-US" sz="1000">
                  <a:solidFill>
                    <a:sysClr val="windowText" lastClr="000000"/>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6933840"/>
        <c:crosses val="autoZero"/>
        <c:crossBetween val="midCat"/>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sz="1400" b="0" i="0" u="none" strike="noStrike" baseline="0">
                <a:solidFill>
                  <a:sysClr val="windowText" lastClr="000000"/>
                </a:solidFill>
                <a:effectLst/>
                <a:latin typeface="Times New Roman" panose="02020603050405020304" pitchFamily="18" charset="0"/>
                <a:cs typeface="Times New Roman" panose="02020603050405020304" pitchFamily="18" charset="0"/>
              </a:rPr>
              <a:t>δ</a:t>
            </a:r>
            <a:r>
              <a:rPr lang="en-US" sz="1400" b="0" i="0" u="none" strike="noStrike" baseline="30000">
                <a:solidFill>
                  <a:sysClr val="windowText" lastClr="000000"/>
                </a:solidFill>
                <a:effectLst/>
                <a:latin typeface="Times New Roman" panose="02020603050405020304" pitchFamily="18" charset="0"/>
                <a:cs typeface="Times New Roman" panose="02020603050405020304" pitchFamily="18" charset="0"/>
              </a:rPr>
              <a:t>15</a:t>
            </a:r>
            <a:r>
              <a:rPr lang="en-US" sz="1400" b="0" i="0" u="none" strike="noStrike" baseline="0">
                <a:solidFill>
                  <a:sysClr val="windowText" lastClr="000000"/>
                </a:solidFill>
                <a:effectLst/>
                <a:latin typeface="Times New Roman" panose="02020603050405020304" pitchFamily="18" charset="0"/>
                <a:cs typeface="Times New Roman" panose="02020603050405020304" pitchFamily="18" charset="0"/>
              </a:rPr>
              <a:t>N NSO and Asphaltene Middle East Oils  </a:t>
            </a:r>
            <a:endParaRPr lang="en-US">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scatterChart>
        <c:scatterStyle val="lineMarker"/>
        <c:varyColors val="0"/>
        <c:ser>
          <c:idx val="0"/>
          <c:order val="0"/>
          <c:tx>
            <c:v>NSO</c:v>
          </c:tx>
          <c:spPr>
            <a:ln w="19050" cap="rnd">
              <a:noFill/>
              <a:round/>
            </a:ln>
            <a:effectLst/>
          </c:spPr>
          <c:marker>
            <c:symbol val="circle"/>
            <c:size val="5"/>
            <c:spPr>
              <a:solidFill>
                <a:schemeClr val="accent1"/>
              </a:solidFill>
              <a:ln w="9525">
                <a:solidFill>
                  <a:schemeClr val="accent1"/>
                </a:solidFill>
              </a:ln>
              <a:effectLst/>
            </c:spPr>
          </c:marker>
          <c:dLbls>
            <c:dLbl>
              <c:idx val="0"/>
              <c:tx>
                <c:rich>
                  <a:bodyPr/>
                  <a:lstStyle/>
                  <a:p>
                    <a:r>
                      <a:rPr lang="en-US"/>
                      <a:t>21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340-4A6F-8760-C5F9A8B09CBA}"/>
                </c:ext>
              </c:extLst>
            </c:dLbl>
            <c:dLbl>
              <c:idx val="1"/>
              <c:layout>
                <c:manualLayout>
                  <c:x val="-1.043296989357064E-2"/>
                  <c:y val="-4.5197726708564527E-2"/>
                </c:manualLayout>
              </c:layout>
              <c:tx>
                <c:rich>
                  <a:bodyPr/>
                  <a:lstStyle/>
                  <a:p>
                    <a:r>
                      <a:rPr lang="en-US"/>
                      <a:t>27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340-4A6F-8760-C5F9A8B09CBA}"/>
                </c:ext>
              </c:extLst>
            </c:dLbl>
            <c:dLbl>
              <c:idx val="2"/>
              <c:layout>
                <c:manualLayout>
                  <c:x val="-4.7991661510424589E-2"/>
                  <c:y val="-3.7664772257137102E-2"/>
                </c:manualLayout>
              </c:layout>
              <c:tx>
                <c:rich>
                  <a:bodyPr/>
                  <a:lstStyle/>
                  <a:p>
                    <a:r>
                      <a:rPr lang="en-US"/>
                      <a:t>26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340-4A6F-8760-C5F9A8B09CBA}"/>
                </c:ext>
              </c:extLst>
            </c:dLbl>
            <c:dLbl>
              <c:idx val="3"/>
              <c:layout>
                <c:manualLayout>
                  <c:x val="-8.3463759148566033E-3"/>
                  <c:y val="-5.6497158385705654E-2"/>
                </c:manualLayout>
              </c:layout>
              <c:tx>
                <c:rich>
                  <a:bodyPr/>
                  <a:lstStyle/>
                  <a:p>
                    <a:r>
                      <a:rPr lang="en-US"/>
                      <a:t>25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340-4A6F-8760-C5F9A8B09CB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Dir val="x"/>
            <c:errBarType val="both"/>
            <c:errValType val="fixedVal"/>
            <c:noEndCap val="0"/>
            <c:val val="0"/>
            <c:spPr>
              <a:noFill/>
              <a:ln w="9525" cap="flat" cmpd="sng" algn="ctr">
                <a:solidFill>
                  <a:schemeClr val="tx1">
                    <a:lumMod val="65000"/>
                    <a:lumOff val="35000"/>
                  </a:schemeClr>
                </a:solidFill>
                <a:round/>
              </a:ln>
              <a:effectLst/>
            </c:spPr>
          </c:errBars>
          <c:errBars>
            <c:errDir val="y"/>
            <c:errBarType val="both"/>
            <c:errValType val="cust"/>
            <c:noEndCap val="0"/>
            <c:plus>
              <c:numRef>
                <c:f>Sheet1!$D$12:$D$15</c:f>
                <c:numCache>
                  <c:formatCode>General</c:formatCode>
                  <c:ptCount val="4"/>
                  <c:pt idx="0">
                    <c:v>1.1299999999999999</c:v>
                  </c:pt>
                  <c:pt idx="1">
                    <c:v>0.5</c:v>
                  </c:pt>
                  <c:pt idx="2">
                    <c:v>0.64</c:v>
                  </c:pt>
                  <c:pt idx="3">
                    <c:v>0.61</c:v>
                  </c:pt>
                </c:numCache>
              </c:numRef>
            </c:plus>
            <c:minus>
              <c:numRef>
                <c:f>Sheet1!$D$12:$D$15</c:f>
                <c:numCache>
                  <c:formatCode>General</c:formatCode>
                  <c:ptCount val="4"/>
                  <c:pt idx="0">
                    <c:v>1.1299999999999999</c:v>
                  </c:pt>
                  <c:pt idx="1">
                    <c:v>0.5</c:v>
                  </c:pt>
                  <c:pt idx="2">
                    <c:v>0.64</c:v>
                  </c:pt>
                  <c:pt idx="3">
                    <c:v>0.61</c:v>
                  </c:pt>
                </c:numCache>
              </c:numRef>
            </c:minus>
            <c:spPr>
              <a:noFill/>
              <a:ln w="9525" cap="flat" cmpd="sng" algn="ctr">
                <a:solidFill>
                  <a:schemeClr val="tx1">
                    <a:lumMod val="65000"/>
                    <a:lumOff val="35000"/>
                  </a:schemeClr>
                </a:solidFill>
                <a:round/>
              </a:ln>
              <a:effectLst/>
            </c:spPr>
          </c:errBars>
          <c:xVal>
            <c:numRef>
              <c:f>Sheet1!$B$12:$B$15</c:f>
              <c:numCache>
                <c:formatCode>0.0</c:formatCode>
                <c:ptCount val="4"/>
                <c:pt idx="0">
                  <c:v>27</c:v>
                </c:pt>
                <c:pt idx="1">
                  <c:v>31.7</c:v>
                </c:pt>
                <c:pt idx="2">
                  <c:v>32.9</c:v>
                </c:pt>
                <c:pt idx="3">
                  <c:v>33.200000000000003</c:v>
                </c:pt>
              </c:numCache>
            </c:numRef>
          </c:xVal>
          <c:yVal>
            <c:numRef>
              <c:f>Sheet1!$C$12:$C$15</c:f>
              <c:numCache>
                <c:formatCode>0.00</c:formatCode>
                <c:ptCount val="4"/>
                <c:pt idx="0">
                  <c:v>0.59</c:v>
                </c:pt>
                <c:pt idx="1">
                  <c:v>0.59</c:v>
                </c:pt>
                <c:pt idx="2">
                  <c:v>1.91</c:v>
                </c:pt>
                <c:pt idx="3">
                  <c:v>1.2</c:v>
                </c:pt>
              </c:numCache>
            </c:numRef>
          </c:yVal>
          <c:smooth val="0"/>
          <c:extLst>
            <c:ext xmlns:c16="http://schemas.microsoft.com/office/drawing/2014/chart" uri="{C3380CC4-5D6E-409C-BE32-E72D297353CC}">
              <c16:uniqueId val="{00000004-5340-4A6F-8760-C5F9A8B09CBA}"/>
            </c:ext>
          </c:extLst>
        </c:ser>
        <c:ser>
          <c:idx val="1"/>
          <c:order val="1"/>
          <c:tx>
            <c:v>Asphaltene</c:v>
          </c:tx>
          <c:spPr>
            <a:ln w="25400" cap="rnd">
              <a:noFill/>
              <a:round/>
            </a:ln>
            <a:effectLst/>
          </c:spPr>
          <c:marker>
            <c:symbol val="triangle"/>
            <c:size val="7"/>
            <c:spPr>
              <a:solidFill>
                <a:schemeClr val="tx1"/>
              </a:solidFill>
              <a:ln w="9525">
                <a:solidFill>
                  <a:schemeClr val="tx1"/>
                </a:solidFill>
              </a:ln>
              <a:effectLst/>
            </c:spPr>
          </c:marker>
          <c:errBars>
            <c:errDir val="x"/>
            <c:errBarType val="both"/>
            <c:errValType val="fixedVal"/>
            <c:noEndCap val="0"/>
            <c:val val="0"/>
            <c:spPr>
              <a:noFill/>
              <a:ln w="9525" cap="flat" cmpd="sng" algn="ctr">
                <a:solidFill>
                  <a:schemeClr val="tx1">
                    <a:lumMod val="65000"/>
                    <a:lumOff val="35000"/>
                  </a:schemeClr>
                </a:solidFill>
                <a:round/>
              </a:ln>
              <a:effectLst/>
            </c:spPr>
          </c:errBars>
          <c:errBars>
            <c:errDir val="y"/>
            <c:errBarType val="both"/>
            <c:errValType val="cust"/>
            <c:noEndCap val="0"/>
            <c:plus>
              <c:numRef>
                <c:f>Sheet1!$G$12:$G$15</c:f>
                <c:numCache>
                  <c:formatCode>General</c:formatCode>
                  <c:ptCount val="4"/>
                  <c:pt idx="0">
                    <c:v>0.82</c:v>
                  </c:pt>
                  <c:pt idx="1">
                    <c:v>0.33</c:v>
                  </c:pt>
                  <c:pt idx="2">
                    <c:v>0.44</c:v>
                  </c:pt>
                  <c:pt idx="3">
                    <c:v>0.41</c:v>
                  </c:pt>
                </c:numCache>
              </c:numRef>
            </c:plus>
            <c:minus>
              <c:numRef>
                <c:f>Sheet1!$G$12:$G$15</c:f>
                <c:numCache>
                  <c:formatCode>General</c:formatCode>
                  <c:ptCount val="4"/>
                  <c:pt idx="0">
                    <c:v>0.82</c:v>
                  </c:pt>
                  <c:pt idx="1">
                    <c:v>0.33</c:v>
                  </c:pt>
                  <c:pt idx="2">
                    <c:v>0.44</c:v>
                  </c:pt>
                  <c:pt idx="3">
                    <c:v>0.41</c:v>
                  </c:pt>
                </c:numCache>
              </c:numRef>
            </c:minus>
            <c:spPr>
              <a:noFill/>
              <a:ln w="9525" cap="flat" cmpd="sng" algn="ctr">
                <a:solidFill>
                  <a:schemeClr val="tx1">
                    <a:lumMod val="65000"/>
                    <a:lumOff val="35000"/>
                  </a:schemeClr>
                </a:solidFill>
                <a:round/>
              </a:ln>
              <a:effectLst/>
            </c:spPr>
          </c:errBars>
          <c:xVal>
            <c:numRef>
              <c:f>Sheet1!$E$12:$E$15</c:f>
              <c:numCache>
                <c:formatCode>0.0</c:formatCode>
                <c:ptCount val="4"/>
                <c:pt idx="0">
                  <c:v>27</c:v>
                </c:pt>
                <c:pt idx="1">
                  <c:v>31.7</c:v>
                </c:pt>
                <c:pt idx="2">
                  <c:v>32.9</c:v>
                </c:pt>
                <c:pt idx="3">
                  <c:v>33.200000000000003</c:v>
                </c:pt>
              </c:numCache>
            </c:numRef>
          </c:xVal>
          <c:yVal>
            <c:numRef>
              <c:f>Sheet1!$F$12:$F$15</c:f>
              <c:numCache>
                <c:formatCode>0.00</c:formatCode>
                <c:ptCount val="4"/>
                <c:pt idx="0">
                  <c:v>0.51</c:v>
                </c:pt>
                <c:pt idx="1">
                  <c:v>1.46</c:v>
                </c:pt>
                <c:pt idx="2" formatCode="General">
                  <c:v>2.4</c:v>
                </c:pt>
                <c:pt idx="3" formatCode="General">
                  <c:v>2.2000000000000002</c:v>
                </c:pt>
              </c:numCache>
            </c:numRef>
          </c:yVal>
          <c:smooth val="0"/>
          <c:extLst>
            <c:ext xmlns:c16="http://schemas.microsoft.com/office/drawing/2014/chart" uri="{C3380CC4-5D6E-409C-BE32-E72D297353CC}">
              <c16:uniqueId val="{00000005-5340-4A6F-8760-C5F9A8B09CBA}"/>
            </c:ext>
          </c:extLst>
        </c:ser>
        <c:dLbls>
          <c:showLegendKey val="0"/>
          <c:showVal val="0"/>
          <c:showCatName val="0"/>
          <c:showSerName val="0"/>
          <c:showPercent val="0"/>
          <c:showBubbleSize val="0"/>
        </c:dLbls>
        <c:axId val="198114880"/>
        <c:axId val="198108224"/>
      </c:scatterChart>
      <c:valAx>
        <c:axId val="198114880"/>
        <c:scaling>
          <c:orientation val="minMax"/>
          <c:min val="25"/>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solidFill>
                      <a:sysClr val="windowText" lastClr="000000"/>
                    </a:solidFill>
                    <a:latin typeface="Times New Roman" panose="02020603050405020304" pitchFamily="18" charset="0"/>
                    <a:cs typeface="Times New Roman" panose="02020603050405020304" pitchFamily="18" charset="0"/>
                  </a:rPr>
                  <a:t>API Gravity </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8108224"/>
        <c:crossesAt val="-5"/>
        <c:crossBetween val="midCat"/>
      </c:valAx>
      <c:valAx>
        <c:axId val="198108224"/>
        <c:scaling>
          <c:orientation val="minMax"/>
        </c:scaling>
        <c:delete val="0"/>
        <c:axPos val="l"/>
        <c:title>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solidFill>
                    <a:latin typeface="+mn-lt"/>
                    <a:ea typeface="+mn-ea"/>
                    <a:cs typeface="+mn-cs"/>
                  </a:defRPr>
                </a:pPr>
                <a:r>
                  <a:rPr lang="en-US" sz="1000" b="0" i="0" baseline="0">
                    <a:solidFill>
                      <a:sysClr val="windowText" lastClr="000000"/>
                    </a:solidFill>
                    <a:effectLst/>
                    <a:latin typeface="Times New Roman" panose="02020603050405020304" pitchFamily="18" charset="0"/>
                    <a:cs typeface="Times New Roman" panose="02020603050405020304" pitchFamily="18" charset="0"/>
                  </a:rPr>
                  <a:t>δ</a:t>
                </a:r>
                <a:r>
                  <a:rPr lang="en-US" sz="1000" b="0" i="0" baseline="30000">
                    <a:solidFill>
                      <a:sysClr val="windowText" lastClr="000000"/>
                    </a:solidFill>
                    <a:effectLst/>
                    <a:latin typeface="Times New Roman" panose="02020603050405020304" pitchFamily="18" charset="0"/>
                    <a:cs typeface="Times New Roman" panose="02020603050405020304" pitchFamily="18" charset="0"/>
                  </a:rPr>
                  <a:t>15</a:t>
                </a:r>
                <a:r>
                  <a:rPr lang="en-US" sz="1000" b="0" i="0" baseline="0">
                    <a:solidFill>
                      <a:sysClr val="windowText" lastClr="000000"/>
                    </a:solidFill>
                    <a:effectLst/>
                    <a:latin typeface="Times New Roman" panose="02020603050405020304" pitchFamily="18" charset="0"/>
                    <a:cs typeface="Times New Roman" panose="02020603050405020304" pitchFamily="18" charset="0"/>
                  </a:rPr>
                  <a:t>N ‰</a:t>
                </a:r>
                <a:endParaRPr lang="en-US" sz="1000">
                  <a:solidFill>
                    <a:sysClr val="windowText" lastClr="000000"/>
                  </a:solidFill>
                  <a:effectLst/>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8114880"/>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Siliciclastic</a:t>
            </a:r>
            <a:r>
              <a:rPr lang="en-US" baseline="0"/>
              <a:t> </a:t>
            </a:r>
            <a:r>
              <a:rPr lang="el-GR" baseline="0">
                <a:latin typeface="Times New Roman" panose="02020603050405020304" pitchFamily="18" charset="0"/>
                <a:cs typeface="Times New Roman" panose="02020603050405020304" pitchFamily="18" charset="0"/>
              </a:rPr>
              <a:t>δ</a:t>
            </a:r>
            <a:r>
              <a:rPr lang="en-US" baseline="30000">
                <a:latin typeface="Times New Roman" panose="02020603050405020304" pitchFamily="18" charset="0"/>
                <a:cs typeface="Times New Roman" panose="02020603050405020304" pitchFamily="18" charset="0"/>
              </a:rPr>
              <a:t>15</a:t>
            </a:r>
            <a:r>
              <a:rPr lang="en-US" baseline="0">
                <a:latin typeface="Times New Roman" panose="02020603050405020304" pitchFamily="18" charset="0"/>
                <a:cs typeface="Times New Roman" panose="02020603050405020304" pitchFamily="18" charset="0"/>
              </a:rPr>
              <a:t>N NSO</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19050" cap="rnd">
              <a:noFill/>
              <a:round/>
            </a:ln>
            <a:effectLst/>
          </c:spPr>
          <c:marker>
            <c:symbol val="circle"/>
            <c:size val="5"/>
            <c:spPr>
              <a:solidFill>
                <a:schemeClr val="tx1"/>
              </a:solidFill>
              <a:ln w="9525">
                <a:solidFill>
                  <a:schemeClr val="tx1"/>
                </a:solidFill>
              </a:ln>
              <a:effectLst/>
            </c:spPr>
          </c:marker>
          <c:xVal>
            <c:numRef>
              <c:f>Sheet1!$D$7:$D$36</c:f>
              <c:numCache>
                <c:formatCode>General</c:formatCode>
                <c:ptCount val="30"/>
                <c:pt idx="0">
                  <c:v>13.8</c:v>
                </c:pt>
                <c:pt idx="1">
                  <c:v>14</c:v>
                </c:pt>
                <c:pt idx="2">
                  <c:v>14.9</c:v>
                </c:pt>
                <c:pt idx="3">
                  <c:v>28.1</c:v>
                </c:pt>
                <c:pt idx="4">
                  <c:v>33.9</c:v>
                </c:pt>
                <c:pt idx="5">
                  <c:v>49.8</c:v>
                </c:pt>
                <c:pt idx="6">
                  <c:v>76.2</c:v>
                </c:pt>
                <c:pt idx="7">
                  <c:v>77.400000000000006</c:v>
                </c:pt>
                <c:pt idx="8">
                  <c:v>92.9</c:v>
                </c:pt>
                <c:pt idx="9">
                  <c:v>93.3</c:v>
                </c:pt>
                <c:pt idx="10">
                  <c:v>93.9</c:v>
                </c:pt>
                <c:pt idx="11">
                  <c:v>100</c:v>
                </c:pt>
                <c:pt idx="12">
                  <c:v>105.2</c:v>
                </c:pt>
                <c:pt idx="13">
                  <c:v>108.4</c:v>
                </c:pt>
                <c:pt idx="14">
                  <c:v>148.9</c:v>
                </c:pt>
                <c:pt idx="15">
                  <c:v>155.5</c:v>
                </c:pt>
                <c:pt idx="16">
                  <c:v>156.5</c:v>
                </c:pt>
                <c:pt idx="17">
                  <c:v>168.3</c:v>
                </c:pt>
                <c:pt idx="18">
                  <c:v>179.4</c:v>
                </c:pt>
                <c:pt idx="19">
                  <c:v>279.10000000000002</c:v>
                </c:pt>
                <c:pt idx="20">
                  <c:v>280.39999999999998</c:v>
                </c:pt>
                <c:pt idx="21">
                  <c:v>298.89999999999998</c:v>
                </c:pt>
                <c:pt idx="22">
                  <c:v>307.60000000000002</c:v>
                </c:pt>
                <c:pt idx="23">
                  <c:v>339.9</c:v>
                </c:pt>
                <c:pt idx="24">
                  <c:v>360.9</c:v>
                </c:pt>
                <c:pt idx="25">
                  <c:v>366.1</c:v>
                </c:pt>
                <c:pt idx="26">
                  <c:v>388.1</c:v>
                </c:pt>
                <c:pt idx="27">
                  <c:v>444</c:v>
                </c:pt>
                <c:pt idx="28">
                  <c:v>465.5</c:v>
                </c:pt>
                <c:pt idx="29">
                  <c:v>541</c:v>
                </c:pt>
              </c:numCache>
            </c:numRef>
          </c:xVal>
          <c:yVal>
            <c:numRef>
              <c:f>Sheet1!$E$7:$E$36</c:f>
              <c:numCache>
                <c:formatCode>General</c:formatCode>
                <c:ptCount val="30"/>
                <c:pt idx="0">
                  <c:v>7.92</c:v>
                </c:pt>
                <c:pt idx="1">
                  <c:v>6.2</c:v>
                </c:pt>
                <c:pt idx="2">
                  <c:v>3.04</c:v>
                </c:pt>
                <c:pt idx="3">
                  <c:v>7.0000000000000007E-2</c:v>
                </c:pt>
                <c:pt idx="4">
                  <c:v>1.78</c:v>
                </c:pt>
                <c:pt idx="5">
                  <c:v>2.1800000000000002</c:v>
                </c:pt>
                <c:pt idx="6">
                  <c:v>5.42</c:v>
                </c:pt>
                <c:pt idx="7">
                  <c:v>-1.6</c:v>
                </c:pt>
                <c:pt idx="8">
                  <c:v>1.44</c:v>
                </c:pt>
                <c:pt idx="9">
                  <c:v>-0.06</c:v>
                </c:pt>
                <c:pt idx="10">
                  <c:v>-0.24</c:v>
                </c:pt>
                <c:pt idx="11">
                  <c:v>0.8</c:v>
                </c:pt>
                <c:pt idx="12">
                  <c:v>-0.23</c:v>
                </c:pt>
                <c:pt idx="13">
                  <c:v>-0.37</c:v>
                </c:pt>
                <c:pt idx="14">
                  <c:v>-0.25</c:v>
                </c:pt>
                <c:pt idx="15">
                  <c:v>1.74</c:v>
                </c:pt>
                <c:pt idx="16">
                  <c:v>1.1399999999999999</c:v>
                </c:pt>
                <c:pt idx="17">
                  <c:v>1.1100000000000001</c:v>
                </c:pt>
                <c:pt idx="18">
                  <c:v>0.79</c:v>
                </c:pt>
                <c:pt idx="19">
                  <c:v>8.33</c:v>
                </c:pt>
                <c:pt idx="20">
                  <c:v>11.93</c:v>
                </c:pt>
                <c:pt idx="21">
                  <c:v>15.57</c:v>
                </c:pt>
                <c:pt idx="22">
                  <c:v>3.93</c:v>
                </c:pt>
                <c:pt idx="23">
                  <c:v>9.7200000000000006</c:v>
                </c:pt>
                <c:pt idx="24">
                  <c:v>0.87</c:v>
                </c:pt>
                <c:pt idx="25">
                  <c:v>-0.68</c:v>
                </c:pt>
                <c:pt idx="26">
                  <c:v>0.45</c:v>
                </c:pt>
                <c:pt idx="27">
                  <c:v>-0.93</c:v>
                </c:pt>
                <c:pt idx="28">
                  <c:v>5.6</c:v>
                </c:pt>
                <c:pt idx="29">
                  <c:v>2.61</c:v>
                </c:pt>
              </c:numCache>
            </c:numRef>
          </c:yVal>
          <c:smooth val="0"/>
          <c:extLst>
            <c:ext xmlns:c16="http://schemas.microsoft.com/office/drawing/2014/chart" uri="{C3380CC4-5D6E-409C-BE32-E72D297353CC}">
              <c16:uniqueId val="{00000000-9F46-4701-8259-8127F52CBEAB}"/>
            </c:ext>
          </c:extLst>
        </c:ser>
        <c:dLbls>
          <c:showLegendKey val="0"/>
          <c:showVal val="0"/>
          <c:showCatName val="0"/>
          <c:showSerName val="0"/>
          <c:showPercent val="0"/>
          <c:showBubbleSize val="0"/>
        </c:dLbls>
        <c:axId val="483713424"/>
        <c:axId val="483719000"/>
      </c:scatterChart>
      <c:valAx>
        <c:axId val="483713424"/>
        <c:scaling>
          <c:orientation val="maxMin"/>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Millions</a:t>
                </a:r>
                <a:r>
                  <a:rPr lang="en-US" baseline="0"/>
                  <a:t> of years </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3719000"/>
        <c:crossesAt val="-4"/>
        <c:crossBetween val="midCat"/>
      </c:valAx>
      <c:valAx>
        <c:axId val="48371900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δ</a:t>
                </a:r>
                <a:r>
                  <a:rPr lang="en-US" baseline="30000">
                    <a:latin typeface="Times New Roman" panose="02020603050405020304" pitchFamily="18" charset="0"/>
                    <a:cs typeface="Times New Roman" panose="02020603050405020304" pitchFamily="18" charset="0"/>
                  </a:rPr>
                  <a:t>15</a:t>
                </a:r>
                <a:r>
                  <a:rPr lang="en-US">
                    <a:latin typeface="Times New Roman" panose="02020603050405020304" pitchFamily="18" charset="0"/>
                    <a:cs typeface="Times New Roman" panose="02020603050405020304" pitchFamily="18" charset="0"/>
                  </a:rPr>
                  <a:t>N</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3713424"/>
        <c:crosses val="max"/>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 Siliciclastic</a:t>
            </a:r>
            <a:r>
              <a:rPr lang="en-US" baseline="0"/>
              <a:t> </a:t>
            </a:r>
            <a:r>
              <a:rPr lang="el-GR" baseline="0">
                <a:latin typeface="Times New Roman" panose="02020603050405020304" pitchFamily="18" charset="0"/>
                <a:cs typeface="Times New Roman" panose="02020603050405020304" pitchFamily="18" charset="0"/>
              </a:rPr>
              <a:t>δ</a:t>
            </a:r>
            <a:r>
              <a:rPr lang="en-US" baseline="0">
                <a:latin typeface="Times New Roman" panose="02020603050405020304" pitchFamily="18" charset="0"/>
                <a:cs typeface="Times New Roman" panose="02020603050405020304" pitchFamily="18" charset="0"/>
              </a:rPr>
              <a:t>15N Aspaltene</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19050" cap="rnd">
              <a:noFill/>
              <a:round/>
            </a:ln>
            <a:effectLst/>
          </c:spPr>
          <c:marker>
            <c:symbol val="circle"/>
            <c:size val="5"/>
            <c:spPr>
              <a:solidFill>
                <a:schemeClr val="tx1"/>
              </a:solidFill>
              <a:ln w="9525">
                <a:solidFill>
                  <a:schemeClr val="tx1"/>
                </a:solidFill>
              </a:ln>
              <a:effectLst/>
            </c:spPr>
          </c:marker>
          <c:xVal>
            <c:numRef>
              <c:f>Sheet1!$V$7:$V$33</c:f>
              <c:numCache>
                <c:formatCode>General</c:formatCode>
                <c:ptCount val="27"/>
                <c:pt idx="0">
                  <c:v>13.8</c:v>
                </c:pt>
                <c:pt idx="1">
                  <c:v>14</c:v>
                </c:pt>
                <c:pt idx="2">
                  <c:v>14.9</c:v>
                </c:pt>
                <c:pt idx="3">
                  <c:v>28.1</c:v>
                </c:pt>
                <c:pt idx="4">
                  <c:v>33.9</c:v>
                </c:pt>
                <c:pt idx="5">
                  <c:v>33.9</c:v>
                </c:pt>
                <c:pt idx="6">
                  <c:v>76.2</c:v>
                </c:pt>
                <c:pt idx="7">
                  <c:v>77.400000000000006</c:v>
                </c:pt>
                <c:pt idx="8">
                  <c:v>92.9</c:v>
                </c:pt>
                <c:pt idx="9">
                  <c:v>93.3</c:v>
                </c:pt>
                <c:pt idx="10">
                  <c:v>93.9</c:v>
                </c:pt>
                <c:pt idx="11">
                  <c:v>100</c:v>
                </c:pt>
                <c:pt idx="12">
                  <c:v>105.2</c:v>
                </c:pt>
                <c:pt idx="13">
                  <c:v>108.4</c:v>
                </c:pt>
                <c:pt idx="14">
                  <c:v>148.9</c:v>
                </c:pt>
                <c:pt idx="15">
                  <c:v>155.5</c:v>
                </c:pt>
                <c:pt idx="16">
                  <c:v>156.5</c:v>
                </c:pt>
                <c:pt idx="17">
                  <c:v>168.3</c:v>
                </c:pt>
                <c:pt idx="18">
                  <c:v>179.4</c:v>
                </c:pt>
                <c:pt idx="19">
                  <c:v>279.10000000000002</c:v>
                </c:pt>
                <c:pt idx="20">
                  <c:v>280.39999999999998</c:v>
                </c:pt>
                <c:pt idx="21">
                  <c:v>307.60000000000002</c:v>
                </c:pt>
                <c:pt idx="22">
                  <c:v>360.9</c:v>
                </c:pt>
                <c:pt idx="23">
                  <c:v>366.1</c:v>
                </c:pt>
                <c:pt idx="24">
                  <c:v>444</c:v>
                </c:pt>
                <c:pt idx="25">
                  <c:v>465.5</c:v>
                </c:pt>
                <c:pt idx="26">
                  <c:v>541</c:v>
                </c:pt>
              </c:numCache>
            </c:numRef>
          </c:xVal>
          <c:yVal>
            <c:numRef>
              <c:f>Sheet1!$W$7:$W$33</c:f>
              <c:numCache>
                <c:formatCode>General</c:formatCode>
                <c:ptCount val="27"/>
                <c:pt idx="0">
                  <c:v>7.44</c:v>
                </c:pt>
                <c:pt idx="1">
                  <c:v>5.61</c:v>
                </c:pt>
                <c:pt idx="2">
                  <c:v>4.22</c:v>
                </c:pt>
                <c:pt idx="3">
                  <c:v>0.96</c:v>
                </c:pt>
                <c:pt idx="4">
                  <c:v>2.1</c:v>
                </c:pt>
                <c:pt idx="5">
                  <c:v>2.21</c:v>
                </c:pt>
                <c:pt idx="6">
                  <c:v>5.35</c:v>
                </c:pt>
                <c:pt idx="7">
                  <c:v>-0.52</c:v>
                </c:pt>
                <c:pt idx="8">
                  <c:v>1.71</c:v>
                </c:pt>
                <c:pt idx="9">
                  <c:v>-0.09</c:v>
                </c:pt>
                <c:pt idx="10">
                  <c:v>0.09</c:v>
                </c:pt>
                <c:pt idx="11">
                  <c:v>1.28</c:v>
                </c:pt>
                <c:pt idx="12">
                  <c:v>-0.26</c:v>
                </c:pt>
                <c:pt idx="13">
                  <c:v>1.24</c:v>
                </c:pt>
                <c:pt idx="14">
                  <c:v>-0.33</c:v>
                </c:pt>
                <c:pt idx="15">
                  <c:v>1.2</c:v>
                </c:pt>
                <c:pt idx="16">
                  <c:v>0.82</c:v>
                </c:pt>
                <c:pt idx="17">
                  <c:v>0.44</c:v>
                </c:pt>
                <c:pt idx="18">
                  <c:v>0.82</c:v>
                </c:pt>
                <c:pt idx="19">
                  <c:v>9.68</c:v>
                </c:pt>
                <c:pt idx="20">
                  <c:v>12.27</c:v>
                </c:pt>
                <c:pt idx="21">
                  <c:v>3.26</c:v>
                </c:pt>
                <c:pt idx="22">
                  <c:v>0.67</c:v>
                </c:pt>
                <c:pt idx="23">
                  <c:v>1.76</c:v>
                </c:pt>
                <c:pt idx="24">
                  <c:v>-1.3</c:v>
                </c:pt>
                <c:pt idx="25">
                  <c:v>3.68</c:v>
                </c:pt>
                <c:pt idx="26">
                  <c:v>2.83</c:v>
                </c:pt>
              </c:numCache>
            </c:numRef>
          </c:yVal>
          <c:smooth val="0"/>
          <c:extLst>
            <c:ext xmlns:c16="http://schemas.microsoft.com/office/drawing/2014/chart" uri="{C3380CC4-5D6E-409C-BE32-E72D297353CC}">
              <c16:uniqueId val="{00000000-8F2B-440D-925C-C6E04E98515E}"/>
            </c:ext>
          </c:extLst>
        </c:ser>
        <c:dLbls>
          <c:showLegendKey val="0"/>
          <c:showVal val="0"/>
          <c:showCatName val="0"/>
          <c:showSerName val="0"/>
          <c:showPercent val="0"/>
          <c:showBubbleSize val="0"/>
        </c:dLbls>
        <c:axId val="479472728"/>
        <c:axId val="479469776"/>
      </c:scatterChart>
      <c:valAx>
        <c:axId val="479472728"/>
        <c:scaling>
          <c:orientation val="maxMin"/>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Millions</a:t>
                </a:r>
                <a:r>
                  <a:rPr lang="en-US" baseline="0"/>
                  <a:t> of years </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9469776"/>
        <c:crossesAt val="-2"/>
        <c:crossBetween val="midCat"/>
      </c:valAx>
      <c:valAx>
        <c:axId val="47946977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l-GR">
                    <a:latin typeface="Times New Roman" panose="02020603050405020304" pitchFamily="18" charset="0"/>
                    <a:cs typeface="Times New Roman" panose="02020603050405020304" pitchFamily="18" charset="0"/>
                  </a:rPr>
                  <a:t>δ</a:t>
                </a:r>
                <a:r>
                  <a:rPr lang="el-GR" baseline="30000">
                    <a:latin typeface="Times New Roman" panose="02020603050405020304" pitchFamily="18" charset="0"/>
                    <a:cs typeface="Times New Roman" panose="02020603050405020304" pitchFamily="18" charset="0"/>
                  </a:rPr>
                  <a:t>15</a:t>
                </a:r>
                <a:r>
                  <a:rPr lang="en-US">
                    <a:latin typeface="Times New Roman" panose="02020603050405020304" pitchFamily="18" charset="0"/>
                    <a:cs typeface="Times New Roman" panose="02020603050405020304" pitchFamily="18" charset="0"/>
                  </a:rPr>
                  <a:t>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9472728"/>
        <c:crosses val="max"/>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Carbonate</a:t>
            </a:r>
            <a:r>
              <a:rPr lang="en-US" baseline="0"/>
              <a:t>/Marl </a:t>
            </a:r>
            <a:r>
              <a:rPr lang="el-GR" baseline="0">
                <a:latin typeface="Times New Roman" panose="02020603050405020304" pitchFamily="18" charset="0"/>
                <a:cs typeface="Times New Roman" panose="02020603050405020304" pitchFamily="18" charset="0"/>
              </a:rPr>
              <a:t>δ</a:t>
            </a:r>
            <a:r>
              <a:rPr lang="en-US" baseline="30000">
                <a:latin typeface="Times New Roman" panose="02020603050405020304" pitchFamily="18" charset="0"/>
                <a:cs typeface="Times New Roman" panose="02020603050405020304" pitchFamily="18" charset="0"/>
              </a:rPr>
              <a:t>15</a:t>
            </a:r>
            <a:r>
              <a:rPr lang="en-US" baseline="0">
                <a:latin typeface="Times New Roman" panose="02020603050405020304" pitchFamily="18" charset="0"/>
                <a:cs typeface="Times New Roman" panose="02020603050405020304" pitchFamily="18" charset="0"/>
              </a:rPr>
              <a:t>N NSO</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19050" cap="rnd">
              <a:noFill/>
              <a:round/>
            </a:ln>
            <a:effectLst/>
          </c:spPr>
          <c:marker>
            <c:symbol val="triangle"/>
            <c:size val="5"/>
            <c:spPr>
              <a:solidFill>
                <a:schemeClr val="tx1"/>
              </a:solidFill>
              <a:ln w="9525">
                <a:solidFill>
                  <a:schemeClr val="tx1"/>
                </a:solidFill>
              </a:ln>
              <a:effectLst/>
            </c:spPr>
          </c:marker>
          <c:xVal>
            <c:numRef>
              <c:f>Sheet1!$D$54:$D$82</c:f>
              <c:numCache>
                <c:formatCode>General</c:formatCode>
                <c:ptCount val="29"/>
                <c:pt idx="0">
                  <c:v>15.97</c:v>
                </c:pt>
                <c:pt idx="1">
                  <c:v>66.7</c:v>
                </c:pt>
                <c:pt idx="2">
                  <c:v>72.099999999999994</c:v>
                </c:pt>
                <c:pt idx="3">
                  <c:v>93.3</c:v>
                </c:pt>
                <c:pt idx="4">
                  <c:v>133.9</c:v>
                </c:pt>
                <c:pt idx="5">
                  <c:v>139.4</c:v>
                </c:pt>
                <c:pt idx="6">
                  <c:v>145.30000000000001</c:v>
                </c:pt>
                <c:pt idx="7">
                  <c:v>145.69999999999999</c:v>
                </c:pt>
                <c:pt idx="8">
                  <c:v>145.9</c:v>
                </c:pt>
                <c:pt idx="9">
                  <c:v>147</c:v>
                </c:pt>
                <c:pt idx="10">
                  <c:v>147</c:v>
                </c:pt>
                <c:pt idx="11">
                  <c:v>147</c:v>
                </c:pt>
                <c:pt idx="12">
                  <c:v>150</c:v>
                </c:pt>
                <c:pt idx="13">
                  <c:v>150</c:v>
                </c:pt>
                <c:pt idx="14">
                  <c:v>150</c:v>
                </c:pt>
                <c:pt idx="15">
                  <c:v>150</c:v>
                </c:pt>
                <c:pt idx="16">
                  <c:v>150.5</c:v>
                </c:pt>
                <c:pt idx="17">
                  <c:v>164.1</c:v>
                </c:pt>
                <c:pt idx="18">
                  <c:v>207</c:v>
                </c:pt>
                <c:pt idx="19">
                  <c:v>237</c:v>
                </c:pt>
                <c:pt idx="20">
                  <c:v>254.8</c:v>
                </c:pt>
                <c:pt idx="21">
                  <c:v>256</c:v>
                </c:pt>
                <c:pt idx="22">
                  <c:v>272.3</c:v>
                </c:pt>
                <c:pt idx="23">
                  <c:v>275.60000000000002</c:v>
                </c:pt>
                <c:pt idx="24">
                  <c:v>279.3</c:v>
                </c:pt>
                <c:pt idx="25">
                  <c:v>368</c:v>
                </c:pt>
                <c:pt idx="26">
                  <c:v>388.1</c:v>
                </c:pt>
                <c:pt idx="27">
                  <c:v>433</c:v>
                </c:pt>
                <c:pt idx="28">
                  <c:v>510</c:v>
                </c:pt>
              </c:numCache>
            </c:numRef>
          </c:xVal>
          <c:yVal>
            <c:numRef>
              <c:f>Sheet1!$E$54:$E$82</c:f>
              <c:numCache>
                <c:formatCode>General</c:formatCode>
                <c:ptCount val="29"/>
                <c:pt idx="0">
                  <c:v>1.23</c:v>
                </c:pt>
                <c:pt idx="1">
                  <c:v>2.06</c:v>
                </c:pt>
                <c:pt idx="2">
                  <c:v>1.62</c:v>
                </c:pt>
                <c:pt idx="3">
                  <c:v>3.5</c:v>
                </c:pt>
                <c:pt idx="4">
                  <c:v>1.17</c:v>
                </c:pt>
                <c:pt idx="5">
                  <c:v>-0.25</c:v>
                </c:pt>
                <c:pt idx="6">
                  <c:v>0.59</c:v>
                </c:pt>
                <c:pt idx="7">
                  <c:v>1.45</c:v>
                </c:pt>
                <c:pt idx="8">
                  <c:v>0.2</c:v>
                </c:pt>
                <c:pt idx="9">
                  <c:v>1.2</c:v>
                </c:pt>
                <c:pt idx="10">
                  <c:v>1.91</c:v>
                </c:pt>
                <c:pt idx="11">
                  <c:v>0.59</c:v>
                </c:pt>
                <c:pt idx="12">
                  <c:v>1.24</c:v>
                </c:pt>
                <c:pt idx="13">
                  <c:v>0.65</c:v>
                </c:pt>
                <c:pt idx="14">
                  <c:v>0.7</c:v>
                </c:pt>
                <c:pt idx="15">
                  <c:v>-0.87</c:v>
                </c:pt>
                <c:pt idx="16">
                  <c:v>0.39</c:v>
                </c:pt>
                <c:pt idx="17">
                  <c:v>1.51</c:v>
                </c:pt>
                <c:pt idx="18">
                  <c:v>6.48</c:v>
                </c:pt>
                <c:pt idx="19">
                  <c:v>2</c:v>
                </c:pt>
                <c:pt idx="20">
                  <c:v>11.49</c:v>
                </c:pt>
                <c:pt idx="21">
                  <c:v>13.32</c:v>
                </c:pt>
                <c:pt idx="22">
                  <c:v>6.24</c:v>
                </c:pt>
                <c:pt idx="23">
                  <c:v>9.23</c:v>
                </c:pt>
                <c:pt idx="24">
                  <c:v>8.73</c:v>
                </c:pt>
                <c:pt idx="25">
                  <c:v>-0.26</c:v>
                </c:pt>
                <c:pt idx="26">
                  <c:v>0.14000000000000001</c:v>
                </c:pt>
                <c:pt idx="27">
                  <c:v>2.4</c:v>
                </c:pt>
                <c:pt idx="28">
                  <c:v>3.88</c:v>
                </c:pt>
              </c:numCache>
            </c:numRef>
          </c:yVal>
          <c:smooth val="0"/>
          <c:extLst>
            <c:ext xmlns:c16="http://schemas.microsoft.com/office/drawing/2014/chart" uri="{C3380CC4-5D6E-409C-BE32-E72D297353CC}">
              <c16:uniqueId val="{00000000-549F-45B8-86CD-BD39F81FDD40}"/>
            </c:ext>
          </c:extLst>
        </c:ser>
        <c:dLbls>
          <c:showLegendKey val="0"/>
          <c:showVal val="0"/>
          <c:showCatName val="0"/>
          <c:showSerName val="0"/>
          <c:showPercent val="0"/>
          <c:showBubbleSize val="0"/>
        </c:dLbls>
        <c:axId val="483721624"/>
        <c:axId val="483721952"/>
      </c:scatterChart>
      <c:valAx>
        <c:axId val="483721624"/>
        <c:scaling>
          <c:orientation val="maxMin"/>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Millions</a:t>
                </a:r>
                <a:r>
                  <a:rPr lang="en-US" baseline="0"/>
                  <a:t> of years </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3721952"/>
        <c:crossesAt val="-2"/>
        <c:crossBetween val="midCat"/>
      </c:valAx>
      <c:valAx>
        <c:axId val="48372195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δ</a:t>
                </a:r>
                <a:r>
                  <a:rPr lang="en-US" baseline="30000">
                    <a:latin typeface="Times New Roman" panose="02020603050405020304" pitchFamily="18" charset="0"/>
                    <a:cs typeface="Times New Roman" panose="02020603050405020304" pitchFamily="18" charset="0"/>
                  </a:rPr>
                  <a:t>15</a:t>
                </a:r>
                <a:r>
                  <a:rPr lang="en-US">
                    <a:latin typeface="Times New Roman" panose="02020603050405020304" pitchFamily="18" charset="0"/>
                    <a:cs typeface="Times New Roman" panose="02020603050405020304" pitchFamily="18" charset="0"/>
                  </a:rPr>
                  <a:t>N</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3721624"/>
        <c:crosses val="max"/>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Carbonate/Marl</a:t>
            </a:r>
            <a:r>
              <a:rPr lang="en-US" baseline="0">
                <a:latin typeface="Times New Roman" panose="02020603050405020304" pitchFamily="18" charset="0"/>
                <a:cs typeface="Times New Roman" panose="02020603050405020304" pitchFamily="18" charset="0"/>
              </a:rPr>
              <a:t> </a:t>
            </a:r>
            <a:r>
              <a:rPr lang="el-GR" baseline="0">
                <a:latin typeface="Times New Roman" panose="02020603050405020304" pitchFamily="18" charset="0"/>
                <a:cs typeface="Times New Roman" panose="02020603050405020304" pitchFamily="18" charset="0"/>
              </a:rPr>
              <a:t>δ</a:t>
            </a:r>
            <a:r>
              <a:rPr lang="en-US" baseline="30000">
                <a:latin typeface="Times New Roman" panose="02020603050405020304" pitchFamily="18" charset="0"/>
                <a:cs typeface="Times New Roman" panose="02020603050405020304" pitchFamily="18" charset="0"/>
              </a:rPr>
              <a:t>15</a:t>
            </a:r>
            <a:r>
              <a:rPr lang="en-US" baseline="0">
                <a:latin typeface="Times New Roman" panose="02020603050405020304" pitchFamily="18" charset="0"/>
                <a:cs typeface="Times New Roman" panose="02020603050405020304" pitchFamily="18" charset="0"/>
              </a:rPr>
              <a:t>N Asphaltene</a:t>
            </a:r>
            <a:endParaRPr lang="en-US">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19050" cap="rnd">
              <a:noFill/>
              <a:round/>
            </a:ln>
            <a:effectLst/>
          </c:spPr>
          <c:marker>
            <c:symbol val="triangle"/>
            <c:size val="6"/>
            <c:spPr>
              <a:solidFill>
                <a:schemeClr val="tx1"/>
              </a:solidFill>
              <a:ln w="9525">
                <a:solidFill>
                  <a:schemeClr val="tx1"/>
                </a:solidFill>
              </a:ln>
              <a:effectLst/>
            </c:spPr>
          </c:marker>
          <c:xVal>
            <c:numRef>
              <c:f>Sheet1!$V$52:$V$79</c:f>
              <c:numCache>
                <c:formatCode>General</c:formatCode>
                <c:ptCount val="28"/>
                <c:pt idx="0">
                  <c:v>15.97</c:v>
                </c:pt>
                <c:pt idx="1">
                  <c:v>66.7</c:v>
                </c:pt>
                <c:pt idx="2">
                  <c:v>72.099999999999994</c:v>
                </c:pt>
                <c:pt idx="3">
                  <c:v>93.3</c:v>
                </c:pt>
                <c:pt idx="4">
                  <c:v>133.9</c:v>
                </c:pt>
                <c:pt idx="5">
                  <c:v>139.4</c:v>
                </c:pt>
                <c:pt idx="6">
                  <c:v>145.30000000000001</c:v>
                </c:pt>
                <c:pt idx="7">
                  <c:v>145.69999999999999</c:v>
                </c:pt>
                <c:pt idx="8">
                  <c:v>145.9</c:v>
                </c:pt>
                <c:pt idx="9">
                  <c:v>147</c:v>
                </c:pt>
                <c:pt idx="10">
                  <c:v>147</c:v>
                </c:pt>
                <c:pt idx="11">
                  <c:v>147</c:v>
                </c:pt>
                <c:pt idx="12">
                  <c:v>150</c:v>
                </c:pt>
                <c:pt idx="13">
                  <c:v>150</c:v>
                </c:pt>
                <c:pt idx="14">
                  <c:v>150</c:v>
                </c:pt>
                <c:pt idx="15">
                  <c:v>150</c:v>
                </c:pt>
                <c:pt idx="16">
                  <c:v>150.5</c:v>
                </c:pt>
                <c:pt idx="17">
                  <c:v>164.1</c:v>
                </c:pt>
                <c:pt idx="18">
                  <c:v>207</c:v>
                </c:pt>
                <c:pt idx="19">
                  <c:v>237</c:v>
                </c:pt>
                <c:pt idx="20">
                  <c:v>254.8</c:v>
                </c:pt>
                <c:pt idx="21">
                  <c:v>256</c:v>
                </c:pt>
                <c:pt idx="22">
                  <c:v>272.3</c:v>
                </c:pt>
                <c:pt idx="23">
                  <c:v>275.60000000000002</c:v>
                </c:pt>
                <c:pt idx="24">
                  <c:v>279.3</c:v>
                </c:pt>
                <c:pt idx="25">
                  <c:v>368</c:v>
                </c:pt>
                <c:pt idx="26">
                  <c:v>433</c:v>
                </c:pt>
                <c:pt idx="27">
                  <c:v>510</c:v>
                </c:pt>
              </c:numCache>
            </c:numRef>
          </c:xVal>
          <c:yVal>
            <c:numRef>
              <c:f>Sheet1!$W$52:$W$79</c:f>
              <c:numCache>
                <c:formatCode>General</c:formatCode>
                <c:ptCount val="28"/>
                <c:pt idx="0">
                  <c:v>0.96</c:v>
                </c:pt>
                <c:pt idx="1">
                  <c:v>1.74</c:v>
                </c:pt>
                <c:pt idx="2">
                  <c:v>1.36</c:v>
                </c:pt>
                <c:pt idx="3">
                  <c:v>2.38</c:v>
                </c:pt>
                <c:pt idx="4">
                  <c:v>0.02</c:v>
                </c:pt>
                <c:pt idx="5">
                  <c:v>1.4</c:v>
                </c:pt>
                <c:pt idx="6">
                  <c:v>0.51</c:v>
                </c:pt>
                <c:pt idx="7">
                  <c:v>1.05</c:v>
                </c:pt>
                <c:pt idx="8">
                  <c:v>-0.8</c:v>
                </c:pt>
                <c:pt idx="9">
                  <c:v>2.2000000000000002</c:v>
                </c:pt>
                <c:pt idx="10">
                  <c:v>2.4</c:v>
                </c:pt>
                <c:pt idx="11">
                  <c:v>1.46</c:v>
                </c:pt>
                <c:pt idx="12">
                  <c:v>-0.7</c:v>
                </c:pt>
                <c:pt idx="13">
                  <c:v>-0.34</c:v>
                </c:pt>
                <c:pt idx="14">
                  <c:v>0.17</c:v>
                </c:pt>
                <c:pt idx="15">
                  <c:v>-0.92</c:v>
                </c:pt>
                <c:pt idx="16">
                  <c:v>0.04</c:v>
                </c:pt>
                <c:pt idx="17">
                  <c:v>2.65</c:v>
                </c:pt>
                <c:pt idx="18">
                  <c:v>7.12</c:v>
                </c:pt>
                <c:pt idx="19">
                  <c:v>1.88</c:v>
                </c:pt>
                <c:pt idx="20">
                  <c:v>12.71</c:v>
                </c:pt>
                <c:pt idx="21">
                  <c:v>16</c:v>
                </c:pt>
                <c:pt idx="22">
                  <c:v>6.7</c:v>
                </c:pt>
                <c:pt idx="23">
                  <c:v>11.32</c:v>
                </c:pt>
                <c:pt idx="24">
                  <c:v>9.4</c:v>
                </c:pt>
                <c:pt idx="25">
                  <c:v>-0.2</c:v>
                </c:pt>
                <c:pt idx="26">
                  <c:v>0.54</c:v>
                </c:pt>
                <c:pt idx="27">
                  <c:v>2.38</c:v>
                </c:pt>
              </c:numCache>
            </c:numRef>
          </c:yVal>
          <c:smooth val="0"/>
          <c:extLst>
            <c:ext xmlns:c16="http://schemas.microsoft.com/office/drawing/2014/chart" uri="{C3380CC4-5D6E-409C-BE32-E72D297353CC}">
              <c16:uniqueId val="{00000000-5E2F-448F-9D82-24E0D065D5E2}"/>
            </c:ext>
          </c:extLst>
        </c:ser>
        <c:dLbls>
          <c:showLegendKey val="0"/>
          <c:showVal val="0"/>
          <c:showCatName val="0"/>
          <c:showSerName val="0"/>
          <c:showPercent val="0"/>
          <c:showBubbleSize val="0"/>
        </c:dLbls>
        <c:axId val="479460592"/>
        <c:axId val="479457968"/>
      </c:scatterChart>
      <c:valAx>
        <c:axId val="479460592"/>
        <c:scaling>
          <c:orientation val="maxMin"/>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Millions</a:t>
                </a:r>
                <a:r>
                  <a:rPr lang="en-US" baseline="0">
                    <a:latin typeface="Times New Roman" panose="02020603050405020304" pitchFamily="18" charset="0"/>
                    <a:cs typeface="Times New Roman" panose="02020603050405020304" pitchFamily="18" charset="0"/>
                  </a:rPr>
                  <a:t> of years </a:t>
                </a:r>
                <a:endParaRPr lang="en-US">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9457968"/>
        <c:crossesAt val="-2"/>
        <c:crossBetween val="midCat"/>
      </c:valAx>
      <c:valAx>
        <c:axId val="479457968"/>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δ</a:t>
                </a:r>
                <a:r>
                  <a:rPr lang="en-US" baseline="30000">
                    <a:latin typeface="Times New Roman" panose="02020603050405020304" pitchFamily="18" charset="0"/>
                    <a:cs typeface="Times New Roman" panose="02020603050405020304" pitchFamily="18" charset="0"/>
                  </a:rPr>
                  <a:t>15</a:t>
                </a:r>
                <a:r>
                  <a:rPr lang="en-US">
                    <a:latin typeface="Times New Roman" panose="02020603050405020304" pitchFamily="18" charset="0"/>
                    <a:cs typeface="Times New Roman" panose="02020603050405020304" pitchFamily="18" charset="0"/>
                  </a:rPr>
                  <a:t>N</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9460592"/>
        <c:crosses val="max"/>
        <c:crossBetween val="midCat"/>
      </c:valAx>
      <c:spPr>
        <a:noFill/>
        <a:ln>
          <a:no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0.51886</cdr:x>
      <cdr:y>0.69803</cdr:y>
    </cdr:from>
    <cdr:to>
      <cdr:x>0.51963</cdr:x>
      <cdr:y>0.95831</cdr:y>
    </cdr:to>
    <cdr:cxnSp macro="">
      <cdr:nvCxnSpPr>
        <cdr:cNvPr id="5" name="Straight Connector 4">
          <a:extLst xmlns:a="http://schemas.openxmlformats.org/drawingml/2006/main">
            <a:ext uri="{FF2B5EF4-FFF2-40B4-BE49-F238E27FC236}">
              <a16:creationId xmlns:a16="http://schemas.microsoft.com/office/drawing/2014/main" id="{D1A6AEFE-384D-4DEA-8F55-4D0B62B452E5}"/>
            </a:ext>
          </a:extLst>
        </cdr:cNvPr>
        <cdr:cNvCxnSpPr/>
      </cdr:nvCxnSpPr>
      <cdr:spPr>
        <a:xfrm xmlns:a="http://schemas.openxmlformats.org/drawingml/2006/main">
          <a:off x="6068323" y="5373897"/>
          <a:ext cx="8987" cy="2003845"/>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0.69711</cdr:x>
      <cdr:y>0.4806</cdr:y>
    </cdr:from>
    <cdr:to>
      <cdr:x>0.69926</cdr:x>
      <cdr:y>0.9594</cdr:y>
    </cdr:to>
    <cdr:cxnSp macro="">
      <cdr:nvCxnSpPr>
        <cdr:cNvPr id="9" name="Straight Connector 8">
          <a:extLst xmlns:a="http://schemas.openxmlformats.org/drawingml/2006/main">
            <a:ext uri="{FF2B5EF4-FFF2-40B4-BE49-F238E27FC236}">
              <a16:creationId xmlns:a16="http://schemas.microsoft.com/office/drawing/2014/main" id="{F5253A20-A4EE-42C8-A7AE-3C1BD2133DD7}"/>
            </a:ext>
          </a:extLst>
        </cdr:cNvPr>
        <cdr:cNvCxnSpPr/>
      </cdr:nvCxnSpPr>
      <cdr:spPr>
        <a:xfrm xmlns:a="http://schemas.openxmlformats.org/drawingml/2006/main">
          <a:off x="8170043" y="3668396"/>
          <a:ext cx="25198" cy="3654628"/>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0.39097</cdr:x>
      <cdr:y>0.55884</cdr:y>
    </cdr:from>
    <cdr:to>
      <cdr:x>0.39114</cdr:x>
      <cdr:y>0.95889</cdr:y>
    </cdr:to>
    <cdr:cxnSp macro="">
      <cdr:nvCxnSpPr>
        <cdr:cNvPr id="15" name="Straight Connector 14">
          <a:extLst xmlns:a="http://schemas.openxmlformats.org/drawingml/2006/main">
            <a:ext uri="{FF2B5EF4-FFF2-40B4-BE49-F238E27FC236}">
              <a16:creationId xmlns:a16="http://schemas.microsoft.com/office/drawing/2014/main" id="{538341DD-27BB-4943-A00E-B21101F19344}"/>
            </a:ext>
          </a:extLst>
        </cdr:cNvPr>
        <cdr:cNvCxnSpPr/>
      </cdr:nvCxnSpPr>
      <cdr:spPr>
        <a:xfrm xmlns:a="http://schemas.openxmlformats.org/drawingml/2006/main">
          <a:off x="3141061" y="2586244"/>
          <a:ext cx="1366" cy="1851384"/>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0.63794</cdr:x>
      <cdr:y>0.19982</cdr:y>
    </cdr:from>
    <cdr:to>
      <cdr:x>0.63853</cdr:x>
      <cdr:y>0.95825</cdr:y>
    </cdr:to>
    <cdr:cxnSp macro="">
      <cdr:nvCxnSpPr>
        <cdr:cNvPr id="16" name="Straight Connector 15">
          <a:extLst xmlns:a="http://schemas.openxmlformats.org/drawingml/2006/main">
            <a:ext uri="{FF2B5EF4-FFF2-40B4-BE49-F238E27FC236}">
              <a16:creationId xmlns:a16="http://schemas.microsoft.com/office/drawing/2014/main" id="{31DA8B52-FDB8-405B-B952-7F783B87FD4C}"/>
            </a:ext>
          </a:extLst>
        </cdr:cNvPr>
        <cdr:cNvCxnSpPr/>
      </cdr:nvCxnSpPr>
      <cdr:spPr>
        <a:xfrm xmlns:a="http://schemas.openxmlformats.org/drawingml/2006/main">
          <a:off x="7438213" y="1534928"/>
          <a:ext cx="6896" cy="5825966"/>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0.87637</cdr:x>
      <cdr:y>0.51991</cdr:y>
    </cdr:from>
    <cdr:to>
      <cdr:x>0.88075</cdr:x>
      <cdr:y>0.9597</cdr:y>
    </cdr:to>
    <cdr:cxnSp macro="">
      <cdr:nvCxnSpPr>
        <cdr:cNvPr id="17" name="Straight Connector 16">
          <a:extLst xmlns:a="http://schemas.openxmlformats.org/drawingml/2006/main">
            <a:ext uri="{FF2B5EF4-FFF2-40B4-BE49-F238E27FC236}">
              <a16:creationId xmlns:a16="http://schemas.microsoft.com/office/drawing/2014/main" id="{B948F678-D4B1-4549-A093-3A433C9C7830}"/>
            </a:ext>
          </a:extLst>
        </cdr:cNvPr>
        <cdr:cNvCxnSpPr/>
      </cdr:nvCxnSpPr>
      <cdr:spPr>
        <a:xfrm xmlns:a="http://schemas.openxmlformats.org/drawingml/2006/main">
          <a:off x="7156525" y="2710473"/>
          <a:ext cx="35768" cy="2292779"/>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063D21" w:rsidP="00063D21">
          <w:pPr>
            <w:pStyle w:val="FB6BC100256848A5A97B47EF9500A1F02"/>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dvTT3713a231">
    <w:altName w:val="Cambria"/>
    <w:panose1 w:val="00000000000000000000"/>
    <w:charset w:val="00"/>
    <w:family w:val="roman"/>
    <w:notTrueType/>
    <w:pitch w:val="default"/>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045235"/>
    <w:rsid w:val="00045235"/>
    <w:rsid w:val="00063D21"/>
    <w:rsid w:val="00151A9E"/>
    <w:rsid w:val="001924A2"/>
    <w:rsid w:val="001D26AE"/>
    <w:rsid w:val="001F1822"/>
    <w:rsid w:val="00243501"/>
    <w:rsid w:val="00276088"/>
    <w:rsid w:val="002F2904"/>
    <w:rsid w:val="00303490"/>
    <w:rsid w:val="003153C5"/>
    <w:rsid w:val="00327900"/>
    <w:rsid w:val="0045364A"/>
    <w:rsid w:val="004F10EE"/>
    <w:rsid w:val="0053599A"/>
    <w:rsid w:val="005C08FC"/>
    <w:rsid w:val="005E45FD"/>
    <w:rsid w:val="00617A9D"/>
    <w:rsid w:val="006E6525"/>
    <w:rsid w:val="00713126"/>
    <w:rsid w:val="007332C0"/>
    <w:rsid w:val="00751D0B"/>
    <w:rsid w:val="007D11E5"/>
    <w:rsid w:val="007D3E4D"/>
    <w:rsid w:val="007F5F83"/>
    <w:rsid w:val="0086030F"/>
    <w:rsid w:val="008809FC"/>
    <w:rsid w:val="008B7CFD"/>
    <w:rsid w:val="008C0287"/>
    <w:rsid w:val="008C532B"/>
    <w:rsid w:val="008D1845"/>
    <w:rsid w:val="00943536"/>
    <w:rsid w:val="009613DA"/>
    <w:rsid w:val="009A7815"/>
    <w:rsid w:val="00A4381C"/>
    <w:rsid w:val="00AC66BC"/>
    <w:rsid w:val="00AD7AA9"/>
    <w:rsid w:val="00B12DA6"/>
    <w:rsid w:val="00CC6452"/>
    <w:rsid w:val="00DB2826"/>
    <w:rsid w:val="00E5448F"/>
    <w:rsid w:val="00E637F6"/>
    <w:rsid w:val="00FD26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63D21"/>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63A0FA-7769-4735-B40A-65D0D5AFB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73</Pages>
  <Words>13081</Words>
  <Characters>74563</Characters>
  <Application>Microsoft Office Word</Application>
  <DocSecurity>0</DocSecurity>
  <Lines>621</Lines>
  <Paragraphs>174</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87470</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Snakeytown</cp:lastModifiedBy>
  <cp:revision>6</cp:revision>
  <cp:lastPrinted>2017-05-08T17:00:00Z</cp:lastPrinted>
  <dcterms:created xsi:type="dcterms:W3CDTF">2017-05-05T14:22:00Z</dcterms:created>
  <dcterms:modified xsi:type="dcterms:W3CDTF">2017-05-08T17:01:00Z</dcterms:modified>
</cp:coreProperties>
</file>