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ink/ink1.xml" ContentType="application/inkml+xml"/>
  <Override PartName="/word/footer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C840E" w14:textId="215F0D3F" w:rsidR="00825F41" w:rsidRPr="00145EE6" w:rsidRDefault="00825F41" w:rsidP="00853395">
      <w:pPr>
        <w:pStyle w:val="HeadnotTOC"/>
        <w:spacing w:line="480" w:lineRule="auto"/>
        <w:ind w:firstLine="475"/>
        <w:rPr>
          <w:sz w:val="24"/>
          <w:szCs w:val="24"/>
        </w:rPr>
      </w:pPr>
      <w:r w:rsidRPr="00145EE6">
        <w:rPr>
          <w:sz w:val="24"/>
          <w:szCs w:val="24"/>
        </w:rPr>
        <w:t>UNIVERSITY OF OKLAHOMA</w:t>
      </w:r>
    </w:p>
    <w:p w14:paraId="3E72C2A9" w14:textId="77777777" w:rsidR="00825F41" w:rsidRPr="00145EE6" w:rsidRDefault="00825F41" w:rsidP="00853395">
      <w:pPr>
        <w:pStyle w:val="HeadnotTOC"/>
        <w:spacing w:line="480" w:lineRule="auto"/>
        <w:ind w:firstLine="475"/>
        <w:rPr>
          <w:sz w:val="24"/>
          <w:szCs w:val="24"/>
        </w:rPr>
      </w:pPr>
      <w:r w:rsidRPr="00145EE6">
        <w:rPr>
          <w:sz w:val="24"/>
          <w:szCs w:val="24"/>
        </w:rPr>
        <w:t xml:space="preserve">GRADUATE COLLEGE </w:t>
      </w:r>
    </w:p>
    <w:p w14:paraId="53A2A25D" w14:textId="77777777" w:rsidR="00DA4773" w:rsidRPr="00145EE6" w:rsidRDefault="00DA4773" w:rsidP="00F028F0">
      <w:pPr>
        <w:pStyle w:val="HeadnotTOC"/>
        <w:rPr>
          <w:sz w:val="24"/>
          <w:szCs w:val="24"/>
        </w:rPr>
      </w:pPr>
    </w:p>
    <w:p w14:paraId="213BA2E1" w14:textId="77777777" w:rsidR="00DA4773" w:rsidRPr="00145EE6" w:rsidRDefault="00DA4773" w:rsidP="00F028F0">
      <w:pPr>
        <w:pStyle w:val="HeadnotTOC"/>
        <w:rPr>
          <w:sz w:val="24"/>
          <w:szCs w:val="24"/>
        </w:rPr>
      </w:pPr>
    </w:p>
    <w:p w14:paraId="6C1AC718" w14:textId="77777777" w:rsidR="00452565" w:rsidRPr="00145EE6" w:rsidRDefault="00452565" w:rsidP="002637BE">
      <w:pPr>
        <w:pStyle w:val="HeadnotTOC"/>
        <w:rPr>
          <w:sz w:val="24"/>
          <w:szCs w:val="24"/>
        </w:rPr>
      </w:pPr>
    </w:p>
    <w:p w14:paraId="2ED51DF8" w14:textId="77777777" w:rsidR="005E53F4" w:rsidRPr="00145EE6" w:rsidRDefault="005E53F4" w:rsidP="002637BE">
      <w:pPr>
        <w:pStyle w:val="HeadnotTOC"/>
        <w:rPr>
          <w:sz w:val="24"/>
          <w:szCs w:val="24"/>
        </w:rPr>
      </w:pPr>
    </w:p>
    <w:p w14:paraId="16CB6EEA" w14:textId="77777777" w:rsidR="005E53F4" w:rsidRPr="00145EE6" w:rsidRDefault="005E53F4" w:rsidP="002637BE">
      <w:pPr>
        <w:pStyle w:val="HeadnotTOC"/>
        <w:rPr>
          <w:sz w:val="24"/>
          <w:szCs w:val="24"/>
        </w:rPr>
      </w:pPr>
    </w:p>
    <w:p w14:paraId="2F104D7E" w14:textId="2A338D96" w:rsidR="002637BE" w:rsidRPr="00145EE6" w:rsidRDefault="002637BE" w:rsidP="002637BE">
      <w:pPr>
        <w:pStyle w:val="HeadnotTOC"/>
        <w:rPr>
          <w:sz w:val="24"/>
          <w:szCs w:val="24"/>
        </w:rPr>
      </w:pPr>
      <w:r w:rsidRPr="00145EE6">
        <w:rPr>
          <w:sz w:val="24"/>
          <w:szCs w:val="24"/>
        </w:rPr>
        <w:fldChar w:fldCharType="begin"/>
      </w:r>
      <w:r w:rsidRPr="00145EE6">
        <w:rPr>
          <w:sz w:val="24"/>
          <w:szCs w:val="24"/>
        </w:rPr>
        <w:instrText xml:space="preserve"> AUTOTEXT  " Blank"  \* MERGEFORMAT </w:instrText>
      </w:r>
      <w:r w:rsidRPr="00145EE6">
        <w:rPr>
          <w:sz w:val="24"/>
          <w:szCs w:val="24"/>
        </w:rPr>
        <w:fldChar w:fldCharType="separate"/>
      </w:r>
      <w:r w:rsidRPr="00145EE6">
        <w:rPr>
          <w:sz w:val="24"/>
          <w:szCs w:val="24"/>
        </w:rPr>
        <w:fldChar w:fldCharType="begin"/>
      </w:r>
      <w:r w:rsidRPr="00145EE6">
        <w:rPr>
          <w:sz w:val="24"/>
          <w:szCs w:val="24"/>
        </w:rPr>
        <w:instrText xml:space="preserve"> AUTOTEXT  " Blank"  \* MERGEFORMAT </w:instrText>
      </w:r>
      <w:r w:rsidRPr="00145EE6">
        <w:rPr>
          <w:sz w:val="24"/>
          <w:szCs w:val="24"/>
        </w:rPr>
        <w:fldChar w:fldCharType="separate"/>
      </w:r>
      <w:r w:rsidRPr="00145EE6">
        <w:rPr>
          <w:sz w:val="24"/>
          <w:szCs w:val="24"/>
        </w:rPr>
        <w:t xml:space="preserve">DESIGN AND ANALYSIS OF SMART HOME ENERGY MANAGEMENT SYSTEM FOR ENERGY-EFFICIENT AND DEMAND RESPONSE OPERATIONS  </w:t>
      </w:r>
    </w:p>
    <w:p w14:paraId="1F799A04" w14:textId="77777777" w:rsidR="002637BE" w:rsidRPr="00145EE6" w:rsidRDefault="002637BE" w:rsidP="002637BE">
      <w:pPr>
        <w:pStyle w:val="HeadnotTOC"/>
        <w:rPr>
          <w:sz w:val="24"/>
          <w:szCs w:val="24"/>
        </w:rPr>
      </w:pPr>
      <w:r w:rsidRPr="00145EE6">
        <w:rPr>
          <w:sz w:val="24"/>
          <w:szCs w:val="24"/>
        </w:rPr>
        <w:fldChar w:fldCharType="end"/>
      </w:r>
      <w:r w:rsidRPr="00145EE6">
        <w:rPr>
          <w:sz w:val="24"/>
          <w:szCs w:val="24"/>
        </w:rPr>
        <w:fldChar w:fldCharType="end"/>
      </w:r>
    </w:p>
    <w:p w14:paraId="0417F532" w14:textId="77777777" w:rsidR="00B46BCA" w:rsidRPr="00145EE6" w:rsidRDefault="00B46BCA" w:rsidP="00F028F0">
      <w:pPr>
        <w:pStyle w:val="HeadnotTOC"/>
        <w:rPr>
          <w:sz w:val="24"/>
          <w:szCs w:val="24"/>
        </w:rPr>
      </w:pPr>
    </w:p>
    <w:p w14:paraId="4AEFB3CD" w14:textId="77777777" w:rsidR="00622903" w:rsidRPr="00145EE6" w:rsidRDefault="00622903" w:rsidP="00F028F0">
      <w:pPr>
        <w:pStyle w:val="HeadnotTOC"/>
        <w:rPr>
          <w:sz w:val="24"/>
          <w:szCs w:val="24"/>
        </w:rPr>
      </w:pPr>
    </w:p>
    <w:p w14:paraId="29D569F1" w14:textId="77777777" w:rsidR="005E53F4" w:rsidRPr="00145EE6" w:rsidRDefault="005E53F4" w:rsidP="00F028F0">
      <w:pPr>
        <w:pStyle w:val="HeadnotTOC"/>
        <w:rPr>
          <w:sz w:val="24"/>
          <w:szCs w:val="24"/>
        </w:rPr>
      </w:pPr>
    </w:p>
    <w:p w14:paraId="7D7347B5" w14:textId="77777777" w:rsidR="005E53F4" w:rsidRPr="00145EE6" w:rsidRDefault="005E53F4" w:rsidP="00F028F0">
      <w:pPr>
        <w:pStyle w:val="HeadnotTOC"/>
        <w:rPr>
          <w:sz w:val="24"/>
          <w:szCs w:val="24"/>
        </w:rPr>
      </w:pPr>
    </w:p>
    <w:p w14:paraId="7DB4B422" w14:textId="77777777" w:rsidR="005E53F4" w:rsidRPr="00145EE6" w:rsidRDefault="005E53F4" w:rsidP="00F028F0">
      <w:pPr>
        <w:pStyle w:val="HeadnotTOC"/>
        <w:rPr>
          <w:sz w:val="24"/>
          <w:szCs w:val="24"/>
        </w:rPr>
      </w:pPr>
    </w:p>
    <w:p w14:paraId="056C638B" w14:textId="77777777" w:rsidR="005E53F4" w:rsidRPr="00145EE6" w:rsidRDefault="005E53F4" w:rsidP="00F028F0">
      <w:pPr>
        <w:pStyle w:val="HeadnotTOC"/>
        <w:rPr>
          <w:sz w:val="24"/>
          <w:szCs w:val="24"/>
        </w:rPr>
      </w:pPr>
    </w:p>
    <w:p w14:paraId="4291DAA2" w14:textId="77777777" w:rsidR="00DA4773" w:rsidRPr="00145EE6" w:rsidRDefault="00DA4773" w:rsidP="00853395">
      <w:pPr>
        <w:pStyle w:val="HeadnotTOC"/>
        <w:spacing w:line="480" w:lineRule="auto"/>
        <w:ind w:firstLine="475"/>
        <w:rPr>
          <w:sz w:val="24"/>
          <w:szCs w:val="24"/>
        </w:rPr>
      </w:pPr>
      <w:r w:rsidRPr="00145EE6">
        <w:rPr>
          <w:sz w:val="24"/>
          <w:szCs w:val="24"/>
        </w:rPr>
        <w:t>A DISSERTATION</w:t>
      </w:r>
    </w:p>
    <w:p w14:paraId="707D5310" w14:textId="77777777" w:rsidR="00DA4773" w:rsidRPr="00145EE6" w:rsidRDefault="00825F41" w:rsidP="00853395">
      <w:pPr>
        <w:pStyle w:val="HeadnotTOC"/>
        <w:spacing w:line="480" w:lineRule="auto"/>
        <w:ind w:firstLine="475"/>
        <w:rPr>
          <w:sz w:val="24"/>
          <w:szCs w:val="24"/>
        </w:rPr>
      </w:pPr>
      <w:r w:rsidRPr="00145EE6">
        <w:rPr>
          <w:sz w:val="24"/>
          <w:szCs w:val="24"/>
        </w:rPr>
        <w:t>SUBMITTED TO THE GRADUATE FACULTY</w:t>
      </w:r>
    </w:p>
    <w:p w14:paraId="12E88154" w14:textId="77777777" w:rsidR="00DA4773" w:rsidRPr="00145EE6" w:rsidRDefault="00825F41" w:rsidP="00853395">
      <w:pPr>
        <w:pStyle w:val="HeadnotTOC"/>
        <w:spacing w:line="480" w:lineRule="auto"/>
        <w:ind w:firstLine="475"/>
        <w:rPr>
          <w:sz w:val="24"/>
          <w:szCs w:val="24"/>
        </w:rPr>
      </w:pPr>
      <w:r w:rsidRPr="00145EE6">
        <w:rPr>
          <w:sz w:val="24"/>
          <w:szCs w:val="24"/>
        </w:rPr>
        <w:t xml:space="preserve"> in partial fulfillment of the requirements for the </w:t>
      </w:r>
    </w:p>
    <w:p w14:paraId="7CB6385F" w14:textId="77777777" w:rsidR="00DA4773" w:rsidRPr="00145EE6" w:rsidRDefault="00825F41" w:rsidP="00853395">
      <w:pPr>
        <w:pStyle w:val="HeadnotTOC"/>
        <w:spacing w:line="480" w:lineRule="auto"/>
        <w:ind w:firstLine="475"/>
        <w:rPr>
          <w:sz w:val="24"/>
          <w:szCs w:val="24"/>
        </w:rPr>
      </w:pPr>
      <w:r w:rsidRPr="00145EE6">
        <w:rPr>
          <w:sz w:val="24"/>
          <w:szCs w:val="24"/>
        </w:rPr>
        <w:t xml:space="preserve">Degree of </w:t>
      </w:r>
    </w:p>
    <w:p w14:paraId="759D91F0" w14:textId="775DCCDB" w:rsidR="00DA4773" w:rsidRPr="00145EE6" w:rsidRDefault="00EE0665" w:rsidP="00853395">
      <w:pPr>
        <w:pStyle w:val="HeadnotTOC"/>
        <w:spacing w:line="480" w:lineRule="auto"/>
        <w:ind w:firstLine="475"/>
        <w:rPr>
          <w:sz w:val="24"/>
          <w:szCs w:val="24"/>
        </w:rPr>
      </w:pPr>
      <w:r w:rsidRPr="00145EE6">
        <w:rPr>
          <w:sz w:val="24"/>
          <w:szCs w:val="24"/>
        </w:rPr>
        <w:t>DOCTOR OF PHILOSOPHY</w:t>
      </w:r>
    </w:p>
    <w:p w14:paraId="38F4A717" w14:textId="77777777" w:rsidR="00DA4773" w:rsidRPr="00145EE6" w:rsidRDefault="00DA4773" w:rsidP="00F028F0">
      <w:pPr>
        <w:pStyle w:val="HeadnotTOC"/>
        <w:rPr>
          <w:sz w:val="24"/>
          <w:szCs w:val="24"/>
        </w:rPr>
      </w:pPr>
    </w:p>
    <w:p w14:paraId="4848F4C0" w14:textId="77777777" w:rsidR="005C4DDC" w:rsidRPr="00145EE6" w:rsidRDefault="005C4DDC" w:rsidP="00F028F0">
      <w:pPr>
        <w:pStyle w:val="HeadnotTOC"/>
        <w:rPr>
          <w:sz w:val="24"/>
          <w:szCs w:val="24"/>
        </w:rPr>
      </w:pPr>
    </w:p>
    <w:p w14:paraId="3A2F16DF" w14:textId="77777777" w:rsidR="005C4DDC" w:rsidRPr="00145EE6" w:rsidRDefault="005C4DDC" w:rsidP="00F028F0">
      <w:pPr>
        <w:pStyle w:val="HeadnotTOC"/>
        <w:rPr>
          <w:sz w:val="24"/>
          <w:szCs w:val="24"/>
        </w:rPr>
      </w:pPr>
    </w:p>
    <w:p w14:paraId="32E6326A" w14:textId="77777777" w:rsidR="005C4DDC" w:rsidRPr="00145EE6" w:rsidRDefault="005C4DDC" w:rsidP="00F028F0">
      <w:pPr>
        <w:pStyle w:val="HeadnotTOC"/>
        <w:rPr>
          <w:sz w:val="24"/>
          <w:szCs w:val="24"/>
        </w:rPr>
      </w:pPr>
    </w:p>
    <w:p w14:paraId="6607F698" w14:textId="77777777" w:rsidR="005C4DDC" w:rsidRPr="00145EE6" w:rsidRDefault="005C4DDC" w:rsidP="00F028F0">
      <w:pPr>
        <w:pStyle w:val="HeadnotTOC"/>
        <w:rPr>
          <w:sz w:val="24"/>
          <w:szCs w:val="24"/>
        </w:rPr>
      </w:pPr>
    </w:p>
    <w:p w14:paraId="1CBADD6C" w14:textId="77777777" w:rsidR="00DA4773" w:rsidRPr="00145EE6" w:rsidRDefault="00DA4773" w:rsidP="005C4DDC">
      <w:pPr>
        <w:pStyle w:val="HeadnotTOC"/>
        <w:rPr>
          <w:sz w:val="24"/>
          <w:szCs w:val="24"/>
        </w:rPr>
      </w:pPr>
    </w:p>
    <w:p w14:paraId="47CD3753" w14:textId="2F5EBD82" w:rsidR="00DA4773" w:rsidRPr="00EE0665" w:rsidRDefault="00825F41" w:rsidP="005C4DDC">
      <w:pPr>
        <w:jc w:val="center"/>
      </w:pPr>
      <w:r w:rsidRPr="00EE0665">
        <w:t>By</w:t>
      </w:r>
    </w:p>
    <w:p w14:paraId="26D042BF" w14:textId="77777777" w:rsidR="00DA4773" w:rsidRPr="00EE0665" w:rsidRDefault="00DA4773" w:rsidP="00853395">
      <w:pPr>
        <w:spacing w:line="240" w:lineRule="auto"/>
        <w:ind w:firstLine="475"/>
        <w:jc w:val="center"/>
      </w:pPr>
      <w:r w:rsidRPr="00EE0665">
        <w:rPr>
          <w:rFonts w:hint="eastAsia"/>
        </w:rPr>
        <w:t>Y</w:t>
      </w:r>
      <w:r w:rsidRPr="00EE0665">
        <w:t>ilin Jian</w:t>
      </w:r>
      <w:r w:rsidRPr="00EE0665" w:rsidDel="00212CC4">
        <w:t>g</w:t>
      </w:r>
    </w:p>
    <w:p w14:paraId="1E9D59D4" w14:textId="60990269" w:rsidR="00DA4773" w:rsidRPr="00EE0665" w:rsidRDefault="00825F41" w:rsidP="00853395">
      <w:pPr>
        <w:spacing w:line="240" w:lineRule="auto"/>
        <w:ind w:firstLine="475"/>
        <w:jc w:val="center"/>
      </w:pPr>
      <w:r w:rsidRPr="00EE0665">
        <w:t>Norman, Oklahoma</w:t>
      </w:r>
    </w:p>
    <w:p w14:paraId="5DF63660" w14:textId="77777777" w:rsidR="005C4DDC" w:rsidRDefault="00DA4773" w:rsidP="00853395">
      <w:pPr>
        <w:spacing w:line="240" w:lineRule="auto"/>
        <w:ind w:firstLine="475"/>
        <w:jc w:val="center"/>
      </w:pPr>
      <w:r w:rsidRPr="00EE0665">
        <w:t>2023</w:t>
      </w:r>
    </w:p>
    <w:p w14:paraId="70C9099B" w14:textId="3ABC1ECB" w:rsidR="00812C89" w:rsidRPr="00B40105" w:rsidRDefault="00EE0665" w:rsidP="000B3A87">
      <w:pPr>
        <w:rPr>
          <w:sz w:val="28"/>
        </w:rPr>
      </w:pPr>
      <w:r>
        <w:br w:type="page"/>
      </w:r>
    </w:p>
    <w:p w14:paraId="0D43935E" w14:textId="77777777" w:rsidR="002637BE" w:rsidRPr="00145EE6" w:rsidRDefault="002637BE" w:rsidP="002637BE">
      <w:pPr>
        <w:pStyle w:val="HeadnotTOC"/>
        <w:rPr>
          <w:sz w:val="24"/>
          <w:szCs w:val="24"/>
        </w:rPr>
      </w:pPr>
      <w:r w:rsidRPr="00145EE6">
        <w:rPr>
          <w:sz w:val="24"/>
          <w:szCs w:val="24"/>
        </w:rPr>
        <w:lastRenderedPageBreak/>
        <w:fldChar w:fldCharType="begin"/>
      </w:r>
      <w:r w:rsidRPr="00145EE6">
        <w:rPr>
          <w:sz w:val="24"/>
          <w:szCs w:val="24"/>
        </w:rPr>
        <w:instrText xml:space="preserve"> AUTOTEXT  " Blank"  \* MERGEFORMAT </w:instrText>
      </w:r>
      <w:r w:rsidRPr="00145EE6">
        <w:rPr>
          <w:sz w:val="24"/>
          <w:szCs w:val="24"/>
        </w:rPr>
        <w:fldChar w:fldCharType="separate"/>
      </w:r>
      <w:r w:rsidRPr="00145EE6">
        <w:rPr>
          <w:sz w:val="24"/>
          <w:szCs w:val="24"/>
        </w:rPr>
        <w:fldChar w:fldCharType="begin"/>
      </w:r>
      <w:r w:rsidRPr="00145EE6">
        <w:rPr>
          <w:sz w:val="24"/>
          <w:szCs w:val="24"/>
        </w:rPr>
        <w:instrText xml:space="preserve"> AUTOTEXT  " Blank"  \* MERGEFORMAT </w:instrText>
      </w:r>
      <w:r w:rsidRPr="00145EE6">
        <w:rPr>
          <w:sz w:val="24"/>
          <w:szCs w:val="24"/>
        </w:rPr>
        <w:fldChar w:fldCharType="separate"/>
      </w:r>
      <w:r w:rsidRPr="00145EE6">
        <w:rPr>
          <w:sz w:val="24"/>
          <w:szCs w:val="24"/>
        </w:rPr>
        <w:t xml:space="preserve">DESIGN AND ANALYSIS OF SMART HOME ENERGY MANAGEMENT SYSTEM FOR ENERGY-EFFICIENT AND DEMAND RESPONSE OPERATIONS  </w:t>
      </w:r>
    </w:p>
    <w:p w14:paraId="74792F93" w14:textId="77777777" w:rsidR="002637BE" w:rsidRPr="00145EE6" w:rsidRDefault="002637BE" w:rsidP="002637BE">
      <w:pPr>
        <w:pStyle w:val="HeadnotTOC"/>
        <w:rPr>
          <w:sz w:val="24"/>
          <w:szCs w:val="24"/>
        </w:rPr>
      </w:pPr>
      <w:r w:rsidRPr="00145EE6">
        <w:rPr>
          <w:sz w:val="24"/>
          <w:szCs w:val="24"/>
        </w:rPr>
        <w:fldChar w:fldCharType="end"/>
      </w:r>
      <w:r w:rsidRPr="00145EE6">
        <w:rPr>
          <w:sz w:val="24"/>
          <w:szCs w:val="24"/>
        </w:rPr>
        <w:fldChar w:fldCharType="end"/>
      </w:r>
    </w:p>
    <w:p w14:paraId="103713C7" w14:textId="76B4B2FD" w:rsidR="00C23768" w:rsidRPr="00145EE6" w:rsidRDefault="00C23768" w:rsidP="00B40105">
      <w:pPr>
        <w:pStyle w:val="HeadnotTOC"/>
        <w:rPr>
          <w:sz w:val="24"/>
          <w:szCs w:val="24"/>
        </w:rPr>
      </w:pPr>
    </w:p>
    <w:p w14:paraId="59DEFBE7" w14:textId="77777777" w:rsidR="00C23768" w:rsidRPr="00145EE6" w:rsidRDefault="00C23768" w:rsidP="00F028F0">
      <w:pPr>
        <w:pStyle w:val="HeadnotTOC"/>
        <w:rPr>
          <w:sz w:val="24"/>
          <w:szCs w:val="24"/>
        </w:rPr>
      </w:pPr>
    </w:p>
    <w:p w14:paraId="7C8545DC" w14:textId="77777777" w:rsidR="00C23768" w:rsidRPr="00145EE6" w:rsidRDefault="00C23768" w:rsidP="00F028F0">
      <w:pPr>
        <w:pStyle w:val="HeadnotTOC"/>
        <w:rPr>
          <w:sz w:val="24"/>
          <w:szCs w:val="24"/>
        </w:rPr>
      </w:pPr>
    </w:p>
    <w:p w14:paraId="6FE9D0A6" w14:textId="77777777" w:rsidR="00C23768" w:rsidRPr="00145EE6" w:rsidRDefault="00C23768" w:rsidP="00F028F0">
      <w:pPr>
        <w:pStyle w:val="HeadnotTOC"/>
        <w:rPr>
          <w:sz w:val="24"/>
          <w:szCs w:val="24"/>
        </w:rPr>
      </w:pPr>
    </w:p>
    <w:p w14:paraId="4C826B5A" w14:textId="1FD600CF" w:rsidR="00C23768" w:rsidRPr="00145EE6" w:rsidRDefault="00C23768" w:rsidP="00F028F0">
      <w:pPr>
        <w:pStyle w:val="HeadnotTOC"/>
        <w:rPr>
          <w:sz w:val="24"/>
          <w:szCs w:val="24"/>
        </w:rPr>
      </w:pPr>
      <w:r w:rsidRPr="00145EE6">
        <w:rPr>
          <w:sz w:val="24"/>
          <w:szCs w:val="24"/>
        </w:rPr>
        <w:t xml:space="preserve">A DISSERTATION APPROVED FOR THE </w:t>
      </w:r>
    </w:p>
    <w:p w14:paraId="1FD96F86" w14:textId="7DCAA916" w:rsidR="004C3632" w:rsidRPr="00145EE6" w:rsidRDefault="00E05642" w:rsidP="00F028F0">
      <w:pPr>
        <w:pStyle w:val="HeadnotTOC"/>
        <w:rPr>
          <w:sz w:val="24"/>
          <w:szCs w:val="24"/>
        </w:rPr>
      </w:pPr>
      <w:r w:rsidRPr="00145EE6">
        <w:rPr>
          <w:rFonts w:hint="eastAsia"/>
          <w:sz w:val="24"/>
          <w:szCs w:val="24"/>
        </w:rPr>
        <w:t>S</w:t>
      </w:r>
      <w:r w:rsidRPr="00145EE6">
        <w:rPr>
          <w:sz w:val="24"/>
          <w:szCs w:val="24"/>
        </w:rPr>
        <w:t xml:space="preserve">CHOOL OF </w:t>
      </w:r>
      <w:r w:rsidR="004C3632" w:rsidRPr="00145EE6">
        <w:rPr>
          <w:sz w:val="24"/>
          <w:szCs w:val="24"/>
        </w:rPr>
        <w:t>AEROSPACE AND MECHANICAL ENGINEERING</w:t>
      </w:r>
    </w:p>
    <w:p w14:paraId="254CAF78" w14:textId="77777777" w:rsidR="003D00D5" w:rsidRPr="00145EE6" w:rsidRDefault="003D00D5" w:rsidP="00F028F0">
      <w:pPr>
        <w:pStyle w:val="HeadnotTOC"/>
        <w:rPr>
          <w:sz w:val="24"/>
          <w:szCs w:val="24"/>
        </w:rPr>
      </w:pPr>
    </w:p>
    <w:p w14:paraId="7FCBD244" w14:textId="77777777" w:rsidR="003D00D5" w:rsidRPr="00145EE6" w:rsidRDefault="003D00D5" w:rsidP="00F028F0">
      <w:pPr>
        <w:pStyle w:val="HeadnotTOC"/>
        <w:rPr>
          <w:sz w:val="24"/>
          <w:szCs w:val="24"/>
        </w:rPr>
      </w:pPr>
    </w:p>
    <w:p w14:paraId="6111CC0B" w14:textId="77777777" w:rsidR="003D00D5" w:rsidRPr="00145EE6" w:rsidRDefault="003D00D5" w:rsidP="00F028F0">
      <w:pPr>
        <w:pStyle w:val="HeadnotTOC"/>
        <w:rPr>
          <w:sz w:val="24"/>
          <w:szCs w:val="24"/>
        </w:rPr>
      </w:pPr>
    </w:p>
    <w:p w14:paraId="29CE19A4" w14:textId="77777777" w:rsidR="003D00D5" w:rsidRPr="00145EE6" w:rsidRDefault="003D00D5" w:rsidP="00F028F0">
      <w:pPr>
        <w:pStyle w:val="HeadnotTOC"/>
        <w:rPr>
          <w:sz w:val="24"/>
          <w:szCs w:val="24"/>
        </w:rPr>
      </w:pPr>
    </w:p>
    <w:p w14:paraId="6CA39950" w14:textId="77777777" w:rsidR="008E271E" w:rsidRPr="00145EE6" w:rsidRDefault="008E271E" w:rsidP="00F028F0">
      <w:pPr>
        <w:pStyle w:val="HeadnotTOC"/>
        <w:rPr>
          <w:sz w:val="24"/>
          <w:szCs w:val="24"/>
        </w:rPr>
      </w:pPr>
    </w:p>
    <w:p w14:paraId="61AE68A4" w14:textId="77777777" w:rsidR="008E271E" w:rsidRPr="00145EE6" w:rsidRDefault="008E271E" w:rsidP="00F028F0">
      <w:pPr>
        <w:pStyle w:val="HeadnotTOC"/>
        <w:rPr>
          <w:sz w:val="24"/>
          <w:szCs w:val="24"/>
        </w:rPr>
      </w:pPr>
    </w:p>
    <w:p w14:paraId="15FC549E" w14:textId="77777777" w:rsidR="008E271E" w:rsidRPr="00145EE6" w:rsidRDefault="008E271E" w:rsidP="00F028F0">
      <w:pPr>
        <w:pStyle w:val="HeadnotTOC"/>
        <w:rPr>
          <w:sz w:val="24"/>
          <w:szCs w:val="24"/>
        </w:rPr>
      </w:pPr>
    </w:p>
    <w:p w14:paraId="1A8D0B99" w14:textId="77777777" w:rsidR="008E271E" w:rsidRPr="00145EE6" w:rsidRDefault="008E271E" w:rsidP="00F028F0">
      <w:pPr>
        <w:pStyle w:val="HeadnotTOC"/>
        <w:rPr>
          <w:sz w:val="24"/>
          <w:szCs w:val="24"/>
        </w:rPr>
      </w:pPr>
    </w:p>
    <w:p w14:paraId="6F27F81A" w14:textId="77777777" w:rsidR="008E271E" w:rsidRPr="00145EE6" w:rsidRDefault="008E271E" w:rsidP="00F028F0">
      <w:pPr>
        <w:pStyle w:val="HeadnotTOC"/>
        <w:rPr>
          <w:sz w:val="24"/>
          <w:szCs w:val="24"/>
        </w:rPr>
      </w:pPr>
    </w:p>
    <w:p w14:paraId="418A2905" w14:textId="77777777" w:rsidR="008E271E" w:rsidRPr="00145EE6" w:rsidRDefault="008E271E" w:rsidP="00F028F0">
      <w:pPr>
        <w:pStyle w:val="HeadnotTOC"/>
        <w:rPr>
          <w:sz w:val="24"/>
          <w:szCs w:val="24"/>
        </w:rPr>
      </w:pPr>
    </w:p>
    <w:p w14:paraId="273016CD" w14:textId="77777777" w:rsidR="003D00D5" w:rsidRPr="00145EE6" w:rsidRDefault="00C23768" w:rsidP="00F028F0">
      <w:pPr>
        <w:pStyle w:val="HeadnotTOC"/>
        <w:rPr>
          <w:sz w:val="24"/>
          <w:szCs w:val="24"/>
        </w:rPr>
      </w:pPr>
      <w:r w:rsidRPr="00145EE6">
        <w:rPr>
          <w:sz w:val="24"/>
          <w:szCs w:val="24"/>
        </w:rPr>
        <w:t xml:space="preserve">BY THE COMMITTEE CONSISTING OF </w:t>
      </w:r>
    </w:p>
    <w:p w14:paraId="25ED91DD" w14:textId="77777777" w:rsidR="003D00D5" w:rsidRPr="00145EE6" w:rsidRDefault="003D00D5" w:rsidP="00F028F0">
      <w:pPr>
        <w:pStyle w:val="HeadnotTOC"/>
        <w:rPr>
          <w:sz w:val="24"/>
          <w:szCs w:val="24"/>
        </w:rPr>
      </w:pPr>
    </w:p>
    <w:p w14:paraId="12F4A838" w14:textId="77777777" w:rsidR="004C3632" w:rsidRDefault="004C3632" w:rsidP="00F028F0"/>
    <w:p w14:paraId="1B681A7C" w14:textId="363756C2" w:rsidR="003D00D5" w:rsidRPr="004C3632" w:rsidRDefault="00C23768" w:rsidP="00D24CE0">
      <w:pPr>
        <w:jc w:val="right"/>
      </w:pPr>
      <w:r w:rsidRPr="004C3632">
        <w:t xml:space="preserve">Dr. </w:t>
      </w:r>
      <w:r w:rsidR="003D00D5" w:rsidRPr="004C3632">
        <w:t>Li Song</w:t>
      </w:r>
      <w:r w:rsidR="00E05642">
        <w:t xml:space="preserve">, </w:t>
      </w:r>
      <w:r w:rsidR="00E05642" w:rsidRPr="004C3632">
        <w:t>Chair</w:t>
      </w:r>
    </w:p>
    <w:p w14:paraId="4C369585" w14:textId="2272C926" w:rsidR="001E0266" w:rsidRDefault="00C23768" w:rsidP="00D24CE0">
      <w:pPr>
        <w:jc w:val="right"/>
      </w:pPr>
      <w:r w:rsidRPr="004C3632">
        <w:t>Dr.</w:t>
      </w:r>
      <w:r w:rsidR="00CF7313" w:rsidRPr="004C3632">
        <w:t xml:space="preserve"> Choon Yik Tang</w:t>
      </w:r>
    </w:p>
    <w:p w14:paraId="718A904A" w14:textId="02C82CB3" w:rsidR="003D00D5" w:rsidRPr="004C3632" w:rsidRDefault="00C23768" w:rsidP="00D24CE0">
      <w:pPr>
        <w:jc w:val="right"/>
      </w:pPr>
      <w:r w:rsidRPr="004C3632">
        <w:t>Dr.</w:t>
      </w:r>
      <w:r w:rsidR="00CF7313" w:rsidRPr="004C3632">
        <w:t xml:space="preserve"> Jie</w:t>
      </w:r>
      <w:r w:rsidRPr="004C3632">
        <w:t xml:space="preserve"> </w:t>
      </w:r>
      <w:r w:rsidR="00876166">
        <w:t>Cai</w:t>
      </w:r>
    </w:p>
    <w:p w14:paraId="259DA2C3" w14:textId="71680E5D" w:rsidR="006E09F7" w:rsidRPr="004C3632" w:rsidRDefault="00C23768" w:rsidP="00D24CE0">
      <w:pPr>
        <w:jc w:val="right"/>
      </w:pPr>
      <w:r w:rsidRPr="004C3632">
        <w:t xml:space="preserve">Dr. </w:t>
      </w:r>
      <w:r w:rsidR="006E09F7" w:rsidRPr="004C3632">
        <w:t>Pejman Kazempoor</w:t>
      </w:r>
    </w:p>
    <w:p w14:paraId="20164195" w14:textId="77777777" w:rsidR="00663807" w:rsidRDefault="00C23768" w:rsidP="00D24CE0">
      <w:pPr>
        <w:jc w:val="right"/>
      </w:pPr>
      <w:r w:rsidRPr="004C3632">
        <w:t>Dr.</w:t>
      </w:r>
      <w:r w:rsidR="006E09F7" w:rsidRPr="004C3632">
        <w:t xml:space="preserve"> Meijun Zhu</w:t>
      </w:r>
    </w:p>
    <w:p w14:paraId="33D7420F" w14:textId="185F6E46" w:rsidR="00DA4773" w:rsidRDefault="00B40105" w:rsidP="000B3A87">
      <w:r>
        <w:br w:type="page"/>
      </w:r>
    </w:p>
    <w:p w14:paraId="20404C8D" w14:textId="77777777" w:rsidR="00B40105" w:rsidRDefault="00B40105" w:rsidP="00B40105"/>
    <w:p w14:paraId="7F697C2E" w14:textId="77777777" w:rsidR="00B40105" w:rsidRDefault="00B40105" w:rsidP="00B40105"/>
    <w:p w14:paraId="53E22FDB" w14:textId="77777777" w:rsidR="00B40105" w:rsidRDefault="00B40105" w:rsidP="00B40105"/>
    <w:p w14:paraId="2BAFC89E" w14:textId="77777777" w:rsidR="00B40105" w:rsidRDefault="00B40105" w:rsidP="00B40105"/>
    <w:p w14:paraId="2C6D873A" w14:textId="77777777" w:rsidR="00B40105" w:rsidRDefault="00B40105" w:rsidP="00B40105"/>
    <w:p w14:paraId="17BF3025" w14:textId="77777777" w:rsidR="00B40105" w:rsidRDefault="00B40105" w:rsidP="00B40105"/>
    <w:p w14:paraId="42BF1CF7" w14:textId="77777777" w:rsidR="00B40105" w:rsidRDefault="00B40105" w:rsidP="00B40105"/>
    <w:p w14:paraId="474CA1A9" w14:textId="77777777" w:rsidR="00B40105" w:rsidRDefault="00B40105" w:rsidP="00B40105"/>
    <w:p w14:paraId="4F19D7EF" w14:textId="77777777" w:rsidR="00B40105" w:rsidRDefault="00B40105" w:rsidP="00B40105"/>
    <w:p w14:paraId="4F25C4A2" w14:textId="77777777" w:rsidR="00B40105" w:rsidRDefault="00B40105" w:rsidP="00B40105"/>
    <w:p w14:paraId="3E068D3B" w14:textId="77777777" w:rsidR="00B40105" w:rsidRDefault="00B40105" w:rsidP="00B40105"/>
    <w:p w14:paraId="6500E22C" w14:textId="77777777" w:rsidR="00B40105" w:rsidRDefault="00B40105" w:rsidP="00B40105"/>
    <w:p w14:paraId="67852433" w14:textId="77777777" w:rsidR="00B40105" w:rsidRDefault="00B40105" w:rsidP="00B40105"/>
    <w:p w14:paraId="6FADC028" w14:textId="77777777" w:rsidR="00B40105" w:rsidRDefault="00B40105" w:rsidP="00B40105"/>
    <w:p w14:paraId="7773951D" w14:textId="77777777" w:rsidR="00B40105" w:rsidRDefault="00B40105" w:rsidP="00B40105"/>
    <w:p w14:paraId="30263180" w14:textId="77777777" w:rsidR="00B40105" w:rsidRDefault="00B40105" w:rsidP="00B40105"/>
    <w:p w14:paraId="4230C927" w14:textId="77777777" w:rsidR="00B40105" w:rsidRDefault="00B40105" w:rsidP="00B40105"/>
    <w:p w14:paraId="5B6E3C1D" w14:textId="77777777" w:rsidR="0064548B" w:rsidRDefault="0064548B" w:rsidP="00B40105"/>
    <w:p w14:paraId="6D54BDE8" w14:textId="77777777" w:rsidR="0064548B" w:rsidRDefault="0064548B" w:rsidP="00B40105"/>
    <w:p w14:paraId="6F4A3B81" w14:textId="00EEB329" w:rsidR="00FA0682" w:rsidRPr="00145EE6" w:rsidRDefault="0090189A" w:rsidP="00F028F0">
      <w:pPr>
        <w:pStyle w:val="HeadnotTOC"/>
        <w:rPr>
          <w:sz w:val="24"/>
          <w:szCs w:val="24"/>
        </w:rPr>
      </w:pPr>
      <w:r w:rsidRPr="00145EE6">
        <w:rPr>
          <w:sz w:val="24"/>
          <w:szCs w:val="24"/>
        </w:rPr>
        <w:t xml:space="preserve">© Copyright by </w:t>
      </w:r>
      <w:r w:rsidR="00450629" w:rsidRPr="00145EE6">
        <w:rPr>
          <w:sz w:val="24"/>
          <w:szCs w:val="24"/>
        </w:rPr>
        <w:t>YILIN JIANG</w:t>
      </w:r>
      <w:r w:rsidRPr="00145EE6">
        <w:rPr>
          <w:sz w:val="24"/>
          <w:szCs w:val="24"/>
        </w:rPr>
        <w:t xml:space="preserve"> 2023</w:t>
      </w:r>
    </w:p>
    <w:p w14:paraId="7DAEE387" w14:textId="7948E586" w:rsidR="00BF5D91" w:rsidRPr="00145EE6" w:rsidRDefault="00BF5D91" w:rsidP="000B3A87">
      <w:pPr>
        <w:pStyle w:val="HeadnotTOC"/>
        <w:rPr>
          <w:sz w:val="24"/>
          <w:szCs w:val="24"/>
        </w:rPr>
      </w:pPr>
      <w:r w:rsidRPr="00145EE6">
        <w:rPr>
          <w:sz w:val="24"/>
          <w:szCs w:val="24"/>
        </w:rPr>
        <w:tab/>
      </w:r>
      <w:r w:rsidR="0090189A" w:rsidRPr="00145EE6">
        <w:rPr>
          <w:sz w:val="24"/>
          <w:szCs w:val="24"/>
        </w:rPr>
        <w:t>All Rights Reserved</w:t>
      </w:r>
      <w:r w:rsidR="00145EE6" w:rsidRPr="00145EE6">
        <w:rPr>
          <w:rFonts w:hint="eastAsia"/>
          <w:sz w:val="24"/>
          <w:szCs w:val="24"/>
        </w:rPr>
        <w:t>.</w:t>
      </w:r>
      <w:r w:rsidRPr="00145EE6">
        <w:rPr>
          <w:sz w:val="24"/>
          <w:szCs w:val="24"/>
        </w:rPr>
        <w:tab/>
      </w:r>
    </w:p>
    <w:p w14:paraId="7DB05B5A" w14:textId="5EEA9FBC" w:rsidR="00663807" w:rsidRDefault="00663807" w:rsidP="000B3A87">
      <w:pPr>
        <w:sectPr w:rsidR="00663807" w:rsidSect="00BF5D91">
          <w:headerReference w:type="default" r:id="rId8"/>
          <w:footerReference w:type="even" r:id="rId9"/>
          <w:footerReference w:type="default" r:id="rId10"/>
          <w:footerReference w:type="first" r:id="rId11"/>
          <w:pgSz w:w="11906" w:h="16838"/>
          <w:pgMar w:top="1440" w:right="1440" w:bottom="1440" w:left="1440" w:header="851" w:footer="992" w:gutter="0"/>
          <w:pgNumType w:fmt="lowerRoman" w:start="1"/>
          <w:cols w:space="425"/>
          <w:titlePg/>
          <w:docGrid w:type="lines" w:linePitch="326"/>
        </w:sectPr>
      </w:pPr>
      <w:bookmarkStart w:id="0" w:name="_Toc126327444"/>
      <w:bookmarkStart w:id="1" w:name="_Toc126327557"/>
    </w:p>
    <w:p w14:paraId="57F63304" w14:textId="557C3755" w:rsidR="00663807" w:rsidRDefault="00663807" w:rsidP="000A2BD4">
      <w:pPr>
        <w:ind w:firstLine="0"/>
      </w:pPr>
    </w:p>
    <w:bookmarkEnd w:id="0"/>
    <w:bookmarkEnd w:id="1"/>
    <w:p w14:paraId="6B57897B" w14:textId="18455B44" w:rsidR="00363072" w:rsidRPr="00317151" w:rsidRDefault="00317151" w:rsidP="000B3A87">
      <w:pPr>
        <w:pStyle w:val="HeadnotTOC"/>
      </w:pPr>
      <w:r>
        <w:t xml:space="preserve">   </w:t>
      </w:r>
    </w:p>
    <w:p w14:paraId="4A2FE6C2" w14:textId="43BC49B3" w:rsidR="00730AE4" w:rsidRPr="008A6511" w:rsidRDefault="00A7171F" w:rsidP="008A6511">
      <w:pPr>
        <w:pStyle w:val="TOCHeading"/>
      </w:pPr>
      <w:bookmarkStart w:id="2" w:name="_Toc126327445"/>
      <w:bookmarkStart w:id="3" w:name="_Toc126327558"/>
      <w:bookmarkStart w:id="4" w:name="_Toc132122435"/>
      <w:bookmarkStart w:id="5" w:name="_Toc141991660"/>
      <w:r w:rsidRPr="008A6511">
        <w:t>DEDICATION</w:t>
      </w:r>
      <w:bookmarkEnd w:id="2"/>
      <w:bookmarkEnd w:id="3"/>
      <w:bookmarkEnd w:id="4"/>
      <w:bookmarkEnd w:id="5"/>
      <w:r w:rsidRPr="008A6511">
        <w:t xml:space="preserve"> </w:t>
      </w:r>
    </w:p>
    <w:p w14:paraId="6C831B91" w14:textId="3E4D90D5" w:rsidR="00C82F72" w:rsidRPr="00C82F72" w:rsidRDefault="00C82F72" w:rsidP="00F028F0"/>
    <w:p w14:paraId="779A4C5A" w14:textId="77777777" w:rsidR="005236E4" w:rsidRDefault="005236E4" w:rsidP="00F028F0"/>
    <w:p w14:paraId="660DFD08" w14:textId="77777777" w:rsidR="005236E4" w:rsidRDefault="005236E4" w:rsidP="00F028F0"/>
    <w:p w14:paraId="3D4EEC5E" w14:textId="77777777" w:rsidR="005236E4" w:rsidRDefault="005236E4" w:rsidP="00F028F0"/>
    <w:p w14:paraId="558FE9DC" w14:textId="3F1DF25A" w:rsidR="00730AE4" w:rsidRPr="00F17CAE" w:rsidRDefault="00C82F72" w:rsidP="000B3A87">
      <w:r w:rsidRPr="00F17CAE">
        <w:rPr>
          <w:rFonts w:hint="eastAsia"/>
        </w:rPr>
        <w:t>T</w:t>
      </w:r>
      <w:r w:rsidRPr="00F17CAE">
        <w:t xml:space="preserve">o my </w:t>
      </w:r>
      <w:r w:rsidR="005236E4" w:rsidRPr="00F17CAE">
        <w:t>father and grandfather in law, in loving memory.</w:t>
      </w:r>
    </w:p>
    <w:p w14:paraId="16D1405B" w14:textId="4E04032B" w:rsidR="005236E4" w:rsidRDefault="005236E4" w:rsidP="00F028F0">
      <w:r>
        <w:br w:type="page"/>
      </w:r>
    </w:p>
    <w:p w14:paraId="03DC4D9E" w14:textId="47C3D90F" w:rsidR="005236E4" w:rsidRPr="00D84FC1" w:rsidRDefault="00A7171F" w:rsidP="00F028F0">
      <w:pPr>
        <w:pStyle w:val="TOCHeading"/>
      </w:pPr>
      <w:bookmarkStart w:id="6" w:name="_Toc126327446"/>
      <w:bookmarkStart w:id="7" w:name="_Toc126327559"/>
      <w:bookmarkStart w:id="8" w:name="_Toc132122436"/>
      <w:bookmarkStart w:id="9" w:name="_Toc141991661"/>
      <w:r w:rsidRPr="00D84FC1">
        <w:lastRenderedPageBreak/>
        <w:t>ACKNOWLEDGMENTS</w:t>
      </w:r>
      <w:bookmarkEnd w:id="6"/>
      <w:bookmarkEnd w:id="7"/>
      <w:bookmarkEnd w:id="8"/>
      <w:bookmarkEnd w:id="9"/>
    </w:p>
    <w:p w14:paraId="3D7B05AD" w14:textId="77777777" w:rsidR="00730AE4" w:rsidRDefault="00730AE4" w:rsidP="00F028F0">
      <w:pPr>
        <w:pStyle w:val="HeadnotTOC"/>
      </w:pPr>
    </w:p>
    <w:p w14:paraId="55DEE51A" w14:textId="0914E026" w:rsidR="00DC62D6" w:rsidRDefault="00AB0813" w:rsidP="007C6DE7">
      <w:r>
        <w:t xml:space="preserve">The </w:t>
      </w:r>
      <w:r w:rsidR="00DC62D6">
        <w:t>success</w:t>
      </w:r>
      <w:r>
        <w:t xml:space="preserve"> of this </w:t>
      </w:r>
      <w:r w:rsidR="00DC62D6">
        <w:t>study</w:t>
      </w:r>
      <w:r>
        <w:t xml:space="preserve"> would not have been possible without the guidance and collaboration of my supervisor, Dr. Li Song (chair of my dissertation committee). </w:t>
      </w:r>
      <w:r w:rsidR="00DC62D6">
        <w:t>Her insights</w:t>
      </w:r>
      <w:r w:rsidR="00FD52F8">
        <w:t xml:space="preserve"> and </w:t>
      </w:r>
      <w:r w:rsidR="00776618">
        <w:t>advice</w:t>
      </w:r>
      <w:r w:rsidR="00FD52F8">
        <w:t xml:space="preserve"> have shaped every phase of this project, from model development to results analysis. </w:t>
      </w:r>
      <w:r w:rsidR="00DC62D6">
        <w:t xml:space="preserve">I would like to also express my gratitude to Dr. Choon Yik Tang for his </w:t>
      </w:r>
      <w:r w:rsidR="00C33663">
        <w:t>substantial</w:t>
      </w:r>
      <w:r w:rsidR="00DC62D6">
        <w:t xml:space="preserve"> contributions and support throughout the project. </w:t>
      </w:r>
    </w:p>
    <w:p w14:paraId="209FED59" w14:textId="571BE6CD" w:rsidR="00C340F2" w:rsidRDefault="00DC62D6" w:rsidP="00C340F2">
      <w:r>
        <w:t xml:space="preserve"> </w:t>
      </w:r>
      <w:r w:rsidR="005823A9">
        <w:t xml:space="preserve">I would like to thank </w:t>
      </w:r>
      <w:r w:rsidR="009A5D6A">
        <w:t>lab</w:t>
      </w:r>
      <w:r w:rsidR="00DA048F">
        <w:t xml:space="preserve"> mates </w:t>
      </w:r>
      <w:r w:rsidR="005823A9">
        <w:t>Junke Wang</w:t>
      </w:r>
      <w:r w:rsidR="00DA048F">
        <w:t>,</w:t>
      </w:r>
      <w:r w:rsidR="005823A9">
        <w:t xml:space="preserve"> Andrew</w:t>
      </w:r>
      <w:r w:rsidR="00B10E02">
        <w:t xml:space="preserve"> E</w:t>
      </w:r>
      <w:r w:rsidR="00B10E02" w:rsidRPr="00B10E02">
        <w:t>jenakevwe</w:t>
      </w:r>
      <w:r w:rsidR="00DA048F">
        <w:t xml:space="preserve">, Rodeney Hurts, Luyao Xie, </w:t>
      </w:r>
      <w:r w:rsidR="008E74CF">
        <w:t xml:space="preserve">and </w:t>
      </w:r>
      <w:r w:rsidR="00C964E2">
        <w:t>Marwan</w:t>
      </w:r>
      <w:r w:rsidR="008E74CF">
        <w:t xml:space="preserve"> Hashem in the Building Energy Efficiency Laboratory (BEEL) at OU. Without their kindness help and support, I </w:t>
      </w:r>
      <w:r w:rsidR="00F536A4">
        <w:t xml:space="preserve">would not gain so much knowledge and happiness during my PhD journey. Special thanks </w:t>
      </w:r>
      <w:r w:rsidR="00E909B7">
        <w:t>to</w:t>
      </w:r>
      <w:r w:rsidR="00F536A4">
        <w:t xml:space="preserve"> </w:t>
      </w:r>
      <w:r w:rsidR="003504D8">
        <w:t>Dr. M</w:t>
      </w:r>
      <w:r w:rsidR="003504D8" w:rsidRPr="003504D8">
        <w:t>ichael</w:t>
      </w:r>
      <w:r w:rsidR="003504D8">
        <w:t xml:space="preserve"> B</w:t>
      </w:r>
      <w:r w:rsidR="003504D8" w:rsidRPr="003504D8">
        <w:t>rambley</w:t>
      </w:r>
      <w:r w:rsidR="003504D8">
        <w:t xml:space="preserve"> and his team working on connected home</w:t>
      </w:r>
      <w:r w:rsidR="00C340F2">
        <w:t xml:space="preserve">s, for helping with </w:t>
      </w:r>
      <w:r w:rsidR="002A6A6E">
        <w:t xml:space="preserve">water heater construction and many technical </w:t>
      </w:r>
      <w:r w:rsidR="009D4AFD">
        <w:t xml:space="preserve">suggestions in our early </w:t>
      </w:r>
      <w:r w:rsidR="00353CAE">
        <w:t xml:space="preserve">stage. </w:t>
      </w:r>
    </w:p>
    <w:p w14:paraId="70A524A9" w14:textId="7EF04573" w:rsidR="00353CAE" w:rsidRDefault="00353CAE" w:rsidP="00C340F2">
      <w:r>
        <w:t xml:space="preserve">Great appreciation goes to the homeowners who participate in our precooling tests. </w:t>
      </w:r>
    </w:p>
    <w:p w14:paraId="6EDCD999" w14:textId="75E1815A" w:rsidR="008F5CE3" w:rsidRDefault="00353CAE" w:rsidP="008F5CE3">
      <w:r>
        <w:t xml:space="preserve">I would like to thank my dissertation committee, who are my qualify exam committee too, Dr. </w:t>
      </w:r>
      <w:r w:rsidR="008F5CE3" w:rsidRPr="004C3632">
        <w:t>Cai Jie</w:t>
      </w:r>
      <w:r w:rsidR="008F5CE3">
        <w:t xml:space="preserve">, </w:t>
      </w:r>
      <w:r w:rsidR="008F5CE3" w:rsidRPr="004C3632">
        <w:t>Dr. Pejman Kazempoor</w:t>
      </w:r>
      <w:r w:rsidR="008F5CE3">
        <w:t xml:space="preserve">, and </w:t>
      </w:r>
      <w:r w:rsidR="008F5CE3" w:rsidRPr="004C3632">
        <w:t>Dr. Meijun Zhu</w:t>
      </w:r>
      <w:r w:rsidR="008F5CE3">
        <w:t xml:space="preserve">. </w:t>
      </w:r>
    </w:p>
    <w:p w14:paraId="5BC9956A" w14:textId="77777777" w:rsidR="0004038B" w:rsidRDefault="008F5CE3" w:rsidP="008F5CE3">
      <w:pPr>
        <w:rPr>
          <w:lang w:bidi="en-US"/>
        </w:rPr>
      </w:pPr>
      <w:r>
        <w:t>Part of this work was supported through</w:t>
      </w:r>
      <w:r w:rsidR="002749E5" w:rsidRPr="0008625D">
        <w:rPr>
          <w:lang w:bidi="en-US"/>
        </w:rPr>
        <w:t xml:space="preserve"> the U.S. Department of Energy’s Office of Energy Efficiency and Renewable Energy (EERE) under the Building Technologies Office</w:t>
      </w:r>
      <w:r w:rsidR="002749E5">
        <w:rPr>
          <w:lang w:bidi="en-US"/>
        </w:rPr>
        <w:t>.</w:t>
      </w:r>
      <w:r w:rsidR="0004038B">
        <w:rPr>
          <w:lang w:bidi="en-US"/>
        </w:rPr>
        <w:t xml:space="preserve"> I am very grateful to the support. </w:t>
      </w:r>
    </w:p>
    <w:p w14:paraId="18C23E2B" w14:textId="77777777" w:rsidR="009770F6" w:rsidRDefault="0004038B" w:rsidP="007D3EAA">
      <w:r>
        <w:rPr>
          <w:lang w:bidi="en-US"/>
        </w:rPr>
        <w:t>I would like to thank my family</w:t>
      </w:r>
      <w:r w:rsidR="007D3EAA">
        <w:rPr>
          <w:lang w:bidi="en-US"/>
        </w:rPr>
        <w:t xml:space="preserve">. Without their support, I would have been impossible to finish the study. </w:t>
      </w:r>
      <w:r w:rsidR="009770F6">
        <w:br w:type="page"/>
      </w:r>
    </w:p>
    <w:p w14:paraId="6E28E953" w14:textId="77777777" w:rsidR="00BE76F6" w:rsidRPr="00C952E3" w:rsidRDefault="00BE76F6" w:rsidP="00BE76F6">
      <w:pPr>
        <w:pStyle w:val="TOCHeading"/>
      </w:pPr>
      <w:bookmarkStart w:id="10" w:name="_Toc132122434"/>
      <w:bookmarkStart w:id="11" w:name="_Toc141991662"/>
      <w:r w:rsidRPr="00C952E3">
        <w:lastRenderedPageBreak/>
        <w:t>ABSTRACT</w:t>
      </w:r>
      <w:bookmarkEnd w:id="10"/>
      <w:bookmarkEnd w:id="11"/>
    </w:p>
    <w:p w14:paraId="328C0C70" w14:textId="77777777" w:rsidR="00BE76F6" w:rsidRDefault="00BE76F6" w:rsidP="00BE76F6">
      <w:r w:rsidRPr="00C61106">
        <w:t xml:space="preserve"> </w:t>
      </w:r>
      <w:r>
        <w:t xml:space="preserve">In the movie “Iron Man”, Tony Stark, with his highly connected and smart home system, shows the audience an appealing vision of future work and domestic life. Many audiences desire such a living environment where they can not only interact with their homes but also let the homes manage their operation automatically. As technology progressively steps into such a future, realizing a responsive and autonomous smart home is not just a fantasy. To establish grid-interactive homes that help save costs for users and improve grid reliability, this study introduces an energy management framework for smart home environments. This framework provides optimal operation of multiple appliances, taking into account dynamic responses to external factors such as outside weather conditions, homeowner’s preferences, and particularly, gird conditions like time-varying pricing in demand response programs. </w:t>
      </w:r>
    </w:p>
    <w:p w14:paraId="41C6051F" w14:textId="77777777" w:rsidR="00BE76F6" w:rsidRDefault="00BE76F6" w:rsidP="00BE76F6">
      <w:r>
        <w:t xml:space="preserve">As one of the largest energy consumers in the home, the operation of the HVAC system holds great potential for cost savings and energy flexibility—the latter being the ability to adjust its consumption based on grid signals such as time-of-use (TOU) pricing. Achieving cost savings and energy flexibility requires intelligent strategies, one of which is precooling—a control strategy where an air conditioner (AC) cools space when the electricity price is low to avoid expensive operation when the electricity price is high. In previous studies, Model Predictive Control (MPC)-based precooling strategies are typically analyzed through simulations, and field studies in residential buildings are quite limited. In this study, we developed an MPC agent and carried out extensive field tests on nine homes over a period of </w:t>
      </w:r>
      <w:r>
        <w:lastRenderedPageBreak/>
        <w:t xml:space="preserve">four months in Oklahoma and Miami. Filed test results show that the MPC agent can reduce energy cost by 28.72%–51.31% on hot summer days and by up to 60.32% on mild summer days, in addition to achieving significant energy flexibility. Moreover, the agent's performance is found to be most impacted by weather conditions, AC performance, user comfort preferences, and floor areas of the homes. </w:t>
      </w:r>
    </w:p>
    <w:p w14:paraId="64BF4755" w14:textId="77777777" w:rsidR="00BE76F6" w:rsidRDefault="00BE76F6" w:rsidP="00BE76F6">
      <w:r>
        <w:t xml:space="preserve">In addition, to further comprehend diverse factors that may impact the results of MPC-based precooling, an EnegyPlus virtual testbed and a corresponding control framework for co-simulation are developed. The purpose of developing such a virtual testbed is to create a simulation environment that enables experiments without the limitation and variability of field tests. The virtual testbed is modified by using the Python script to mimic the on/off cycle in the majority of U.S. residential building HVAC systems. By conducting the sensitivity analysis and ablation study, the MPC-based precooling co-simulation results are evaluated. It was observed in our case study that cost savings achieved through MPC-based precooling were primarily influenced by the use of forecast weather. The accuracy of the models and the prediction horizon of the MPC models also plays a substantial but lesser extent role. </w:t>
      </w:r>
    </w:p>
    <w:p w14:paraId="19207640" w14:textId="77777777" w:rsidR="00BE76F6" w:rsidRDefault="00BE76F6" w:rsidP="00BE76F6">
      <w:r>
        <w:tab/>
        <w:t xml:space="preserve">With the optimal operation framework shifting from the HVAC system to multiple appliances, the proposed energy management framework has a broader scope, encompassing not only the HVAC system but also water heaters, non-thermal appliances, and the power flow between photovoltaics panel (PV), batteries, and the grid. Apart from the cost-savings and energy flexibility that can be achieved, the proposed framework also provides a more realistic </w:t>
      </w:r>
      <w:r>
        <w:lastRenderedPageBreak/>
        <w:t xml:space="preserve">simulation scenario by considering the user’s appliance time usage preference, water usage, and thermal comfort preferences. Finally, the framework also embedded multi-objective optimization to support the homeowner’s decision-making between cost saving and thermal comfort. </w:t>
      </w:r>
    </w:p>
    <w:p w14:paraId="0D653E15" w14:textId="77777777" w:rsidR="00BE76F6" w:rsidRDefault="00BE76F6" w:rsidP="00BE76F6">
      <w:r>
        <w:t xml:space="preserve">Overall, this study aims to realize the optimal operation of various load-flexible resources under demand response programs in residential buildings. This study investigates the fundamental research for the investigation of methodologies to enhance and understand the interactions between buildings, homeowners, and the grid. Due to the flexibility of the model, this study can be adapted to other residential buildings and even in larger communities. </w:t>
      </w:r>
    </w:p>
    <w:p w14:paraId="004B4A4B" w14:textId="3ED553C9" w:rsidR="00BE76F6" w:rsidRPr="00BE76F6" w:rsidRDefault="00BE76F6" w:rsidP="00BE76F6">
      <w:r>
        <w:br w:type="page"/>
      </w:r>
    </w:p>
    <w:bookmarkStart w:id="12" w:name="_Toc132122437" w:displacedByCustomXml="next"/>
    <w:sdt>
      <w:sdtPr>
        <w:rPr>
          <w:rFonts w:asciiTheme="minorHAnsi" w:eastAsia="Times New Roman" w:hAnsi="Times"/>
          <w:b/>
          <w:bCs/>
          <w:sz w:val="20"/>
          <w:szCs w:val="20"/>
        </w:rPr>
        <w:id w:val="-1779402348"/>
        <w:docPartObj>
          <w:docPartGallery w:val="Table of Contents"/>
          <w:docPartUnique/>
        </w:docPartObj>
      </w:sdtPr>
      <w:sdtEndPr>
        <w:rPr>
          <w:rFonts w:ascii="Times"/>
          <w:noProof/>
          <w:sz w:val="24"/>
        </w:rPr>
      </w:sdtEndPr>
      <w:sdtContent>
        <w:p w14:paraId="33598913" w14:textId="5080B80A" w:rsidR="00332707" w:rsidRPr="00B64D69" w:rsidRDefault="00332707" w:rsidP="00BE76F6">
          <w:pPr>
            <w:pStyle w:val="HeadnotTOC"/>
          </w:pPr>
          <w:r w:rsidRPr="00B64D69">
            <w:t>Table of Contents</w:t>
          </w:r>
          <w:bookmarkEnd w:id="12"/>
        </w:p>
        <w:p w14:paraId="67E37D5D" w14:textId="783462E7" w:rsidR="00BE76F6" w:rsidRDefault="004D0A8D">
          <w:pPr>
            <w:pStyle w:val="TOC1"/>
            <w:rPr>
              <w:rFonts w:asciiTheme="minorHAnsi" w:eastAsiaTheme="minorEastAsia" w:hAnsiTheme="minorHAnsi" w:cstheme="minorBidi"/>
              <w:b w:val="0"/>
              <w:bCs w:val="0"/>
              <w:noProof/>
              <w:szCs w:val="24"/>
              <w14:ligatures w14:val="standardContextual"/>
            </w:rPr>
          </w:pPr>
          <w:r>
            <w:rPr>
              <w:rFonts w:ascii="Times New Roman"/>
            </w:rPr>
            <w:fldChar w:fldCharType="begin"/>
          </w:r>
          <w:r>
            <w:rPr>
              <w:rFonts w:ascii="Times New Roman"/>
            </w:rPr>
            <w:instrText xml:space="preserve"> TOC \o "1-4" \h \z \t "TOC Heading,1" </w:instrText>
          </w:r>
          <w:r>
            <w:rPr>
              <w:rFonts w:ascii="Times New Roman"/>
            </w:rPr>
            <w:fldChar w:fldCharType="separate"/>
          </w:r>
          <w:hyperlink w:anchor="_Toc141991660" w:history="1">
            <w:r w:rsidR="00BE76F6" w:rsidRPr="00AC1D54">
              <w:rPr>
                <w:rStyle w:val="Hyperlink"/>
                <w:noProof/>
              </w:rPr>
              <w:t>DEDICATION</w:t>
            </w:r>
            <w:r w:rsidR="00BE76F6">
              <w:rPr>
                <w:noProof/>
                <w:webHidden/>
              </w:rPr>
              <w:tab/>
            </w:r>
            <w:r w:rsidR="00BE76F6">
              <w:rPr>
                <w:noProof/>
                <w:webHidden/>
              </w:rPr>
              <w:fldChar w:fldCharType="begin"/>
            </w:r>
            <w:r w:rsidR="00BE76F6">
              <w:rPr>
                <w:noProof/>
                <w:webHidden/>
              </w:rPr>
              <w:instrText xml:space="preserve"> PAGEREF _Toc141991660 \h </w:instrText>
            </w:r>
            <w:r w:rsidR="00BE76F6">
              <w:rPr>
                <w:noProof/>
                <w:webHidden/>
              </w:rPr>
            </w:r>
            <w:r w:rsidR="00BE76F6">
              <w:rPr>
                <w:noProof/>
                <w:webHidden/>
              </w:rPr>
              <w:fldChar w:fldCharType="separate"/>
            </w:r>
            <w:r w:rsidR="000E1725">
              <w:rPr>
                <w:noProof/>
                <w:webHidden/>
              </w:rPr>
              <w:t>iv</w:t>
            </w:r>
            <w:r w:rsidR="00BE76F6">
              <w:rPr>
                <w:noProof/>
                <w:webHidden/>
              </w:rPr>
              <w:fldChar w:fldCharType="end"/>
            </w:r>
          </w:hyperlink>
        </w:p>
        <w:p w14:paraId="1D4D4D00" w14:textId="0F311CE6" w:rsidR="00BE76F6" w:rsidRDefault="00000000">
          <w:pPr>
            <w:pStyle w:val="TOC1"/>
            <w:rPr>
              <w:rFonts w:asciiTheme="minorHAnsi" w:eastAsiaTheme="minorEastAsia" w:hAnsiTheme="minorHAnsi" w:cstheme="minorBidi"/>
              <w:b w:val="0"/>
              <w:bCs w:val="0"/>
              <w:noProof/>
              <w:szCs w:val="24"/>
              <w14:ligatures w14:val="standardContextual"/>
            </w:rPr>
          </w:pPr>
          <w:hyperlink w:anchor="_Toc141991661" w:history="1">
            <w:r w:rsidR="00BE76F6" w:rsidRPr="00AC1D54">
              <w:rPr>
                <w:rStyle w:val="Hyperlink"/>
                <w:noProof/>
              </w:rPr>
              <w:t>ACKNOWLEDGMENTS</w:t>
            </w:r>
            <w:r w:rsidR="00BE76F6">
              <w:rPr>
                <w:noProof/>
                <w:webHidden/>
              </w:rPr>
              <w:tab/>
            </w:r>
            <w:r w:rsidR="00BE76F6">
              <w:rPr>
                <w:noProof/>
                <w:webHidden/>
              </w:rPr>
              <w:fldChar w:fldCharType="begin"/>
            </w:r>
            <w:r w:rsidR="00BE76F6">
              <w:rPr>
                <w:noProof/>
                <w:webHidden/>
              </w:rPr>
              <w:instrText xml:space="preserve"> PAGEREF _Toc141991661 \h </w:instrText>
            </w:r>
            <w:r w:rsidR="00BE76F6">
              <w:rPr>
                <w:noProof/>
                <w:webHidden/>
              </w:rPr>
            </w:r>
            <w:r w:rsidR="00BE76F6">
              <w:rPr>
                <w:noProof/>
                <w:webHidden/>
              </w:rPr>
              <w:fldChar w:fldCharType="separate"/>
            </w:r>
            <w:r w:rsidR="000E1725">
              <w:rPr>
                <w:noProof/>
                <w:webHidden/>
              </w:rPr>
              <w:t>v</w:t>
            </w:r>
            <w:r w:rsidR="00BE76F6">
              <w:rPr>
                <w:noProof/>
                <w:webHidden/>
              </w:rPr>
              <w:fldChar w:fldCharType="end"/>
            </w:r>
          </w:hyperlink>
        </w:p>
        <w:p w14:paraId="398FC846" w14:textId="1023B031" w:rsidR="00BE76F6" w:rsidRDefault="00000000">
          <w:pPr>
            <w:pStyle w:val="TOC1"/>
            <w:rPr>
              <w:rFonts w:asciiTheme="minorHAnsi" w:eastAsiaTheme="minorEastAsia" w:hAnsiTheme="minorHAnsi" w:cstheme="minorBidi"/>
              <w:b w:val="0"/>
              <w:bCs w:val="0"/>
              <w:noProof/>
              <w:szCs w:val="24"/>
              <w14:ligatures w14:val="standardContextual"/>
            </w:rPr>
          </w:pPr>
          <w:hyperlink w:anchor="_Toc141991662" w:history="1">
            <w:r w:rsidR="00BE76F6" w:rsidRPr="00AC1D54">
              <w:rPr>
                <w:rStyle w:val="Hyperlink"/>
                <w:noProof/>
              </w:rPr>
              <w:t>ABSTRACT</w:t>
            </w:r>
            <w:r w:rsidR="00BE76F6">
              <w:rPr>
                <w:noProof/>
                <w:webHidden/>
              </w:rPr>
              <w:tab/>
            </w:r>
            <w:r w:rsidR="00BE76F6">
              <w:rPr>
                <w:noProof/>
                <w:webHidden/>
              </w:rPr>
              <w:fldChar w:fldCharType="begin"/>
            </w:r>
            <w:r w:rsidR="00BE76F6">
              <w:rPr>
                <w:noProof/>
                <w:webHidden/>
              </w:rPr>
              <w:instrText xml:space="preserve"> PAGEREF _Toc141991662 \h </w:instrText>
            </w:r>
            <w:r w:rsidR="00BE76F6">
              <w:rPr>
                <w:noProof/>
                <w:webHidden/>
              </w:rPr>
            </w:r>
            <w:r w:rsidR="00BE76F6">
              <w:rPr>
                <w:noProof/>
                <w:webHidden/>
              </w:rPr>
              <w:fldChar w:fldCharType="separate"/>
            </w:r>
            <w:r w:rsidR="000E1725">
              <w:rPr>
                <w:noProof/>
                <w:webHidden/>
              </w:rPr>
              <w:t>vi</w:t>
            </w:r>
            <w:r w:rsidR="00BE76F6">
              <w:rPr>
                <w:noProof/>
                <w:webHidden/>
              </w:rPr>
              <w:fldChar w:fldCharType="end"/>
            </w:r>
          </w:hyperlink>
        </w:p>
        <w:p w14:paraId="5C030603" w14:textId="412476E3" w:rsidR="00BE76F6" w:rsidRDefault="00000000">
          <w:pPr>
            <w:pStyle w:val="TOC1"/>
            <w:rPr>
              <w:rFonts w:asciiTheme="minorHAnsi" w:eastAsiaTheme="minorEastAsia" w:hAnsiTheme="minorHAnsi" w:cstheme="minorBidi"/>
              <w:b w:val="0"/>
              <w:bCs w:val="0"/>
              <w:noProof/>
              <w:szCs w:val="24"/>
              <w14:ligatures w14:val="standardContextual"/>
            </w:rPr>
          </w:pPr>
          <w:hyperlink w:anchor="_Toc141991663" w:history="1">
            <w:r w:rsidR="00BE76F6" w:rsidRPr="00AC1D54">
              <w:rPr>
                <w:rStyle w:val="Hyperlink"/>
                <w:noProof/>
              </w:rPr>
              <w:t>1</w:t>
            </w:r>
            <w:r w:rsidR="00BE76F6">
              <w:rPr>
                <w:rFonts w:asciiTheme="minorHAnsi" w:eastAsiaTheme="minorEastAsia" w:hAnsiTheme="minorHAnsi" w:cstheme="minorBidi"/>
                <w:b w:val="0"/>
                <w:bCs w:val="0"/>
                <w:noProof/>
                <w:szCs w:val="24"/>
                <w14:ligatures w14:val="standardContextual"/>
              </w:rPr>
              <w:tab/>
            </w:r>
            <w:r w:rsidR="00BE76F6" w:rsidRPr="00AC1D54">
              <w:rPr>
                <w:rStyle w:val="Hyperlink"/>
                <w:noProof/>
              </w:rPr>
              <w:t>Introduction</w:t>
            </w:r>
            <w:r w:rsidR="00BE76F6">
              <w:rPr>
                <w:noProof/>
                <w:webHidden/>
              </w:rPr>
              <w:tab/>
            </w:r>
            <w:r w:rsidR="00BE76F6">
              <w:rPr>
                <w:noProof/>
                <w:webHidden/>
              </w:rPr>
              <w:fldChar w:fldCharType="begin"/>
            </w:r>
            <w:r w:rsidR="00BE76F6">
              <w:rPr>
                <w:noProof/>
                <w:webHidden/>
              </w:rPr>
              <w:instrText xml:space="preserve"> PAGEREF _Toc141991663 \h </w:instrText>
            </w:r>
            <w:r w:rsidR="00BE76F6">
              <w:rPr>
                <w:noProof/>
                <w:webHidden/>
              </w:rPr>
            </w:r>
            <w:r w:rsidR="00BE76F6">
              <w:rPr>
                <w:noProof/>
                <w:webHidden/>
              </w:rPr>
              <w:fldChar w:fldCharType="separate"/>
            </w:r>
            <w:r w:rsidR="000E1725">
              <w:rPr>
                <w:noProof/>
                <w:webHidden/>
              </w:rPr>
              <w:t>1</w:t>
            </w:r>
            <w:r w:rsidR="00BE76F6">
              <w:rPr>
                <w:noProof/>
                <w:webHidden/>
              </w:rPr>
              <w:fldChar w:fldCharType="end"/>
            </w:r>
          </w:hyperlink>
        </w:p>
        <w:p w14:paraId="7B0A8018" w14:textId="09258148" w:rsidR="00BE76F6" w:rsidRDefault="00000000">
          <w:pPr>
            <w:pStyle w:val="TOC2"/>
            <w:rPr>
              <w:rFonts w:asciiTheme="minorHAnsi" w:eastAsiaTheme="minorEastAsia" w:hAnsiTheme="minorHAnsi" w:cstheme="minorBidi"/>
              <w:noProof/>
              <w:szCs w:val="24"/>
              <w14:ligatures w14:val="standardContextual"/>
            </w:rPr>
          </w:pPr>
          <w:hyperlink w:anchor="_Toc141991664" w:history="1">
            <w:r w:rsidR="00BE76F6" w:rsidRPr="00AC1D54">
              <w:rPr>
                <w:rStyle w:val="Hyperlink"/>
                <w:noProof/>
              </w:rPr>
              <w:t>1.1</w:t>
            </w:r>
            <w:r w:rsidR="00BE76F6">
              <w:rPr>
                <w:rFonts w:asciiTheme="minorHAnsi" w:eastAsiaTheme="minorEastAsia" w:hAnsiTheme="minorHAnsi" w:cstheme="minorBidi"/>
                <w:noProof/>
                <w:szCs w:val="24"/>
                <w14:ligatures w14:val="standardContextual"/>
              </w:rPr>
              <w:tab/>
            </w:r>
            <w:r w:rsidR="00BE76F6" w:rsidRPr="00AC1D54">
              <w:rPr>
                <w:rStyle w:val="Hyperlink"/>
                <w:noProof/>
              </w:rPr>
              <w:t>Motivation</w:t>
            </w:r>
            <w:r w:rsidR="00BE76F6">
              <w:rPr>
                <w:noProof/>
                <w:webHidden/>
              </w:rPr>
              <w:tab/>
            </w:r>
            <w:r w:rsidR="00BE76F6">
              <w:rPr>
                <w:noProof/>
                <w:webHidden/>
              </w:rPr>
              <w:fldChar w:fldCharType="begin"/>
            </w:r>
            <w:r w:rsidR="00BE76F6">
              <w:rPr>
                <w:noProof/>
                <w:webHidden/>
              </w:rPr>
              <w:instrText xml:space="preserve"> PAGEREF _Toc141991664 \h </w:instrText>
            </w:r>
            <w:r w:rsidR="00BE76F6">
              <w:rPr>
                <w:noProof/>
                <w:webHidden/>
              </w:rPr>
            </w:r>
            <w:r w:rsidR="00BE76F6">
              <w:rPr>
                <w:noProof/>
                <w:webHidden/>
              </w:rPr>
              <w:fldChar w:fldCharType="separate"/>
            </w:r>
            <w:r w:rsidR="000E1725">
              <w:rPr>
                <w:noProof/>
                <w:webHidden/>
              </w:rPr>
              <w:t>1</w:t>
            </w:r>
            <w:r w:rsidR="00BE76F6">
              <w:rPr>
                <w:noProof/>
                <w:webHidden/>
              </w:rPr>
              <w:fldChar w:fldCharType="end"/>
            </w:r>
          </w:hyperlink>
        </w:p>
        <w:p w14:paraId="5CE12535" w14:textId="0CE22AEA" w:rsidR="00BE76F6" w:rsidRDefault="00000000">
          <w:pPr>
            <w:pStyle w:val="TOC2"/>
            <w:rPr>
              <w:rFonts w:asciiTheme="minorHAnsi" w:eastAsiaTheme="minorEastAsia" w:hAnsiTheme="minorHAnsi" w:cstheme="minorBidi"/>
              <w:noProof/>
              <w:szCs w:val="24"/>
              <w14:ligatures w14:val="standardContextual"/>
            </w:rPr>
          </w:pPr>
          <w:hyperlink w:anchor="_Toc141991665" w:history="1">
            <w:r w:rsidR="00BE76F6" w:rsidRPr="00AC1D54">
              <w:rPr>
                <w:rStyle w:val="Hyperlink"/>
                <w:noProof/>
              </w:rPr>
              <w:t>1.2</w:t>
            </w:r>
            <w:r w:rsidR="00BE76F6">
              <w:rPr>
                <w:rFonts w:asciiTheme="minorHAnsi" w:eastAsiaTheme="minorEastAsia" w:hAnsiTheme="minorHAnsi" w:cstheme="minorBidi"/>
                <w:noProof/>
                <w:szCs w:val="24"/>
                <w14:ligatures w14:val="standardContextual"/>
              </w:rPr>
              <w:tab/>
            </w:r>
            <w:r w:rsidR="00BE76F6" w:rsidRPr="00AC1D54">
              <w:rPr>
                <w:rStyle w:val="Hyperlink"/>
                <w:noProof/>
              </w:rPr>
              <w:t>DRPs and Gap Analysis in Residential Buildings</w:t>
            </w:r>
            <w:r w:rsidR="00BE76F6">
              <w:rPr>
                <w:noProof/>
                <w:webHidden/>
              </w:rPr>
              <w:tab/>
            </w:r>
            <w:r w:rsidR="00BE76F6">
              <w:rPr>
                <w:noProof/>
                <w:webHidden/>
              </w:rPr>
              <w:fldChar w:fldCharType="begin"/>
            </w:r>
            <w:r w:rsidR="00BE76F6">
              <w:rPr>
                <w:noProof/>
                <w:webHidden/>
              </w:rPr>
              <w:instrText xml:space="preserve"> PAGEREF _Toc141991665 \h </w:instrText>
            </w:r>
            <w:r w:rsidR="00BE76F6">
              <w:rPr>
                <w:noProof/>
                <w:webHidden/>
              </w:rPr>
            </w:r>
            <w:r w:rsidR="00BE76F6">
              <w:rPr>
                <w:noProof/>
                <w:webHidden/>
              </w:rPr>
              <w:fldChar w:fldCharType="separate"/>
            </w:r>
            <w:r w:rsidR="000E1725">
              <w:rPr>
                <w:noProof/>
                <w:webHidden/>
              </w:rPr>
              <w:t>4</w:t>
            </w:r>
            <w:r w:rsidR="00BE76F6">
              <w:rPr>
                <w:noProof/>
                <w:webHidden/>
              </w:rPr>
              <w:fldChar w:fldCharType="end"/>
            </w:r>
          </w:hyperlink>
        </w:p>
        <w:p w14:paraId="445D5246" w14:textId="00F28008"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666" w:history="1">
            <w:r w:rsidR="00BE76F6" w:rsidRPr="00AC1D54">
              <w:rPr>
                <w:rStyle w:val="Hyperlink"/>
                <w:noProof/>
              </w:rPr>
              <w:t>1.2.1</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DRPs offered by utilities</w:t>
            </w:r>
            <w:r w:rsidR="00BE76F6">
              <w:rPr>
                <w:noProof/>
                <w:webHidden/>
              </w:rPr>
              <w:tab/>
            </w:r>
            <w:r w:rsidR="00BE76F6">
              <w:rPr>
                <w:noProof/>
                <w:webHidden/>
              </w:rPr>
              <w:fldChar w:fldCharType="begin"/>
            </w:r>
            <w:r w:rsidR="00BE76F6">
              <w:rPr>
                <w:noProof/>
                <w:webHidden/>
              </w:rPr>
              <w:instrText xml:space="preserve"> PAGEREF _Toc141991666 \h </w:instrText>
            </w:r>
            <w:r w:rsidR="00BE76F6">
              <w:rPr>
                <w:noProof/>
                <w:webHidden/>
              </w:rPr>
            </w:r>
            <w:r w:rsidR="00BE76F6">
              <w:rPr>
                <w:noProof/>
                <w:webHidden/>
              </w:rPr>
              <w:fldChar w:fldCharType="separate"/>
            </w:r>
            <w:r w:rsidR="000E1725">
              <w:rPr>
                <w:noProof/>
                <w:webHidden/>
              </w:rPr>
              <w:t>4</w:t>
            </w:r>
            <w:r w:rsidR="00BE76F6">
              <w:rPr>
                <w:noProof/>
                <w:webHidden/>
              </w:rPr>
              <w:fldChar w:fldCharType="end"/>
            </w:r>
          </w:hyperlink>
        </w:p>
        <w:p w14:paraId="4B2A101C" w14:textId="450D5C77"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667" w:history="1">
            <w:r w:rsidR="00BE76F6" w:rsidRPr="00AC1D54">
              <w:rPr>
                <w:rStyle w:val="Hyperlink"/>
                <w:noProof/>
              </w:rPr>
              <w:t>1.2.2</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Building energy management strategies and the focus of this study</w:t>
            </w:r>
            <w:r w:rsidR="00BE76F6">
              <w:rPr>
                <w:noProof/>
                <w:webHidden/>
              </w:rPr>
              <w:tab/>
            </w:r>
            <w:r w:rsidR="00BE76F6">
              <w:rPr>
                <w:noProof/>
                <w:webHidden/>
              </w:rPr>
              <w:fldChar w:fldCharType="begin"/>
            </w:r>
            <w:r w:rsidR="00BE76F6">
              <w:rPr>
                <w:noProof/>
                <w:webHidden/>
              </w:rPr>
              <w:instrText xml:space="preserve"> PAGEREF _Toc141991667 \h </w:instrText>
            </w:r>
            <w:r w:rsidR="00BE76F6">
              <w:rPr>
                <w:noProof/>
                <w:webHidden/>
              </w:rPr>
            </w:r>
            <w:r w:rsidR="00BE76F6">
              <w:rPr>
                <w:noProof/>
                <w:webHidden/>
              </w:rPr>
              <w:fldChar w:fldCharType="separate"/>
            </w:r>
            <w:r w:rsidR="000E1725">
              <w:rPr>
                <w:noProof/>
                <w:webHidden/>
              </w:rPr>
              <w:t>6</w:t>
            </w:r>
            <w:r w:rsidR="00BE76F6">
              <w:rPr>
                <w:noProof/>
                <w:webHidden/>
              </w:rPr>
              <w:fldChar w:fldCharType="end"/>
            </w:r>
          </w:hyperlink>
        </w:p>
        <w:p w14:paraId="27B8E35B" w14:textId="3D0282EB"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668" w:history="1">
            <w:r w:rsidR="00BE76F6" w:rsidRPr="00AC1D54">
              <w:rPr>
                <w:rStyle w:val="Hyperlink"/>
                <w:noProof/>
              </w:rPr>
              <w:t>1.2.3</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Available load-flexible resources in residential buildings</w:t>
            </w:r>
            <w:r w:rsidR="00BE76F6">
              <w:rPr>
                <w:noProof/>
                <w:webHidden/>
              </w:rPr>
              <w:tab/>
            </w:r>
            <w:r w:rsidR="00BE76F6">
              <w:rPr>
                <w:noProof/>
                <w:webHidden/>
              </w:rPr>
              <w:fldChar w:fldCharType="begin"/>
            </w:r>
            <w:r w:rsidR="00BE76F6">
              <w:rPr>
                <w:noProof/>
                <w:webHidden/>
              </w:rPr>
              <w:instrText xml:space="preserve"> PAGEREF _Toc141991668 \h </w:instrText>
            </w:r>
            <w:r w:rsidR="00BE76F6">
              <w:rPr>
                <w:noProof/>
                <w:webHidden/>
              </w:rPr>
            </w:r>
            <w:r w:rsidR="00BE76F6">
              <w:rPr>
                <w:noProof/>
                <w:webHidden/>
              </w:rPr>
              <w:fldChar w:fldCharType="separate"/>
            </w:r>
            <w:r w:rsidR="000E1725">
              <w:rPr>
                <w:noProof/>
                <w:webHidden/>
              </w:rPr>
              <w:t>7</w:t>
            </w:r>
            <w:r w:rsidR="00BE76F6">
              <w:rPr>
                <w:noProof/>
                <w:webHidden/>
              </w:rPr>
              <w:fldChar w:fldCharType="end"/>
            </w:r>
          </w:hyperlink>
        </w:p>
        <w:p w14:paraId="7AF6E416" w14:textId="59DE4C80"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669" w:history="1">
            <w:r w:rsidR="00BE76F6" w:rsidRPr="00AC1D54">
              <w:rPr>
                <w:rStyle w:val="Hyperlink"/>
                <w:noProof/>
              </w:rPr>
              <w:t>1.2.4</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rFonts w:asciiTheme="minorEastAsia" w:hAnsiTheme="minorEastAsia"/>
                <w:noProof/>
              </w:rPr>
              <w:t>D</w:t>
            </w:r>
            <w:r w:rsidR="00BE76F6" w:rsidRPr="00AC1D54">
              <w:rPr>
                <w:rStyle w:val="Hyperlink"/>
                <w:noProof/>
              </w:rPr>
              <w:t>eployment barriers in demand response participation</w:t>
            </w:r>
            <w:r w:rsidR="00BE76F6">
              <w:rPr>
                <w:noProof/>
                <w:webHidden/>
              </w:rPr>
              <w:tab/>
            </w:r>
            <w:r w:rsidR="00BE76F6">
              <w:rPr>
                <w:noProof/>
                <w:webHidden/>
              </w:rPr>
              <w:fldChar w:fldCharType="begin"/>
            </w:r>
            <w:r w:rsidR="00BE76F6">
              <w:rPr>
                <w:noProof/>
                <w:webHidden/>
              </w:rPr>
              <w:instrText xml:space="preserve"> PAGEREF _Toc141991669 \h </w:instrText>
            </w:r>
            <w:r w:rsidR="00BE76F6">
              <w:rPr>
                <w:noProof/>
                <w:webHidden/>
              </w:rPr>
            </w:r>
            <w:r w:rsidR="00BE76F6">
              <w:rPr>
                <w:noProof/>
                <w:webHidden/>
              </w:rPr>
              <w:fldChar w:fldCharType="separate"/>
            </w:r>
            <w:r w:rsidR="000E1725">
              <w:rPr>
                <w:noProof/>
                <w:webHidden/>
              </w:rPr>
              <w:t>10</w:t>
            </w:r>
            <w:r w:rsidR="00BE76F6">
              <w:rPr>
                <w:noProof/>
                <w:webHidden/>
              </w:rPr>
              <w:fldChar w:fldCharType="end"/>
            </w:r>
          </w:hyperlink>
        </w:p>
        <w:p w14:paraId="6C990B83" w14:textId="18F42AE2"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670" w:history="1">
            <w:r w:rsidR="00BE76F6" w:rsidRPr="00AC1D54">
              <w:rPr>
                <w:rStyle w:val="Hyperlink"/>
                <w:noProof/>
              </w:rPr>
              <w:t>1.2.4.1</w:t>
            </w:r>
            <w:r w:rsidR="00BE76F6">
              <w:rPr>
                <w:rFonts w:asciiTheme="minorHAnsi" w:eastAsiaTheme="minorEastAsia" w:hAnsiTheme="minorHAnsi" w:cstheme="minorBidi"/>
                <w:noProof/>
                <w:szCs w:val="24"/>
                <w14:ligatures w14:val="standardContextual"/>
              </w:rPr>
              <w:tab/>
            </w:r>
            <w:r w:rsidR="00BE76F6" w:rsidRPr="00AC1D54">
              <w:rPr>
                <w:rStyle w:val="Hyperlink"/>
                <w:noProof/>
              </w:rPr>
              <w:t>Technology barriers: hardware</w:t>
            </w:r>
            <w:r w:rsidR="00BE76F6">
              <w:rPr>
                <w:noProof/>
                <w:webHidden/>
              </w:rPr>
              <w:tab/>
            </w:r>
            <w:r w:rsidR="00BE76F6">
              <w:rPr>
                <w:noProof/>
                <w:webHidden/>
              </w:rPr>
              <w:fldChar w:fldCharType="begin"/>
            </w:r>
            <w:r w:rsidR="00BE76F6">
              <w:rPr>
                <w:noProof/>
                <w:webHidden/>
              </w:rPr>
              <w:instrText xml:space="preserve"> PAGEREF _Toc141991670 \h </w:instrText>
            </w:r>
            <w:r w:rsidR="00BE76F6">
              <w:rPr>
                <w:noProof/>
                <w:webHidden/>
              </w:rPr>
            </w:r>
            <w:r w:rsidR="00BE76F6">
              <w:rPr>
                <w:noProof/>
                <w:webHidden/>
              </w:rPr>
              <w:fldChar w:fldCharType="separate"/>
            </w:r>
            <w:r w:rsidR="000E1725">
              <w:rPr>
                <w:noProof/>
                <w:webHidden/>
              </w:rPr>
              <w:t>11</w:t>
            </w:r>
            <w:r w:rsidR="00BE76F6">
              <w:rPr>
                <w:noProof/>
                <w:webHidden/>
              </w:rPr>
              <w:fldChar w:fldCharType="end"/>
            </w:r>
          </w:hyperlink>
        </w:p>
        <w:p w14:paraId="465B939B" w14:textId="17391032"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671" w:history="1">
            <w:r w:rsidR="00BE76F6" w:rsidRPr="00AC1D54">
              <w:rPr>
                <w:rStyle w:val="Hyperlink"/>
                <w:noProof/>
              </w:rPr>
              <w:t>1.2.4.2</w:t>
            </w:r>
            <w:r w:rsidR="00BE76F6">
              <w:rPr>
                <w:rFonts w:asciiTheme="minorHAnsi" w:eastAsiaTheme="minorEastAsia" w:hAnsiTheme="minorHAnsi" w:cstheme="minorBidi"/>
                <w:noProof/>
                <w:szCs w:val="24"/>
                <w14:ligatures w14:val="standardContextual"/>
              </w:rPr>
              <w:tab/>
            </w:r>
            <w:r w:rsidR="00BE76F6" w:rsidRPr="00AC1D54">
              <w:rPr>
                <w:rStyle w:val="Hyperlink"/>
                <w:noProof/>
              </w:rPr>
              <w:t>Technology barriers: software</w:t>
            </w:r>
            <w:r w:rsidR="00BE76F6">
              <w:rPr>
                <w:noProof/>
                <w:webHidden/>
              </w:rPr>
              <w:tab/>
            </w:r>
            <w:r w:rsidR="00BE76F6">
              <w:rPr>
                <w:noProof/>
                <w:webHidden/>
              </w:rPr>
              <w:fldChar w:fldCharType="begin"/>
            </w:r>
            <w:r w:rsidR="00BE76F6">
              <w:rPr>
                <w:noProof/>
                <w:webHidden/>
              </w:rPr>
              <w:instrText xml:space="preserve"> PAGEREF _Toc141991671 \h </w:instrText>
            </w:r>
            <w:r w:rsidR="00BE76F6">
              <w:rPr>
                <w:noProof/>
                <w:webHidden/>
              </w:rPr>
            </w:r>
            <w:r w:rsidR="00BE76F6">
              <w:rPr>
                <w:noProof/>
                <w:webHidden/>
              </w:rPr>
              <w:fldChar w:fldCharType="separate"/>
            </w:r>
            <w:r w:rsidR="000E1725">
              <w:rPr>
                <w:noProof/>
                <w:webHidden/>
              </w:rPr>
              <w:t>14</w:t>
            </w:r>
            <w:r w:rsidR="00BE76F6">
              <w:rPr>
                <w:noProof/>
                <w:webHidden/>
              </w:rPr>
              <w:fldChar w:fldCharType="end"/>
            </w:r>
          </w:hyperlink>
        </w:p>
        <w:p w14:paraId="423A7441" w14:textId="404FE05E"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672" w:history="1">
            <w:r w:rsidR="00BE76F6" w:rsidRPr="00AC1D54">
              <w:rPr>
                <w:rStyle w:val="Hyperlink"/>
                <w:noProof/>
              </w:rPr>
              <w:t>1.2.4.3</w:t>
            </w:r>
            <w:r w:rsidR="00BE76F6">
              <w:rPr>
                <w:rFonts w:asciiTheme="minorHAnsi" w:eastAsiaTheme="minorEastAsia" w:hAnsiTheme="minorHAnsi" w:cstheme="minorBidi"/>
                <w:noProof/>
                <w:szCs w:val="24"/>
                <w14:ligatures w14:val="standardContextual"/>
              </w:rPr>
              <w:tab/>
            </w:r>
            <w:r w:rsidR="00BE76F6" w:rsidRPr="00AC1D54">
              <w:rPr>
                <w:rStyle w:val="Hyperlink"/>
                <w:noProof/>
              </w:rPr>
              <w:t>Economic and social barriers</w:t>
            </w:r>
            <w:r w:rsidR="00BE76F6">
              <w:rPr>
                <w:noProof/>
                <w:webHidden/>
              </w:rPr>
              <w:tab/>
            </w:r>
            <w:r w:rsidR="00BE76F6">
              <w:rPr>
                <w:noProof/>
                <w:webHidden/>
              </w:rPr>
              <w:fldChar w:fldCharType="begin"/>
            </w:r>
            <w:r w:rsidR="00BE76F6">
              <w:rPr>
                <w:noProof/>
                <w:webHidden/>
              </w:rPr>
              <w:instrText xml:space="preserve"> PAGEREF _Toc141991672 \h </w:instrText>
            </w:r>
            <w:r w:rsidR="00BE76F6">
              <w:rPr>
                <w:noProof/>
                <w:webHidden/>
              </w:rPr>
            </w:r>
            <w:r w:rsidR="00BE76F6">
              <w:rPr>
                <w:noProof/>
                <w:webHidden/>
              </w:rPr>
              <w:fldChar w:fldCharType="separate"/>
            </w:r>
            <w:r w:rsidR="000E1725">
              <w:rPr>
                <w:noProof/>
                <w:webHidden/>
              </w:rPr>
              <w:t>15</w:t>
            </w:r>
            <w:r w:rsidR="00BE76F6">
              <w:rPr>
                <w:noProof/>
                <w:webHidden/>
              </w:rPr>
              <w:fldChar w:fldCharType="end"/>
            </w:r>
          </w:hyperlink>
        </w:p>
        <w:p w14:paraId="578ABE60" w14:textId="09A68FEF" w:rsidR="00BE76F6" w:rsidRDefault="00000000">
          <w:pPr>
            <w:pStyle w:val="TOC2"/>
            <w:rPr>
              <w:rFonts w:asciiTheme="minorHAnsi" w:eastAsiaTheme="minorEastAsia" w:hAnsiTheme="minorHAnsi" w:cstheme="minorBidi"/>
              <w:noProof/>
              <w:szCs w:val="24"/>
              <w14:ligatures w14:val="standardContextual"/>
            </w:rPr>
          </w:pPr>
          <w:hyperlink w:anchor="_Toc141991673" w:history="1">
            <w:r w:rsidR="00BE76F6" w:rsidRPr="00AC1D54">
              <w:rPr>
                <w:rStyle w:val="Hyperlink"/>
                <w:noProof/>
              </w:rPr>
              <w:t>1.3</w:t>
            </w:r>
            <w:r w:rsidR="00BE76F6">
              <w:rPr>
                <w:rFonts w:asciiTheme="minorHAnsi" w:eastAsiaTheme="minorEastAsia" w:hAnsiTheme="minorHAnsi" w:cstheme="minorBidi"/>
                <w:noProof/>
                <w:szCs w:val="24"/>
                <w14:ligatures w14:val="standardContextual"/>
              </w:rPr>
              <w:tab/>
            </w:r>
            <w:r w:rsidR="00BE76F6" w:rsidRPr="00AC1D54">
              <w:rPr>
                <w:rStyle w:val="Hyperlink"/>
                <w:noProof/>
              </w:rPr>
              <w:t>Research Problem</w:t>
            </w:r>
            <w:r w:rsidR="00BE76F6">
              <w:rPr>
                <w:noProof/>
                <w:webHidden/>
              </w:rPr>
              <w:tab/>
            </w:r>
            <w:r w:rsidR="00BE76F6">
              <w:rPr>
                <w:noProof/>
                <w:webHidden/>
              </w:rPr>
              <w:fldChar w:fldCharType="begin"/>
            </w:r>
            <w:r w:rsidR="00BE76F6">
              <w:rPr>
                <w:noProof/>
                <w:webHidden/>
              </w:rPr>
              <w:instrText xml:space="preserve"> PAGEREF _Toc141991673 \h </w:instrText>
            </w:r>
            <w:r w:rsidR="00BE76F6">
              <w:rPr>
                <w:noProof/>
                <w:webHidden/>
              </w:rPr>
            </w:r>
            <w:r w:rsidR="00BE76F6">
              <w:rPr>
                <w:noProof/>
                <w:webHidden/>
              </w:rPr>
              <w:fldChar w:fldCharType="separate"/>
            </w:r>
            <w:r w:rsidR="000E1725">
              <w:rPr>
                <w:noProof/>
                <w:webHidden/>
              </w:rPr>
              <w:t>17</w:t>
            </w:r>
            <w:r w:rsidR="00BE76F6">
              <w:rPr>
                <w:noProof/>
                <w:webHidden/>
              </w:rPr>
              <w:fldChar w:fldCharType="end"/>
            </w:r>
          </w:hyperlink>
        </w:p>
        <w:p w14:paraId="00B63DC6" w14:textId="6DA65FC0" w:rsidR="00BE76F6" w:rsidRDefault="00000000">
          <w:pPr>
            <w:pStyle w:val="TOC2"/>
            <w:rPr>
              <w:rFonts w:asciiTheme="minorHAnsi" w:eastAsiaTheme="minorEastAsia" w:hAnsiTheme="minorHAnsi" w:cstheme="minorBidi"/>
              <w:noProof/>
              <w:szCs w:val="24"/>
              <w14:ligatures w14:val="standardContextual"/>
            </w:rPr>
          </w:pPr>
          <w:hyperlink w:anchor="_Toc141991674" w:history="1">
            <w:r w:rsidR="00BE76F6" w:rsidRPr="00AC1D54">
              <w:rPr>
                <w:rStyle w:val="Hyperlink"/>
                <w:noProof/>
              </w:rPr>
              <w:t>1.4</w:t>
            </w:r>
            <w:r w:rsidR="00BE76F6">
              <w:rPr>
                <w:rFonts w:asciiTheme="minorHAnsi" w:eastAsiaTheme="minorEastAsia" w:hAnsiTheme="minorHAnsi" w:cstheme="minorBidi"/>
                <w:noProof/>
                <w:szCs w:val="24"/>
                <w14:ligatures w14:val="standardContextual"/>
              </w:rPr>
              <w:tab/>
            </w:r>
            <w:r w:rsidR="00BE76F6" w:rsidRPr="00AC1D54">
              <w:rPr>
                <w:rStyle w:val="Hyperlink"/>
                <w:noProof/>
              </w:rPr>
              <w:t>Dissertation Outline</w:t>
            </w:r>
            <w:r w:rsidR="00BE76F6">
              <w:rPr>
                <w:noProof/>
                <w:webHidden/>
              </w:rPr>
              <w:tab/>
            </w:r>
            <w:r w:rsidR="00BE76F6">
              <w:rPr>
                <w:noProof/>
                <w:webHidden/>
              </w:rPr>
              <w:fldChar w:fldCharType="begin"/>
            </w:r>
            <w:r w:rsidR="00BE76F6">
              <w:rPr>
                <w:noProof/>
                <w:webHidden/>
              </w:rPr>
              <w:instrText xml:space="preserve"> PAGEREF _Toc141991674 \h </w:instrText>
            </w:r>
            <w:r w:rsidR="00BE76F6">
              <w:rPr>
                <w:noProof/>
                <w:webHidden/>
              </w:rPr>
            </w:r>
            <w:r w:rsidR="00BE76F6">
              <w:rPr>
                <w:noProof/>
                <w:webHidden/>
              </w:rPr>
              <w:fldChar w:fldCharType="separate"/>
            </w:r>
            <w:r w:rsidR="000E1725">
              <w:rPr>
                <w:noProof/>
                <w:webHidden/>
              </w:rPr>
              <w:t>21</w:t>
            </w:r>
            <w:r w:rsidR="00BE76F6">
              <w:rPr>
                <w:noProof/>
                <w:webHidden/>
              </w:rPr>
              <w:fldChar w:fldCharType="end"/>
            </w:r>
          </w:hyperlink>
        </w:p>
        <w:p w14:paraId="6A6C80B0" w14:textId="793A2C24" w:rsidR="00BE76F6" w:rsidRDefault="00000000">
          <w:pPr>
            <w:pStyle w:val="TOC1"/>
            <w:rPr>
              <w:rFonts w:asciiTheme="minorHAnsi" w:eastAsiaTheme="minorEastAsia" w:hAnsiTheme="minorHAnsi" w:cstheme="minorBidi"/>
              <w:b w:val="0"/>
              <w:bCs w:val="0"/>
              <w:noProof/>
              <w:szCs w:val="24"/>
              <w14:ligatures w14:val="standardContextual"/>
            </w:rPr>
          </w:pPr>
          <w:hyperlink w:anchor="_Toc141991675" w:history="1">
            <w:r w:rsidR="00BE76F6" w:rsidRPr="00AC1D54">
              <w:rPr>
                <w:rStyle w:val="Hyperlink"/>
                <w:noProof/>
              </w:rPr>
              <w:t>2</w:t>
            </w:r>
            <w:r w:rsidR="00BE76F6">
              <w:rPr>
                <w:rFonts w:asciiTheme="minorHAnsi" w:eastAsiaTheme="minorEastAsia" w:hAnsiTheme="minorHAnsi" w:cstheme="minorBidi"/>
                <w:b w:val="0"/>
                <w:bCs w:val="0"/>
                <w:noProof/>
                <w:szCs w:val="24"/>
                <w14:ligatures w14:val="standardContextual"/>
              </w:rPr>
              <w:tab/>
            </w:r>
            <w:r w:rsidR="00BE76F6" w:rsidRPr="00AC1D54">
              <w:rPr>
                <w:rStyle w:val="Hyperlink"/>
                <w:noProof/>
              </w:rPr>
              <w:t>In-depth Literature Review</w:t>
            </w:r>
            <w:r w:rsidR="00BE76F6">
              <w:rPr>
                <w:noProof/>
                <w:webHidden/>
              </w:rPr>
              <w:tab/>
            </w:r>
            <w:r w:rsidR="00BE76F6">
              <w:rPr>
                <w:noProof/>
                <w:webHidden/>
              </w:rPr>
              <w:fldChar w:fldCharType="begin"/>
            </w:r>
            <w:r w:rsidR="00BE76F6">
              <w:rPr>
                <w:noProof/>
                <w:webHidden/>
              </w:rPr>
              <w:instrText xml:space="preserve"> PAGEREF _Toc141991675 \h </w:instrText>
            </w:r>
            <w:r w:rsidR="00BE76F6">
              <w:rPr>
                <w:noProof/>
                <w:webHidden/>
              </w:rPr>
            </w:r>
            <w:r w:rsidR="00BE76F6">
              <w:rPr>
                <w:noProof/>
                <w:webHidden/>
              </w:rPr>
              <w:fldChar w:fldCharType="separate"/>
            </w:r>
            <w:r w:rsidR="000E1725">
              <w:rPr>
                <w:noProof/>
                <w:webHidden/>
              </w:rPr>
              <w:t>23</w:t>
            </w:r>
            <w:r w:rsidR="00BE76F6">
              <w:rPr>
                <w:noProof/>
                <w:webHidden/>
              </w:rPr>
              <w:fldChar w:fldCharType="end"/>
            </w:r>
          </w:hyperlink>
        </w:p>
        <w:p w14:paraId="5F91BCC6" w14:textId="1F7A09AA" w:rsidR="00BE76F6" w:rsidRDefault="00000000">
          <w:pPr>
            <w:pStyle w:val="TOC2"/>
            <w:rPr>
              <w:rFonts w:asciiTheme="minorHAnsi" w:eastAsiaTheme="minorEastAsia" w:hAnsiTheme="minorHAnsi" w:cstheme="minorBidi"/>
              <w:noProof/>
              <w:szCs w:val="24"/>
              <w14:ligatures w14:val="standardContextual"/>
            </w:rPr>
          </w:pPr>
          <w:hyperlink w:anchor="_Toc141991676" w:history="1">
            <w:r w:rsidR="00BE76F6" w:rsidRPr="00AC1D54">
              <w:rPr>
                <w:rStyle w:val="Hyperlink"/>
                <w:noProof/>
              </w:rPr>
              <w:t>2.1</w:t>
            </w:r>
            <w:r w:rsidR="00BE76F6">
              <w:rPr>
                <w:rFonts w:asciiTheme="minorHAnsi" w:eastAsiaTheme="minorEastAsia" w:hAnsiTheme="minorHAnsi" w:cstheme="minorBidi"/>
                <w:noProof/>
                <w:szCs w:val="24"/>
                <w14:ligatures w14:val="standardContextual"/>
              </w:rPr>
              <w:tab/>
            </w:r>
            <w:r w:rsidR="00BE76F6" w:rsidRPr="00AC1D54">
              <w:rPr>
                <w:rStyle w:val="Hyperlink"/>
                <w:noProof/>
              </w:rPr>
              <w:t>Optimal Control of the HVAC System</w:t>
            </w:r>
            <w:r w:rsidR="00BE76F6">
              <w:rPr>
                <w:noProof/>
                <w:webHidden/>
              </w:rPr>
              <w:tab/>
            </w:r>
            <w:r w:rsidR="00BE76F6">
              <w:rPr>
                <w:noProof/>
                <w:webHidden/>
              </w:rPr>
              <w:fldChar w:fldCharType="begin"/>
            </w:r>
            <w:r w:rsidR="00BE76F6">
              <w:rPr>
                <w:noProof/>
                <w:webHidden/>
              </w:rPr>
              <w:instrText xml:space="preserve"> PAGEREF _Toc141991676 \h </w:instrText>
            </w:r>
            <w:r w:rsidR="00BE76F6">
              <w:rPr>
                <w:noProof/>
                <w:webHidden/>
              </w:rPr>
            </w:r>
            <w:r w:rsidR="00BE76F6">
              <w:rPr>
                <w:noProof/>
                <w:webHidden/>
              </w:rPr>
              <w:fldChar w:fldCharType="separate"/>
            </w:r>
            <w:r w:rsidR="000E1725">
              <w:rPr>
                <w:noProof/>
                <w:webHidden/>
              </w:rPr>
              <w:t>23</w:t>
            </w:r>
            <w:r w:rsidR="00BE76F6">
              <w:rPr>
                <w:noProof/>
                <w:webHidden/>
              </w:rPr>
              <w:fldChar w:fldCharType="end"/>
            </w:r>
          </w:hyperlink>
        </w:p>
        <w:p w14:paraId="7503DF41" w14:textId="2A4BCBA2"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677" w:history="1">
            <w:r w:rsidR="00BE76F6" w:rsidRPr="00AC1D54">
              <w:rPr>
                <w:rStyle w:val="Hyperlink"/>
                <w:noProof/>
              </w:rPr>
              <w:t>2.1.1</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HVAC precooling strategy and control methods</w:t>
            </w:r>
            <w:r w:rsidR="00BE76F6">
              <w:rPr>
                <w:noProof/>
                <w:webHidden/>
              </w:rPr>
              <w:tab/>
            </w:r>
            <w:r w:rsidR="00BE76F6">
              <w:rPr>
                <w:noProof/>
                <w:webHidden/>
              </w:rPr>
              <w:fldChar w:fldCharType="begin"/>
            </w:r>
            <w:r w:rsidR="00BE76F6">
              <w:rPr>
                <w:noProof/>
                <w:webHidden/>
              </w:rPr>
              <w:instrText xml:space="preserve"> PAGEREF _Toc141991677 \h </w:instrText>
            </w:r>
            <w:r w:rsidR="00BE76F6">
              <w:rPr>
                <w:noProof/>
                <w:webHidden/>
              </w:rPr>
            </w:r>
            <w:r w:rsidR="00BE76F6">
              <w:rPr>
                <w:noProof/>
                <w:webHidden/>
              </w:rPr>
              <w:fldChar w:fldCharType="separate"/>
            </w:r>
            <w:r w:rsidR="000E1725">
              <w:rPr>
                <w:noProof/>
                <w:webHidden/>
              </w:rPr>
              <w:t>23</w:t>
            </w:r>
            <w:r w:rsidR="00BE76F6">
              <w:rPr>
                <w:noProof/>
                <w:webHidden/>
              </w:rPr>
              <w:fldChar w:fldCharType="end"/>
            </w:r>
          </w:hyperlink>
        </w:p>
        <w:p w14:paraId="3098ACF6" w14:textId="16DCDC79"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678" w:history="1">
            <w:r w:rsidR="00BE76F6" w:rsidRPr="00AC1D54">
              <w:rPr>
                <w:rStyle w:val="Hyperlink"/>
                <w:noProof/>
              </w:rPr>
              <w:t>2.1.2</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Current MPC-based precooling controller issues</w:t>
            </w:r>
            <w:r w:rsidR="00BE76F6">
              <w:rPr>
                <w:noProof/>
                <w:webHidden/>
              </w:rPr>
              <w:tab/>
            </w:r>
            <w:r w:rsidR="00BE76F6">
              <w:rPr>
                <w:noProof/>
                <w:webHidden/>
              </w:rPr>
              <w:fldChar w:fldCharType="begin"/>
            </w:r>
            <w:r w:rsidR="00BE76F6">
              <w:rPr>
                <w:noProof/>
                <w:webHidden/>
              </w:rPr>
              <w:instrText xml:space="preserve"> PAGEREF _Toc141991678 \h </w:instrText>
            </w:r>
            <w:r w:rsidR="00BE76F6">
              <w:rPr>
                <w:noProof/>
                <w:webHidden/>
              </w:rPr>
            </w:r>
            <w:r w:rsidR="00BE76F6">
              <w:rPr>
                <w:noProof/>
                <w:webHidden/>
              </w:rPr>
              <w:fldChar w:fldCharType="separate"/>
            </w:r>
            <w:r w:rsidR="000E1725">
              <w:rPr>
                <w:noProof/>
                <w:webHidden/>
              </w:rPr>
              <w:t>27</w:t>
            </w:r>
            <w:r w:rsidR="00BE76F6">
              <w:rPr>
                <w:noProof/>
                <w:webHidden/>
              </w:rPr>
              <w:fldChar w:fldCharType="end"/>
            </w:r>
          </w:hyperlink>
        </w:p>
        <w:p w14:paraId="6C302604" w14:textId="2DACBD8B"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679" w:history="1">
            <w:r w:rsidR="00BE76F6" w:rsidRPr="00AC1D54">
              <w:rPr>
                <w:rStyle w:val="Hyperlink"/>
                <w:noProof/>
              </w:rPr>
              <w:t>2.1.3</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Possible solutions for MPC-based precooling controller</w:t>
            </w:r>
            <w:r w:rsidR="00BE76F6">
              <w:rPr>
                <w:noProof/>
                <w:webHidden/>
              </w:rPr>
              <w:tab/>
            </w:r>
            <w:r w:rsidR="00BE76F6">
              <w:rPr>
                <w:noProof/>
                <w:webHidden/>
              </w:rPr>
              <w:fldChar w:fldCharType="begin"/>
            </w:r>
            <w:r w:rsidR="00BE76F6">
              <w:rPr>
                <w:noProof/>
                <w:webHidden/>
              </w:rPr>
              <w:instrText xml:space="preserve"> PAGEREF _Toc141991679 \h </w:instrText>
            </w:r>
            <w:r w:rsidR="00BE76F6">
              <w:rPr>
                <w:noProof/>
                <w:webHidden/>
              </w:rPr>
            </w:r>
            <w:r w:rsidR="00BE76F6">
              <w:rPr>
                <w:noProof/>
                <w:webHidden/>
              </w:rPr>
              <w:fldChar w:fldCharType="separate"/>
            </w:r>
            <w:r w:rsidR="000E1725">
              <w:rPr>
                <w:noProof/>
                <w:webHidden/>
              </w:rPr>
              <w:t>30</w:t>
            </w:r>
            <w:r w:rsidR="00BE76F6">
              <w:rPr>
                <w:noProof/>
                <w:webHidden/>
              </w:rPr>
              <w:fldChar w:fldCharType="end"/>
            </w:r>
          </w:hyperlink>
        </w:p>
        <w:p w14:paraId="0E2F60B1" w14:textId="59EC5719" w:rsidR="00BE76F6" w:rsidRDefault="00000000">
          <w:pPr>
            <w:pStyle w:val="TOC2"/>
            <w:rPr>
              <w:rFonts w:asciiTheme="minorHAnsi" w:eastAsiaTheme="minorEastAsia" w:hAnsiTheme="minorHAnsi" w:cstheme="minorBidi"/>
              <w:noProof/>
              <w:szCs w:val="24"/>
              <w14:ligatures w14:val="standardContextual"/>
            </w:rPr>
          </w:pPr>
          <w:hyperlink w:anchor="_Toc141991680" w:history="1">
            <w:r w:rsidR="00BE76F6" w:rsidRPr="00AC1D54">
              <w:rPr>
                <w:rStyle w:val="Hyperlink"/>
                <w:noProof/>
              </w:rPr>
              <w:t>2.2</w:t>
            </w:r>
            <w:r w:rsidR="00BE76F6">
              <w:rPr>
                <w:rFonts w:asciiTheme="minorHAnsi" w:eastAsiaTheme="minorEastAsia" w:hAnsiTheme="minorHAnsi" w:cstheme="minorBidi"/>
                <w:noProof/>
                <w:szCs w:val="24"/>
                <w14:ligatures w14:val="standardContextual"/>
              </w:rPr>
              <w:tab/>
            </w:r>
            <w:r w:rsidR="00BE76F6" w:rsidRPr="00AC1D54">
              <w:rPr>
                <w:rStyle w:val="Hyperlink"/>
                <w:noProof/>
              </w:rPr>
              <w:t>Smart Home Energy Management (Home-EMS) System</w:t>
            </w:r>
            <w:r w:rsidR="00BE76F6">
              <w:rPr>
                <w:noProof/>
                <w:webHidden/>
              </w:rPr>
              <w:tab/>
            </w:r>
            <w:r w:rsidR="00BE76F6">
              <w:rPr>
                <w:noProof/>
                <w:webHidden/>
              </w:rPr>
              <w:fldChar w:fldCharType="begin"/>
            </w:r>
            <w:r w:rsidR="00BE76F6">
              <w:rPr>
                <w:noProof/>
                <w:webHidden/>
              </w:rPr>
              <w:instrText xml:space="preserve"> PAGEREF _Toc141991680 \h </w:instrText>
            </w:r>
            <w:r w:rsidR="00BE76F6">
              <w:rPr>
                <w:noProof/>
                <w:webHidden/>
              </w:rPr>
            </w:r>
            <w:r w:rsidR="00BE76F6">
              <w:rPr>
                <w:noProof/>
                <w:webHidden/>
              </w:rPr>
              <w:fldChar w:fldCharType="separate"/>
            </w:r>
            <w:r w:rsidR="000E1725">
              <w:rPr>
                <w:noProof/>
                <w:webHidden/>
              </w:rPr>
              <w:t>31</w:t>
            </w:r>
            <w:r w:rsidR="00BE76F6">
              <w:rPr>
                <w:noProof/>
                <w:webHidden/>
              </w:rPr>
              <w:fldChar w:fldCharType="end"/>
            </w:r>
          </w:hyperlink>
        </w:p>
        <w:p w14:paraId="4A9D15E1" w14:textId="69A932D7" w:rsidR="00BE76F6" w:rsidRDefault="00000000">
          <w:pPr>
            <w:pStyle w:val="TOC1"/>
            <w:rPr>
              <w:rFonts w:asciiTheme="minorHAnsi" w:eastAsiaTheme="minorEastAsia" w:hAnsiTheme="minorHAnsi" w:cstheme="minorBidi"/>
              <w:b w:val="0"/>
              <w:bCs w:val="0"/>
              <w:noProof/>
              <w:szCs w:val="24"/>
              <w14:ligatures w14:val="standardContextual"/>
            </w:rPr>
          </w:pPr>
          <w:hyperlink w:anchor="_Toc141991681" w:history="1">
            <w:r w:rsidR="00BE76F6" w:rsidRPr="00AC1D54">
              <w:rPr>
                <w:rStyle w:val="Hyperlink"/>
                <w:noProof/>
              </w:rPr>
              <w:t>3</w:t>
            </w:r>
            <w:r w:rsidR="00BE76F6">
              <w:rPr>
                <w:rFonts w:asciiTheme="minorHAnsi" w:eastAsiaTheme="minorEastAsia" w:hAnsiTheme="minorHAnsi" w:cstheme="minorBidi"/>
                <w:b w:val="0"/>
                <w:bCs w:val="0"/>
                <w:noProof/>
                <w:szCs w:val="24"/>
                <w14:ligatures w14:val="standardContextual"/>
              </w:rPr>
              <w:tab/>
            </w:r>
            <w:r w:rsidR="00BE76F6" w:rsidRPr="00AC1D54">
              <w:rPr>
                <w:rStyle w:val="Hyperlink"/>
                <w:noProof/>
              </w:rPr>
              <w:t>Load-flexible Resources Modeling in Residential Buildings</w:t>
            </w:r>
            <w:r w:rsidR="00BE76F6">
              <w:rPr>
                <w:noProof/>
                <w:webHidden/>
              </w:rPr>
              <w:tab/>
            </w:r>
            <w:r w:rsidR="00BE76F6">
              <w:rPr>
                <w:noProof/>
                <w:webHidden/>
              </w:rPr>
              <w:fldChar w:fldCharType="begin"/>
            </w:r>
            <w:r w:rsidR="00BE76F6">
              <w:rPr>
                <w:noProof/>
                <w:webHidden/>
              </w:rPr>
              <w:instrText xml:space="preserve"> PAGEREF _Toc141991681 \h </w:instrText>
            </w:r>
            <w:r w:rsidR="00BE76F6">
              <w:rPr>
                <w:noProof/>
                <w:webHidden/>
              </w:rPr>
            </w:r>
            <w:r w:rsidR="00BE76F6">
              <w:rPr>
                <w:noProof/>
                <w:webHidden/>
              </w:rPr>
              <w:fldChar w:fldCharType="separate"/>
            </w:r>
            <w:r w:rsidR="000E1725">
              <w:rPr>
                <w:noProof/>
                <w:webHidden/>
              </w:rPr>
              <w:t>36</w:t>
            </w:r>
            <w:r w:rsidR="00BE76F6">
              <w:rPr>
                <w:noProof/>
                <w:webHidden/>
              </w:rPr>
              <w:fldChar w:fldCharType="end"/>
            </w:r>
          </w:hyperlink>
        </w:p>
        <w:p w14:paraId="075D3FB2" w14:textId="5B6AC6F8" w:rsidR="00BE76F6" w:rsidRDefault="00000000">
          <w:pPr>
            <w:pStyle w:val="TOC2"/>
            <w:rPr>
              <w:rFonts w:asciiTheme="minorHAnsi" w:eastAsiaTheme="minorEastAsia" w:hAnsiTheme="minorHAnsi" w:cstheme="minorBidi"/>
              <w:noProof/>
              <w:szCs w:val="24"/>
              <w14:ligatures w14:val="standardContextual"/>
            </w:rPr>
          </w:pPr>
          <w:hyperlink w:anchor="_Toc141991682" w:history="1">
            <w:r w:rsidR="00BE76F6" w:rsidRPr="00AC1D54">
              <w:rPr>
                <w:rStyle w:val="Hyperlink"/>
                <w:noProof/>
              </w:rPr>
              <w:t>3.1</w:t>
            </w:r>
            <w:r w:rsidR="00BE76F6">
              <w:rPr>
                <w:rFonts w:asciiTheme="minorHAnsi" w:eastAsiaTheme="minorEastAsia" w:hAnsiTheme="minorHAnsi" w:cstheme="minorBidi"/>
                <w:noProof/>
                <w:szCs w:val="24"/>
                <w14:ligatures w14:val="standardContextual"/>
              </w:rPr>
              <w:tab/>
            </w:r>
            <w:r w:rsidR="00BE76F6" w:rsidRPr="00AC1D54">
              <w:rPr>
                <w:rStyle w:val="Hyperlink"/>
                <w:noProof/>
              </w:rPr>
              <w:t>Introduction</w:t>
            </w:r>
            <w:r w:rsidR="00BE76F6">
              <w:rPr>
                <w:noProof/>
                <w:webHidden/>
              </w:rPr>
              <w:tab/>
            </w:r>
            <w:r w:rsidR="00BE76F6">
              <w:rPr>
                <w:noProof/>
                <w:webHidden/>
              </w:rPr>
              <w:fldChar w:fldCharType="begin"/>
            </w:r>
            <w:r w:rsidR="00BE76F6">
              <w:rPr>
                <w:noProof/>
                <w:webHidden/>
              </w:rPr>
              <w:instrText xml:space="preserve"> PAGEREF _Toc141991682 \h </w:instrText>
            </w:r>
            <w:r w:rsidR="00BE76F6">
              <w:rPr>
                <w:noProof/>
                <w:webHidden/>
              </w:rPr>
            </w:r>
            <w:r w:rsidR="00BE76F6">
              <w:rPr>
                <w:noProof/>
                <w:webHidden/>
              </w:rPr>
              <w:fldChar w:fldCharType="separate"/>
            </w:r>
            <w:r w:rsidR="000E1725">
              <w:rPr>
                <w:noProof/>
                <w:webHidden/>
              </w:rPr>
              <w:t>36</w:t>
            </w:r>
            <w:r w:rsidR="00BE76F6">
              <w:rPr>
                <w:noProof/>
                <w:webHidden/>
              </w:rPr>
              <w:fldChar w:fldCharType="end"/>
            </w:r>
          </w:hyperlink>
        </w:p>
        <w:p w14:paraId="1F6132CF" w14:textId="400D35C3" w:rsidR="00BE76F6" w:rsidRDefault="00000000">
          <w:pPr>
            <w:pStyle w:val="TOC2"/>
            <w:rPr>
              <w:rFonts w:asciiTheme="minorHAnsi" w:eastAsiaTheme="minorEastAsia" w:hAnsiTheme="minorHAnsi" w:cstheme="minorBidi"/>
              <w:noProof/>
              <w:szCs w:val="24"/>
              <w14:ligatures w14:val="standardContextual"/>
            </w:rPr>
          </w:pPr>
          <w:hyperlink w:anchor="_Toc141991683" w:history="1">
            <w:r w:rsidR="00BE76F6" w:rsidRPr="00AC1D54">
              <w:rPr>
                <w:rStyle w:val="Hyperlink"/>
                <w:noProof/>
              </w:rPr>
              <w:t>3.2</w:t>
            </w:r>
            <w:r w:rsidR="00BE76F6">
              <w:rPr>
                <w:rFonts w:asciiTheme="minorHAnsi" w:eastAsiaTheme="minorEastAsia" w:hAnsiTheme="minorHAnsi" w:cstheme="minorBidi"/>
                <w:noProof/>
                <w:szCs w:val="24"/>
                <w14:ligatures w14:val="standardContextual"/>
              </w:rPr>
              <w:tab/>
            </w:r>
            <w:r w:rsidR="00BE76F6" w:rsidRPr="00AC1D54">
              <w:rPr>
                <w:rStyle w:val="Hyperlink"/>
                <w:noProof/>
              </w:rPr>
              <w:t>Model Type Selection for Load-flexible resources in a Home</w:t>
            </w:r>
            <w:r w:rsidR="00BE76F6">
              <w:rPr>
                <w:noProof/>
                <w:webHidden/>
              </w:rPr>
              <w:tab/>
            </w:r>
            <w:r w:rsidR="00BE76F6">
              <w:rPr>
                <w:noProof/>
                <w:webHidden/>
              </w:rPr>
              <w:fldChar w:fldCharType="begin"/>
            </w:r>
            <w:r w:rsidR="00BE76F6">
              <w:rPr>
                <w:noProof/>
                <w:webHidden/>
              </w:rPr>
              <w:instrText xml:space="preserve"> PAGEREF _Toc141991683 \h </w:instrText>
            </w:r>
            <w:r w:rsidR="00BE76F6">
              <w:rPr>
                <w:noProof/>
                <w:webHidden/>
              </w:rPr>
            </w:r>
            <w:r w:rsidR="00BE76F6">
              <w:rPr>
                <w:noProof/>
                <w:webHidden/>
              </w:rPr>
              <w:fldChar w:fldCharType="separate"/>
            </w:r>
            <w:r w:rsidR="000E1725">
              <w:rPr>
                <w:noProof/>
                <w:webHidden/>
              </w:rPr>
              <w:t>36</w:t>
            </w:r>
            <w:r w:rsidR="00BE76F6">
              <w:rPr>
                <w:noProof/>
                <w:webHidden/>
              </w:rPr>
              <w:fldChar w:fldCharType="end"/>
            </w:r>
          </w:hyperlink>
        </w:p>
        <w:p w14:paraId="6EE6E9F1" w14:textId="4B5F059E" w:rsidR="00BE76F6" w:rsidRDefault="00000000">
          <w:pPr>
            <w:pStyle w:val="TOC2"/>
            <w:rPr>
              <w:rFonts w:asciiTheme="minorHAnsi" w:eastAsiaTheme="minorEastAsia" w:hAnsiTheme="minorHAnsi" w:cstheme="minorBidi"/>
              <w:noProof/>
              <w:szCs w:val="24"/>
              <w14:ligatures w14:val="standardContextual"/>
            </w:rPr>
          </w:pPr>
          <w:hyperlink w:anchor="_Toc141991684" w:history="1">
            <w:r w:rsidR="00BE76F6" w:rsidRPr="00AC1D54">
              <w:rPr>
                <w:rStyle w:val="Hyperlink"/>
                <w:noProof/>
              </w:rPr>
              <w:t>3.3</w:t>
            </w:r>
            <w:r w:rsidR="00BE76F6">
              <w:rPr>
                <w:rFonts w:asciiTheme="minorHAnsi" w:eastAsiaTheme="minorEastAsia" w:hAnsiTheme="minorHAnsi" w:cstheme="minorBidi"/>
                <w:noProof/>
                <w:szCs w:val="24"/>
                <w14:ligatures w14:val="standardContextual"/>
              </w:rPr>
              <w:tab/>
            </w:r>
            <w:r w:rsidR="00BE76F6" w:rsidRPr="00AC1D54">
              <w:rPr>
                <w:rStyle w:val="Hyperlink"/>
                <w:noProof/>
              </w:rPr>
              <w:t>HVAC Modeling and Parameter Identification Approach</w:t>
            </w:r>
            <w:r w:rsidR="00BE76F6">
              <w:rPr>
                <w:noProof/>
                <w:webHidden/>
              </w:rPr>
              <w:tab/>
            </w:r>
            <w:r w:rsidR="00BE76F6">
              <w:rPr>
                <w:noProof/>
                <w:webHidden/>
              </w:rPr>
              <w:fldChar w:fldCharType="begin"/>
            </w:r>
            <w:r w:rsidR="00BE76F6">
              <w:rPr>
                <w:noProof/>
                <w:webHidden/>
              </w:rPr>
              <w:instrText xml:space="preserve"> PAGEREF _Toc141991684 \h </w:instrText>
            </w:r>
            <w:r w:rsidR="00BE76F6">
              <w:rPr>
                <w:noProof/>
                <w:webHidden/>
              </w:rPr>
            </w:r>
            <w:r w:rsidR="00BE76F6">
              <w:rPr>
                <w:noProof/>
                <w:webHidden/>
              </w:rPr>
              <w:fldChar w:fldCharType="separate"/>
            </w:r>
            <w:r w:rsidR="000E1725">
              <w:rPr>
                <w:noProof/>
                <w:webHidden/>
              </w:rPr>
              <w:t>39</w:t>
            </w:r>
            <w:r w:rsidR="00BE76F6">
              <w:rPr>
                <w:noProof/>
                <w:webHidden/>
              </w:rPr>
              <w:fldChar w:fldCharType="end"/>
            </w:r>
          </w:hyperlink>
        </w:p>
        <w:p w14:paraId="2BA9ABFA" w14:textId="74CA75A5"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685" w:history="1">
            <w:r w:rsidR="00BE76F6" w:rsidRPr="00AC1D54">
              <w:rPr>
                <w:rStyle w:val="Hyperlink"/>
                <w:noProof/>
              </w:rPr>
              <w:t>3.3.1</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Reduced-order RC-based gray-box model of home thermal dynamics</w:t>
            </w:r>
            <w:r w:rsidR="00BE76F6">
              <w:rPr>
                <w:noProof/>
                <w:webHidden/>
              </w:rPr>
              <w:tab/>
            </w:r>
            <w:r w:rsidR="00BE76F6">
              <w:rPr>
                <w:noProof/>
                <w:webHidden/>
              </w:rPr>
              <w:fldChar w:fldCharType="begin"/>
            </w:r>
            <w:r w:rsidR="00BE76F6">
              <w:rPr>
                <w:noProof/>
                <w:webHidden/>
              </w:rPr>
              <w:instrText xml:space="preserve"> PAGEREF _Toc141991685 \h </w:instrText>
            </w:r>
            <w:r w:rsidR="00BE76F6">
              <w:rPr>
                <w:noProof/>
                <w:webHidden/>
              </w:rPr>
            </w:r>
            <w:r w:rsidR="00BE76F6">
              <w:rPr>
                <w:noProof/>
                <w:webHidden/>
              </w:rPr>
              <w:fldChar w:fldCharType="separate"/>
            </w:r>
            <w:r w:rsidR="000E1725">
              <w:rPr>
                <w:noProof/>
                <w:webHidden/>
              </w:rPr>
              <w:t>39</w:t>
            </w:r>
            <w:r w:rsidR="00BE76F6">
              <w:rPr>
                <w:noProof/>
                <w:webHidden/>
              </w:rPr>
              <w:fldChar w:fldCharType="end"/>
            </w:r>
          </w:hyperlink>
        </w:p>
        <w:p w14:paraId="27375F2D" w14:textId="072732B6"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686" w:history="1">
            <w:r w:rsidR="00BE76F6" w:rsidRPr="00AC1D54">
              <w:rPr>
                <w:rStyle w:val="Hyperlink"/>
                <w:noProof/>
              </w:rPr>
              <w:t>3.3.2</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2R2C parameter identification approach</w:t>
            </w:r>
            <w:r w:rsidR="00BE76F6">
              <w:rPr>
                <w:noProof/>
                <w:webHidden/>
              </w:rPr>
              <w:tab/>
            </w:r>
            <w:r w:rsidR="00BE76F6">
              <w:rPr>
                <w:noProof/>
                <w:webHidden/>
              </w:rPr>
              <w:fldChar w:fldCharType="begin"/>
            </w:r>
            <w:r w:rsidR="00BE76F6">
              <w:rPr>
                <w:noProof/>
                <w:webHidden/>
              </w:rPr>
              <w:instrText xml:space="preserve"> PAGEREF _Toc141991686 \h </w:instrText>
            </w:r>
            <w:r w:rsidR="00BE76F6">
              <w:rPr>
                <w:noProof/>
                <w:webHidden/>
              </w:rPr>
            </w:r>
            <w:r w:rsidR="00BE76F6">
              <w:rPr>
                <w:noProof/>
                <w:webHidden/>
              </w:rPr>
              <w:fldChar w:fldCharType="separate"/>
            </w:r>
            <w:r w:rsidR="000E1725">
              <w:rPr>
                <w:noProof/>
                <w:webHidden/>
              </w:rPr>
              <w:t>41</w:t>
            </w:r>
            <w:r w:rsidR="00BE76F6">
              <w:rPr>
                <w:noProof/>
                <w:webHidden/>
              </w:rPr>
              <w:fldChar w:fldCharType="end"/>
            </w:r>
          </w:hyperlink>
        </w:p>
        <w:p w14:paraId="124B1485" w14:textId="45FE50FB"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687" w:history="1">
            <w:r w:rsidR="00BE76F6" w:rsidRPr="00AC1D54">
              <w:rPr>
                <w:rStyle w:val="Hyperlink"/>
                <w:noProof/>
              </w:rPr>
              <w:t>3.3.3</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HVAC system power estimation</w:t>
            </w:r>
            <w:r w:rsidR="00BE76F6">
              <w:rPr>
                <w:noProof/>
                <w:webHidden/>
              </w:rPr>
              <w:tab/>
            </w:r>
            <w:r w:rsidR="00BE76F6">
              <w:rPr>
                <w:noProof/>
                <w:webHidden/>
              </w:rPr>
              <w:fldChar w:fldCharType="begin"/>
            </w:r>
            <w:r w:rsidR="00BE76F6">
              <w:rPr>
                <w:noProof/>
                <w:webHidden/>
              </w:rPr>
              <w:instrText xml:space="preserve"> PAGEREF _Toc141991687 \h </w:instrText>
            </w:r>
            <w:r w:rsidR="00BE76F6">
              <w:rPr>
                <w:noProof/>
                <w:webHidden/>
              </w:rPr>
            </w:r>
            <w:r w:rsidR="00BE76F6">
              <w:rPr>
                <w:noProof/>
                <w:webHidden/>
              </w:rPr>
              <w:fldChar w:fldCharType="separate"/>
            </w:r>
            <w:r w:rsidR="000E1725">
              <w:rPr>
                <w:noProof/>
                <w:webHidden/>
              </w:rPr>
              <w:t>45</w:t>
            </w:r>
            <w:r w:rsidR="00BE76F6">
              <w:rPr>
                <w:noProof/>
                <w:webHidden/>
              </w:rPr>
              <w:fldChar w:fldCharType="end"/>
            </w:r>
          </w:hyperlink>
        </w:p>
        <w:p w14:paraId="655EFD9E" w14:textId="61988E07" w:rsidR="00BE76F6" w:rsidRDefault="00000000">
          <w:pPr>
            <w:pStyle w:val="TOC2"/>
            <w:rPr>
              <w:rFonts w:asciiTheme="minorHAnsi" w:eastAsiaTheme="minorEastAsia" w:hAnsiTheme="minorHAnsi" w:cstheme="minorBidi"/>
              <w:noProof/>
              <w:szCs w:val="24"/>
              <w14:ligatures w14:val="standardContextual"/>
            </w:rPr>
          </w:pPr>
          <w:hyperlink w:anchor="_Toc141991688" w:history="1">
            <w:r w:rsidR="00BE76F6" w:rsidRPr="00AC1D54">
              <w:rPr>
                <w:rStyle w:val="Hyperlink"/>
                <w:noProof/>
              </w:rPr>
              <w:t>3.4</w:t>
            </w:r>
            <w:r w:rsidR="00BE76F6">
              <w:rPr>
                <w:rFonts w:asciiTheme="minorHAnsi" w:eastAsiaTheme="minorEastAsia" w:hAnsiTheme="minorHAnsi" w:cstheme="minorBidi"/>
                <w:noProof/>
                <w:szCs w:val="24"/>
                <w14:ligatures w14:val="standardContextual"/>
              </w:rPr>
              <w:tab/>
            </w:r>
            <w:r w:rsidR="00BE76F6" w:rsidRPr="00AC1D54">
              <w:rPr>
                <w:rStyle w:val="Hyperlink"/>
                <w:noProof/>
              </w:rPr>
              <w:t>Water Heater Modeling</w:t>
            </w:r>
            <w:r w:rsidR="00BE76F6">
              <w:rPr>
                <w:noProof/>
                <w:webHidden/>
              </w:rPr>
              <w:tab/>
            </w:r>
            <w:r w:rsidR="00BE76F6">
              <w:rPr>
                <w:noProof/>
                <w:webHidden/>
              </w:rPr>
              <w:fldChar w:fldCharType="begin"/>
            </w:r>
            <w:r w:rsidR="00BE76F6">
              <w:rPr>
                <w:noProof/>
                <w:webHidden/>
              </w:rPr>
              <w:instrText xml:space="preserve"> PAGEREF _Toc141991688 \h </w:instrText>
            </w:r>
            <w:r w:rsidR="00BE76F6">
              <w:rPr>
                <w:noProof/>
                <w:webHidden/>
              </w:rPr>
            </w:r>
            <w:r w:rsidR="00BE76F6">
              <w:rPr>
                <w:noProof/>
                <w:webHidden/>
              </w:rPr>
              <w:fldChar w:fldCharType="separate"/>
            </w:r>
            <w:r w:rsidR="000E1725">
              <w:rPr>
                <w:noProof/>
                <w:webHidden/>
              </w:rPr>
              <w:t>46</w:t>
            </w:r>
            <w:r w:rsidR="00BE76F6">
              <w:rPr>
                <w:noProof/>
                <w:webHidden/>
              </w:rPr>
              <w:fldChar w:fldCharType="end"/>
            </w:r>
          </w:hyperlink>
        </w:p>
        <w:p w14:paraId="0834854C" w14:textId="36E5FF5D"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689" w:history="1">
            <w:r w:rsidR="00BE76F6" w:rsidRPr="00AC1D54">
              <w:rPr>
                <w:rStyle w:val="Hyperlink"/>
                <w:noProof/>
              </w:rPr>
              <w:t>3.4.1</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Reduced-order RC-based gray-box model of water heater thermal dynamics</w:t>
            </w:r>
            <w:r w:rsidR="00BE76F6">
              <w:rPr>
                <w:noProof/>
                <w:webHidden/>
              </w:rPr>
              <w:tab/>
            </w:r>
            <w:r w:rsidR="00BE76F6">
              <w:rPr>
                <w:noProof/>
                <w:webHidden/>
              </w:rPr>
              <w:fldChar w:fldCharType="begin"/>
            </w:r>
            <w:r w:rsidR="00BE76F6">
              <w:rPr>
                <w:noProof/>
                <w:webHidden/>
              </w:rPr>
              <w:instrText xml:space="preserve"> PAGEREF _Toc141991689 \h </w:instrText>
            </w:r>
            <w:r w:rsidR="00BE76F6">
              <w:rPr>
                <w:noProof/>
                <w:webHidden/>
              </w:rPr>
            </w:r>
            <w:r w:rsidR="00BE76F6">
              <w:rPr>
                <w:noProof/>
                <w:webHidden/>
              </w:rPr>
              <w:fldChar w:fldCharType="separate"/>
            </w:r>
            <w:r w:rsidR="000E1725">
              <w:rPr>
                <w:noProof/>
                <w:webHidden/>
              </w:rPr>
              <w:t>46</w:t>
            </w:r>
            <w:r w:rsidR="00BE76F6">
              <w:rPr>
                <w:noProof/>
                <w:webHidden/>
              </w:rPr>
              <w:fldChar w:fldCharType="end"/>
            </w:r>
          </w:hyperlink>
        </w:p>
        <w:p w14:paraId="61EA617D" w14:textId="15B67180"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690" w:history="1">
            <w:r w:rsidR="00BE76F6" w:rsidRPr="00AC1D54">
              <w:rPr>
                <w:rStyle w:val="Hyperlink"/>
                <w:noProof/>
              </w:rPr>
              <w:t>3.4.2</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Parameter identification for water heater model</w:t>
            </w:r>
            <w:r w:rsidR="00BE76F6">
              <w:rPr>
                <w:noProof/>
                <w:webHidden/>
              </w:rPr>
              <w:tab/>
            </w:r>
            <w:r w:rsidR="00BE76F6">
              <w:rPr>
                <w:noProof/>
                <w:webHidden/>
              </w:rPr>
              <w:fldChar w:fldCharType="begin"/>
            </w:r>
            <w:r w:rsidR="00BE76F6">
              <w:rPr>
                <w:noProof/>
                <w:webHidden/>
              </w:rPr>
              <w:instrText xml:space="preserve"> PAGEREF _Toc141991690 \h </w:instrText>
            </w:r>
            <w:r w:rsidR="00BE76F6">
              <w:rPr>
                <w:noProof/>
                <w:webHidden/>
              </w:rPr>
            </w:r>
            <w:r w:rsidR="00BE76F6">
              <w:rPr>
                <w:noProof/>
                <w:webHidden/>
              </w:rPr>
              <w:fldChar w:fldCharType="separate"/>
            </w:r>
            <w:r w:rsidR="000E1725">
              <w:rPr>
                <w:noProof/>
                <w:webHidden/>
              </w:rPr>
              <w:t>47</w:t>
            </w:r>
            <w:r w:rsidR="00BE76F6">
              <w:rPr>
                <w:noProof/>
                <w:webHidden/>
              </w:rPr>
              <w:fldChar w:fldCharType="end"/>
            </w:r>
          </w:hyperlink>
        </w:p>
        <w:p w14:paraId="77AAF10B" w14:textId="3E1ADB85" w:rsidR="00BE76F6" w:rsidRDefault="00000000">
          <w:pPr>
            <w:pStyle w:val="TOC2"/>
            <w:rPr>
              <w:rFonts w:asciiTheme="minorHAnsi" w:eastAsiaTheme="minorEastAsia" w:hAnsiTheme="minorHAnsi" w:cstheme="minorBidi"/>
              <w:noProof/>
              <w:szCs w:val="24"/>
              <w14:ligatures w14:val="standardContextual"/>
            </w:rPr>
          </w:pPr>
          <w:hyperlink w:anchor="_Toc141991691" w:history="1">
            <w:r w:rsidR="00BE76F6" w:rsidRPr="00AC1D54">
              <w:rPr>
                <w:rStyle w:val="Hyperlink"/>
                <w:noProof/>
              </w:rPr>
              <w:t>3.5</w:t>
            </w:r>
            <w:r w:rsidR="00BE76F6">
              <w:rPr>
                <w:rFonts w:asciiTheme="minorHAnsi" w:eastAsiaTheme="minorEastAsia" w:hAnsiTheme="minorHAnsi" w:cstheme="minorBidi"/>
                <w:noProof/>
                <w:szCs w:val="24"/>
                <w14:ligatures w14:val="standardContextual"/>
              </w:rPr>
              <w:tab/>
            </w:r>
            <w:r w:rsidR="00BE76F6" w:rsidRPr="00AC1D54">
              <w:rPr>
                <w:rStyle w:val="Hyperlink"/>
                <w:noProof/>
              </w:rPr>
              <w:t>Short-term PV Power Generation Prediction</w:t>
            </w:r>
            <w:r w:rsidR="00BE76F6">
              <w:rPr>
                <w:noProof/>
                <w:webHidden/>
              </w:rPr>
              <w:tab/>
            </w:r>
            <w:r w:rsidR="00BE76F6">
              <w:rPr>
                <w:noProof/>
                <w:webHidden/>
              </w:rPr>
              <w:fldChar w:fldCharType="begin"/>
            </w:r>
            <w:r w:rsidR="00BE76F6">
              <w:rPr>
                <w:noProof/>
                <w:webHidden/>
              </w:rPr>
              <w:instrText xml:space="preserve"> PAGEREF _Toc141991691 \h </w:instrText>
            </w:r>
            <w:r w:rsidR="00BE76F6">
              <w:rPr>
                <w:noProof/>
                <w:webHidden/>
              </w:rPr>
            </w:r>
            <w:r w:rsidR="00BE76F6">
              <w:rPr>
                <w:noProof/>
                <w:webHidden/>
              </w:rPr>
              <w:fldChar w:fldCharType="separate"/>
            </w:r>
            <w:r w:rsidR="000E1725">
              <w:rPr>
                <w:noProof/>
                <w:webHidden/>
              </w:rPr>
              <w:t>48</w:t>
            </w:r>
            <w:r w:rsidR="00BE76F6">
              <w:rPr>
                <w:noProof/>
                <w:webHidden/>
              </w:rPr>
              <w:fldChar w:fldCharType="end"/>
            </w:r>
          </w:hyperlink>
        </w:p>
        <w:p w14:paraId="73EE1DC4" w14:textId="4CAA6B25"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692" w:history="1">
            <w:r w:rsidR="00BE76F6" w:rsidRPr="00AC1D54">
              <w:rPr>
                <w:rStyle w:val="Hyperlink"/>
                <w:noProof/>
              </w:rPr>
              <w:t>3.5.1</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Data preprocessing</w:t>
            </w:r>
            <w:r w:rsidR="00BE76F6">
              <w:rPr>
                <w:noProof/>
                <w:webHidden/>
              </w:rPr>
              <w:tab/>
            </w:r>
            <w:r w:rsidR="00BE76F6">
              <w:rPr>
                <w:noProof/>
                <w:webHidden/>
              </w:rPr>
              <w:fldChar w:fldCharType="begin"/>
            </w:r>
            <w:r w:rsidR="00BE76F6">
              <w:rPr>
                <w:noProof/>
                <w:webHidden/>
              </w:rPr>
              <w:instrText xml:space="preserve"> PAGEREF _Toc141991692 \h </w:instrText>
            </w:r>
            <w:r w:rsidR="00BE76F6">
              <w:rPr>
                <w:noProof/>
                <w:webHidden/>
              </w:rPr>
            </w:r>
            <w:r w:rsidR="00BE76F6">
              <w:rPr>
                <w:noProof/>
                <w:webHidden/>
              </w:rPr>
              <w:fldChar w:fldCharType="separate"/>
            </w:r>
            <w:r w:rsidR="000E1725">
              <w:rPr>
                <w:noProof/>
                <w:webHidden/>
              </w:rPr>
              <w:t>49</w:t>
            </w:r>
            <w:r w:rsidR="00BE76F6">
              <w:rPr>
                <w:noProof/>
                <w:webHidden/>
              </w:rPr>
              <w:fldChar w:fldCharType="end"/>
            </w:r>
          </w:hyperlink>
        </w:p>
        <w:p w14:paraId="10F8E244" w14:textId="0690CD4D"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693" w:history="1">
            <w:r w:rsidR="00BE76F6" w:rsidRPr="00AC1D54">
              <w:rPr>
                <w:rStyle w:val="Hyperlink"/>
                <w:noProof/>
              </w:rPr>
              <w:t>3.5.2</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Feature selection</w:t>
            </w:r>
            <w:r w:rsidR="00BE76F6">
              <w:rPr>
                <w:noProof/>
                <w:webHidden/>
              </w:rPr>
              <w:tab/>
            </w:r>
            <w:r w:rsidR="00BE76F6">
              <w:rPr>
                <w:noProof/>
                <w:webHidden/>
              </w:rPr>
              <w:fldChar w:fldCharType="begin"/>
            </w:r>
            <w:r w:rsidR="00BE76F6">
              <w:rPr>
                <w:noProof/>
                <w:webHidden/>
              </w:rPr>
              <w:instrText xml:space="preserve"> PAGEREF _Toc141991693 \h </w:instrText>
            </w:r>
            <w:r w:rsidR="00BE76F6">
              <w:rPr>
                <w:noProof/>
                <w:webHidden/>
              </w:rPr>
            </w:r>
            <w:r w:rsidR="00BE76F6">
              <w:rPr>
                <w:noProof/>
                <w:webHidden/>
              </w:rPr>
              <w:fldChar w:fldCharType="separate"/>
            </w:r>
            <w:r w:rsidR="000E1725">
              <w:rPr>
                <w:noProof/>
                <w:webHidden/>
              </w:rPr>
              <w:t>50</w:t>
            </w:r>
            <w:r w:rsidR="00BE76F6">
              <w:rPr>
                <w:noProof/>
                <w:webHidden/>
              </w:rPr>
              <w:fldChar w:fldCharType="end"/>
            </w:r>
          </w:hyperlink>
        </w:p>
        <w:p w14:paraId="370CFA22" w14:textId="0FC77726"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694" w:history="1">
            <w:r w:rsidR="00BE76F6" w:rsidRPr="00AC1D54">
              <w:rPr>
                <w:rStyle w:val="Hyperlink"/>
                <w:noProof/>
              </w:rPr>
              <w:t>3.5.3</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Hyperparameter tunning</w:t>
            </w:r>
            <w:r w:rsidR="00BE76F6">
              <w:rPr>
                <w:noProof/>
                <w:webHidden/>
              </w:rPr>
              <w:tab/>
            </w:r>
            <w:r w:rsidR="00BE76F6">
              <w:rPr>
                <w:noProof/>
                <w:webHidden/>
              </w:rPr>
              <w:fldChar w:fldCharType="begin"/>
            </w:r>
            <w:r w:rsidR="00BE76F6">
              <w:rPr>
                <w:noProof/>
                <w:webHidden/>
              </w:rPr>
              <w:instrText xml:space="preserve"> PAGEREF _Toc141991694 \h </w:instrText>
            </w:r>
            <w:r w:rsidR="00BE76F6">
              <w:rPr>
                <w:noProof/>
                <w:webHidden/>
              </w:rPr>
            </w:r>
            <w:r w:rsidR="00BE76F6">
              <w:rPr>
                <w:noProof/>
                <w:webHidden/>
              </w:rPr>
              <w:fldChar w:fldCharType="separate"/>
            </w:r>
            <w:r w:rsidR="000E1725">
              <w:rPr>
                <w:noProof/>
                <w:webHidden/>
              </w:rPr>
              <w:t>51</w:t>
            </w:r>
            <w:r w:rsidR="00BE76F6">
              <w:rPr>
                <w:noProof/>
                <w:webHidden/>
              </w:rPr>
              <w:fldChar w:fldCharType="end"/>
            </w:r>
          </w:hyperlink>
        </w:p>
        <w:p w14:paraId="07E4C35F" w14:textId="1BF3B38E" w:rsidR="00BE76F6" w:rsidRDefault="00000000">
          <w:pPr>
            <w:pStyle w:val="TOC2"/>
            <w:rPr>
              <w:rFonts w:asciiTheme="minorHAnsi" w:eastAsiaTheme="minorEastAsia" w:hAnsiTheme="minorHAnsi" w:cstheme="minorBidi"/>
              <w:noProof/>
              <w:szCs w:val="24"/>
              <w14:ligatures w14:val="standardContextual"/>
            </w:rPr>
          </w:pPr>
          <w:hyperlink w:anchor="_Toc141991695" w:history="1">
            <w:r w:rsidR="00BE76F6" w:rsidRPr="00AC1D54">
              <w:rPr>
                <w:rStyle w:val="Hyperlink"/>
                <w:noProof/>
              </w:rPr>
              <w:t>3.6</w:t>
            </w:r>
            <w:r w:rsidR="00BE76F6">
              <w:rPr>
                <w:rFonts w:asciiTheme="minorHAnsi" w:eastAsiaTheme="minorEastAsia" w:hAnsiTheme="minorHAnsi" w:cstheme="minorBidi"/>
                <w:noProof/>
                <w:szCs w:val="24"/>
                <w14:ligatures w14:val="standardContextual"/>
              </w:rPr>
              <w:tab/>
            </w:r>
            <w:r w:rsidR="00BE76F6" w:rsidRPr="00AC1D54">
              <w:rPr>
                <w:rStyle w:val="Hyperlink"/>
                <w:noProof/>
              </w:rPr>
              <w:t>Model Validation</w:t>
            </w:r>
            <w:r w:rsidR="00BE76F6">
              <w:rPr>
                <w:noProof/>
                <w:webHidden/>
              </w:rPr>
              <w:tab/>
            </w:r>
            <w:r w:rsidR="00BE76F6">
              <w:rPr>
                <w:noProof/>
                <w:webHidden/>
              </w:rPr>
              <w:fldChar w:fldCharType="begin"/>
            </w:r>
            <w:r w:rsidR="00BE76F6">
              <w:rPr>
                <w:noProof/>
                <w:webHidden/>
              </w:rPr>
              <w:instrText xml:space="preserve"> PAGEREF _Toc141991695 \h </w:instrText>
            </w:r>
            <w:r w:rsidR="00BE76F6">
              <w:rPr>
                <w:noProof/>
                <w:webHidden/>
              </w:rPr>
            </w:r>
            <w:r w:rsidR="00BE76F6">
              <w:rPr>
                <w:noProof/>
                <w:webHidden/>
              </w:rPr>
              <w:fldChar w:fldCharType="separate"/>
            </w:r>
            <w:r w:rsidR="000E1725">
              <w:rPr>
                <w:noProof/>
                <w:webHidden/>
              </w:rPr>
              <w:t>52</w:t>
            </w:r>
            <w:r w:rsidR="00BE76F6">
              <w:rPr>
                <w:noProof/>
                <w:webHidden/>
              </w:rPr>
              <w:fldChar w:fldCharType="end"/>
            </w:r>
          </w:hyperlink>
        </w:p>
        <w:p w14:paraId="6E27BEE5" w14:textId="6CD469B9"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696" w:history="1">
            <w:r w:rsidR="00BE76F6" w:rsidRPr="00AC1D54">
              <w:rPr>
                <w:rStyle w:val="Hyperlink"/>
                <w:noProof/>
              </w:rPr>
              <w:t>3.6.1</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The Lab House and data sources</w:t>
            </w:r>
            <w:r w:rsidR="00BE76F6">
              <w:rPr>
                <w:noProof/>
                <w:webHidden/>
              </w:rPr>
              <w:tab/>
            </w:r>
            <w:r w:rsidR="00BE76F6">
              <w:rPr>
                <w:noProof/>
                <w:webHidden/>
              </w:rPr>
              <w:fldChar w:fldCharType="begin"/>
            </w:r>
            <w:r w:rsidR="00BE76F6">
              <w:rPr>
                <w:noProof/>
                <w:webHidden/>
              </w:rPr>
              <w:instrText xml:space="preserve"> PAGEREF _Toc141991696 \h </w:instrText>
            </w:r>
            <w:r w:rsidR="00BE76F6">
              <w:rPr>
                <w:noProof/>
                <w:webHidden/>
              </w:rPr>
            </w:r>
            <w:r w:rsidR="00BE76F6">
              <w:rPr>
                <w:noProof/>
                <w:webHidden/>
              </w:rPr>
              <w:fldChar w:fldCharType="separate"/>
            </w:r>
            <w:r w:rsidR="000E1725">
              <w:rPr>
                <w:noProof/>
                <w:webHidden/>
              </w:rPr>
              <w:t>53</w:t>
            </w:r>
            <w:r w:rsidR="00BE76F6">
              <w:rPr>
                <w:noProof/>
                <w:webHidden/>
              </w:rPr>
              <w:fldChar w:fldCharType="end"/>
            </w:r>
          </w:hyperlink>
        </w:p>
        <w:p w14:paraId="05D3378E" w14:textId="1D0E51E6"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697" w:history="1">
            <w:r w:rsidR="00BE76F6" w:rsidRPr="00AC1D54">
              <w:rPr>
                <w:rStyle w:val="Hyperlink"/>
                <w:noProof/>
              </w:rPr>
              <w:t>3.6.1.1</w:t>
            </w:r>
            <w:r w:rsidR="00BE76F6">
              <w:rPr>
                <w:rFonts w:asciiTheme="minorHAnsi" w:eastAsiaTheme="minorEastAsia" w:hAnsiTheme="minorHAnsi" w:cstheme="minorBidi"/>
                <w:noProof/>
                <w:szCs w:val="24"/>
                <w14:ligatures w14:val="standardContextual"/>
              </w:rPr>
              <w:tab/>
            </w:r>
            <w:r w:rsidR="00BE76F6" w:rsidRPr="00AC1D54">
              <w:rPr>
                <w:rStyle w:val="Hyperlink"/>
                <w:noProof/>
              </w:rPr>
              <w:t>HVAC system data acquisition</w:t>
            </w:r>
            <w:r w:rsidR="00BE76F6">
              <w:rPr>
                <w:noProof/>
                <w:webHidden/>
              </w:rPr>
              <w:tab/>
            </w:r>
            <w:r w:rsidR="00BE76F6">
              <w:rPr>
                <w:noProof/>
                <w:webHidden/>
              </w:rPr>
              <w:fldChar w:fldCharType="begin"/>
            </w:r>
            <w:r w:rsidR="00BE76F6">
              <w:rPr>
                <w:noProof/>
                <w:webHidden/>
              </w:rPr>
              <w:instrText xml:space="preserve"> PAGEREF _Toc141991697 \h </w:instrText>
            </w:r>
            <w:r w:rsidR="00BE76F6">
              <w:rPr>
                <w:noProof/>
                <w:webHidden/>
              </w:rPr>
            </w:r>
            <w:r w:rsidR="00BE76F6">
              <w:rPr>
                <w:noProof/>
                <w:webHidden/>
              </w:rPr>
              <w:fldChar w:fldCharType="separate"/>
            </w:r>
            <w:r w:rsidR="000E1725">
              <w:rPr>
                <w:noProof/>
                <w:webHidden/>
              </w:rPr>
              <w:t>54</w:t>
            </w:r>
            <w:r w:rsidR="00BE76F6">
              <w:rPr>
                <w:noProof/>
                <w:webHidden/>
              </w:rPr>
              <w:fldChar w:fldCharType="end"/>
            </w:r>
          </w:hyperlink>
        </w:p>
        <w:p w14:paraId="1306E67B" w14:textId="4D245680"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698" w:history="1">
            <w:r w:rsidR="00BE76F6" w:rsidRPr="00AC1D54">
              <w:rPr>
                <w:rStyle w:val="Hyperlink"/>
                <w:noProof/>
              </w:rPr>
              <w:t>3.6.1.2</w:t>
            </w:r>
            <w:r w:rsidR="00BE76F6">
              <w:rPr>
                <w:rFonts w:asciiTheme="minorHAnsi" w:eastAsiaTheme="minorEastAsia" w:hAnsiTheme="minorHAnsi" w:cstheme="minorBidi"/>
                <w:noProof/>
                <w:szCs w:val="24"/>
                <w14:ligatures w14:val="standardContextual"/>
              </w:rPr>
              <w:tab/>
            </w:r>
            <w:r w:rsidR="00BE76F6" w:rsidRPr="00AC1D54">
              <w:rPr>
                <w:rStyle w:val="Hyperlink"/>
                <w:noProof/>
              </w:rPr>
              <w:t>Retrofit a conventional electric water heater into a smart one</w:t>
            </w:r>
            <w:r w:rsidR="00BE76F6">
              <w:rPr>
                <w:noProof/>
                <w:webHidden/>
              </w:rPr>
              <w:tab/>
            </w:r>
            <w:r w:rsidR="00BE76F6">
              <w:rPr>
                <w:noProof/>
                <w:webHidden/>
              </w:rPr>
              <w:fldChar w:fldCharType="begin"/>
            </w:r>
            <w:r w:rsidR="00BE76F6">
              <w:rPr>
                <w:noProof/>
                <w:webHidden/>
              </w:rPr>
              <w:instrText xml:space="preserve"> PAGEREF _Toc141991698 \h </w:instrText>
            </w:r>
            <w:r w:rsidR="00BE76F6">
              <w:rPr>
                <w:noProof/>
                <w:webHidden/>
              </w:rPr>
            </w:r>
            <w:r w:rsidR="00BE76F6">
              <w:rPr>
                <w:noProof/>
                <w:webHidden/>
              </w:rPr>
              <w:fldChar w:fldCharType="separate"/>
            </w:r>
            <w:r w:rsidR="000E1725">
              <w:rPr>
                <w:noProof/>
                <w:webHidden/>
              </w:rPr>
              <w:t>57</w:t>
            </w:r>
            <w:r w:rsidR="00BE76F6">
              <w:rPr>
                <w:noProof/>
                <w:webHidden/>
              </w:rPr>
              <w:fldChar w:fldCharType="end"/>
            </w:r>
          </w:hyperlink>
        </w:p>
        <w:p w14:paraId="0AC4B063" w14:textId="45992D49"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699" w:history="1">
            <w:r w:rsidR="00BE76F6" w:rsidRPr="00AC1D54">
              <w:rPr>
                <w:rStyle w:val="Hyperlink"/>
                <w:noProof/>
              </w:rPr>
              <w:t>3.6.1.3</w:t>
            </w:r>
            <w:r w:rsidR="00BE76F6">
              <w:rPr>
                <w:rFonts w:asciiTheme="minorHAnsi" w:eastAsiaTheme="minorEastAsia" w:hAnsiTheme="minorHAnsi" w:cstheme="minorBidi"/>
                <w:noProof/>
                <w:szCs w:val="24"/>
                <w14:ligatures w14:val="standardContextual"/>
              </w:rPr>
              <w:tab/>
            </w:r>
            <w:r w:rsidR="00BE76F6" w:rsidRPr="00AC1D54">
              <w:rPr>
                <w:rStyle w:val="Hyperlink"/>
                <w:noProof/>
              </w:rPr>
              <w:t>PV forecast data sources</w:t>
            </w:r>
            <w:r w:rsidR="00BE76F6">
              <w:rPr>
                <w:noProof/>
                <w:webHidden/>
              </w:rPr>
              <w:tab/>
            </w:r>
            <w:r w:rsidR="00BE76F6">
              <w:rPr>
                <w:noProof/>
                <w:webHidden/>
              </w:rPr>
              <w:fldChar w:fldCharType="begin"/>
            </w:r>
            <w:r w:rsidR="00BE76F6">
              <w:rPr>
                <w:noProof/>
                <w:webHidden/>
              </w:rPr>
              <w:instrText xml:space="preserve"> PAGEREF _Toc141991699 \h </w:instrText>
            </w:r>
            <w:r w:rsidR="00BE76F6">
              <w:rPr>
                <w:noProof/>
                <w:webHidden/>
              </w:rPr>
            </w:r>
            <w:r w:rsidR="00BE76F6">
              <w:rPr>
                <w:noProof/>
                <w:webHidden/>
              </w:rPr>
              <w:fldChar w:fldCharType="separate"/>
            </w:r>
            <w:r w:rsidR="000E1725">
              <w:rPr>
                <w:noProof/>
                <w:webHidden/>
              </w:rPr>
              <w:t>60</w:t>
            </w:r>
            <w:r w:rsidR="00BE76F6">
              <w:rPr>
                <w:noProof/>
                <w:webHidden/>
              </w:rPr>
              <w:fldChar w:fldCharType="end"/>
            </w:r>
          </w:hyperlink>
        </w:p>
        <w:p w14:paraId="36AF862E" w14:textId="4B0CDD03"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00" w:history="1">
            <w:r w:rsidR="00BE76F6" w:rsidRPr="00AC1D54">
              <w:rPr>
                <w:rStyle w:val="Hyperlink"/>
                <w:noProof/>
              </w:rPr>
              <w:t>3.6.2</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HVAC parameter identification results</w:t>
            </w:r>
            <w:r w:rsidR="00BE76F6">
              <w:rPr>
                <w:noProof/>
                <w:webHidden/>
              </w:rPr>
              <w:tab/>
            </w:r>
            <w:r w:rsidR="00BE76F6">
              <w:rPr>
                <w:noProof/>
                <w:webHidden/>
              </w:rPr>
              <w:fldChar w:fldCharType="begin"/>
            </w:r>
            <w:r w:rsidR="00BE76F6">
              <w:rPr>
                <w:noProof/>
                <w:webHidden/>
              </w:rPr>
              <w:instrText xml:space="preserve"> PAGEREF _Toc141991700 \h </w:instrText>
            </w:r>
            <w:r w:rsidR="00BE76F6">
              <w:rPr>
                <w:noProof/>
                <w:webHidden/>
              </w:rPr>
            </w:r>
            <w:r w:rsidR="00BE76F6">
              <w:rPr>
                <w:noProof/>
                <w:webHidden/>
              </w:rPr>
              <w:fldChar w:fldCharType="separate"/>
            </w:r>
            <w:r w:rsidR="000E1725">
              <w:rPr>
                <w:noProof/>
                <w:webHidden/>
              </w:rPr>
              <w:t>60</w:t>
            </w:r>
            <w:r w:rsidR="00BE76F6">
              <w:rPr>
                <w:noProof/>
                <w:webHidden/>
              </w:rPr>
              <w:fldChar w:fldCharType="end"/>
            </w:r>
          </w:hyperlink>
        </w:p>
        <w:p w14:paraId="06BB5FBE" w14:textId="3A4FDD73"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01" w:history="1">
            <w:r w:rsidR="00BE76F6" w:rsidRPr="00AC1D54">
              <w:rPr>
                <w:rStyle w:val="Hyperlink"/>
                <w:noProof/>
              </w:rPr>
              <w:t>3.6.3</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Water heater calibration and parameter identification results</w:t>
            </w:r>
            <w:r w:rsidR="00BE76F6">
              <w:rPr>
                <w:noProof/>
                <w:webHidden/>
              </w:rPr>
              <w:tab/>
            </w:r>
            <w:r w:rsidR="00BE76F6">
              <w:rPr>
                <w:noProof/>
                <w:webHidden/>
              </w:rPr>
              <w:fldChar w:fldCharType="begin"/>
            </w:r>
            <w:r w:rsidR="00BE76F6">
              <w:rPr>
                <w:noProof/>
                <w:webHidden/>
              </w:rPr>
              <w:instrText xml:space="preserve"> PAGEREF _Toc141991701 \h </w:instrText>
            </w:r>
            <w:r w:rsidR="00BE76F6">
              <w:rPr>
                <w:noProof/>
                <w:webHidden/>
              </w:rPr>
            </w:r>
            <w:r w:rsidR="00BE76F6">
              <w:rPr>
                <w:noProof/>
                <w:webHidden/>
              </w:rPr>
              <w:fldChar w:fldCharType="separate"/>
            </w:r>
            <w:r w:rsidR="000E1725">
              <w:rPr>
                <w:noProof/>
                <w:webHidden/>
              </w:rPr>
              <w:t>61</w:t>
            </w:r>
            <w:r w:rsidR="00BE76F6">
              <w:rPr>
                <w:noProof/>
                <w:webHidden/>
              </w:rPr>
              <w:fldChar w:fldCharType="end"/>
            </w:r>
          </w:hyperlink>
        </w:p>
        <w:p w14:paraId="5D54A502" w14:textId="0C27DAEE"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02" w:history="1">
            <w:r w:rsidR="00BE76F6" w:rsidRPr="00AC1D54">
              <w:rPr>
                <w:rStyle w:val="Hyperlink"/>
                <w:noProof/>
              </w:rPr>
              <w:t>3.6.4</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Short-term PV power generation results</w:t>
            </w:r>
            <w:r w:rsidR="00BE76F6">
              <w:rPr>
                <w:noProof/>
                <w:webHidden/>
              </w:rPr>
              <w:tab/>
            </w:r>
            <w:r w:rsidR="00BE76F6">
              <w:rPr>
                <w:noProof/>
                <w:webHidden/>
              </w:rPr>
              <w:fldChar w:fldCharType="begin"/>
            </w:r>
            <w:r w:rsidR="00BE76F6">
              <w:rPr>
                <w:noProof/>
                <w:webHidden/>
              </w:rPr>
              <w:instrText xml:space="preserve"> PAGEREF _Toc141991702 \h </w:instrText>
            </w:r>
            <w:r w:rsidR="00BE76F6">
              <w:rPr>
                <w:noProof/>
                <w:webHidden/>
              </w:rPr>
            </w:r>
            <w:r w:rsidR="00BE76F6">
              <w:rPr>
                <w:noProof/>
                <w:webHidden/>
              </w:rPr>
              <w:fldChar w:fldCharType="separate"/>
            </w:r>
            <w:r w:rsidR="000E1725">
              <w:rPr>
                <w:noProof/>
                <w:webHidden/>
              </w:rPr>
              <w:t>62</w:t>
            </w:r>
            <w:r w:rsidR="00BE76F6">
              <w:rPr>
                <w:noProof/>
                <w:webHidden/>
              </w:rPr>
              <w:fldChar w:fldCharType="end"/>
            </w:r>
          </w:hyperlink>
        </w:p>
        <w:p w14:paraId="134B2548" w14:textId="479E926B" w:rsidR="00BE76F6" w:rsidRDefault="00000000">
          <w:pPr>
            <w:pStyle w:val="TOC2"/>
            <w:rPr>
              <w:rFonts w:asciiTheme="minorHAnsi" w:eastAsiaTheme="minorEastAsia" w:hAnsiTheme="minorHAnsi" w:cstheme="minorBidi"/>
              <w:noProof/>
              <w:szCs w:val="24"/>
              <w14:ligatures w14:val="standardContextual"/>
            </w:rPr>
          </w:pPr>
          <w:hyperlink w:anchor="_Toc141991703" w:history="1">
            <w:r w:rsidR="00BE76F6" w:rsidRPr="00AC1D54">
              <w:rPr>
                <w:rStyle w:val="Hyperlink"/>
                <w:noProof/>
              </w:rPr>
              <w:t>3.7</w:t>
            </w:r>
            <w:r w:rsidR="00BE76F6">
              <w:rPr>
                <w:rFonts w:asciiTheme="minorHAnsi" w:eastAsiaTheme="minorEastAsia" w:hAnsiTheme="minorHAnsi" w:cstheme="minorBidi"/>
                <w:noProof/>
                <w:szCs w:val="24"/>
                <w14:ligatures w14:val="standardContextual"/>
              </w:rPr>
              <w:tab/>
            </w:r>
            <w:r w:rsidR="00BE76F6" w:rsidRPr="00AC1D54">
              <w:rPr>
                <w:rStyle w:val="Hyperlink"/>
                <w:noProof/>
              </w:rPr>
              <w:t>Summary</w:t>
            </w:r>
            <w:r w:rsidR="00BE76F6">
              <w:rPr>
                <w:noProof/>
                <w:webHidden/>
              </w:rPr>
              <w:tab/>
            </w:r>
            <w:r w:rsidR="00BE76F6">
              <w:rPr>
                <w:noProof/>
                <w:webHidden/>
              </w:rPr>
              <w:fldChar w:fldCharType="begin"/>
            </w:r>
            <w:r w:rsidR="00BE76F6">
              <w:rPr>
                <w:noProof/>
                <w:webHidden/>
              </w:rPr>
              <w:instrText xml:space="preserve"> PAGEREF _Toc141991703 \h </w:instrText>
            </w:r>
            <w:r w:rsidR="00BE76F6">
              <w:rPr>
                <w:noProof/>
                <w:webHidden/>
              </w:rPr>
            </w:r>
            <w:r w:rsidR="00BE76F6">
              <w:rPr>
                <w:noProof/>
                <w:webHidden/>
              </w:rPr>
              <w:fldChar w:fldCharType="separate"/>
            </w:r>
            <w:r w:rsidR="000E1725">
              <w:rPr>
                <w:noProof/>
                <w:webHidden/>
              </w:rPr>
              <w:t>65</w:t>
            </w:r>
            <w:r w:rsidR="00BE76F6">
              <w:rPr>
                <w:noProof/>
                <w:webHidden/>
              </w:rPr>
              <w:fldChar w:fldCharType="end"/>
            </w:r>
          </w:hyperlink>
        </w:p>
        <w:p w14:paraId="44E1EFAE" w14:textId="7A5749F5" w:rsidR="00BE76F6" w:rsidRDefault="00000000">
          <w:pPr>
            <w:pStyle w:val="TOC1"/>
            <w:rPr>
              <w:rFonts w:asciiTheme="minorHAnsi" w:eastAsiaTheme="minorEastAsia" w:hAnsiTheme="minorHAnsi" w:cstheme="minorBidi"/>
              <w:b w:val="0"/>
              <w:bCs w:val="0"/>
              <w:noProof/>
              <w:szCs w:val="24"/>
              <w14:ligatures w14:val="standardContextual"/>
            </w:rPr>
          </w:pPr>
          <w:hyperlink w:anchor="_Toc141991704" w:history="1">
            <w:r w:rsidR="00BE76F6" w:rsidRPr="00AC1D54">
              <w:rPr>
                <w:rStyle w:val="Hyperlink"/>
                <w:noProof/>
              </w:rPr>
              <w:t>4</w:t>
            </w:r>
            <w:r w:rsidR="00BE76F6">
              <w:rPr>
                <w:rFonts w:asciiTheme="minorHAnsi" w:eastAsiaTheme="minorEastAsia" w:hAnsiTheme="minorHAnsi" w:cstheme="minorBidi"/>
                <w:b w:val="0"/>
                <w:bCs w:val="0"/>
                <w:noProof/>
                <w:szCs w:val="24"/>
                <w14:ligatures w14:val="standardContextual"/>
              </w:rPr>
              <w:tab/>
            </w:r>
            <w:r w:rsidR="00BE76F6" w:rsidRPr="00AC1D54">
              <w:rPr>
                <w:rStyle w:val="Hyperlink"/>
                <w:noProof/>
              </w:rPr>
              <w:t>Development, Implementation, and Impact Analysis of MPC-based Precooling for Homes</w:t>
            </w:r>
            <w:r w:rsidR="00BE76F6">
              <w:rPr>
                <w:noProof/>
                <w:webHidden/>
              </w:rPr>
              <w:tab/>
            </w:r>
            <w:r w:rsidR="00BE76F6">
              <w:rPr>
                <w:noProof/>
                <w:webHidden/>
              </w:rPr>
              <w:fldChar w:fldCharType="begin"/>
            </w:r>
            <w:r w:rsidR="00BE76F6">
              <w:rPr>
                <w:noProof/>
                <w:webHidden/>
              </w:rPr>
              <w:instrText xml:space="preserve"> PAGEREF _Toc141991704 \h </w:instrText>
            </w:r>
            <w:r w:rsidR="00BE76F6">
              <w:rPr>
                <w:noProof/>
                <w:webHidden/>
              </w:rPr>
            </w:r>
            <w:r w:rsidR="00BE76F6">
              <w:rPr>
                <w:noProof/>
                <w:webHidden/>
              </w:rPr>
              <w:fldChar w:fldCharType="separate"/>
            </w:r>
            <w:r w:rsidR="000E1725">
              <w:rPr>
                <w:noProof/>
                <w:webHidden/>
              </w:rPr>
              <w:t>67</w:t>
            </w:r>
            <w:r w:rsidR="00BE76F6">
              <w:rPr>
                <w:noProof/>
                <w:webHidden/>
              </w:rPr>
              <w:fldChar w:fldCharType="end"/>
            </w:r>
          </w:hyperlink>
        </w:p>
        <w:p w14:paraId="2AB4CCB7" w14:textId="52B8DAA4" w:rsidR="00BE76F6" w:rsidRDefault="00000000">
          <w:pPr>
            <w:pStyle w:val="TOC2"/>
            <w:rPr>
              <w:rFonts w:asciiTheme="minorHAnsi" w:eastAsiaTheme="minorEastAsia" w:hAnsiTheme="minorHAnsi" w:cstheme="minorBidi"/>
              <w:noProof/>
              <w:szCs w:val="24"/>
              <w14:ligatures w14:val="standardContextual"/>
            </w:rPr>
          </w:pPr>
          <w:hyperlink w:anchor="_Toc141991705" w:history="1">
            <w:r w:rsidR="00BE76F6" w:rsidRPr="00AC1D54">
              <w:rPr>
                <w:rStyle w:val="Hyperlink"/>
                <w:noProof/>
              </w:rPr>
              <w:t>4.1</w:t>
            </w:r>
            <w:r w:rsidR="00BE76F6">
              <w:rPr>
                <w:rFonts w:asciiTheme="minorHAnsi" w:eastAsiaTheme="minorEastAsia" w:hAnsiTheme="minorHAnsi" w:cstheme="minorBidi"/>
                <w:noProof/>
                <w:szCs w:val="24"/>
                <w14:ligatures w14:val="standardContextual"/>
              </w:rPr>
              <w:tab/>
            </w:r>
            <w:r w:rsidR="00BE76F6" w:rsidRPr="00AC1D54">
              <w:rPr>
                <w:rStyle w:val="Hyperlink"/>
                <w:noProof/>
              </w:rPr>
              <w:t>Introduction</w:t>
            </w:r>
            <w:r w:rsidR="00BE76F6">
              <w:rPr>
                <w:noProof/>
                <w:webHidden/>
              </w:rPr>
              <w:tab/>
            </w:r>
            <w:r w:rsidR="00BE76F6">
              <w:rPr>
                <w:noProof/>
                <w:webHidden/>
              </w:rPr>
              <w:fldChar w:fldCharType="begin"/>
            </w:r>
            <w:r w:rsidR="00BE76F6">
              <w:rPr>
                <w:noProof/>
                <w:webHidden/>
              </w:rPr>
              <w:instrText xml:space="preserve"> PAGEREF _Toc141991705 \h </w:instrText>
            </w:r>
            <w:r w:rsidR="00BE76F6">
              <w:rPr>
                <w:noProof/>
                <w:webHidden/>
              </w:rPr>
            </w:r>
            <w:r w:rsidR="00BE76F6">
              <w:rPr>
                <w:noProof/>
                <w:webHidden/>
              </w:rPr>
              <w:fldChar w:fldCharType="separate"/>
            </w:r>
            <w:r w:rsidR="000E1725">
              <w:rPr>
                <w:noProof/>
                <w:webHidden/>
              </w:rPr>
              <w:t>67</w:t>
            </w:r>
            <w:r w:rsidR="00BE76F6">
              <w:rPr>
                <w:noProof/>
                <w:webHidden/>
              </w:rPr>
              <w:fldChar w:fldCharType="end"/>
            </w:r>
          </w:hyperlink>
        </w:p>
        <w:p w14:paraId="751E4E89" w14:textId="170A1F48" w:rsidR="00BE76F6" w:rsidRDefault="00000000">
          <w:pPr>
            <w:pStyle w:val="TOC2"/>
            <w:rPr>
              <w:rFonts w:asciiTheme="minorHAnsi" w:eastAsiaTheme="minorEastAsia" w:hAnsiTheme="minorHAnsi" w:cstheme="minorBidi"/>
              <w:noProof/>
              <w:szCs w:val="24"/>
              <w14:ligatures w14:val="standardContextual"/>
            </w:rPr>
          </w:pPr>
          <w:hyperlink w:anchor="_Toc141991706" w:history="1">
            <w:r w:rsidR="00BE76F6" w:rsidRPr="00AC1D54">
              <w:rPr>
                <w:rStyle w:val="Hyperlink"/>
                <w:noProof/>
              </w:rPr>
              <w:t>4.2</w:t>
            </w:r>
            <w:r w:rsidR="00BE76F6">
              <w:rPr>
                <w:rFonts w:asciiTheme="minorHAnsi" w:eastAsiaTheme="minorEastAsia" w:hAnsiTheme="minorHAnsi" w:cstheme="minorBidi"/>
                <w:noProof/>
                <w:szCs w:val="24"/>
                <w14:ligatures w14:val="standardContextual"/>
              </w:rPr>
              <w:tab/>
            </w:r>
            <w:r w:rsidR="00BE76F6" w:rsidRPr="00AC1D54">
              <w:rPr>
                <w:rStyle w:val="Hyperlink"/>
                <w:noProof/>
              </w:rPr>
              <w:t>Real-time Control Framework of the MPC-based Precooling</w:t>
            </w:r>
            <w:r w:rsidR="00BE76F6">
              <w:rPr>
                <w:noProof/>
                <w:webHidden/>
              </w:rPr>
              <w:tab/>
            </w:r>
            <w:r w:rsidR="00BE76F6">
              <w:rPr>
                <w:noProof/>
                <w:webHidden/>
              </w:rPr>
              <w:fldChar w:fldCharType="begin"/>
            </w:r>
            <w:r w:rsidR="00BE76F6">
              <w:rPr>
                <w:noProof/>
                <w:webHidden/>
              </w:rPr>
              <w:instrText xml:space="preserve"> PAGEREF _Toc141991706 \h </w:instrText>
            </w:r>
            <w:r w:rsidR="00BE76F6">
              <w:rPr>
                <w:noProof/>
                <w:webHidden/>
              </w:rPr>
            </w:r>
            <w:r w:rsidR="00BE76F6">
              <w:rPr>
                <w:noProof/>
                <w:webHidden/>
              </w:rPr>
              <w:fldChar w:fldCharType="separate"/>
            </w:r>
            <w:r w:rsidR="000E1725">
              <w:rPr>
                <w:noProof/>
                <w:webHidden/>
              </w:rPr>
              <w:t>68</w:t>
            </w:r>
            <w:r w:rsidR="00BE76F6">
              <w:rPr>
                <w:noProof/>
                <w:webHidden/>
              </w:rPr>
              <w:fldChar w:fldCharType="end"/>
            </w:r>
          </w:hyperlink>
        </w:p>
        <w:p w14:paraId="26B7D79B" w14:textId="23E7EC4C"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07" w:history="1">
            <w:r w:rsidR="00BE76F6" w:rsidRPr="00AC1D54">
              <w:rPr>
                <w:rStyle w:val="Hyperlink"/>
                <w:noProof/>
              </w:rPr>
              <w:t>4.2.1</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Mixed-integer linear programing problem formulation</w:t>
            </w:r>
            <w:r w:rsidR="00BE76F6">
              <w:rPr>
                <w:noProof/>
                <w:webHidden/>
              </w:rPr>
              <w:tab/>
            </w:r>
            <w:r w:rsidR="00BE76F6">
              <w:rPr>
                <w:noProof/>
                <w:webHidden/>
              </w:rPr>
              <w:fldChar w:fldCharType="begin"/>
            </w:r>
            <w:r w:rsidR="00BE76F6">
              <w:rPr>
                <w:noProof/>
                <w:webHidden/>
              </w:rPr>
              <w:instrText xml:space="preserve"> PAGEREF _Toc141991707 \h </w:instrText>
            </w:r>
            <w:r w:rsidR="00BE76F6">
              <w:rPr>
                <w:noProof/>
                <w:webHidden/>
              </w:rPr>
            </w:r>
            <w:r w:rsidR="00BE76F6">
              <w:rPr>
                <w:noProof/>
                <w:webHidden/>
              </w:rPr>
              <w:fldChar w:fldCharType="separate"/>
            </w:r>
            <w:r w:rsidR="000E1725">
              <w:rPr>
                <w:noProof/>
                <w:webHidden/>
              </w:rPr>
              <w:t>68</w:t>
            </w:r>
            <w:r w:rsidR="00BE76F6">
              <w:rPr>
                <w:noProof/>
                <w:webHidden/>
              </w:rPr>
              <w:fldChar w:fldCharType="end"/>
            </w:r>
          </w:hyperlink>
        </w:p>
        <w:p w14:paraId="75D71645" w14:textId="05FEB41D"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08" w:history="1">
            <w:r w:rsidR="00BE76F6" w:rsidRPr="00AC1D54">
              <w:rPr>
                <w:rStyle w:val="Hyperlink"/>
                <w:noProof/>
              </w:rPr>
              <w:t>4.2.2</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MPC agent</w:t>
            </w:r>
            <w:r w:rsidR="00BE76F6">
              <w:rPr>
                <w:noProof/>
                <w:webHidden/>
              </w:rPr>
              <w:tab/>
            </w:r>
            <w:r w:rsidR="00BE76F6">
              <w:rPr>
                <w:noProof/>
                <w:webHidden/>
              </w:rPr>
              <w:fldChar w:fldCharType="begin"/>
            </w:r>
            <w:r w:rsidR="00BE76F6">
              <w:rPr>
                <w:noProof/>
                <w:webHidden/>
              </w:rPr>
              <w:instrText xml:space="preserve"> PAGEREF _Toc141991708 \h </w:instrText>
            </w:r>
            <w:r w:rsidR="00BE76F6">
              <w:rPr>
                <w:noProof/>
                <w:webHidden/>
              </w:rPr>
            </w:r>
            <w:r w:rsidR="00BE76F6">
              <w:rPr>
                <w:noProof/>
                <w:webHidden/>
              </w:rPr>
              <w:fldChar w:fldCharType="separate"/>
            </w:r>
            <w:r w:rsidR="000E1725">
              <w:rPr>
                <w:noProof/>
                <w:webHidden/>
              </w:rPr>
              <w:t>70</w:t>
            </w:r>
            <w:r w:rsidR="00BE76F6">
              <w:rPr>
                <w:noProof/>
                <w:webHidden/>
              </w:rPr>
              <w:fldChar w:fldCharType="end"/>
            </w:r>
          </w:hyperlink>
        </w:p>
        <w:p w14:paraId="577E4169" w14:textId="0544A4FD"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09" w:history="1">
            <w:r w:rsidR="00BE76F6" w:rsidRPr="00AC1D54">
              <w:rPr>
                <w:rStyle w:val="Hyperlink"/>
                <w:noProof/>
              </w:rPr>
              <w:t>4.2.3</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Performance indicators for MPC agent</w:t>
            </w:r>
            <w:r w:rsidR="00BE76F6">
              <w:rPr>
                <w:noProof/>
                <w:webHidden/>
              </w:rPr>
              <w:tab/>
            </w:r>
            <w:r w:rsidR="00BE76F6">
              <w:rPr>
                <w:noProof/>
                <w:webHidden/>
              </w:rPr>
              <w:fldChar w:fldCharType="begin"/>
            </w:r>
            <w:r w:rsidR="00BE76F6">
              <w:rPr>
                <w:noProof/>
                <w:webHidden/>
              </w:rPr>
              <w:instrText xml:space="preserve"> PAGEREF _Toc141991709 \h </w:instrText>
            </w:r>
            <w:r w:rsidR="00BE76F6">
              <w:rPr>
                <w:noProof/>
                <w:webHidden/>
              </w:rPr>
            </w:r>
            <w:r w:rsidR="00BE76F6">
              <w:rPr>
                <w:noProof/>
                <w:webHidden/>
              </w:rPr>
              <w:fldChar w:fldCharType="separate"/>
            </w:r>
            <w:r w:rsidR="000E1725">
              <w:rPr>
                <w:noProof/>
                <w:webHidden/>
              </w:rPr>
              <w:t>71</w:t>
            </w:r>
            <w:r w:rsidR="00BE76F6">
              <w:rPr>
                <w:noProof/>
                <w:webHidden/>
              </w:rPr>
              <w:fldChar w:fldCharType="end"/>
            </w:r>
          </w:hyperlink>
        </w:p>
        <w:p w14:paraId="21A04C29" w14:textId="2B18FC66" w:rsidR="00BE76F6" w:rsidRDefault="00000000">
          <w:pPr>
            <w:pStyle w:val="TOC2"/>
            <w:rPr>
              <w:rFonts w:asciiTheme="minorHAnsi" w:eastAsiaTheme="minorEastAsia" w:hAnsiTheme="minorHAnsi" w:cstheme="minorBidi"/>
              <w:noProof/>
              <w:szCs w:val="24"/>
              <w14:ligatures w14:val="standardContextual"/>
            </w:rPr>
          </w:pPr>
          <w:hyperlink w:anchor="_Toc141991710" w:history="1">
            <w:r w:rsidR="00BE76F6" w:rsidRPr="00AC1D54">
              <w:rPr>
                <w:rStyle w:val="Hyperlink"/>
                <w:noProof/>
              </w:rPr>
              <w:t>4.3</w:t>
            </w:r>
            <w:r w:rsidR="00BE76F6">
              <w:rPr>
                <w:rFonts w:asciiTheme="minorHAnsi" w:eastAsiaTheme="minorEastAsia" w:hAnsiTheme="minorHAnsi" w:cstheme="minorBidi"/>
                <w:noProof/>
                <w:szCs w:val="24"/>
                <w14:ligatures w14:val="standardContextual"/>
              </w:rPr>
              <w:tab/>
            </w:r>
            <w:r w:rsidR="00BE76F6" w:rsidRPr="00AC1D54">
              <w:rPr>
                <w:rStyle w:val="Hyperlink"/>
                <w:noProof/>
              </w:rPr>
              <w:t>MPC-based Precooling in Real Homes</w:t>
            </w:r>
            <w:r w:rsidR="00BE76F6">
              <w:rPr>
                <w:noProof/>
                <w:webHidden/>
              </w:rPr>
              <w:tab/>
            </w:r>
            <w:r w:rsidR="00BE76F6">
              <w:rPr>
                <w:noProof/>
                <w:webHidden/>
              </w:rPr>
              <w:fldChar w:fldCharType="begin"/>
            </w:r>
            <w:r w:rsidR="00BE76F6">
              <w:rPr>
                <w:noProof/>
                <w:webHidden/>
              </w:rPr>
              <w:instrText xml:space="preserve"> PAGEREF _Toc141991710 \h </w:instrText>
            </w:r>
            <w:r w:rsidR="00BE76F6">
              <w:rPr>
                <w:noProof/>
                <w:webHidden/>
              </w:rPr>
            </w:r>
            <w:r w:rsidR="00BE76F6">
              <w:rPr>
                <w:noProof/>
                <w:webHidden/>
              </w:rPr>
              <w:fldChar w:fldCharType="separate"/>
            </w:r>
            <w:r w:rsidR="000E1725">
              <w:rPr>
                <w:noProof/>
                <w:webHidden/>
              </w:rPr>
              <w:t>72</w:t>
            </w:r>
            <w:r w:rsidR="00BE76F6">
              <w:rPr>
                <w:noProof/>
                <w:webHidden/>
              </w:rPr>
              <w:fldChar w:fldCharType="end"/>
            </w:r>
          </w:hyperlink>
        </w:p>
        <w:p w14:paraId="1D9693C5" w14:textId="6ADBBE5E"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11" w:history="1">
            <w:r w:rsidR="00BE76F6" w:rsidRPr="00AC1D54">
              <w:rPr>
                <w:rStyle w:val="Hyperlink"/>
                <w:noProof/>
              </w:rPr>
              <w:t>4.3.1</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Cloud-based platform for data management and control</w:t>
            </w:r>
            <w:r w:rsidR="00BE76F6">
              <w:rPr>
                <w:noProof/>
                <w:webHidden/>
              </w:rPr>
              <w:tab/>
            </w:r>
            <w:r w:rsidR="00BE76F6">
              <w:rPr>
                <w:noProof/>
                <w:webHidden/>
              </w:rPr>
              <w:fldChar w:fldCharType="begin"/>
            </w:r>
            <w:r w:rsidR="00BE76F6">
              <w:rPr>
                <w:noProof/>
                <w:webHidden/>
              </w:rPr>
              <w:instrText xml:space="preserve"> PAGEREF _Toc141991711 \h </w:instrText>
            </w:r>
            <w:r w:rsidR="00BE76F6">
              <w:rPr>
                <w:noProof/>
                <w:webHidden/>
              </w:rPr>
            </w:r>
            <w:r w:rsidR="00BE76F6">
              <w:rPr>
                <w:noProof/>
                <w:webHidden/>
              </w:rPr>
              <w:fldChar w:fldCharType="separate"/>
            </w:r>
            <w:r w:rsidR="000E1725">
              <w:rPr>
                <w:noProof/>
                <w:webHidden/>
              </w:rPr>
              <w:t>72</w:t>
            </w:r>
            <w:r w:rsidR="00BE76F6">
              <w:rPr>
                <w:noProof/>
                <w:webHidden/>
              </w:rPr>
              <w:fldChar w:fldCharType="end"/>
            </w:r>
          </w:hyperlink>
        </w:p>
        <w:p w14:paraId="34AF9BFF" w14:textId="5812B358"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12" w:history="1">
            <w:r w:rsidR="00BE76F6" w:rsidRPr="00AC1D54">
              <w:rPr>
                <w:rStyle w:val="Hyperlink"/>
                <w:noProof/>
              </w:rPr>
              <w:t>4.3.2</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Implementation setup</w:t>
            </w:r>
            <w:r w:rsidR="00BE76F6">
              <w:rPr>
                <w:noProof/>
                <w:webHidden/>
              </w:rPr>
              <w:tab/>
            </w:r>
            <w:r w:rsidR="00BE76F6">
              <w:rPr>
                <w:noProof/>
                <w:webHidden/>
              </w:rPr>
              <w:fldChar w:fldCharType="begin"/>
            </w:r>
            <w:r w:rsidR="00BE76F6">
              <w:rPr>
                <w:noProof/>
                <w:webHidden/>
              </w:rPr>
              <w:instrText xml:space="preserve"> PAGEREF _Toc141991712 \h </w:instrText>
            </w:r>
            <w:r w:rsidR="00BE76F6">
              <w:rPr>
                <w:noProof/>
                <w:webHidden/>
              </w:rPr>
            </w:r>
            <w:r w:rsidR="00BE76F6">
              <w:rPr>
                <w:noProof/>
                <w:webHidden/>
              </w:rPr>
              <w:fldChar w:fldCharType="separate"/>
            </w:r>
            <w:r w:rsidR="000E1725">
              <w:rPr>
                <w:noProof/>
                <w:webHidden/>
              </w:rPr>
              <w:t>74</w:t>
            </w:r>
            <w:r w:rsidR="00BE76F6">
              <w:rPr>
                <w:noProof/>
                <w:webHidden/>
              </w:rPr>
              <w:fldChar w:fldCharType="end"/>
            </w:r>
          </w:hyperlink>
        </w:p>
        <w:p w14:paraId="50005EA7" w14:textId="554DAA08"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713" w:history="1">
            <w:r w:rsidR="00BE76F6" w:rsidRPr="00AC1D54">
              <w:rPr>
                <w:rStyle w:val="Hyperlink"/>
                <w:noProof/>
              </w:rPr>
              <w:t>4.3.2.1</w:t>
            </w:r>
            <w:r w:rsidR="00BE76F6">
              <w:rPr>
                <w:rFonts w:asciiTheme="minorHAnsi" w:eastAsiaTheme="minorEastAsia" w:hAnsiTheme="minorHAnsi" w:cstheme="minorBidi"/>
                <w:noProof/>
                <w:szCs w:val="24"/>
                <w14:ligatures w14:val="standardContextual"/>
              </w:rPr>
              <w:tab/>
            </w:r>
            <w:r w:rsidR="00BE76F6" w:rsidRPr="00AC1D54">
              <w:rPr>
                <w:rStyle w:val="Hyperlink"/>
                <w:noProof/>
              </w:rPr>
              <w:t>Introduction of eleven (11) participating test homes</w:t>
            </w:r>
            <w:r w:rsidR="00BE76F6">
              <w:rPr>
                <w:noProof/>
                <w:webHidden/>
              </w:rPr>
              <w:tab/>
            </w:r>
            <w:r w:rsidR="00BE76F6">
              <w:rPr>
                <w:noProof/>
                <w:webHidden/>
              </w:rPr>
              <w:fldChar w:fldCharType="begin"/>
            </w:r>
            <w:r w:rsidR="00BE76F6">
              <w:rPr>
                <w:noProof/>
                <w:webHidden/>
              </w:rPr>
              <w:instrText xml:space="preserve"> PAGEREF _Toc141991713 \h </w:instrText>
            </w:r>
            <w:r w:rsidR="00BE76F6">
              <w:rPr>
                <w:noProof/>
                <w:webHidden/>
              </w:rPr>
            </w:r>
            <w:r w:rsidR="00BE76F6">
              <w:rPr>
                <w:noProof/>
                <w:webHidden/>
              </w:rPr>
              <w:fldChar w:fldCharType="separate"/>
            </w:r>
            <w:r w:rsidR="000E1725">
              <w:rPr>
                <w:noProof/>
                <w:webHidden/>
              </w:rPr>
              <w:t>74</w:t>
            </w:r>
            <w:r w:rsidR="00BE76F6">
              <w:rPr>
                <w:noProof/>
                <w:webHidden/>
              </w:rPr>
              <w:fldChar w:fldCharType="end"/>
            </w:r>
          </w:hyperlink>
        </w:p>
        <w:p w14:paraId="393BFE6A" w14:textId="2BB924DD"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714" w:history="1">
            <w:r w:rsidR="00BE76F6" w:rsidRPr="00AC1D54">
              <w:rPr>
                <w:rStyle w:val="Hyperlink"/>
                <w:noProof/>
              </w:rPr>
              <w:t>4.3.2.2</w:t>
            </w:r>
            <w:r w:rsidR="00BE76F6">
              <w:rPr>
                <w:rFonts w:asciiTheme="minorHAnsi" w:eastAsiaTheme="minorEastAsia" w:hAnsiTheme="minorHAnsi" w:cstheme="minorBidi"/>
                <w:noProof/>
                <w:szCs w:val="24"/>
                <w14:ligatures w14:val="standardContextual"/>
              </w:rPr>
              <w:tab/>
            </w:r>
            <w:r w:rsidR="00BE76F6" w:rsidRPr="00AC1D54">
              <w:rPr>
                <w:rStyle w:val="Hyperlink"/>
                <w:noProof/>
              </w:rPr>
              <w:t>Temperature and power measurements</w:t>
            </w:r>
            <w:r w:rsidR="00BE76F6">
              <w:rPr>
                <w:noProof/>
                <w:webHidden/>
              </w:rPr>
              <w:tab/>
            </w:r>
            <w:r w:rsidR="00BE76F6">
              <w:rPr>
                <w:noProof/>
                <w:webHidden/>
              </w:rPr>
              <w:fldChar w:fldCharType="begin"/>
            </w:r>
            <w:r w:rsidR="00BE76F6">
              <w:rPr>
                <w:noProof/>
                <w:webHidden/>
              </w:rPr>
              <w:instrText xml:space="preserve"> PAGEREF _Toc141991714 \h </w:instrText>
            </w:r>
            <w:r w:rsidR="00BE76F6">
              <w:rPr>
                <w:noProof/>
                <w:webHidden/>
              </w:rPr>
            </w:r>
            <w:r w:rsidR="00BE76F6">
              <w:rPr>
                <w:noProof/>
                <w:webHidden/>
              </w:rPr>
              <w:fldChar w:fldCharType="separate"/>
            </w:r>
            <w:r w:rsidR="000E1725">
              <w:rPr>
                <w:noProof/>
                <w:webHidden/>
              </w:rPr>
              <w:t>78</w:t>
            </w:r>
            <w:r w:rsidR="00BE76F6">
              <w:rPr>
                <w:noProof/>
                <w:webHidden/>
              </w:rPr>
              <w:fldChar w:fldCharType="end"/>
            </w:r>
          </w:hyperlink>
        </w:p>
        <w:p w14:paraId="4D9C08DD" w14:textId="28B4D0C8"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15" w:history="1">
            <w:r w:rsidR="00BE76F6" w:rsidRPr="00AC1D54">
              <w:rPr>
                <w:rStyle w:val="Hyperlink"/>
                <w:noProof/>
              </w:rPr>
              <w:t>4.3.3</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MPC precooling test filed test results</w:t>
            </w:r>
            <w:r w:rsidR="00BE76F6">
              <w:rPr>
                <w:noProof/>
                <w:webHidden/>
              </w:rPr>
              <w:tab/>
            </w:r>
            <w:r w:rsidR="00BE76F6">
              <w:rPr>
                <w:noProof/>
                <w:webHidden/>
              </w:rPr>
              <w:fldChar w:fldCharType="begin"/>
            </w:r>
            <w:r w:rsidR="00BE76F6">
              <w:rPr>
                <w:noProof/>
                <w:webHidden/>
              </w:rPr>
              <w:instrText xml:space="preserve"> PAGEREF _Toc141991715 \h </w:instrText>
            </w:r>
            <w:r w:rsidR="00BE76F6">
              <w:rPr>
                <w:noProof/>
                <w:webHidden/>
              </w:rPr>
            </w:r>
            <w:r w:rsidR="00BE76F6">
              <w:rPr>
                <w:noProof/>
                <w:webHidden/>
              </w:rPr>
              <w:fldChar w:fldCharType="separate"/>
            </w:r>
            <w:r w:rsidR="000E1725">
              <w:rPr>
                <w:noProof/>
                <w:webHidden/>
              </w:rPr>
              <w:t>79</w:t>
            </w:r>
            <w:r w:rsidR="00BE76F6">
              <w:rPr>
                <w:noProof/>
                <w:webHidden/>
              </w:rPr>
              <w:fldChar w:fldCharType="end"/>
            </w:r>
          </w:hyperlink>
        </w:p>
        <w:p w14:paraId="760CF6C0" w14:textId="730EF11B"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716" w:history="1">
            <w:r w:rsidR="00BE76F6" w:rsidRPr="00AC1D54">
              <w:rPr>
                <w:rStyle w:val="Hyperlink"/>
                <w:noProof/>
              </w:rPr>
              <w:t>4.3.3.1</w:t>
            </w:r>
            <w:r w:rsidR="00BE76F6">
              <w:rPr>
                <w:rFonts w:asciiTheme="minorHAnsi" w:eastAsiaTheme="minorEastAsia" w:hAnsiTheme="minorHAnsi" w:cstheme="minorBidi"/>
                <w:noProof/>
                <w:szCs w:val="24"/>
                <w14:ligatures w14:val="standardContextual"/>
              </w:rPr>
              <w:tab/>
            </w:r>
            <w:r w:rsidR="00BE76F6" w:rsidRPr="00AC1D54">
              <w:rPr>
                <w:rStyle w:val="Hyperlink"/>
                <w:noProof/>
              </w:rPr>
              <w:t>MPC performance assessment at one test home</w:t>
            </w:r>
            <w:r w:rsidR="00BE76F6">
              <w:rPr>
                <w:noProof/>
                <w:webHidden/>
              </w:rPr>
              <w:tab/>
            </w:r>
            <w:r w:rsidR="00BE76F6">
              <w:rPr>
                <w:noProof/>
                <w:webHidden/>
              </w:rPr>
              <w:fldChar w:fldCharType="begin"/>
            </w:r>
            <w:r w:rsidR="00BE76F6">
              <w:rPr>
                <w:noProof/>
                <w:webHidden/>
              </w:rPr>
              <w:instrText xml:space="preserve"> PAGEREF _Toc141991716 \h </w:instrText>
            </w:r>
            <w:r w:rsidR="00BE76F6">
              <w:rPr>
                <w:noProof/>
                <w:webHidden/>
              </w:rPr>
            </w:r>
            <w:r w:rsidR="00BE76F6">
              <w:rPr>
                <w:noProof/>
                <w:webHidden/>
              </w:rPr>
              <w:fldChar w:fldCharType="separate"/>
            </w:r>
            <w:r w:rsidR="000E1725">
              <w:rPr>
                <w:noProof/>
                <w:webHidden/>
              </w:rPr>
              <w:t>79</w:t>
            </w:r>
            <w:r w:rsidR="00BE76F6">
              <w:rPr>
                <w:noProof/>
                <w:webHidden/>
              </w:rPr>
              <w:fldChar w:fldCharType="end"/>
            </w:r>
          </w:hyperlink>
        </w:p>
        <w:p w14:paraId="6A63163D" w14:textId="2524E00C"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717" w:history="1">
            <w:r w:rsidR="00BE76F6" w:rsidRPr="00AC1D54">
              <w:rPr>
                <w:rStyle w:val="Hyperlink"/>
                <w:noProof/>
              </w:rPr>
              <w:t>4.3.3.2</w:t>
            </w:r>
            <w:r w:rsidR="00BE76F6">
              <w:rPr>
                <w:rFonts w:asciiTheme="minorHAnsi" w:eastAsiaTheme="minorEastAsia" w:hAnsiTheme="minorHAnsi" w:cstheme="minorBidi"/>
                <w:noProof/>
                <w:szCs w:val="24"/>
                <w14:ligatures w14:val="standardContextual"/>
              </w:rPr>
              <w:tab/>
            </w:r>
            <w:r w:rsidR="00BE76F6" w:rsidRPr="00AC1D54">
              <w:rPr>
                <w:rStyle w:val="Hyperlink"/>
                <w:noProof/>
              </w:rPr>
              <w:t>MPC performance assessment at multiple test homes</w:t>
            </w:r>
            <w:r w:rsidR="00BE76F6">
              <w:rPr>
                <w:noProof/>
                <w:webHidden/>
              </w:rPr>
              <w:tab/>
            </w:r>
            <w:r w:rsidR="00BE76F6">
              <w:rPr>
                <w:noProof/>
                <w:webHidden/>
              </w:rPr>
              <w:fldChar w:fldCharType="begin"/>
            </w:r>
            <w:r w:rsidR="00BE76F6">
              <w:rPr>
                <w:noProof/>
                <w:webHidden/>
              </w:rPr>
              <w:instrText xml:space="preserve"> PAGEREF _Toc141991717 \h </w:instrText>
            </w:r>
            <w:r w:rsidR="00BE76F6">
              <w:rPr>
                <w:noProof/>
                <w:webHidden/>
              </w:rPr>
            </w:r>
            <w:r w:rsidR="00BE76F6">
              <w:rPr>
                <w:noProof/>
                <w:webHidden/>
              </w:rPr>
              <w:fldChar w:fldCharType="separate"/>
            </w:r>
            <w:r w:rsidR="000E1725">
              <w:rPr>
                <w:noProof/>
                <w:webHidden/>
              </w:rPr>
              <w:t>81</w:t>
            </w:r>
            <w:r w:rsidR="00BE76F6">
              <w:rPr>
                <w:noProof/>
                <w:webHidden/>
              </w:rPr>
              <w:fldChar w:fldCharType="end"/>
            </w:r>
          </w:hyperlink>
        </w:p>
        <w:p w14:paraId="765910FA" w14:textId="1B7EF0D2" w:rsidR="00BE76F6" w:rsidRDefault="00000000">
          <w:pPr>
            <w:pStyle w:val="TOC2"/>
            <w:rPr>
              <w:rFonts w:asciiTheme="minorHAnsi" w:eastAsiaTheme="minorEastAsia" w:hAnsiTheme="minorHAnsi" w:cstheme="minorBidi"/>
              <w:noProof/>
              <w:szCs w:val="24"/>
              <w14:ligatures w14:val="standardContextual"/>
            </w:rPr>
          </w:pPr>
          <w:hyperlink w:anchor="_Toc141991718" w:history="1">
            <w:r w:rsidR="00BE76F6" w:rsidRPr="00AC1D54">
              <w:rPr>
                <w:rStyle w:val="Hyperlink"/>
                <w:noProof/>
              </w:rPr>
              <w:t>4.4</w:t>
            </w:r>
            <w:r w:rsidR="00BE76F6">
              <w:rPr>
                <w:rFonts w:asciiTheme="minorHAnsi" w:eastAsiaTheme="minorEastAsia" w:hAnsiTheme="minorHAnsi" w:cstheme="minorBidi"/>
                <w:noProof/>
                <w:szCs w:val="24"/>
                <w14:ligatures w14:val="standardContextual"/>
              </w:rPr>
              <w:tab/>
            </w:r>
            <w:r w:rsidR="00BE76F6" w:rsidRPr="00AC1D54">
              <w:rPr>
                <w:rStyle w:val="Hyperlink"/>
                <w:noProof/>
              </w:rPr>
              <w:t>MPC-based Precooling at Virtual Testbed</w:t>
            </w:r>
            <w:r w:rsidR="00BE76F6">
              <w:rPr>
                <w:noProof/>
                <w:webHidden/>
              </w:rPr>
              <w:tab/>
            </w:r>
            <w:r w:rsidR="00BE76F6">
              <w:rPr>
                <w:noProof/>
                <w:webHidden/>
              </w:rPr>
              <w:fldChar w:fldCharType="begin"/>
            </w:r>
            <w:r w:rsidR="00BE76F6">
              <w:rPr>
                <w:noProof/>
                <w:webHidden/>
              </w:rPr>
              <w:instrText xml:space="preserve"> PAGEREF _Toc141991718 \h </w:instrText>
            </w:r>
            <w:r w:rsidR="00BE76F6">
              <w:rPr>
                <w:noProof/>
                <w:webHidden/>
              </w:rPr>
            </w:r>
            <w:r w:rsidR="00BE76F6">
              <w:rPr>
                <w:noProof/>
                <w:webHidden/>
              </w:rPr>
              <w:fldChar w:fldCharType="separate"/>
            </w:r>
            <w:r w:rsidR="000E1725">
              <w:rPr>
                <w:noProof/>
                <w:webHidden/>
              </w:rPr>
              <w:t>90</w:t>
            </w:r>
            <w:r w:rsidR="00BE76F6">
              <w:rPr>
                <w:noProof/>
                <w:webHidden/>
              </w:rPr>
              <w:fldChar w:fldCharType="end"/>
            </w:r>
          </w:hyperlink>
        </w:p>
        <w:p w14:paraId="51ED3976" w14:textId="66BA1CA4"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19" w:history="1">
            <w:r w:rsidR="00BE76F6" w:rsidRPr="00AC1D54">
              <w:rPr>
                <w:rStyle w:val="Hyperlink"/>
                <w:noProof/>
              </w:rPr>
              <w:t>4.4.1</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Virtual Testbed Development</w:t>
            </w:r>
            <w:r w:rsidR="00BE76F6">
              <w:rPr>
                <w:noProof/>
                <w:webHidden/>
              </w:rPr>
              <w:tab/>
            </w:r>
            <w:r w:rsidR="00BE76F6">
              <w:rPr>
                <w:noProof/>
                <w:webHidden/>
              </w:rPr>
              <w:fldChar w:fldCharType="begin"/>
            </w:r>
            <w:r w:rsidR="00BE76F6">
              <w:rPr>
                <w:noProof/>
                <w:webHidden/>
              </w:rPr>
              <w:instrText xml:space="preserve"> PAGEREF _Toc141991719 \h </w:instrText>
            </w:r>
            <w:r w:rsidR="00BE76F6">
              <w:rPr>
                <w:noProof/>
                <w:webHidden/>
              </w:rPr>
            </w:r>
            <w:r w:rsidR="00BE76F6">
              <w:rPr>
                <w:noProof/>
                <w:webHidden/>
              </w:rPr>
              <w:fldChar w:fldCharType="separate"/>
            </w:r>
            <w:r w:rsidR="000E1725">
              <w:rPr>
                <w:noProof/>
                <w:webHidden/>
              </w:rPr>
              <w:t>91</w:t>
            </w:r>
            <w:r w:rsidR="00BE76F6">
              <w:rPr>
                <w:noProof/>
                <w:webHidden/>
              </w:rPr>
              <w:fldChar w:fldCharType="end"/>
            </w:r>
          </w:hyperlink>
        </w:p>
        <w:p w14:paraId="14C23A6A" w14:textId="7A6FDB5D"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720" w:history="1">
            <w:r w:rsidR="00BE76F6" w:rsidRPr="00AC1D54">
              <w:rPr>
                <w:rStyle w:val="Hyperlink"/>
                <w:noProof/>
              </w:rPr>
              <w:t>4.4.1.1</w:t>
            </w:r>
            <w:r w:rsidR="00BE76F6">
              <w:rPr>
                <w:rFonts w:asciiTheme="minorHAnsi" w:eastAsiaTheme="minorEastAsia" w:hAnsiTheme="minorHAnsi" w:cstheme="minorBidi"/>
                <w:noProof/>
                <w:szCs w:val="24"/>
                <w14:ligatures w14:val="standardContextual"/>
              </w:rPr>
              <w:tab/>
            </w:r>
            <w:r w:rsidR="00BE76F6" w:rsidRPr="00AC1D54">
              <w:rPr>
                <w:rStyle w:val="Hyperlink"/>
                <w:noProof/>
              </w:rPr>
              <w:t>Residential building modelling</w:t>
            </w:r>
            <w:r w:rsidR="00BE76F6">
              <w:rPr>
                <w:noProof/>
                <w:webHidden/>
              </w:rPr>
              <w:tab/>
            </w:r>
            <w:r w:rsidR="00BE76F6">
              <w:rPr>
                <w:noProof/>
                <w:webHidden/>
              </w:rPr>
              <w:fldChar w:fldCharType="begin"/>
            </w:r>
            <w:r w:rsidR="00BE76F6">
              <w:rPr>
                <w:noProof/>
                <w:webHidden/>
              </w:rPr>
              <w:instrText xml:space="preserve"> PAGEREF _Toc141991720 \h </w:instrText>
            </w:r>
            <w:r w:rsidR="00BE76F6">
              <w:rPr>
                <w:noProof/>
                <w:webHidden/>
              </w:rPr>
            </w:r>
            <w:r w:rsidR="00BE76F6">
              <w:rPr>
                <w:noProof/>
                <w:webHidden/>
              </w:rPr>
              <w:fldChar w:fldCharType="separate"/>
            </w:r>
            <w:r w:rsidR="000E1725">
              <w:rPr>
                <w:noProof/>
                <w:webHidden/>
              </w:rPr>
              <w:t>91</w:t>
            </w:r>
            <w:r w:rsidR="00BE76F6">
              <w:rPr>
                <w:noProof/>
                <w:webHidden/>
              </w:rPr>
              <w:fldChar w:fldCharType="end"/>
            </w:r>
          </w:hyperlink>
        </w:p>
        <w:p w14:paraId="7A47A01D" w14:textId="104AB266"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721" w:history="1">
            <w:r w:rsidR="00BE76F6" w:rsidRPr="00AC1D54">
              <w:rPr>
                <w:rStyle w:val="Hyperlink"/>
                <w:noProof/>
              </w:rPr>
              <w:t>4.4.1.2</w:t>
            </w:r>
            <w:r w:rsidR="00BE76F6">
              <w:rPr>
                <w:rFonts w:asciiTheme="minorHAnsi" w:eastAsiaTheme="minorEastAsia" w:hAnsiTheme="minorHAnsi" w:cstheme="minorBidi"/>
                <w:noProof/>
                <w:szCs w:val="24"/>
                <w14:ligatures w14:val="standardContextual"/>
              </w:rPr>
              <w:tab/>
            </w:r>
            <w:r w:rsidR="00BE76F6" w:rsidRPr="00AC1D54">
              <w:rPr>
                <w:rStyle w:val="Hyperlink"/>
                <w:noProof/>
              </w:rPr>
              <w:t>EMS for on/off control with deadband</w:t>
            </w:r>
            <w:r w:rsidR="00BE76F6">
              <w:rPr>
                <w:noProof/>
                <w:webHidden/>
              </w:rPr>
              <w:tab/>
            </w:r>
            <w:r w:rsidR="00BE76F6">
              <w:rPr>
                <w:noProof/>
                <w:webHidden/>
              </w:rPr>
              <w:fldChar w:fldCharType="begin"/>
            </w:r>
            <w:r w:rsidR="00BE76F6">
              <w:rPr>
                <w:noProof/>
                <w:webHidden/>
              </w:rPr>
              <w:instrText xml:space="preserve"> PAGEREF _Toc141991721 \h </w:instrText>
            </w:r>
            <w:r w:rsidR="00BE76F6">
              <w:rPr>
                <w:noProof/>
                <w:webHidden/>
              </w:rPr>
            </w:r>
            <w:r w:rsidR="00BE76F6">
              <w:rPr>
                <w:noProof/>
                <w:webHidden/>
              </w:rPr>
              <w:fldChar w:fldCharType="separate"/>
            </w:r>
            <w:r w:rsidR="000E1725">
              <w:rPr>
                <w:noProof/>
                <w:webHidden/>
              </w:rPr>
              <w:t>92</w:t>
            </w:r>
            <w:r w:rsidR="00BE76F6">
              <w:rPr>
                <w:noProof/>
                <w:webHidden/>
              </w:rPr>
              <w:fldChar w:fldCharType="end"/>
            </w:r>
          </w:hyperlink>
        </w:p>
        <w:p w14:paraId="28D66DCD" w14:textId="5C9AC05B"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722" w:history="1">
            <w:r w:rsidR="00BE76F6" w:rsidRPr="00AC1D54">
              <w:rPr>
                <w:rStyle w:val="Hyperlink"/>
                <w:noProof/>
              </w:rPr>
              <w:t>4.4.1.3</w:t>
            </w:r>
            <w:r w:rsidR="00BE76F6">
              <w:rPr>
                <w:rFonts w:asciiTheme="minorHAnsi" w:eastAsiaTheme="minorEastAsia" w:hAnsiTheme="minorHAnsi" w:cstheme="minorBidi"/>
                <w:noProof/>
                <w:szCs w:val="24"/>
                <w14:ligatures w14:val="standardContextual"/>
              </w:rPr>
              <w:tab/>
            </w:r>
            <w:r w:rsidR="00BE76F6" w:rsidRPr="00AC1D54">
              <w:rPr>
                <w:rStyle w:val="Hyperlink"/>
                <w:noProof/>
              </w:rPr>
              <w:t>Internal thermal mass modification</w:t>
            </w:r>
            <w:r w:rsidR="00BE76F6">
              <w:rPr>
                <w:noProof/>
                <w:webHidden/>
              </w:rPr>
              <w:tab/>
            </w:r>
            <w:r w:rsidR="00BE76F6">
              <w:rPr>
                <w:noProof/>
                <w:webHidden/>
              </w:rPr>
              <w:fldChar w:fldCharType="begin"/>
            </w:r>
            <w:r w:rsidR="00BE76F6">
              <w:rPr>
                <w:noProof/>
                <w:webHidden/>
              </w:rPr>
              <w:instrText xml:space="preserve"> PAGEREF _Toc141991722 \h </w:instrText>
            </w:r>
            <w:r w:rsidR="00BE76F6">
              <w:rPr>
                <w:noProof/>
                <w:webHidden/>
              </w:rPr>
            </w:r>
            <w:r w:rsidR="00BE76F6">
              <w:rPr>
                <w:noProof/>
                <w:webHidden/>
              </w:rPr>
              <w:fldChar w:fldCharType="separate"/>
            </w:r>
            <w:r w:rsidR="000E1725">
              <w:rPr>
                <w:noProof/>
                <w:webHidden/>
              </w:rPr>
              <w:t>94</w:t>
            </w:r>
            <w:r w:rsidR="00BE76F6">
              <w:rPr>
                <w:noProof/>
                <w:webHidden/>
              </w:rPr>
              <w:fldChar w:fldCharType="end"/>
            </w:r>
          </w:hyperlink>
        </w:p>
        <w:p w14:paraId="453F0F4A" w14:textId="1C1FFF8F"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723" w:history="1">
            <w:r w:rsidR="00BE76F6" w:rsidRPr="00AC1D54">
              <w:rPr>
                <w:rStyle w:val="Hyperlink"/>
                <w:noProof/>
              </w:rPr>
              <w:t>4.4.1.4</w:t>
            </w:r>
            <w:r w:rsidR="00BE76F6">
              <w:rPr>
                <w:rFonts w:asciiTheme="minorHAnsi" w:eastAsiaTheme="minorEastAsia" w:hAnsiTheme="minorHAnsi" w:cstheme="minorBidi"/>
                <w:noProof/>
                <w:szCs w:val="24"/>
                <w14:ligatures w14:val="standardContextual"/>
              </w:rPr>
              <w:tab/>
            </w:r>
            <w:r w:rsidR="00BE76F6" w:rsidRPr="00AC1D54">
              <w:rPr>
                <w:rStyle w:val="Hyperlink"/>
                <w:noProof/>
              </w:rPr>
              <w:t>EnergyPlus model validation</w:t>
            </w:r>
            <w:r w:rsidR="00BE76F6">
              <w:rPr>
                <w:noProof/>
                <w:webHidden/>
              </w:rPr>
              <w:tab/>
            </w:r>
            <w:r w:rsidR="00BE76F6">
              <w:rPr>
                <w:noProof/>
                <w:webHidden/>
              </w:rPr>
              <w:fldChar w:fldCharType="begin"/>
            </w:r>
            <w:r w:rsidR="00BE76F6">
              <w:rPr>
                <w:noProof/>
                <w:webHidden/>
              </w:rPr>
              <w:instrText xml:space="preserve"> PAGEREF _Toc141991723 \h </w:instrText>
            </w:r>
            <w:r w:rsidR="00BE76F6">
              <w:rPr>
                <w:noProof/>
                <w:webHidden/>
              </w:rPr>
            </w:r>
            <w:r w:rsidR="00BE76F6">
              <w:rPr>
                <w:noProof/>
                <w:webHidden/>
              </w:rPr>
              <w:fldChar w:fldCharType="separate"/>
            </w:r>
            <w:r w:rsidR="000E1725">
              <w:rPr>
                <w:noProof/>
                <w:webHidden/>
              </w:rPr>
              <w:t>95</w:t>
            </w:r>
            <w:r w:rsidR="00BE76F6">
              <w:rPr>
                <w:noProof/>
                <w:webHidden/>
              </w:rPr>
              <w:fldChar w:fldCharType="end"/>
            </w:r>
          </w:hyperlink>
        </w:p>
        <w:p w14:paraId="1F3A5E1B" w14:textId="7F24203D"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24" w:history="1">
            <w:r w:rsidR="00BE76F6" w:rsidRPr="00AC1D54">
              <w:rPr>
                <w:rStyle w:val="Hyperlink"/>
                <w:noProof/>
              </w:rPr>
              <w:t>4.4.2</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Evaluate MPC-based precooling performance at the virtual testbed</w:t>
            </w:r>
            <w:r w:rsidR="00BE76F6">
              <w:rPr>
                <w:noProof/>
                <w:webHidden/>
              </w:rPr>
              <w:tab/>
            </w:r>
            <w:r w:rsidR="00BE76F6">
              <w:rPr>
                <w:noProof/>
                <w:webHidden/>
              </w:rPr>
              <w:fldChar w:fldCharType="begin"/>
            </w:r>
            <w:r w:rsidR="00BE76F6">
              <w:rPr>
                <w:noProof/>
                <w:webHidden/>
              </w:rPr>
              <w:instrText xml:space="preserve"> PAGEREF _Toc141991724 \h </w:instrText>
            </w:r>
            <w:r w:rsidR="00BE76F6">
              <w:rPr>
                <w:noProof/>
                <w:webHidden/>
              </w:rPr>
            </w:r>
            <w:r w:rsidR="00BE76F6">
              <w:rPr>
                <w:noProof/>
                <w:webHidden/>
              </w:rPr>
              <w:fldChar w:fldCharType="separate"/>
            </w:r>
            <w:r w:rsidR="000E1725">
              <w:rPr>
                <w:noProof/>
                <w:webHidden/>
              </w:rPr>
              <w:t>96</w:t>
            </w:r>
            <w:r w:rsidR="00BE76F6">
              <w:rPr>
                <w:noProof/>
                <w:webHidden/>
              </w:rPr>
              <w:fldChar w:fldCharType="end"/>
            </w:r>
          </w:hyperlink>
        </w:p>
        <w:p w14:paraId="1D38EB95" w14:textId="17D1B443"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725" w:history="1">
            <w:r w:rsidR="00BE76F6" w:rsidRPr="00AC1D54">
              <w:rPr>
                <w:rStyle w:val="Hyperlink"/>
                <w:noProof/>
              </w:rPr>
              <w:t>4.4.2.1</w:t>
            </w:r>
            <w:r w:rsidR="00BE76F6">
              <w:rPr>
                <w:rFonts w:asciiTheme="minorHAnsi" w:eastAsiaTheme="minorEastAsia" w:hAnsiTheme="minorHAnsi" w:cstheme="minorBidi"/>
                <w:noProof/>
                <w:szCs w:val="24"/>
                <w14:ligatures w14:val="standardContextual"/>
              </w:rPr>
              <w:tab/>
            </w:r>
            <w:r w:rsidR="00BE76F6" w:rsidRPr="00AC1D54">
              <w:rPr>
                <w:rStyle w:val="Hyperlink"/>
                <w:noProof/>
              </w:rPr>
              <w:t>MPC-based precooling control workflow</w:t>
            </w:r>
            <w:r w:rsidR="00BE76F6">
              <w:rPr>
                <w:noProof/>
                <w:webHidden/>
              </w:rPr>
              <w:tab/>
            </w:r>
            <w:r w:rsidR="00BE76F6">
              <w:rPr>
                <w:noProof/>
                <w:webHidden/>
              </w:rPr>
              <w:fldChar w:fldCharType="begin"/>
            </w:r>
            <w:r w:rsidR="00BE76F6">
              <w:rPr>
                <w:noProof/>
                <w:webHidden/>
              </w:rPr>
              <w:instrText xml:space="preserve"> PAGEREF _Toc141991725 \h </w:instrText>
            </w:r>
            <w:r w:rsidR="00BE76F6">
              <w:rPr>
                <w:noProof/>
                <w:webHidden/>
              </w:rPr>
            </w:r>
            <w:r w:rsidR="00BE76F6">
              <w:rPr>
                <w:noProof/>
                <w:webHidden/>
              </w:rPr>
              <w:fldChar w:fldCharType="separate"/>
            </w:r>
            <w:r w:rsidR="000E1725">
              <w:rPr>
                <w:noProof/>
                <w:webHidden/>
              </w:rPr>
              <w:t>97</w:t>
            </w:r>
            <w:r w:rsidR="00BE76F6">
              <w:rPr>
                <w:noProof/>
                <w:webHidden/>
              </w:rPr>
              <w:fldChar w:fldCharType="end"/>
            </w:r>
          </w:hyperlink>
        </w:p>
        <w:p w14:paraId="2BB26854" w14:textId="22F04D25"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726" w:history="1">
            <w:r w:rsidR="00BE76F6" w:rsidRPr="00AC1D54">
              <w:rPr>
                <w:rStyle w:val="Hyperlink"/>
                <w:noProof/>
              </w:rPr>
              <w:t>4.4.2.2</w:t>
            </w:r>
            <w:r w:rsidR="00BE76F6">
              <w:rPr>
                <w:rFonts w:asciiTheme="minorHAnsi" w:eastAsiaTheme="minorEastAsia" w:hAnsiTheme="minorHAnsi" w:cstheme="minorBidi"/>
                <w:noProof/>
                <w:szCs w:val="24"/>
                <w14:ligatures w14:val="standardContextual"/>
              </w:rPr>
              <w:tab/>
            </w:r>
            <w:r w:rsidR="00BE76F6" w:rsidRPr="00AC1D54">
              <w:rPr>
                <w:rStyle w:val="Hyperlink"/>
                <w:noProof/>
              </w:rPr>
              <w:t>MPC hyperparameter choice</w:t>
            </w:r>
            <w:r w:rsidR="00BE76F6">
              <w:rPr>
                <w:noProof/>
                <w:webHidden/>
              </w:rPr>
              <w:tab/>
            </w:r>
            <w:r w:rsidR="00BE76F6">
              <w:rPr>
                <w:noProof/>
                <w:webHidden/>
              </w:rPr>
              <w:fldChar w:fldCharType="begin"/>
            </w:r>
            <w:r w:rsidR="00BE76F6">
              <w:rPr>
                <w:noProof/>
                <w:webHidden/>
              </w:rPr>
              <w:instrText xml:space="preserve"> PAGEREF _Toc141991726 \h </w:instrText>
            </w:r>
            <w:r w:rsidR="00BE76F6">
              <w:rPr>
                <w:noProof/>
                <w:webHidden/>
              </w:rPr>
            </w:r>
            <w:r w:rsidR="00BE76F6">
              <w:rPr>
                <w:noProof/>
                <w:webHidden/>
              </w:rPr>
              <w:fldChar w:fldCharType="separate"/>
            </w:r>
            <w:r w:rsidR="000E1725">
              <w:rPr>
                <w:noProof/>
                <w:webHidden/>
              </w:rPr>
              <w:t>98</w:t>
            </w:r>
            <w:r w:rsidR="00BE76F6">
              <w:rPr>
                <w:noProof/>
                <w:webHidden/>
              </w:rPr>
              <w:fldChar w:fldCharType="end"/>
            </w:r>
          </w:hyperlink>
        </w:p>
        <w:p w14:paraId="76593701" w14:textId="72E2C903"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727" w:history="1">
            <w:r w:rsidR="00BE76F6" w:rsidRPr="00AC1D54">
              <w:rPr>
                <w:rStyle w:val="Hyperlink"/>
                <w:noProof/>
              </w:rPr>
              <w:t>4.4.2.3</w:t>
            </w:r>
            <w:r w:rsidR="00BE76F6">
              <w:rPr>
                <w:rFonts w:asciiTheme="minorHAnsi" w:eastAsiaTheme="minorEastAsia" w:hAnsiTheme="minorHAnsi" w:cstheme="minorBidi"/>
                <w:noProof/>
                <w:szCs w:val="24"/>
                <w14:ligatures w14:val="standardContextual"/>
              </w:rPr>
              <w:tab/>
            </w:r>
            <w:r w:rsidR="00BE76F6" w:rsidRPr="00AC1D54">
              <w:rPr>
                <w:rStyle w:val="Hyperlink"/>
                <w:noProof/>
              </w:rPr>
              <w:t>Test results and impact analysis for MPC hyperparameters</w:t>
            </w:r>
            <w:r w:rsidR="00BE76F6">
              <w:rPr>
                <w:noProof/>
                <w:webHidden/>
              </w:rPr>
              <w:tab/>
            </w:r>
            <w:r w:rsidR="00BE76F6">
              <w:rPr>
                <w:noProof/>
                <w:webHidden/>
              </w:rPr>
              <w:fldChar w:fldCharType="begin"/>
            </w:r>
            <w:r w:rsidR="00BE76F6">
              <w:rPr>
                <w:noProof/>
                <w:webHidden/>
              </w:rPr>
              <w:instrText xml:space="preserve"> PAGEREF _Toc141991727 \h </w:instrText>
            </w:r>
            <w:r w:rsidR="00BE76F6">
              <w:rPr>
                <w:noProof/>
                <w:webHidden/>
              </w:rPr>
            </w:r>
            <w:r w:rsidR="00BE76F6">
              <w:rPr>
                <w:noProof/>
                <w:webHidden/>
              </w:rPr>
              <w:fldChar w:fldCharType="separate"/>
            </w:r>
            <w:r w:rsidR="000E1725">
              <w:rPr>
                <w:noProof/>
                <w:webHidden/>
              </w:rPr>
              <w:t>100</w:t>
            </w:r>
            <w:r w:rsidR="00BE76F6">
              <w:rPr>
                <w:noProof/>
                <w:webHidden/>
              </w:rPr>
              <w:fldChar w:fldCharType="end"/>
            </w:r>
          </w:hyperlink>
        </w:p>
        <w:p w14:paraId="57A00F0F" w14:textId="04DB4585" w:rsidR="00BE76F6" w:rsidRDefault="00000000">
          <w:pPr>
            <w:pStyle w:val="TOC2"/>
            <w:rPr>
              <w:rFonts w:asciiTheme="minorHAnsi" w:eastAsiaTheme="minorEastAsia" w:hAnsiTheme="minorHAnsi" w:cstheme="minorBidi"/>
              <w:noProof/>
              <w:szCs w:val="24"/>
              <w14:ligatures w14:val="standardContextual"/>
            </w:rPr>
          </w:pPr>
          <w:hyperlink w:anchor="_Toc141991728" w:history="1">
            <w:r w:rsidR="00BE76F6" w:rsidRPr="00AC1D54">
              <w:rPr>
                <w:rStyle w:val="Hyperlink"/>
                <w:noProof/>
              </w:rPr>
              <w:t>4.5</w:t>
            </w:r>
            <w:r w:rsidR="00BE76F6">
              <w:rPr>
                <w:rFonts w:asciiTheme="minorHAnsi" w:eastAsiaTheme="minorEastAsia" w:hAnsiTheme="minorHAnsi" w:cstheme="minorBidi"/>
                <w:noProof/>
                <w:szCs w:val="24"/>
                <w14:ligatures w14:val="standardContextual"/>
              </w:rPr>
              <w:tab/>
            </w:r>
            <w:r w:rsidR="00BE76F6" w:rsidRPr="00AC1D54">
              <w:rPr>
                <w:rStyle w:val="Hyperlink"/>
                <w:noProof/>
              </w:rPr>
              <w:t>Summary</w:t>
            </w:r>
            <w:r w:rsidR="00BE76F6">
              <w:rPr>
                <w:noProof/>
                <w:webHidden/>
              </w:rPr>
              <w:tab/>
            </w:r>
            <w:r w:rsidR="00BE76F6">
              <w:rPr>
                <w:noProof/>
                <w:webHidden/>
              </w:rPr>
              <w:fldChar w:fldCharType="begin"/>
            </w:r>
            <w:r w:rsidR="00BE76F6">
              <w:rPr>
                <w:noProof/>
                <w:webHidden/>
              </w:rPr>
              <w:instrText xml:space="preserve"> PAGEREF _Toc141991728 \h </w:instrText>
            </w:r>
            <w:r w:rsidR="00BE76F6">
              <w:rPr>
                <w:noProof/>
                <w:webHidden/>
              </w:rPr>
            </w:r>
            <w:r w:rsidR="00BE76F6">
              <w:rPr>
                <w:noProof/>
                <w:webHidden/>
              </w:rPr>
              <w:fldChar w:fldCharType="separate"/>
            </w:r>
            <w:r w:rsidR="000E1725">
              <w:rPr>
                <w:noProof/>
                <w:webHidden/>
              </w:rPr>
              <w:t>105</w:t>
            </w:r>
            <w:r w:rsidR="00BE76F6">
              <w:rPr>
                <w:noProof/>
                <w:webHidden/>
              </w:rPr>
              <w:fldChar w:fldCharType="end"/>
            </w:r>
          </w:hyperlink>
        </w:p>
        <w:p w14:paraId="326E894B" w14:textId="7845B299" w:rsidR="00BE76F6" w:rsidRDefault="00000000">
          <w:pPr>
            <w:pStyle w:val="TOC1"/>
            <w:rPr>
              <w:rFonts w:asciiTheme="minorHAnsi" w:eastAsiaTheme="minorEastAsia" w:hAnsiTheme="minorHAnsi" w:cstheme="minorBidi"/>
              <w:b w:val="0"/>
              <w:bCs w:val="0"/>
              <w:noProof/>
              <w:szCs w:val="24"/>
              <w14:ligatures w14:val="standardContextual"/>
            </w:rPr>
          </w:pPr>
          <w:hyperlink w:anchor="_Toc141991729" w:history="1">
            <w:r w:rsidR="00BE76F6" w:rsidRPr="00AC1D54">
              <w:rPr>
                <w:rStyle w:val="Hyperlink"/>
                <w:noProof/>
              </w:rPr>
              <w:t>5</w:t>
            </w:r>
            <w:r w:rsidR="00BE76F6">
              <w:rPr>
                <w:rFonts w:asciiTheme="minorHAnsi" w:eastAsiaTheme="minorEastAsia" w:hAnsiTheme="minorHAnsi" w:cstheme="minorBidi"/>
                <w:b w:val="0"/>
                <w:bCs w:val="0"/>
                <w:noProof/>
                <w:szCs w:val="24"/>
                <w14:ligatures w14:val="standardContextual"/>
              </w:rPr>
              <w:tab/>
            </w:r>
            <w:r w:rsidR="00BE76F6" w:rsidRPr="00AC1D54">
              <w:rPr>
                <w:rStyle w:val="Hyperlink"/>
                <w:noProof/>
              </w:rPr>
              <w:t>Connected Home Energy Management for Grid-Interactive Building</w:t>
            </w:r>
            <w:r w:rsidR="00BE76F6">
              <w:rPr>
                <w:noProof/>
                <w:webHidden/>
              </w:rPr>
              <w:tab/>
            </w:r>
            <w:r w:rsidR="00BE76F6">
              <w:rPr>
                <w:noProof/>
                <w:webHidden/>
              </w:rPr>
              <w:fldChar w:fldCharType="begin"/>
            </w:r>
            <w:r w:rsidR="00BE76F6">
              <w:rPr>
                <w:noProof/>
                <w:webHidden/>
              </w:rPr>
              <w:instrText xml:space="preserve"> PAGEREF _Toc141991729 \h </w:instrText>
            </w:r>
            <w:r w:rsidR="00BE76F6">
              <w:rPr>
                <w:noProof/>
                <w:webHidden/>
              </w:rPr>
            </w:r>
            <w:r w:rsidR="00BE76F6">
              <w:rPr>
                <w:noProof/>
                <w:webHidden/>
              </w:rPr>
              <w:fldChar w:fldCharType="separate"/>
            </w:r>
            <w:r w:rsidR="000E1725">
              <w:rPr>
                <w:noProof/>
                <w:webHidden/>
              </w:rPr>
              <w:t>108</w:t>
            </w:r>
            <w:r w:rsidR="00BE76F6">
              <w:rPr>
                <w:noProof/>
                <w:webHidden/>
              </w:rPr>
              <w:fldChar w:fldCharType="end"/>
            </w:r>
          </w:hyperlink>
        </w:p>
        <w:p w14:paraId="5595C9BA" w14:textId="7A9D6D63" w:rsidR="00BE76F6" w:rsidRDefault="00000000">
          <w:pPr>
            <w:pStyle w:val="TOC2"/>
            <w:rPr>
              <w:rFonts w:asciiTheme="minorHAnsi" w:eastAsiaTheme="minorEastAsia" w:hAnsiTheme="minorHAnsi" w:cstheme="minorBidi"/>
              <w:noProof/>
              <w:szCs w:val="24"/>
              <w14:ligatures w14:val="standardContextual"/>
            </w:rPr>
          </w:pPr>
          <w:hyperlink w:anchor="_Toc141991730" w:history="1">
            <w:r w:rsidR="00BE76F6" w:rsidRPr="00AC1D54">
              <w:rPr>
                <w:rStyle w:val="Hyperlink"/>
                <w:noProof/>
              </w:rPr>
              <w:t>5.1</w:t>
            </w:r>
            <w:r w:rsidR="00BE76F6">
              <w:rPr>
                <w:rFonts w:asciiTheme="minorHAnsi" w:eastAsiaTheme="minorEastAsia" w:hAnsiTheme="minorHAnsi" w:cstheme="minorBidi"/>
                <w:noProof/>
                <w:szCs w:val="24"/>
                <w14:ligatures w14:val="standardContextual"/>
              </w:rPr>
              <w:tab/>
            </w:r>
            <w:r w:rsidR="00BE76F6" w:rsidRPr="00AC1D54">
              <w:rPr>
                <w:rStyle w:val="Hyperlink"/>
                <w:noProof/>
              </w:rPr>
              <w:t>Introduction</w:t>
            </w:r>
            <w:r w:rsidR="00BE76F6">
              <w:rPr>
                <w:noProof/>
                <w:webHidden/>
              </w:rPr>
              <w:tab/>
            </w:r>
            <w:r w:rsidR="00BE76F6">
              <w:rPr>
                <w:noProof/>
                <w:webHidden/>
              </w:rPr>
              <w:fldChar w:fldCharType="begin"/>
            </w:r>
            <w:r w:rsidR="00BE76F6">
              <w:rPr>
                <w:noProof/>
                <w:webHidden/>
              </w:rPr>
              <w:instrText xml:space="preserve"> PAGEREF _Toc141991730 \h </w:instrText>
            </w:r>
            <w:r w:rsidR="00BE76F6">
              <w:rPr>
                <w:noProof/>
                <w:webHidden/>
              </w:rPr>
            </w:r>
            <w:r w:rsidR="00BE76F6">
              <w:rPr>
                <w:noProof/>
                <w:webHidden/>
              </w:rPr>
              <w:fldChar w:fldCharType="separate"/>
            </w:r>
            <w:r w:rsidR="000E1725">
              <w:rPr>
                <w:noProof/>
                <w:webHidden/>
              </w:rPr>
              <w:t>108</w:t>
            </w:r>
            <w:r w:rsidR="00BE76F6">
              <w:rPr>
                <w:noProof/>
                <w:webHidden/>
              </w:rPr>
              <w:fldChar w:fldCharType="end"/>
            </w:r>
          </w:hyperlink>
        </w:p>
        <w:p w14:paraId="6E68C959" w14:textId="689A2FD8" w:rsidR="00BE76F6" w:rsidRDefault="00000000">
          <w:pPr>
            <w:pStyle w:val="TOC2"/>
            <w:rPr>
              <w:rFonts w:asciiTheme="minorHAnsi" w:eastAsiaTheme="minorEastAsia" w:hAnsiTheme="minorHAnsi" w:cstheme="minorBidi"/>
              <w:noProof/>
              <w:szCs w:val="24"/>
              <w14:ligatures w14:val="standardContextual"/>
            </w:rPr>
          </w:pPr>
          <w:hyperlink w:anchor="_Toc141991731" w:history="1">
            <w:r w:rsidR="00BE76F6" w:rsidRPr="00AC1D54">
              <w:rPr>
                <w:rStyle w:val="Hyperlink"/>
                <w:noProof/>
              </w:rPr>
              <w:t>5.2</w:t>
            </w:r>
            <w:r w:rsidR="00BE76F6">
              <w:rPr>
                <w:rFonts w:asciiTheme="minorHAnsi" w:eastAsiaTheme="minorEastAsia" w:hAnsiTheme="minorHAnsi" w:cstheme="minorBidi"/>
                <w:noProof/>
                <w:szCs w:val="24"/>
                <w14:ligatures w14:val="standardContextual"/>
              </w:rPr>
              <w:tab/>
            </w:r>
            <w:r w:rsidR="00BE76F6" w:rsidRPr="00AC1D54">
              <w:rPr>
                <w:rStyle w:val="Hyperlink"/>
                <w:noProof/>
              </w:rPr>
              <w:t>Smart Home Scheduling Formulation</w:t>
            </w:r>
            <w:r w:rsidR="00BE76F6">
              <w:rPr>
                <w:noProof/>
                <w:webHidden/>
              </w:rPr>
              <w:tab/>
            </w:r>
            <w:r w:rsidR="00BE76F6">
              <w:rPr>
                <w:noProof/>
                <w:webHidden/>
              </w:rPr>
              <w:fldChar w:fldCharType="begin"/>
            </w:r>
            <w:r w:rsidR="00BE76F6">
              <w:rPr>
                <w:noProof/>
                <w:webHidden/>
              </w:rPr>
              <w:instrText xml:space="preserve"> PAGEREF _Toc141991731 \h </w:instrText>
            </w:r>
            <w:r w:rsidR="00BE76F6">
              <w:rPr>
                <w:noProof/>
                <w:webHidden/>
              </w:rPr>
            </w:r>
            <w:r w:rsidR="00BE76F6">
              <w:rPr>
                <w:noProof/>
                <w:webHidden/>
              </w:rPr>
              <w:fldChar w:fldCharType="separate"/>
            </w:r>
            <w:r w:rsidR="000E1725">
              <w:rPr>
                <w:noProof/>
                <w:webHidden/>
              </w:rPr>
              <w:t>110</w:t>
            </w:r>
            <w:r w:rsidR="00BE76F6">
              <w:rPr>
                <w:noProof/>
                <w:webHidden/>
              </w:rPr>
              <w:fldChar w:fldCharType="end"/>
            </w:r>
          </w:hyperlink>
        </w:p>
        <w:p w14:paraId="450140EF" w14:textId="3C9CCD90"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32" w:history="1">
            <w:r w:rsidR="00BE76F6" w:rsidRPr="00AC1D54">
              <w:rPr>
                <w:rStyle w:val="Hyperlink"/>
                <w:noProof/>
              </w:rPr>
              <w:t>5.2.1</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Baseline model</w:t>
            </w:r>
            <w:r w:rsidR="00BE76F6">
              <w:rPr>
                <w:noProof/>
                <w:webHidden/>
              </w:rPr>
              <w:tab/>
            </w:r>
            <w:r w:rsidR="00BE76F6">
              <w:rPr>
                <w:noProof/>
                <w:webHidden/>
              </w:rPr>
              <w:fldChar w:fldCharType="begin"/>
            </w:r>
            <w:r w:rsidR="00BE76F6">
              <w:rPr>
                <w:noProof/>
                <w:webHidden/>
              </w:rPr>
              <w:instrText xml:space="preserve"> PAGEREF _Toc141991732 \h </w:instrText>
            </w:r>
            <w:r w:rsidR="00BE76F6">
              <w:rPr>
                <w:noProof/>
                <w:webHidden/>
              </w:rPr>
            </w:r>
            <w:r w:rsidR="00BE76F6">
              <w:rPr>
                <w:noProof/>
                <w:webHidden/>
              </w:rPr>
              <w:fldChar w:fldCharType="separate"/>
            </w:r>
            <w:r w:rsidR="000E1725">
              <w:rPr>
                <w:noProof/>
                <w:webHidden/>
              </w:rPr>
              <w:t>111</w:t>
            </w:r>
            <w:r w:rsidR="00BE76F6">
              <w:rPr>
                <w:noProof/>
                <w:webHidden/>
              </w:rPr>
              <w:fldChar w:fldCharType="end"/>
            </w:r>
          </w:hyperlink>
        </w:p>
        <w:p w14:paraId="5C24F65A" w14:textId="603656A6"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733" w:history="1">
            <w:r w:rsidR="00BE76F6" w:rsidRPr="00AC1D54">
              <w:rPr>
                <w:rStyle w:val="Hyperlink"/>
                <w:noProof/>
              </w:rPr>
              <w:t>5.2.1.1</w:t>
            </w:r>
            <w:r w:rsidR="00BE76F6">
              <w:rPr>
                <w:rFonts w:asciiTheme="minorHAnsi" w:eastAsiaTheme="minorEastAsia" w:hAnsiTheme="minorHAnsi" w:cstheme="minorBidi"/>
                <w:noProof/>
                <w:szCs w:val="24"/>
                <w14:ligatures w14:val="standardContextual"/>
              </w:rPr>
              <w:tab/>
            </w:r>
            <w:r w:rsidR="00BE76F6" w:rsidRPr="00AC1D54">
              <w:rPr>
                <w:rStyle w:val="Hyperlink"/>
                <w:noProof/>
              </w:rPr>
              <w:t>Non-thermal appliances</w:t>
            </w:r>
            <w:r w:rsidR="00BE76F6">
              <w:rPr>
                <w:noProof/>
                <w:webHidden/>
              </w:rPr>
              <w:tab/>
            </w:r>
            <w:r w:rsidR="00BE76F6">
              <w:rPr>
                <w:noProof/>
                <w:webHidden/>
              </w:rPr>
              <w:fldChar w:fldCharType="begin"/>
            </w:r>
            <w:r w:rsidR="00BE76F6">
              <w:rPr>
                <w:noProof/>
                <w:webHidden/>
              </w:rPr>
              <w:instrText xml:space="preserve"> PAGEREF _Toc141991733 \h </w:instrText>
            </w:r>
            <w:r w:rsidR="00BE76F6">
              <w:rPr>
                <w:noProof/>
                <w:webHidden/>
              </w:rPr>
            </w:r>
            <w:r w:rsidR="00BE76F6">
              <w:rPr>
                <w:noProof/>
                <w:webHidden/>
              </w:rPr>
              <w:fldChar w:fldCharType="separate"/>
            </w:r>
            <w:r w:rsidR="000E1725">
              <w:rPr>
                <w:noProof/>
                <w:webHidden/>
              </w:rPr>
              <w:t>112</w:t>
            </w:r>
            <w:r w:rsidR="00BE76F6">
              <w:rPr>
                <w:noProof/>
                <w:webHidden/>
              </w:rPr>
              <w:fldChar w:fldCharType="end"/>
            </w:r>
          </w:hyperlink>
        </w:p>
        <w:p w14:paraId="110BB942" w14:textId="665ED485"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734" w:history="1">
            <w:r w:rsidR="00BE76F6" w:rsidRPr="00AC1D54">
              <w:rPr>
                <w:rStyle w:val="Hyperlink"/>
                <w:noProof/>
              </w:rPr>
              <w:t>5.2.1.2</w:t>
            </w:r>
            <w:r w:rsidR="00BE76F6">
              <w:rPr>
                <w:rFonts w:asciiTheme="minorHAnsi" w:eastAsiaTheme="minorEastAsia" w:hAnsiTheme="minorHAnsi" w:cstheme="minorBidi"/>
                <w:noProof/>
                <w:szCs w:val="24"/>
                <w14:ligatures w14:val="standardContextual"/>
              </w:rPr>
              <w:tab/>
            </w:r>
            <w:r w:rsidR="00BE76F6" w:rsidRPr="00AC1D54">
              <w:rPr>
                <w:rStyle w:val="Hyperlink"/>
                <w:noProof/>
              </w:rPr>
              <w:t>HVAC system</w:t>
            </w:r>
            <w:r w:rsidR="00BE76F6">
              <w:rPr>
                <w:noProof/>
                <w:webHidden/>
              </w:rPr>
              <w:tab/>
            </w:r>
            <w:r w:rsidR="00BE76F6">
              <w:rPr>
                <w:noProof/>
                <w:webHidden/>
              </w:rPr>
              <w:fldChar w:fldCharType="begin"/>
            </w:r>
            <w:r w:rsidR="00BE76F6">
              <w:rPr>
                <w:noProof/>
                <w:webHidden/>
              </w:rPr>
              <w:instrText xml:space="preserve"> PAGEREF _Toc141991734 \h </w:instrText>
            </w:r>
            <w:r w:rsidR="00BE76F6">
              <w:rPr>
                <w:noProof/>
                <w:webHidden/>
              </w:rPr>
            </w:r>
            <w:r w:rsidR="00BE76F6">
              <w:rPr>
                <w:noProof/>
                <w:webHidden/>
              </w:rPr>
              <w:fldChar w:fldCharType="separate"/>
            </w:r>
            <w:r w:rsidR="000E1725">
              <w:rPr>
                <w:noProof/>
                <w:webHidden/>
              </w:rPr>
              <w:t>114</w:t>
            </w:r>
            <w:r w:rsidR="00BE76F6">
              <w:rPr>
                <w:noProof/>
                <w:webHidden/>
              </w:rPr>
              <w:fldChar w:fldCharType="end"/>
            </w:r>
          </w:hyperlink>
        </w:p>
        <w:p w14:paraId="09CED54C" w14:textId="67EAEF6B"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735" w:history="1">
            <w:r w:rsidR="00BE76F6" w:rsidRPr="00AC1D54">
              <w:rPr>
                <w:rStyle w:val="Hyperlink"/>
                <w:noProof/>
              </w:rPr>
              <w:t>5.2.1.3</w:t>
            </w:r>
            <w:r w:rsidR="00BE76F6">
              <w:rPr>
                <w:rFonts w:asciiTheme="minorHAnsi" w:eastAsiaTheme="minorEastAsia" w:hAnsiTheme="minorHAnsi" w:cstheme="minorBidi"/>
                <w:noProof/>
                <w:szCs w:val="24"/>
                <w14:ligatures w14:val="standardContextual"/>
              </w:rPr>
              <w:tab/>
            </w:r>
            <w:r w:rsidR="00BE76F6" w:rsidRPr="00AC1D54">
              <w:rPr>
                <w:rStyle w:val="Hyperlink"/>
                <w:noProof/>
              </w:rPr>
              <w:t>Water heater system and its coupling effect</w:t>
            </w:r>
            <w:r w:rsidR="00BE76F6">
              <w:rPr>
                <w:noProof/>
                <w:webHidden/>
              </w:rPr>
              <w:tab/>
            </w:r>
            <w:r w:rsidR="00BE76F6">
              <w:rPr>
                <w:noProof/>
                <w:webHidden/>
              </w:rPr>
              <w:fldChar w:fldCharType="begin"/>
            </w:r>
            <w:r w:rsidR="00BE76F6">
              <w:rPr>
                <w:noProof/>
                <w:webHidden/>
              </w:rPr>
              <w:instrText xml:space="preserve"> PAGEREF _Toc141991735 \h </w:instrText>
            </w:r>
            <w:r w:rsidR="00BE76F6">
              <w:rPr>
                <w:noProof/>
                <w:webHidden/>
              </w:rPr>
            </w:r>
            <w:r w:rsidR="00BE76F6">
              <w:rPr>
                <w:noProof/>
                <w:webHidden/>
              </w:rPr>
              <w:fldChar w:fldCharType="separate"/>
            </w:r>
            <w:r w:rsidR="000E1725">
              <w:rPr>
                <w:noProof/>
                <w:webHidden/>
              </w:rPr>
              <w:t>115</w:t>
            </w:r>
            <w:r w:rsidR="00BE76F6">
              <w:rPr>
                <w:noProof/>
                <w:webHidden/>
              </w:rPr>
              <w:fldChar w:fldCharType="end"/>
            </w:r>
          </w:hyperlink>
        </w:p>
        <w:p w14:paraId="5ED9808D" w14:textId="1BFAB7AF"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36" w:history="1">
            <w:r w:rsidR="00BE76F6" w:rsidRPr="00AC1D54">
              <w:rPr>
                <w:rStyle w:val="Hyperlink"/>
                <w:noProof/>
              </w:rPr>
              <w:t>5.2.2</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Grid-tie PV system</w:t>
            </w:r>
            <w:r w:rsidR="00BE76F6">
              <w:rPr>
                <w:noProof/>
                <w:webHidden/>
              </w:rPr>
              <w:tab/>
            </w:r>
            <w:r w:rsidR="00BE76F6">
              <w:rPr>
                <w:noProof/>
                <w:webHidden/>
              </w:rPr>
              <w:fldChar w:fldCharType="begin"/>
            </w:r>
            <w:r w:rsidR="00BE76F6">
              <w:rPr>
                <w:noProof/>
                <w:webHidden/>
              </w:rPr>
              <w:instrText xml:space="preserve"> PAGEREF _Toc141991736 \h </w:instrText>
            </w:r>
            <w:r w:rsidR="00BE76F6">
              <w:rPr>
                <w:noProof/>
                <w:webHidden/>
              </w:rPr>
            </w:r>
            <w:r w:rsidR="00BE76F6">
              <w:rPr>
                <w:noProof/>
                <w:webHidden/>
              </w:rPr>
              <w:fldChar w:fldCharType="separate"/>
            </w:r>
            <w:r w:rsidR="000E1725">
              <w:rPr>
                <w:noProof/>
                <w:webHidden/>
              </w:rPr>
              <w:t>117</w:t>
            </w:r>
            <w:r w:rsidR="00BE76F6">
              <w:rPr>
                <w:noProof/>
                <w:webHidden/>
              </w:rPr>
              <w:fldChar w:fldCharType="end"/>
            </w:r>
          </w:hyperlink>
        </w:p>
        <w:p w14:paraId="5925870D" w14:textId="5C242C10"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37" w:history="1">
            <w:r w:rsidR="00BE76F6" w:rsidRPr="00AC1D54">
              <w:rPr>
                <w:rStyle w:val="Hyperlink"/>
                <w:noProof/>
              </w:rPr>
              <w:t>5.2.3</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Hybrid PV system with AC battery</w:t>
            </w:r>
            <w:r w:rsidR="00BE76F6">
              <w:rPr>
                <w:noProof/>
                <w:webHidden/>
              </w:rPr>
              <w:tab/>
            </w:r>
            <w:r w:rsidR="00BE76F6">
              <w:rPr>
                <w:noProof/>
                <w:webHidden/>
              </w:rPr>
              <w:fldChar w:fldCharType="begin"/>
            </w:r>
            <w:r w:rsidR="00BE76F6">
              <w:rPr>
                <w:noProof/>
                <w:webHidden/>
              </w:rPr>
              <w:instrText xml:space="preserve"> PAGEREF _Toc141991737 \h </w:instrText>
            </w:r>
            <w:r w:rsidR="00BE76F6">
              <w:rPr>
                <w:noProof/>
                <w:webHidden/>
              </w:rPr>
            </w:r>
            <w:r w:rsidR="00BE76F6">
              <w:rPr>
                <w:noProof/>
                <w:webHidden/>
              </w:rPr>
              <w:fldChar w:fldCharType="separate"/>
            </w:r>
            <w:r w:rsidR="000E1725">
              <w:rPr>
                <w:noProof/>
                <w:webHidden/>
              </w:rPr>
              <w:t>119</w:t>
            </w:r>
            <w:r w:rsidR="00BE76F6">
              <w:rPr>
                <w:noProof/>
                <w:webHidden/>
              </w:rPr>
              <w:fldChar w:fldCharType="end"/>
            </w:r>
          </w:hyperlink>
        </w:p>
        <w:p w14:paraId="0FBAD1CC" w14:textId="14AFBE8C"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38" w:history="1">
            <w:r w:rsidR="00BE76F6" w:rsidRPr="00AC1D54">
              <w:rPr>
                <w:rStyle w:val="Hyperlink"/>
                <w:noProof/>
              </w:rPr>
              <w:t>5.2.4</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Occupancy behavior and user preference model</w:t>
            </w:r>
            <w:r w:rsidR="00BE76F6">
              <w:rPr>
                <w:noProof/>
                <w:webHidden/>
              </w:rPr>
              <w:tab/>
            </w:r>
            <w:r w:rsidR="00BE76F6">
              <w:rPr>
                <w:noProof/>
                <w:webHidden/>
              </w:rPr>
              <w:fldChar w:fldCharType="begin"/>
            </w:r>
            <w:r w:rsidR="00BE76F6">
              <w:rPr>
                <w:noProof/>
                <w:webHidden/>
              </w:rPr>
              <w:instrText xml:space="preserve"> PAGEREF _Toc141991738 \h </w:instrText>
            </w:r>
            <w:r w:rsidR="00BE76F6">
              <w:rPr>
                <w:noProof/>
                <w:webHidden/>
              </w:rPr>
            </w:r>
            <w:r w:rsidR="00BE76F6">
              <w:rPr>
                <w:noProof/>
                <w:webHidden/>
              </w:rPr>
              <w:fldChar w:fldCharType="separate"/>
            </w:r>
            <w:r w:rsidR="000E1725">
              <w:rPr>
                <w:noProof/>
                <w:webHidden/>
              </w:rPr>
              <w:t>121</w:t>
            </w:r>
            <w:r w:rsidR="00BE76F6">
              <w:rPr>
                <w:noProof/>
                <w:webHidden/>
              </w:rPr>
              <w:fldChar w:fldCharType="end"/>
            </w:r>
          </w:hyperlink>
        </w:p>
        <w:p w14:paraId="0D0F2AF2" w14:textId="395FEB64"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739" w:history="1">
            <w:r w:rsidR="00BE76F6" w:rsidRPr="00AC1D54">
              <w:rPr>
                <w:rStyle w:val="Hyperlink"/>
                <w:noProof/>
              </w:rPr>
              <w:t>5.2.4.1</w:t>
            </w:r>
            <w:r w:rsidR="00BE76F6">
              <w:rPr>
                <w:rFonts w:asciiTheme="minorHAnsi" w:eastAsiaTheme="minorEastAsia" w:hAnsiTheme="minorHAnsi" w:cstheme="minorBidi"/>
                <w:noProof/>
                <w:szCs w:val="24"/>
                <w14:ligatures w14:val="standardContextual"/>
              </w:rPr>
              <w:tab/>
            </w:r>
            <w:r w:rsidR="00BE76F6" w:rsidRPr="00AC1D54">
              <w:rPr>
                <w:rStyle w:val="Hyperlink"/>
                <w:noProof/>
              </w:rPr>
              <w:t>User time preference on appliance usage</w:t>
            </w:r>
            <w:r w:rsidR="00BE76F6">
              <w:rPr>
                <w:noProof/>
                <w:webHidden/>
              </w:rPr>
              <w:tab/>
            </w:r>
            <w:r w:rsidR="00BE76F6">
              <w:rPr>
                <w:noProof/>
                <w:webHidden/>
              </w:rPr>
              <w:fldChar w:fldCharType="begin"/>
            </w:r>
            <w:r w:rsidR="00BE76F6">
              <w:rPr>
                <w:noProof/>
                <w:webHidden/>
              </w:rPr>
              <w:instrText xml:space="preserve"> PAGEREF _Toc141991739 \h </w:instrText>
            </w:r>
            <w:r w:rsidR="00BE76F6">
              <w:rPr>
                <w:noProof/>
                <w:webHidden/>
              </w:rPr>
            </w:r>
            <w:r w:rsidR="00BE76F6">
              <w:rPr>
                <w:noProof/>
                <w:webHidden/>
              </w:rPr>
              <w:fldChar w:fldCharType="separate"/>
            </w:r>
            <w:r w:rsidR="000E1725">
              <w:rPr>
                <w:noProof/>
                <w:webHidden/>
              </w:rPr>
              <w:t>121</w:t>
            </w:r>
            <w:r w:rsidR="00BE76F6">
              <w:rPr>
                <w:noProof/>
                <w:webHidden/>
              </w:rPr>
              <w:fldChar w:fldCharType="end"/>
            </w:r>
          </w:hyperlink>
        </w:p>
        <w:p w14:paraId="19EF435C" w14:textId="48C538A7" w:rsidR="00BE76F6" w:rsidRDefault="00000000">
          <w:pPr>
            <w:pStyle w:val="TOC4"/>
            <w:tabs>
              <w:tab w:val="left" w:pos="2102"/>
              <w:tab w:val="right" w:leader="dot" w:pos="9016"/>
            </w:tabs>
            <w:rPr>
              <w:rFonts w:asciiTheme="minorHAnsi" w:eastAsiaTheme="minorEastAsia" w:hAnsiTheme="minorHAnsi" w:cstheme="minorBidi"/>
              <w:noProof/>
              <w:szCs w:val="24"/>
              <w14:ligatures w14:val="standardContextual"/>
            </w:rPr>
          </w:pPr>
          <w:hyperlink w:anchor="_Toc141991740" w:history="1">
            <w:r w:rsidR="00BE76F6" w:rsidRPr="00AC1D54">
              <w:rPr>
                <w:rStyle w:val="Hyperlink"/>
                <w:noProof/>
              </w:rPr>
              <w:t>5.2.4.2</w:t>
            </w:r>
            <w:r w:rsidR="00BE76F6">
              <w:rPr>
                <w:rFonts w:asciiTheme="minorHAnsi" w:eastAsiaTheme="minorEastAsia" w:hAnsiTheme="minorHAnsi" w:cstheme="minorBidi"/>
                <w:noProof/>
                <w:szCs w:val="24"/>
                <w14:ligatures w14:val="standardContextual"/>
              </w:rPr>
              <w:tab/>
            </w:r>
            <w:r w:rsidR="00BE76F6" w:rsidRPr="00AC1D54">
              <w:rPr>
                <w:rStyle w:val="Hyperlink"/>
                <w:noProof/>
              </w:rPr>
              <w:t>Water usage profile</w:t>
            </w:r>
            <w:r w:rsidR="00BE76F6">
              <w:rPr>
                <w:noProof/>
                <w:webHidden/>
              </w:rPr>
              <w:tab/>
            </w:r>
            <w:r w:rsidR="00BE76F6">
              <w:rPr>
                <w:noProof/>
                <w:webHidden/>
              </w:rPr>
              <w:fldChar w:fldCharType="begin"/>
            </w:r>
            <w:r w:rsidR="00BE76F6">
              <w:rPr>
                <w:noProof/>
                <w:webHidden/>
              </w:rPr>
              <w:instrText xml:space="preserve"> PAGEREF _Toc141991740 \h </w:instrText>
            </w:r>
            <w:r w:rsidR="00BE76F6">
              <w:rPr>
                <w:noProof/>
                <w:webHidden/>
              </w:rPr>
            </w:r>
            <w:r w:rsidR="00BE76F6">
              <w:rPr>
                <w:noProof/>
                <w:webHidden/>
              </w:rPr>
              <w:fldChar w:fldCharType="separate"/>
            </w:r>
            <w:r w:rsidR="000E1725">
              <w:rPr>
                <w:noProof/>
                <w:webHidden/>
              </w:rPr>
              <w:t>123</w:t>
            </w:r>
            <w:r w:rsidR="00BE76F6">
              <w:rPr>
                <w:noProof/>
                <w:webHidden/>
              </w:rPr>
              <w:fldChar w:fldCharType="end"/>
            </w:r>
          </w:hyperlink>
        </w:p>
        <w:p w14:paraId="0AF7D1CE" w14:textId="1E2B0FB1"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41" w:history="1">
            <w:r w:rsidR="00BE76F6" w:rsidRPr="00AC1D54">
              <w:rPr>
                <w:rStyle w:val="Hyperlink"/>
                <w:noProof/>
              </w:rPr>
              <w:t>5.2.5</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User-preferred thermal comfort range</w:t>
            </w:r>
            <w:r w:rsidR="00BE76F6">
              <w:rPr>
                <w:noProof/>
                <w:webHidden/>
              </w:rPr>
              <w:tab/>
            </w:r>
            <w:r w:rsidR="00BE76F6">
              <w:rPr>
                <w:noProof/>
                <w:webHidden/>
              </w:rPr>
              <w:fldChar w:fldCharType="begin"/>
            </w:r>
            <w:r w:rsidR="00BE76F6">
              <w:rPr>
                <w:noProof/>
                <w:webHidden/>
              </w:rPr>
              <w:instrText xml:space="preserve"> PAGEREF _Toc141991741 \h </w:instrText>
            </w:r>
            <w:r w:rsidR="00BE76F6">
              <w:rPr>
                <w:noProof/>
                <w:webHidden/>
              </w:rPr>
            </w:r>
            <w:r w:rsidR="00BE76F6">
              <w:rPr>
                <w:noProof/>
                <w:webHidden/>
              </w:rPr>
              <w:fldChar w:fldCharType="separate"/>
            </w:r>
            <w:r w:rsidR="000E1725">
              <w:rPr>
                <w:noProof/>
                <w:webHidden/>
              </w:rPr>
              <w:t>124</w:t>
            </w:r>
            <w:r w:rsidR="00BE76F6">
              <w:rPr>
                <w:noProof/>
                <w:webHidden/>
              </w:rPr>
              <w:fldChar w:fldCharType="end"/>
            </w:r>
          </w:hyperlink>
        </w:p>
        <w:p w14:paraId="603873D9" w14:textId="77E44764" w:rsidR="00BE76F6" w:rsidRDefault="00000000">
          <w:pPr>
            <w:pStyle w:val="TOC2"/>
            <w:rPr>
              <w:rFonts w:asciiTheme="minorHAnsi" w:eastAsiaTheme="minorEastAsia" w:hAnsiTheme="minorHAnsi" w:cstheme="minorBidi"/>
              <w:noProof/>
              <w:szCs w:val="24"/>
              <w14:ligatures w14:val="standardContextual"/>
            </w:rPr>
          </w:pPr>
          <w:hyperlink w:anchor="_Toc141991742" w:history="1">
            <w:r w:rsidR="00BE76F6" w:rsidRPr="00AC1D54">
              <w:rPr>
                <w:rStyle w:val="Hyperlink"/>
                <w:noProof/>
              </w:rPr>
              <w:t>5.3</w:t>
            </w:r>
            <w:r w:rsidR="00BE76F6">
              <w:rPr>
                <w:rFonts w:asciiTheme="minorHAnsi" w:eastAsiaTheme="minorEastAsia" w:hAnsiTheme="minorHAnsi" w:cstheme="minorBidi"/>
                <w:noProof/>
                <w:szCs w:val="24"/>
                <w14:ligatures w14:val="standardContextual"/>
              </w:rPr>
              <w:tab/>
            </w:r>
            <w:r w:rsidR="00BE76F6" w:rsidRPr="00AC1D54">
              <w:rPr>
                <w:rStyle w:val="Hyperlink"/>
                <w:noProof/>
              </w:rPr>
              <w:t>Case Study</w:t>
            </w:r>
            <w:r w:rsidR="00BE76F6">
              <w:rPr>
                <w:noProof/>
                <w:webHidden/>
              </w:rPr>
              <w:tab/>
            </w:r>
            <w:r w:rsidR="00BE76F6">
              <w:rPr>
                <w:noProof/>
                <w:webHidden/>
              </w:rPr>
              <w:fldChar w:fldCharType="begin"/>
            </w:r>
            <w:r w:rsidR="00BE76F6">
              <w:rPr>
                <w:noProof/>
                <w:webHidden/>
              </w:rPr>
              <w:instrText xml:space="preserve"> PAGEREF _Toc141991742 \h </w:instrText>
            </w:r>
            <w:r w:rsidR="00BE76F6">
              <w:rPr>
                <w:noProof/>
                <w:webHidden/>
              </w:rPr>
            </w:r>
            <w:r w:rsidR="00BE76F6">
              <w:rPr>
                <w:noProof/>
                <w:webHidden/>
              </w:rPr>
              <w:fldChar w:fldCharType="separate"/>
            </w:r>
            <w:r w:rsidR="000E1725">
              <w:rPr>
                <w:noProof/>
                <w:webHidden/>
              </w:rPr>
              <w:t>127</w:t>
            </w:r>
            <w:r w:rsidR="00BE76F6">
              <w:rPr>
                <w:noProof/>
                <w:webHidden/>
              </w:rPr>
              <w:fldChar w:fldCharType="end"/>
            </w:r>
          </w:hyperlink>
        </w:p>
        <w:p w14:paraId="70C12585" w14:textId="3CED9A17" w:rsidR="00BE76F6" w:rsidRDefault="00000000">
          <w:pPr>
            <w:pStyle w:val="TOC2"/>
            <w:rPr>
              <w:rFonts w:asciiTheme="minorHAnsi" w:eastAsiaTheme="minorEastAsia" w:hAnsiTheme="minorHAnsi" w:cstheme="minorBidi"/>
              <w:noProof/>
              <w:szCs w:val="24"/>
              <w14:ligatures w14:val="standardContextual"/>
            </w:rPr>
          </w:pPr>
          <w:hyperlink w:anchor="_Toc141991743" w:history="1">
            <w:r w:rsidR="00BE76F6" w:rsidRPr="00AC1D54">
              <w:rPr>
                <w:rStyle w:val="Hyperlink"/>
                <w:noProof/>
              </w:rPr>
              <w:t>5.4</w:t>
            </w:r>
            <w:r w:rsidR="00BE76F6">
              <w:rPr>
                <w:rFonts w:asciiTheme="minorHAnsi" w:eastAsiaTheme="minorEastAsia" w:hAnsiTheme="minorHAnsi" w:cstheme="minorBidi"/>
                <w:noProof/>
                <w:szCs w:val="24"/>
                <w14:ligatures w14:val="standardContextual"/>
              </w:rPr>
              <w:tab/>
            </w:r>
            <w:r w:rsidR="00BE76F6" w:rsidRPr="00AC1D54">
              <w:rPr>
                <w:rStyle w:val="Hyperlink"/>
                <w:noProof/>
              </w:rPr>
              <w:t>Result and Discussion</w:t>
            </w:r>
            <w:r w:rsidR="00BE76F6">
              <w:rPr>
                <w:noProof/>
                <w:webHidden/>
              </w:rPr>
              <w:tab/>
            </w:r>
            <w:r w:rsidR="00BE76F6">
              <w:rPr>
                <w:noProof/>
                <w:webHidden/>
              </w:rPr>
              <w:fldChar w:fldCharType="begin"/>
            </w:r>
            <w:r w:rsidR="00BE76F6">
              <w:rPr>
                <w:noProof/>
                <w:webHidden/>
              </w:rPr>
              <w:instrText xml:space="preserve"> PAGEREF _Toc141991743 \h </w:instrText>
            </w:r>
            <w:r w:rsidR="00BE76F6">
              <w:rPr>
                <w:noProof/>
                <w:webHidden/>
              </w:rPr>
            </w:r>
            <w:r w:rsidR="00BE76F6">
              <w:rPr>
                <w:noProof/>
                <w:webHidden/>
              </w:rPr>
              <w:fldChar w:fldCharType="separate"/>
            </w:r>
            <w:r w:rsidR="000E1725">
              <w:rPr>
                <w:noProof/>
                <w:webHidden/>
              </w:rPr>
              <w:t>132</w:t>
            </w:r>
            <w:r w:rsidR="00BE76F6">
              <w:rPr>
                <w:noProof/>
                <w:webHidden/>
              </w:rPr>
              <w:fldChar w:fldCharType="end"/>
            </w:r>
          </w:hyperlink>
        </w:p>
        <w:p w14:paraId="3CC9496A" w14:textId="7EED1F59"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44" w:history="1">
            <w:r w:rsidR="00BE76F6" w:rsidRPr="00AC1D54">
              <w:rPr>
                <w:rStyle w:val="Hyperlink"/>
                <w:noProof/>
              </w:rPr>
              <w:t>5.4.1</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Three optimal operations</w:t>
            </w:r>
            <w:r w:rsidR="00BE76F6">
              <w:rPr>
                <w:noProof/>
                <w:webHidden/>
              </w:rPr>
              <w:tab/>
            </w:r>
            <w:r w:rsidR="00BE76F6">
              <w:rPr>
                <w:noProof/>
                <w:webHidden/>
              </w:rPr>
              <w:fldChar w:fldCharType="begin"/>
            </w:r>
            <w:r w:rsidR="00BE76F6">
              <w:rPr>
                <w:noProof/>
                <w:webHidden/>
              </w:rPr>
              <w:instrText xml:space="preserve"> PAGEREF _Toc141991744 \h </w:instrText>
            </w:r>
            <w:r w:rsidR="00BE76F6">
              <w:rPr>
                <w:noProof/>
                <w:webHidden/>
              </w:rPr>
            </w:r>
            <w:r w:rsidR="00BE76F6">
              <w:rPr>
                <w:noProof/>
                <w:webHidden/>
              </w:rPr>
              <w:fldChar w:fldCharType="separate"/>
            </w:r>
            <w:r w:rsidR="000E1725">
              <w:rPr>
                <w:noProof/>
                <w:webHidden/>
              </w:rPr>
              <w:t>132</w:t>
            </w:r>
            <w:r w:rsidR="00BE76F6">
              <w:rPr>
                <w:noProof/>
                <w:webHidden/>
              </w:rPr>
              <w:fldChar w:fldCharType="end"/>
            </w:r>
          </w:hyperlink>
        </w:p>
        <w:p w14:paraId="11124924" w14:textId="327C0891"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45" w:history="1">
            <w:r w:rsidR="00BE76F6" w:rsidRPr="00AC1D54">
              <w:rPr>
                <w:rStyle w:val="Hyperlink"/>
                <w:noProof/>
              </w:rPr>
              <w:t>5.4.2</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Energy flexibility provided by different system operations</w:t>
            </w:r>
            <w:r w:rsidR="00BE76F6">
              <w:rPr>
                <w:noProof/>
                <w:webHidden/>
              </w:rPr>
              <w:tab/>
            </w:r>
            <w:r w:rsidR="00BE76F6">
              <w:rPr>
                <w:noProof/>
                <w:webHidden/>
              </w:rPr>
              <w:fldChar w:fldCharType="begin"/>
            </w:r>
            <w:r w:rsidR="00BE76F6">
              <w:rPr>
                <w:noProof/>
                <w:webHidden/>
              </w:rPr>
              <w:instrText xml:space="preserve"> PAGEREF _Toc141991745 \h </w:instrText>
            </w:r>
            <w:r w:rsidR="00BE76F6">
              <w:rPr>
                <w:noProof/>
                <w:webHidden/>
              </w:rPr>
            </w:r>
            <w:r w:rsidR="00BE76F6">
              <w:rPr>
                <w:noProof/>
                <w:webHidden/>
              </w:rPr>
              <w:fldChar w:fldCharType="separate"/>
            </w:r>
            <w:r w:rsidR="000E1725">
              <w:rPr>
                <w:noProof/>
                <w:webHidden/>
              </w:rPr>
              <w:t>137</w:t>
            </w:r>
            <w:r w:rsidR="00BE76F6">
              <w:rPr>
                <w:noProof/>
                <w:webHidden/>
              </w:rPr>
              <w:fldChar w:fldCharType="end"/>
            </w:r>
          </w:hyperlink>
        </w:p>
        <w:p w14:paraId="058CB78F" w14:textId="4634C2A7"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46" w:history="1">
            <w:r w:rsidR="00BE76F6" w:rsidRPr="00AC1D54">
              <w:rPr>
                <w:rStyle w:val="Hyperlink"/>
                <w:noProof/>
              </w:rPr>
              <w:t>5.4.3</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Impact of user time preference and weather condition</w:t>
            </w:r>
            <w:r w:rsidR="00BE76F6">
              <w:rPr>
                <w:noProof/>
                <w:webHidden/>
              </w:rPr>
              <w:tab/>
            </w:r>
            <w:r w:rsidR="00BE76F6">
              <w:rPr>
                <w:noProof/>
                <w:webHidden/>
              </w:rPr>
              <w:fldChar w:fldCharType="begin"/>
            </w:r>
            <w:r w:rsidR="00BE76F6">
              <w:rPr>
                <w:noProof/>
                <w:webHidden/>
              </w:rPr>
              <w:instrText xml:space="preserve"> PAGEREF _Toc141991746 \h </w:instrText>
            </w:r>
            <w:r w:rsidR="00BE76F6">
              <w:rPr>
                <w:noProof/>
                <w:webHidden/>
              </w:rPr>
            </w:r>
            <w:r w:rsidR="00BE76F6">
              <w:rPr>
                <w:noProof/>
                <w:webHidden/>
              </w:rPr>
              <w:fldChar w:fldCharType="separate"/>
            </w:r>
            <w:r w:rsidR="000E1725">
              <w:rPr>
                <w:noProof/>
                <w:webHidden/>
              </w:rPr>
              <w:t>140</w:t>
            </w:r>
            <w:r w:rsidR="00BE76F6">
              <w:rPr>
                <w:noProof/>
                <w:webHidden/>
              </w:rPr>
              <w:fldChar w:fldCharType="end"/>
            </w:r>
          </w:hyperlink>
        </w:p>
        <w:p w14:paraId="026A9563" w14:textId="6502FED7"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47" w:history="1">
            <w:r w:rsidR="00BE76F6" w:rsidRPr="00AC1D54">
              <w:rPr>
                <w:rStyle w:val="Hyperlink"/>
                <w:noProof/>
              </w:rPr>
              <w:t>5.4.4</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Cost and comfort trade-off</w:t>
            </w:r>
            <w:r w:rsidR="00BE76F6">
              <w:rPr>
                <w:noProof/>
                <w:webHidden/>
              </w:rPr>
              <w:tab/>
            </w:r>
            <w:r w:rsidR="00BE76F6">
              <w:rPr>
                <w:noProof/>
                <w:webHidden/>
              </w:rPr>
              <w:fldChar w:fldCharType="begin"/>
            </w:r>
            <w:r w:rsidR="00BE76F6">
              <w:rPr>
                <w:noProof/>
                <w:webHidden/>
              </w:rPr>
              <w:instrText xml:space="preserve"> PAGEREF _Toc141991747 \h </w:instrText>
            </w:r>
            <w:r w:rsidR="00BE76F6">
              <w:rPr>
                <w:noProof/>
                <w:webHidden/>
              </w:rPr>
            </w:r>
            <w:r w:rsidR="00BE76F6">
              <w:rPr>
                <w:noProof/>
                <w:webHidden/>
              </w:rPr>
              <w:fldChar w:fldCharType="separate"/>
            </w:r>
            <w:r w:rsidR="000E1725">
              <w:rPr>
                <w:noProof/>
                <w:webHidden/>
              </w:rPr>
              <w:t>143</w:t>
            </w:r>
            <w:r w:rsidR="00BE76F6">
              <w:rPr>
                <w:noProof/>
                <w:webHidden/>
              </w:rPr>
              <w:fldChar w:fldCharType="end"/>
            </w:r>
          </w:hyperlink>
        </w:p>
        <w:p w14:paraId="4DF19F6D" w14:textId="34F80DED" w:rsidR="00BE76F6" w:rsidRDefault="00000000">
          <w:pPr>
            <w:pStyle w:val="TOC2"/>
            <w:rPr>
              <w:rFonts w:asciiTheme="minorHAnsi" w:eastAsiaTheme="minorEastAsia" w:hAnsiTheme="minorHAnsi" w:cstheme="minorBidi"/>
              <w:noProof/>
              <w:szCs w:val="24"/>
              <w14:ligatures w14:val="standardContextual"/>
            </w:rPr>
          </w:pPr>
          <w:hyperlink w:anchor="_Toc141991748" w:history="1">
            <w:r w:rsidR="00BE76F6" w:rsidRPr="00AC1D54">
              <w:rPr>
                <w:rStyle w:val="Hyperlink"/>
                <w:noProof/>
              </w:rPr>
              <w:t>5.5</w:t>
            </w:r>
            <w:r w:rsidR="00BE76F6">
              <w:rPr>
                <w:rFonts w:asciiTheme="minorHAnsi" w:eastAsiaTheme="minorEastAsia" w:hAnsiTheme="minorHAnsi" w:cstheme="minorBidi"/>
                <w:noProof/>
                <w:szCs w:val="24"/>
                <w14:ligatures w14:val="standardContextual"/>
              </w:rPr>
              <w:tab/>
            </w:r>
            <w:r w:rsidR="00BE76F6" w:rsidRPr="00AC1D54">
              <w:rPr>
                <w:rStyle w:val="Hyperlink"/>
                <w:noProof/>
              </w:rPr>
              <w:t>Summary</w:t>
            </w:r>
            <w:r w:rsidR="00BE76F6">
              <w:rPr>
                <w:noProof/>
                <w:webHidden/>
              </w:rPr>
              <w:tab/>
            </w:r>
            <w:r w:rsidR="00BE76F6">
              <w:rPr>
                <w:noProof/>
                <w:webHidden/>
              </w:rPr>
              <w:fldChar w:fldCharType="begin"/>
            </w:r>
            <w:r w:rsidR="00BE76F6">
              <w:rPr>
                <w:noProof/>
                <w:webHidden/>
              </w:rPr>
              <w:instrText xml:space="preserve"> PAGEREF _Toc141991748 \h </w:instrText>
            </w:r>
            <w:r w:rsidR="00BE76F6">
              <w:rPr>
                <w:noProof/>
                <w:webHidden/>
              </w:rPr>
            </w:r>
            <w:r w:rsidR="00BE76F6">
              <w:rPr>
                <w:noProof/>
                <w:webHidden/>
              </w:rPr>
              <w:fldChar w:fldCharType="separate"/>
            </w:r>
            <w:r w:rsidR="000E1725">
              <w:rPr>
                <w:noProof/>
                <w:webHidden/>
              </w:rPr>
              <w:t>146</w:t>
            </w:r>
            <w:r w:rsidR="00BE76F6">
              <w:rPr>
                <w:noProof/>
                <w:webHidden/>
              </w:rPr>
              <w:fldChar w:fldCharType="end"/>
            </w:r>
          </w:hyperlink>
        </w:p>
        <w:p w14:paraId="497DF5BC" w14:textId="1610F9AC" w:rsidR="00BE76F6" w:rsidRDefault="00000000">
          <w:pPr>
            <w:pStyle w:val="TOC1"/>
            <w:rPr>
              <w:rFonts w:asciiTheme="minorHAnsi" w:eastAsiaTheme="minorEastAsia" w:hAnsiTheme="minorHAnsi" w:cstheme="minorBidi"/>
              <w:b w:val="0"/>
              <w:bCs w:val="0"/>
              <w:noProof/>
              <w:szCs w:val="24"/>
              <w14:ligatures w14:val="standardContextual"/>
            </w:rPr>
          </w:pPr>
          <w:hyperlink w:anchor="_Toc141991749" w:history="1">
            <w:r w:rsidR="00BE76F6" w:rsidRPr="00AC1D54">
              <w:rPr>
                <w:rStyle w:val="Hyperlink"/>
                <w:noProof/>
              </w:rPr>
              <w:t>6</w:t>
            </w:r>
            <w:r w:rsidR="00BE76F6">
              <w:rPr>
                <w:rFonts w:asciiTheme="minorHAnsi" w:eastAsiaTheme="minorEastAsia" w:hAnsiTheme="minorHAnsi" w:cstheme="minorBidi"/>
                <w:b w:val="0"/>
                <w:bCs w:val="0"/>
                <w:noProof/>
                <w:szCs w:val="24"/>
                <w14:ligatures w14:val="standardContextual"/>
              </w:rPr>
              <w:tab/>
            </w:r>
            <w:r w:rsidR="00BE76F6" w:rsidRPr="00AC1D54">
              <w:rPr>
                <w:rStyle w:val="Hyperlink"/>
                <w:noProof/>
              </w:rPr>
              <w:t>Conclusion, Limitations and Future Studies</w:t>
            </w:r>
            <w:r w:rsidR="00BE76F6">
              <w:rPr>
                <w:noProof/>
                <w:webHidden/>
              </w:rPr>
              <w:tab/>
            </w:r>
            <w:r w:rsidR="00BE76F6">
              <w:rPr>
                <w:noProof/>
                <w:webHidden/>
              </w:rPr>
              <w:fldChar w:fldCharType="begin"/>
            </w:r>
            <w:r w:rsidR="00BE76F6">
              <w:rPr>
                <w:noProof/>
                <w:webHidden/>
              </w:rPr>
              <w:instrText xml:space="preserve"> PAGEREF _Toc141991749 \h </w:instrText>
            </w:r>
            <w:r w:rsidR="00BE76F6">
              <w:rPr>
                <w:noProof/>
                <w:webHidden/>
              </w:rPr>
            </w:r>
            <w:r w:rsidR="00BE76F6">
              <w:rPr>
                <w:noProof/>
                <w:webHidden/>
              </w:rPr>
              <w:fldChar w:fldCharType="separate"/>
            </w:r>
            <w:r w:rsidR="000E1725">
              <w:rPr>
                <w:noProof/>
                <w:webHidden/>
              </w:rPr>
              <w:t>149</w:t>
            </w:r>
            <w:r w:rsidR="00BE76F6">
              <w:rPr>
                <w:noProof/>
                <w:webHidden/>
              </w:rPr>
              <w:fldChar w:fldCharType="end"/>
            </w:r>
          </w:hyperlink>
        </w:p>
        <w:p w14:paraId="004915AD" w14:textId="507822F8" w:rsidR="00BE76F6" w:rsidRDefault="00000000">
          <w:pPr>
            <w:pStyle w:val="TOC2"/>
            <w:rPr>
              <w:rFonts w:asciiTheme="minorHAnsi" w:eastAsiaTheme="minorEastAsia" w:hAnsiTheme="minorHAnsi" w:cstheme="minorBidi"/>
              <w:noProof/>
              <w:szCs w:val="24"/>
              <w14:ligatures w14:val="standardContextual"/>
            </w:rPr>
          </w:pPr>
          <w:hyperlink w:anchor="_Toc141991750" w:history="1">
            <w:r w:rsidR="00BE76F6" w:rsidRPr="00AC1D54">
              <w:rPr>
                <w:rStyle w:val="Hyperlink"/>
                <w:noProof/>
              </w:rPr>
              <w:t>6.1</w:t>
            </w:r>
            <w:r w:rsidR="00BE76F6">
              <w:rPr>
                <w:rFonts w:asciiTheme="minorHAnsi" w:eastAsiaTheme="minorEastAsia" w:hAnsiTheme="minorHAnsi" w:cstheme="minorBidi"/>
                <w:noProof/>
                <w:szCs w:val="24"/>
                <w14:ligatures w14:val="standardContextual"/>
              </w:rPr>
              <w:tab/>
            </w:r>
            <w:r w:rsidR="00BE76F6" w:rsidRPr="00AC1D54">
              <w:rPr>
                <w:rStyle w:val="Hyperlink"/>
                <w:noProof/>
              </w:rPr>
              <w:t>Conclusion of this study</w:t>
            </w:r>
            <w:r w:rsidR="00BE76F6">
              <w:rPr>
                <w:noProof/>
                <w:webHidden/>
              </w:rPr>
              <w:tab/>
            </w:r>
            <w:r w:rsidR="00BE76F6">
              <w:rPr>
                <w:noProof/>
                <w:webHidden/>
              </w:rPr>
              <w:fldChar w:fldCharType="begin"/>
            </w:r>
            <w:r w:rsidR="00BE76F6">
              <w:rPr>
                <w:noProof/>
                <w:webHidden/>
              </w:rPr>
              <w:instrText xml:space="preserve"> PAGEREF _Toc141991750 \h </w:instrText>
            </w:r>
            <w:r w:rsidR="00BE76F6">
              <w:rPr>
                <w:noProof/>
                <w:webHidden/>
              </w:rPr>
            </w:r>
            <w:r w:rsidR="00BE76F6">
              <w:rPr>
                <w:noProof/>
                <w:webHidden/>
              </w:rPr>
              <w:fldChar w:fldCharType="separate"/>
            </w:r>
            <w:r w:rsidR="000E1725">
              <w:rPr>
                <w:noProof/>
                <w:webHidden/>
              </w:rPr>
              <w:t>149</w:t>
            </w:r>
            <w:r w:rsidR="00BE76F6">
              <w:rPr>
                <w:noProof/>
                <w:webHidden/>
              </w:rPr>
              <w:fldChar w:fldCharType="end"/>
            </w:r>
          </w:hyperlink>
        </w:p>
        <w:p w14:paraId="0ED1424D" w14:textId="27C719A7" w:rsidR="00BE76F6" w:rsidRDefault="00000000">
          <w:pPr>
            <w:pStyle w:val="TOC2"/>
            <w:rPr>
              <w:rFonts w:asciiTheme="minorHAnsi" w:eastAsiaTheme="minorEastAsia" w:hAnsiTheme="minorHAnsi" w:cstheme="minorBidi"/>
              <w:noProof/>
              <w:szCs w:val="24"/>
              <w14:ligatures w14:val="standardContextual"/>
            </w:rPr>
          </w:pPr>
          <w:hyperlink w:anchor="_Toc141991751" w:history="1">
            <w:r w:rsidR="00BE76F6" w:rsidRPr="00AC1D54">
              <w:rPr>
                <w:rStyle w:val="Hyperlink"/>
                <w:noProof/>
              </w:rPr>
              <w:t>6.2</w:t>
            </w:r>
            <w:r w:rsidR="00BE76F6">
              <w:rPr>
                <w:rFonts w:asciiTheme="minorHAnsi" w:eastAsiaTheme="minorEastAsia" w:hAnsiTheme="minorHAnsi" w:cstheme="minorBidi"/>
                <w:noProof/>
                <w:szCs w:val="24"/>
                <w14:ligatures w14:val="standardContextual"/>
              </w:rPr>
              <w:tab/>
            </w:r>
            <w:r w:rsidR="00BE76F6" w:rsidRPr="00AC1D54">
              <w:rPr>
                <w:rStyle w:val="Hyperlink"/>
                <w:noProof/>
              </w:rPr>
              <w:t>Limitations</w:t>
            </w:r>
            <w:r w:rsidR="00BE76F6">
              <w:rPr>
                <w:noProof/>
                <w:webHidden/>
              </w:rPr>
              <w:tab/>
            </w:r>
            <w:r w:rsidR="00BE76F6">
              <w:rPr>
                <w:noProof/>
                <w:webHidden/>
              </w:rPr>
              <w:fldChar w:fldCharType="begin"/>
            </w:r>
            <w:r w:rsidR="00BE76F6">
              <w:rPr>
                <w:noProof/>
                <w:webHidden/>
              </w:rPr>
              <w:instrText xml:space="preserve"> PAGEREF _Toc141991751 \h </w:instrText>
            </w:r>
            <w:r w:rsidR="00BE76F6">
              <w:rPr>
                <w:noProof/>
                <w:webHidden/>
              </w:rPr>
            </w:r>
            <w:r w:rsidR="00BE76F6">
              <w:rPr>
                <w:noProof/>
                <w:webHidden/>
              </w:rPr>
              <w:fldChar w:fldCharType="separate"/>
            </w:r>
            <w:r w:rsidR="000E1725">
              <w:rPr>
                <w:noProof/>
                <w:webHidden/>
              </w:rPr>
              <w:t>152</w:t>
            </w:r>
            <w:r w:rsidR="00BE76F6">
              <w:rPr>
                <w:noProof/>
                <w:webHidden/>
              </w:rPr>
              <w:fldChar w:fldCharType="end"/>
            </w:r>
          </w:hyperlink>
        </w:p>
        <w:p w14:paraId="0CE93D26" w14:textId="721C053F"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52" w:history="1">
            <w:r w:rsidR="00BE76F6" w:rsidRPr="00AC1D54">
              <w:rPr>
                <w:rStyle w:val="Hyperlink"/>
                <w:noProof/>
              </w:rPr>
              <w:t>6.2.1</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Internal heat gain and occupancy</w:t>
            </w:r>
            <w:r w:rsidR="00BE76F6">
              <w:rPr>
                <w:noProof/>
                <w:webHidden/>
              </w:rPr>
              <w:tab/>
            </w:r>
            <w:r w:rsidR="00BE76F6">
              <w:rPr>
                <w:noProof/>
                <w:webHidden/>
              </w:rPr>
              <w:fldChar w:fldCharType="begin"/>
            </w:r>
            <w:r w:rsidR="00BE76F6">
              <w:rPr>
                <w:noProof/>
                <w:webHidden/>
              </w:rPr>
              <w:instrText xml:space="preserve"> PAGEREF _Toc141991752 \h </w:instrText>
            </w:r>
            <w:r w:rsidR="00BE76F6">
              <w:rPr>
                <w:noProof/>
                <w:webHidden/>
              </w:rPr>
            </w:r>
            <w:r w:rsidR="00BE76F6">
              <w:rPr>
                <w:noProof/>
                <w:webHidden/>
              </w:rPr>
              <w:fldChar w:fldCharType="separate"/>
            </w:r>
            <w:r w:rsidR="000E1725">
              <w:rPr>
                <w:noProof/>
                <w:webHidden/>
              </w:rPr>
              <w:t>152</w:t>
            </w:r>
            <w:r w:rsidR="00BE76F6">
              <w:rPr>
                <w:noProof/>
                <w:webHidden/>
              </w:rPr>
              <w:fldChar w:fldCharType="end"/>
            </w:r>
          </w:hyperlink>
        </w:p>
        <w:p w14:paraId="6ADB8CFC" w14:textId="497A806E"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53" w:history="1">
            <w:r w:rsidR="00BE76F6" w:rsidRPr="00AC1D54">
              <w:rPr>
                <w:rStyle w:val="Hyperlink"/>
                <w:noProof/>
              </w:rPr>
              <w:t>6.2.2</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Growth of the problem size</w:t>
            </w:r>
            <w:r w:rsidR="00BE76F6">
              <w:rPr>
                <w:noProof/>
                <w:webHidden/>
              </w:rPr>
              <w:tab/>
            </w:r>
            <w:r w:rsidR="00BE76F6">
              <w:rPr>
                <w:noProof/>
                <w:webHidden/>
              </w:rPr>
              <w:fldChar w:fldCharType="begin"/>
            </w:r>
            <w:r w:rsidR="00BE76F6">
              <w:rPr>
                <w:noProof/>
                <w:webHidden/>
              </w:rPr>
              <w:instrText xml:space="preserve"> PAGEREF _Toc141991753 \h </w:instrText>
            </w:r>
            <w:r w:rsidR="00BE76F6">
              <w:rPr>
                <w:noProof/>
                <w:webHidden/>
              </w:rPr>
            </w:r>
            <w:r w:rsidR="00BE76F6">
              <w:rPr>
                <w:noProof/>
                <w:webHidden/>
              </w:rPr>
              <w:fldChar w:fldCharType="separate"/>
            </w:r>
            <w:r w:rsidR="000E1725">
              <w:rPr>
                <w:noProof/>
                <w:webHidden/>
              </w:rPr>
              <w:t>152</w:t>
            </w:r>
            <w:r w:rsidR="00BE76F6">
              <w:rPr>
                <w:noProof/>
                <w:webHidden/>
              </w:rPr>
              <w:fldChar w:fldCharType="end"/>
            </w:r>
          </w:hyperlink>
        </w:p>
        <w:p w14:paraId="03BC9C10" w14:textId="71B8444A"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54" w:history="1">
            <w:r w:rsidR="00BE76F6" w:rsidRPr="00AC1D54">
              <w:rPr>
                <w:rStyle w:val="Hyperlink"/>
                <w:noProof/>
              </w:rPr>
              <w:t>6.2.3</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Thermal comfort</w:t>
            </w:r>
            <w:r w:rsidR="00BE76F6">
              <w:rPr>
                <w:noProof/>
                <w:webHidden/>
              </w:rPr>
              <w:tab/>
            </w:r>
            <w:r w:rsidR="00BE76F6">
              <w:rPr>
                <w:noProof/>
                <w:webHidden/>
              </w:rPr>
              <w:fldChar w:fldCharType="begin"/>
            </w:r>
            <w:r w:rsidR="00BE76F6">
              <w:rPr>
                <w:noProof/>
                <w:webHidden/>
              </w:rPr>
              <w:instrText xml:space="preserve"> PAGEREF _Toc141991754 \h </w:instrText>
            </w:r>
            <w:r w:rsidR="00BE76F6">
              <w:rPr>
                <w:noProof/>
                <w:webHidden/>
              </w:rPr>
            </w:r>
            <w:r w:rsidR="00BE76F6">
              <w:rPr>
                <w:noProof/>
                <w:webHidden/>
              </w:rPr>
              <w:fldChar w:fldCharType="separate"/>
            </w:r>
            <w:r w:rsidR="000E1725">
              <w:rPr>
                <w:noProof/>
                <w:webHidden/>
              </w:rPr>
              <w:t>153</w:t>
            </w:r>
            <w:r w:rsidR="00BE76F6">
              <w:rPr>
                <w:noProof/>
                <w:webHidden/>
              </w:rPr>
              <w:fldChar w:fldCharType="end"/>
            </w:r>
          </w:hyperlink>
        </w:p>
        <w:p w14:paraId="75BBC8E2" w14:textId="12110B4D" w:rsidR="00BE76F6" w:rsidRDefault="00000000">
          <w:pPr>
            <w:pStyle w:val="TOC2"/>
            <w:rPr>
              <w:rFonts w:asciiTheme="minorHAnsi" w:eastAsiaTheme="minorEastAsia" w:hAnsiTheme="minorHAnsi" w:cstheme="minorBidi"/>
              <w:noProof/>
              <w:szCs w:val="24"/>
              <w14:ligatures w14:val="standardContextual"/>
            </w:rPr>
          </w:pPr>
          <w:hyperlink w:anchor="_Toc141991755" w:history="1">
            <w:r w:rsidR="00BE76F6" w:rsidRPr="00AC1D54">
              <w:rPr>
                <w:rStyle w:val="Hyperlink"/>
                <w:noProof/>
              </w:rPr>
              <w:t>6.3</w:t>
            </w:r>
            <w:r w:rsidR="00BE76F6">
              <w:rPr>
                <w:rFonts w:asciiTheme="minorHAnsi" w:eastAsiaTheme="minorEastAsia" w:hAnsiTheme="minorHAnsi" w:cstheme="minorBidi"/>
                <w:noProof/>
                <w:szCs w:val="24"/>
                <w14:ligatures w14:val="standardContextual"/>
              </w:rPr>
              <w:tab/>
            </w:r>
            <w:r w:rsidR="00BE76F6" w:rsidRPr="00AC1D54">
              <w:rPr>
                <w:rStyle w:val="Hyperlink"/>
                <w:noProof/>
              </w:rPr>
              <w:t>Future Studies</w:t>
            </w:r>
            <w:r w:rsidR="00BE76F6">
              <w:rPr>
                <w:noProof/>
                <w:webHidden/>
              </w:rPr>
              <w:tab/>
            </w:r>
            <w:r w:rsidR="00BE76F6">
              <w:rPr>
                <w:noProof/>
                <w:webHidden/>
              </w:rPr>
              <w:fldChar w:fldCharType="begin"/>
            </w:r>
            <w:r w:rsidR="00BE76F6">
              <w:rPr>
                <w:noProof/>
                <w:webHidden/>
              </w:rPr>
              <w:instrText xml:space="preserve"> PAGEREF _Toc141991755 \h </w:instrText>
            </w:r>
            <w:r w:rsidR="00BE76F6">
              <w:rPr>
                <w:noProof/>
                <w:webHidden/>
              </w:rPr>
            </w:r>
            <w:r w:rsidR="00BE76F6">
              <w:rPr>
                <w:noProof/>
                <w:webHidden/>
              </w:rPr>
              <w:fldChar w:fldCharType="separate"/>
            </w:r>
            <w:r w:rsidR="000E1725">
              <w:rPr>
                <w:noProof/>
                <w:webHidden/>
              </w:rPr>
              <w:t>154</w:t>
            </w:r>
            <w:r w:rsidR="00BE76F6">
              <w:rPr>
                <w:noProof/>
                <w:webHidden/>
              </w:rPr>
              <w:fldChar w:fldCharType="end"/>
            </w:r>
          </w:hyperlink>
        </w:p>
        <w:p w14:paraId="40167359" w14:textId="049203EE"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56" w:history="1">
            <w:r w:rsidR="00BE76F6" w:rsidRPr="00AC1D54">
              <w:rPr>
                <w:rStyle w:val="Hyperlink"/>
                <w:noProof/>
              </w:rPr>
              <w:t>6.3.1</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Meta-model to quickly evaluate energy flexibility potential of a home</w:t>
            </w:r>
            <w:r w:rsidR="00BE76F6">
              <w:rPr>
                <w:noProof/>
                <w:webHidden/>
              </w:rPr>
              <w:tab/>
            </w:r>
            <w:r w:rsidR="00BE76F6">
              <w:rPr>
                <w:noProof/>
                <w:webHidden/>
              </w:rPr>
              <w:fldChar w:fldCharType="begin"/>
            </w:r>
            <w:r w:rsidR="00BE76F6">
              <w:rPr>
                <w:noProof/>
                <w:webHidden/>
              </w:rPr>
              <w:instrText xml:space="preserve"> PAGEREF _Toc141991756 \h </w:instrText>
            </w:r>
            <w:r w:rsidR="00BE76F6">
              <w:rPr>
                <w:noProof/>
                <w:webHidden/>
              </w:rPr>
            </w:r>
            <w:r w:rsidR="00BE76F6">
              <w:rPr>
                <w:noProof/>
                <w:webHidden/>
              </w:rPr>
              <w:fldChar w:fldCharType="separate"/>
            </w:r>
            <w:r w:rsidR="000E1725">
              <w:rPr>
                <w:noProof/>
                <w:webHidden/>
              </w:rPr>
              <w:t>154</w:t>
            </w:r>
            <w:r w:rsidR="00BE76F6">
              <w:rPr>
                <w:noProof/>
                <w:webHidden/>
              </w:rPr>
              <w:fldChar w:fldCharType="end"/>
            </w:r>
          </w:hyperlink>
        </w:p>
        <w:p w14:paraId="3853F0E1" w14:textId="47A2E16C"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57" w:history="1">
            <w:r w:rsidR="00BE76F6" w:rsidRPr="00AC1D54">
              <w:rPr>
                <w:rStyle w:val="Hyperlink"/>
                <w:noProof/>
              </w:rPr>
              <w:t>6.3.2</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Data-driven occupancy behavior model</w:t>
            </w:r>
            <w:r w:rsidR="00BE76F6">
              <w:rPr>
                <w:noProof/>
                <w:webHidden/>
              </w:rPr>
              <w:tab/>
            </w:r>
            <w:r w:rsidR="00BE76F6">
              <w:rPr>
                <w:noProof/>
                <w:webHidden/>
              </w:rPr>
              <w:fldChar w:fldCharType="begin"/>
            </w:r>
            <w:r w:rsidR="00BE76F6">
              <w:rPr>
                <w:noProof/>
                <w:webHidden/>
              </w:rPr>
              <w:instrText xml:space="preserve"> PAGEREF _Toc141991757 \h </w:instrText>
            </w:r>
            <w:r w:rsidR="00BE76F6">
              <w:rPr>
                <w:noProof/>
                <w:webHidden/>
              </w:rPr>
            </w:r>
            <w:r w:rsidR="00BE76F6">
              <w:rPr>
                <w:noProof/>
                <w:webHidden/>
              </w:rPr>
              <w:fldChar w:fldCharType="separate"/>
            </w:r>
            <w:r w:rsidR="000E1725">
              <w:rPr>
                <w:noProof/>
                <w:webHidden/>
              </w:rPr>
              <w:t>155</w:t>
            </w:r>
            <w:r w:rsidR="00BE76F6">
              <w:rPr>
                <w:noProof/>
                <w:webHidden/>
              </w:rPr>
              <w:fldChar w:fldCharType="end"/>
            </w:r>
          </w:hyperlink>
        </w:p>
        <w:p w14:paraId="074CAF86" w14:textId="225913EC" w:rsidR="00BE76F6" w:rsidRDefault="00000000">
          <w:pPr>
            <w:pStyle w:val="TOC3"/>
            <w:tabs>
              <w:tab w:val="left" w:pos="1920"/>
              <w:tab w:val="right" w:leader="dot" w:pos="9016"/>
            </w:tabs>
            <w:rPr>
              <w:rFonts w:asciiTheme="minorHAnsi" w:eastAsiaTheme="minorEastAsia" w:hAnsiTheme="minorHAnsi" w:cstheme="minorBidi"/>
              <w:i w:val="0"/>
              <w:iCs w:val="0"/>
              <w:noProof/>
              <w:szCs w:val="24"/>
              <w14:ligatures w14:val="standardContextual"/>
            </w:rPr>
          </w:pPr>
          <w:hyperlink w:anchor="_Toc141991758" w:history="1">
            <w:r w:rsidR="00BE76F6" w:rsidRPr="00AC1D54">
              <w:rPr>
                <w:rStyle w:val="Hyperlink"/>
                <w:noProof/>
              </w:rPr>
              <w:t>6.3.3</w:t>
            </w:r>
            <w:r w:rsidR="00BE76F6">
              <w:rPr>
                <w:rFonts w:asciiTheme="minorHAnsi" w:eastAsiaTheme="minorEastAsia" w:hAnsiTheme="minorHAnsi" w:cstheme="minorBidi"/>
                <w:i w:val="0"/>
                <w:iCs w:val="0"/>
                <w:noProof/>
                <w:szCs w:val="24"/>
                <w14:ligatures w14:val="standardContextual"/>
              </w:rPr>
              <w:tab/>
            </w:r>
            <w:r w:rsidR="00BE76F6" w:rsidRPr="00AC1D54">
              <w:rPr>
                <w:rStyle w:val="Hyperlink"/>
                <w:noProof/>
              </w:rPr>
              <w:t>Stochastic optimizations consider uncertainty</w:t>
            </w:r>
            <w:r w:rsidR="00BE76F6">
              <w:rPr>
                <w:noProof/>
                <w:webHidden/>
              </w:rPr>
              <w:tab/>
            </w:r>
            <w:r w:rsidR="00BE76F6">
              <w:rPr>
                <w:noProof/>
                <w:webHidden/>
              </w:rPr>
              <w:fldChar w:fldCharType="begin"/>
            </w:r>
            <w:r w:rsidR="00BE76F6">
              <w:rPr>
                <w:noProof/>
                <w:webHidden/>
              </w:rPr>
              <w:instrText xml:space="preserve"> PAGEREF _Toc141991758 \h </w:instrText>
            </w:r>
            <w:r w:rsidR="00BE76F6">
              <w:rPr>
                <w:noProof/>
                <w:webHidden/>
              </w:rPr>
            </w:r>
            <w:r w:rsidR="00BE76F6">
              <w:rPr>
                <w:noProof/>
                <w:webHidden/>
              </w:rPr>
              <w:fldChar w:fldCharType="separate"/>
            </w:r>
            <w:r w:rsidR="000E1725">
              <w:rPr>
                <w:noProof/>
                <w:webHidden/>
              </w:rPr>
              <w:t>155</w:t>
            </w:r>
            <w:r w:rsidR="00BE76F6">
              <w:rPr>
                <w:noProof/>
                <w:webHidden/>
              </w:rPr>
              <w:fldChar w:fldCharType="end"/>
            </w:r>
          </w:hyperlink>
        </w:p>
        <w:p w14:paraId="23F65B9B" w14:textId="06BA3946" w:rsidR="00BE76F6" w:rsidRDefault="00000000">
          <w:pPr>
            <w:pStyle w:val="TOC1"/>
            <w:rPr>
              <w:rFonts w:asciiTheme="minorHAnsi" w:eastAsiaTheme="minorEastAsia" w:hAnsiTheme="minorHAnsi" w:cstheme="minorBidi"/>
              <w:b w:val="0"/>
              <w:bCs w:val="0"/>
              <w:noProof/>
              <w:szCs w:val="24"/>
              <w14:ligatures w14:val="standardContextual"/>
            </w:rPr>
          </w:pPr>
          <w:hyperlink w:anchor="_Toc141991759" w:history="1">
            <w:r w:rsidR="00BE76F6" w:rsidRPr="00AC1D54">
              <w:rPr>
                <w:rStyle w:val="Hyperlink"/>
                <w:noProof/>
              </w:rPr>
              <w:t>Appendix</w:t>
            </w:r>
            <w:r w:rsidR="00BE76F6">
              <w:rPr>
                <w:noProof/>
                <w:webHidden/>
              </w:rPr>
              <w:tab/>
            </w:r>
            <w:r w:rsidR="00BE76F6">
              <w:rPr>
                <w:noProof/>
                <w:webHidden/>
              </w:rPr>
              <w:fldChar w:fldCharType="begin"/>
            </w:r>
            <w:r w:rsidR="00BE76F6">
              <w:rPr>
                <w:noProof/>
                <w:webHidden/>
              </w:rPr>
              <w:instrText xml:space="preserve"> PAGEREF _Toc141991759 \h </w:instrText>
            </w:r>
            <w:r w:rsidR="00BE76F6">
              <w:rPr>
                <w:noProof/>
                <w:webHidden/>
              </w:rPr>
            </w:r>
            <w:r w:rsidR="00BE76F6">
              <w:rPr>
                <w:noProof/>
                <w:webHidden/>
              </w:rPr>
              <w:fldChar w:fldCharType="separate"/>
            </w:r>
            <w:r w:rsidR="000E1725">
              <w:rPr>
                <w:noProof/>
                <w:webHidden/>
              </w:rPr>
              <w:t>157</w:t>
            </w:r>
            <w:r w:rsidR="00BE76F6">
              <w:rPr>
                <w:noProof/>
                <w:webHidden/>
              </w:rPr>
              <w:fldChar w:fldCharType="end"/>
            </w:r>
          </w:hyperlink>
        </w:p>
        <w:p w14:paraId="3D251E6D" w14:textId="30EAB13A" w:rsidR="00BE76F6" w:rsidRDefault="00000000">
          <w:pPr>
            <w:pStyle w:val="TOC2"/>
            <w:rPr>
              <w:rFonts w:asciiTheme="minorHAnsi" w:eastAsiaTheme="minorEastAsia" w:hAnsiTheme="minorHAnsi" w:cstheme="minorBidi"/>
              <w:noProof/>
              <w:szCs w:val="24"/>
              <w14:ligatures w14:val="standardContextual"/>
            </w:rPr>
          </w:pPr>
          <w:hyperlink w:anchor="_Toc141991760" w:history="1">
            <w:r w:rsidR="00BE76F6" w:rsidRPr="00AC1D54">
              <w:rPr>
                <w:rStyle w:val="Hyperlink"/>
                <w:noProof/>
              </w:rPr>
              <w:t>Appendix A: Matrix Profile-based Weather Clustering Algorithm</w:t>
            </w:r>
            <w:r w:rsidR="00BE76F6">
              <w:rPr>
                <w:noProof/>
                <w:webHidden/>
              </w:rPr>
              <w:tab/>
            </w:r>
            <w:r w:rsidR="00BE76F6">
              <w:rPr>
                <w:noProof/>
                <w:webHidden/>
              </w:rPr>
              <w:fldChar w:fldCharType="begin"/>
            </w:r>
            <w:r w:rsidR="00BE76F6">
              <w:rPr>
                <w:noProof/>
                <w:webHidden/>
              </w:rPr>
              <w:instrText xml:space="preserve"> PAGEREF _Toc141991760 \h </w:instrText>
            </w:r>
            <w:r w:rsidR="00BE76F6">
              <w:rPr>
                <w:noProof/>
                <w:webHidden/>
              </w:rPr>
            </w:r>
            <w:r w:rsidR="00BE76F6">
              <w:rPr>
                <w:noProof/>
                <w:webHidden/>
              </w:rPr>
              <w:fldChar w:fldCharType="separate"/>
            </w:r>
            <w:r w:rsidR="000E1725">
              <w:rPr>
                <w:noProof/>
                <w:webHidden/>
              </w:rPr>
              <w:t>157</w:t>
            </w:r>
            <w:r w:rsidR="00BE76F6">
              <w:rPr>
                <w:noProof/>
                <w:webHidden/>
              </w:rPr>
              <w:fldChar w:fldCharType="end"/>
            </w:r>
          </w:hyperlink>
        </w:p>
        <w:p w14:paraId="540D22A0" w14:textId="601A9B32" w:rsidR="00BE76F6" w:rsidRDefault="00000000">
          <w:pPr>
            <w:pStyle w:val="TOC1"/>
            <w:rPr>
              <w:rFonts w:asciiTheme="minorHAnsi" w:eastAsiaTheme="minorEastAsia" w:hAnsiTheme="minorHAnsi" w:cstheme="minorBidi"/>
              <w:b w:val="0"/>
              <w:bCs w:val="0"/>
              <w:noProof/>
              <w:szCs w:val="24"/>
              <w14:ligatures w14:val="standardContextual"/>
            </w:rPr>
          </w:pPr>
          <w:hyperlink w:anchor="_Toc141991761" w:history="1">
            <w:r w:rsidR="00BE76F6" w:rsidRPr="00AC1D54">
              <w:rPr>
                <w:rStyle w:val="Hyperlink"/>
                <w:noProof/>
              </w:rPr>
              <w:t>References</w:t>
            </w:r>
            <w:r w:rsidR="00BE76F6">
              <w:rPr>
                <w:noProof/>
                <w:webHidden/>
              </w:rPr>
              <w:tab/>
            </w:r>
            <w:r w:rsidR="00BE76F6">
              <w:rPr>
                <w:noProof/>
                <w:webHidden/>
              </w:rPr>
              <w:fldChar w:fldCharType="begin"/>
            </w:r>
            <w:r w:rsidR="00BE76F6">
              <w:rPr>
                <w:noProof/>
                <w:webHidden/>
              </w:rPr>
              <w:instrText xml:space="preserve"> PAGEREF _Toc141991761 \h </w:instrText>
            </w:r>
            <w:r w:rsidR="00BE76F6">
              <w:rPr>
                <w:noProof/>
                <w:webHidden/>
              </w:rPr>
            </w:r>
            <w:r w:rsidR="00BE76F6">
              <w:rPr>
                <w:noProof/>
                <w:webHidden/>
              </w:rPr>
              <w:fldChar w:fldCharType="separate"/>
            </w:r>
            <w:r w:rsidR="000E1725">
              <w:rPr>
                <w:noProof/>
                <w:webHidden/>
              </w:rPr>
              <w:t>159</w:t>
            </w:r>
            <w:r w:rsidR="00BE76F6">
              <w:rPr>
                <w:noProof/>
                <w:webHidden/>
              </w:rPr>
              <w:fldChar w:fldCharType="end"/>
            </w:r>
          </w:hyperlink>
        </w:p>
        <w:p w14:paraId="0CEC745F" w14:textId="16F6249A" w:rsidR="00332707" w:rsidRPr="00332707" w:rsidRDefault="004D0A8D" w:rsidP="006251F2">
          <w:pPr>
            <w:pStyle w:val="Style1"/>
          </w:pPr>
          <w:r>
            <w:rPr>
              <w:rFonts w:ascii="Times New Roman"/>
            </w:rPr>
            <w:fldChar w:fldCharType="end"/>
          </w:r>
        </w:p>
      </w:sdtContent>
    </w:sdt>
    <w:p w14:paraId="4B6B8511" w14:textId="36E2BC2B" w:rsidR="003E354B" w:rsidRDefault="003E354B" w:rsidP="000B3A87">
      <w:pPr>
        <w:pStyle w:val="HeadnotTOC"/>
      </w:pPr>
    </w:p>
    <w:p w14:paraId="512E8710" w14:textId="77777777" w:rsidR="00146A55" w:rsidRDefault="00146A55">
      <w:pPr>
        <w:widowControl/>
        <w:spacing w:line="240" w:lineRule="auto"/>
        <w:ind w:firstLine="0"/>
        <w:jc w:val="left"/>
        <w:rPr>
          <w:sz w:val="28"/>
        </w:rPr>
      </w:pPr>
      <w:r>
        <w:br w:type="page"/>
      </w:r>
    </w:p>
    <w:p w14:paraId="46BB9260" w14:textId="7D246F31" w:rsidR="00146A55" w:rsidRDefault="004B2A5C" w:rsidP="00F028F0">
      <w:pPr>
        <w:pStyle w:val="HeadnotTOC"/>
      </w:pPr>
      <w:r>
        <w:rPr>
          <w:rFonts w:hint="eastAsia"/>
        </w:rPr>
        <w:lastRenderedPageBreak/>
        <w:t>List</w:t>
      </w:r>
      <w:r>
        <w:t xml:space="preserve"> of Tables</w:t>
      </w:r>
    </w:p>
    <w:p w14:paraId="34D5D362" w14:textId="36D016AE" w:rsidR="005137E8" w:rsidRDefault="00146A55">
      <w:pPr>
        <w:pStyle w:val="TableofFigures"/>
        <w:tabs>
          <w:tab w:val="right" w:leader="dot" w:pos="9016"/>
        </w:tabs>
        <w:ind w:left="960" w:hanging="480"/>
        <w:rPr>
          <w:rFonts w:asciiTheme="minorHAnsi" w:hAnsiTheme="minorHAnsi" w:cstheme="minorBidi"/>
          <w:noProof/>
          <w:szCs w:val="24"/>
          <w14:ligatures w14:val="standardContextual"/>
        </w:rPr>
      </w:pPr>
      <w:r>
        <w:fldChar w:fldCharType="begin"/>
      </w:r>
      <w:r>
        <w:instrText xml:space="preserve"> TOC \h \z \c "Table" </w:instrText>
      </w:r>
      <w:r>
        <w:fldChar w:fldCharType="separate"/>
      </w:r>
      <w:hyperlink w:anchor="_Toc141343892" w:history="1">
        <w:r w:rsidR="005137E8" w:rsidRPr="00533699">
          <w:rPr>
            <w:rStyle w:val="Hyperlink"/>
            <w:noProof/>
          </w:rPr>
          <w:t>Table 1.1 Five ways building can provide value to the grid [11,12]</w:t>
        </w:r>
        <w:r w:rsidR="005137E8">
          <w:rPr>
            <w:noProof/>
            <w:webHidden/>
          </w:rPr>
          <w:tab/>
        </w:r>
        <w:r w:rsidR="005137E8">
          <w:rPr>
            <w:noProof/>
            <w:webHidden/>
          </w:rPr>
          <w:fldChar w:fldCharType="begin"/>
        </w:r>
        <w:r w:rsidR="005137E8">
          <w:rPr>
            <w:noProof/>
            <w:webHidden/>
          </w:rPr>
          <w:instrText xml:space="preserve"> PAGEREF _Toc141343892 \h </w:instrText>
        </w:r>
        <w:r w:rsidR="005137E8">
          <w:rPr>
            <w:noProof/>
            <w:webHidden/>
          </w:rPr>
        </w:r>
        <w:r w:rsidR="005137E8">
          <w:rPr>
            <w:noProof/>
            <w:webHidden/>
          </w:rPr>
          <w:fldChar w:fldCharType="separate"/>
        </w:r>
        <w:r w:rsidR="000E1725">
          <w:rPr>
            <w:noProof/>
            <w:webHidden/>
          </w:rPr>
          <w:t>6</w:t>
        </w:r>
        <w:r w:rsidR="005137E8">
          <w:rPr>
            <w:noProof/>
            <w:webHidden/>
          </w:rPr>
          <w:fldChar w:fldCharType="end"/>
        </w:r>
      </w:hyperlink>
    </w:p>
    <w:p w14:paraId="0A1B34A4" w14:textId="4FB5E949" w:rsidR="005137E8"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3893" w:history="1">
        <w:r w:rsidR="005137E8" w:rsidRPr="00533699">
          <w:rPr>
            <w:rStyle w:val="Hyperlink"/>
            <w:noProof/>
          </w:rPr>
          <w:t>Table 1.2 Research questions and hypothesis.</w:t>
        </w:r>
        <w:r w:rsidR="005137E8">
          <w:rPr>
            <w:noProof/>
            <w:webHidden/>
          </w:rPr>
          <w:tab/>
        </w:r>
        <w:r w:rsidR="005137E8">
          <w:rPr>
            <w:noProof/>
            <w:webHidden/>
          </w:rPr>
          <w:fldChar w:fldCharType="begin"/>
        </w:r>
        <w:r w:rsidR="005137E8">
          <w:rPr>
            <w:noProof/>
            <w:webHidden/>
          </w:rPr>
          <w:instrText xml:space="preserve"> PAGEREF _Toc141343893 \h </w:instrText>
        </w:r>
        <w:r w:rsidR="005137E8">
          <w:rPr>
            <w:noProof/>
            <w:webHidden/>
          </w:rPr>
        </w:r>
        <w:r w:rsidR="005137E8">
          <w:rPr>
            <w:noProof/>
            <w:webHidden/>
          </w:rPr>
          <w:fldChar w:fldCharType="separate"/>
        </w:r>
        <w:r w:rsidR="000E1725">
          <w:rPr>
            <w:noProof/>
            <w:webHidden/>
          </w:rPr>
          <w:t>18</w:t>
        </w:r>
        <w:r w:rsidR="005137E8">
          <w:rPr>
            <w:noProof/>
            <w:webHidden/>
          </w:rPr>
          <w:fldChar w:fldCharType="end"/>
        </w:r>
      </w:hyperlink>
    </w:p>
    <w:p w14:paraId="50BF297B" w14:textId="373D2F72" w:rsidR="005137E8"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3894" w:history="1">
        <w:r w:rsidR="005137E8" w:rsidRPr="00533699">
          <w:rPr>
            <w:rStyle w:val="Hyperlink"/>
            <w:noProof/>
          </w:rPr>
          <w:t>Table 2.1 Advantage and disadvantage of major control strategies on implementing precooling</w:t>
        </w:r>
        <w:r w:rsidR="005137E8">
          <w:rPr>
            <w:noProof/>
            <w:webHidden/>
          </w:rPr>
          <w:tab/>
        </w:r>
        <w:r w:rsidR="005137E8">
          <w:rPr>
            <w:noProof/>
            <w:webHidden/>
          </w:rPr>
          <w:fldChar w:fldCharType="begin"/>
        </w:r>
        <w:r w:rsidR="005137E8">
          <w:rPr>
            <w:noProof/>
            <w:webHidden/>
          </w:rPr>
          <w:instrText xml:space="preserve"> PAGEREF _Toc141343894 \h </w:instrText>
        </w:r>
        <w:r w:rsidR="005137E8">
          <w:rPr>
            <w:noProof/>
            <w:webHidden/>
          </w:rPr>
        </w:r>
        <w:r w:rsidR="005137E8">
          <w:rPr>
            <w:noProof/>
            <w:webHidden/>
          </w:rPr>
          <w:fldChar w:fldCharType="separate"/>
        </w:r>
        <w:r w:rsidR="000E1725">
          <w:rPr>
            <w:noProof/>
            <w:webHidden/>
          </w:rPr>
          <w:t>26</w:t>
        </w:r>
        <w:r w:rsidR="005137E8">
          <w:rPr>
            <w:noProof/>
            <w:webHidden/>
          </w:rPr>
          <w:fldChar w:fldCharType="end"/>
        </w:r>
      </w:hyperlink>
    </w:p>
    <w:p w14:paraId="50A72C79" w14:textId="7F788873" w:rsidR="005137E8"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3895" w:history="1">
        <w:r w:rsidR="005137E8" w:rsidRPr="00533699">
          <w:rPr>
            <w:rStyle w:val="Hyperlink"/>
            <w:noProof/>
          </w:rPr>
          <w:t>Table 2.2 Summary of SHEM Scheduling Models</w:t>
        </w:r>
        <w:r w:rsidR="005137E8">
          <w:rPr>
            <w:noProof/>
            <w:webHidden/>
          </w:rPr>
          <w:tab/>
        </w:r>
        <w:r w:rsidR="005137E8">
          <w:rPr>
            <w:noProof/>
            <w:webHidden/>
          </w:rPr>
          <w:fldChar w:fldCharType="begin"/>
        </w:r>
        <w:r w:rsidR="005137E8">
          <w:rPr>
            <w:noProof/>
            <w:webHidden/>
          </w:rPr>
          <w:instrText xml:space="preserve"> PAGEREF _Toc141343895 \h </w:instrText>
        </w:r>
        <w:r w:rsidR="005137E8">
          <w:rPr>
            <w:noProof/>
            <w:webHidden/>
          </w:rPr>
        </w:r>
        <w:r w:rsidR="005137E8">
          <w:rPr>
            <w:noProof/>
            <w:webHidden/>
          </w:rPr>
          <w:fldChar w:fldCharType="separate"/>
        </w:r>
        <w:r w:rsidR="000E1725">
          <w:rPr>
            <w:noProof/>
            <w:webHidden/>
          </w:rPr>
          <w:t>33</w:t>
        </w:r>
        <w:r w:rsidR="005137E8">
          <w:rPr>
            <w:noProof/>
            <w:webHidden/>
          </w:rPr>
          <w:fldChar w:fldCharType="end"/>
        </w:r>
      </w:hyperlink>
    </w:p>
    <w:p w14:paraId="3862012A" w14:textId="7B458E00" w:rsidR="005137E8"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3896" w:history="1">
        <w:r w:rsidR="005137E8" w:rsidRPr="00533699">
          <w:rPr>
            <w:rStyle w:val="Hyperlink"/>
            <w:noProof/>
          </w:rPr>
          <w:t>Table 3.1 Model characteristics [99] and their application in this study</w:t>
        </w:r>
        <w:r w:rsidR="005137E8">
          <w:rPr>
            <w:noProof/>
            <w:webHidden/>
          </w:rPr>
          <w:tab/>
        </w:r>
        <w:r w:rsidR="005137E8">
          <w:rPr>
            <w:noProof/>
            <w:webHidden/>
          </w:rPr>
          <w:fldChar w:fldCharType="begin"/>
        </w:r>
        <w:r w:rsidR="005137E8">
          <w:rPr>
            <w:noProof/>
            <w:webHidden/>
          </w:rPr>
          <w:instrText xml:space="preserve"> PAGEREF _Toc141343896 \h </w:instrText>
        </w:r>
        <w:r w:rsidR="005137E8">
          <w:rPr>
            <w:noProof/>
            <w:webHidden/>
          </w:rPr>
        </w:r>
        <w:r w:rsidR="005137E8">
          <w:rPr>
            <w:noProof/>
            <w:webHidden/>
          </w:rPr>
          <w:fldChar w:fldCharType="separate"/>
        </w:r>
        <w:r w:rsidR="000E1725">
          <w:rPr>
            <w:noProof/>
            <w:webHidden/>
          </w:rPr>
          <w:t>37</w:t>
        </w:r>
        <w:r w:rsidR="005137E8">
          <w:rPr>
            <w:noProof/>
            <w:webHidden/>
          </w:rPr>
          <w:fldChar w:fldCharType="end"/>
        </w:r>
      </w:hyperlink>
    </w:p>
    <w:p w14:paraId="22D36E9E" w14:textId="70D8CAE0" w:rsidR="005137E8"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3897" w:history="1">
        <w:r w:rsidR="005137E8" w:rsidRPr="00533699">
          <w:rPr>
            <w:rStyle w:val="Hyperlink"/>
            <w:noProof/>
          </w:rPr>
          <w:t>Table 3.2 Possible values of hyperparameters used in the grid search</w:t>
        </w:r>
        <w:r w:rsidR="005137E8">
          <w:rPr>
            <w:noProof/>
            <w:webHidden/>
          </w:rPr>
          <w:tab/>
        </w:r>
        <w:r w:rsidR="005137E8">
          <w:rPr>
            <w:noProof/>
            <w:webHidden/>
          </w:rPr>
          <w:fldChar w:fldCharType="begin"/>
        </w:r>
        <w:r w:rsidR="005137E8">
          <w:rPr>
            <w:noProof/>
            <w:webHidden/>
          </w:rPr>
          <w:instrText xml:space="preserve"> PAGEREF _Toc141343897 \h </w:instrText>
        </w:r>
        <w:r w:rsidR="005137E8">
          <w:rPr>
            <w:noProof/>
            <w:webHidden/>
          </w:rPr>
        </w:r>
        <w:r w:rsidR="005137E8">
          <w:rPr>
            <w:noProof/>
            <w:webHidden/>
          </w:rPr>
          <w:fldChar w:fldCharType="separate"/>
        </w:r>
        <w:r w:rsidR="000E1725">
          <w:rPr>
            <w:noProof/>
            <w:webHidden/>
          </w:rPr>
          <w:t>51</w:t>
        </w:r>
        <w:r w:rsidR="005137E8">
          <w:rPr>
            <w:noProof/>
            <w:webHidden/>
          </w:rPr>
          <w:fldChar w:fldCharType="end"/>
        </w:r>
      </w:hyperlink>
    </w:p>
    <w:p w14:paraId="24476C61" w14:textId="40A77534" w:rsidR="005137E8"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3898" w:history="1">
        <w:r w:rsidR="005137E8" w:rsidRPr="00533699">
          <w:rPr>
            <w:rStyle w:val="Hyperlink"/>
            <w:noProof/>
          </w:rPr>
          <w:t>Table 3.3 The performance results on testing dataset</w:t>
        </w:r>
        <w:r w:rsidR="005137E8">
          <w:rPr>
            <w:noProof/>
            <w:webHidden/>
          </w:rPr>
          <w:tab/>
        </w:r>
        <w:r w:rsidR="005137E8">
          <w:rPr>
            <w:noProof/>
            <w:webHidden/>
          </w:rPr>
          <w:fldChar w:fldCharType="begin"/>
        </w:r>
        <w:r w:rsidR="005137E8">
          <w:rPr>
            <w:noProof/>
            <w:webHidden/>
          </w:rPr>
          <w:instrText xml:space="preserve"> PAGEREF _Toc141343898 \h </w:instrText>
        </w:r>
        <w:r w:rsidR="005137E8">
          <w:rPr>
            <w:noProof/>
            <w:webHidden/>
          </w:rPr>
        </w:r>
        <w:r w:rsidR="005137E8">
          <w:rPr>
            <w:noProof/>
            <w:webHidden/>
          </w:rPr>
          <w:fldChar w:fldCharType="separate"/>
        </w:r>
        <w:r w:rsidR="000E1725">
          <w:rPr>
            <w:noProof/>
            <w:webHidden/>
          </w:rPr>
          <w:t>65</w:t>
        </w:r>
        <w:r w:rsidR="005137E8">
          <w:rPr>
            <w:noProof/>
            <w:webHidden/>
          </w:rPr>
          <w:fldChar w:fldCharType="end"/>
        </w:r>
      </w:hyperlink>
    </w:p>
    <w:p w14:paraId="63159BEE" w14:textId="2EEE0A5C" w:rsidR="005137E8"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3899" w:history="1">
        <w:r w:rsidR="005137E8" w:rsidRPr="00533699">
          <w:rPr>
            <w:rStyle w:val="Hyperlink"/>
            <w:noProof/>
          </w:rPr>
          <w:t>Table 4.1 Three Types of Dataset</w:t>
        </w:r>
        <w:r w:rsidR="005137E8">
          <w:rPr>
            <w:noProof/>
            <w:webHidden/>
          </w:rPr>
          <w:tab/>
        </w:r>
        <w:r w:rsidR="005137E8">
          <w:rPr>
            <w:noProof/>
            <w:webHidden/>
          </w:rPr>
          <w:fldChar w:fldCharType="begin"/>
        </w:r>
        <w:r w:rsidR="005137E8">
          <w:rPr>
            <w:noProof/>
            <w:webHidden/>
          </w:rPr>
          <w:instrText xml:space="preserve"> PAGEREF _Toc141343899 \h </w:instrText>
        </w:r>
        <w:r w:rsidR="005137E8">
          <w:rPr>
            <w:noProof/>
            <w:webHidden/>
          </w:rPr>
        </w:r>
        <w:r w:rsidR="005137E8">
          <w:rPr>
            <w:noProof/>
            <w:webHidden/>
          </w:rPr>
          <w:fldChar w:fldCharType="separate"/>
        </w:r>
        <w:r w:rsidR="000E1725">
          <w:rPr>
            <w:noProof/>
            <w:webHidden/>
          </w:rPr>
          <w:t>73</w:t>
        </w:r>
        <w:r w:rsidR="005137E8">
          <w:rPr>
            <w:noProof/>
            <w:webHidden/>
          </w:rPr>
          <w:fldChar w:fldCharType="end"/>
        </w:r>
      </w:hyperlink>
    </w:p>
    <w:p w14:paraId="4F0BD95E" w14:textId="74662B33" w:rsidR="005137E8"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3900" w:history="1">
        <w:r w:rsidR="005137E8" w:rsidRPr="00533699">
          <w:rPr>
            <w:rStyle w:val="Hyperlink"/>
            <w:noProof/>
          </w:rPr>
          <w:t>Table 4.2 Test home information.</w:t>
        </w:r>
        <w:r w:rsidR="005137E8">
          <w:rPr>
            <w:noProof/>
            <w:webHidden/>
          </w:rPr>
          <w:tab/>
        </w:r>
        <w:r w:rsidR="005137E8">
          <w:rPr>
            <w:noProof/>
            <w:webHidden/>
          </w:rPr>
          <w:fldChar w:fldCharType="begin"/>
        </w:r>
        <w:r w:rsidR="005137E8">
          <w:rPr>
            <w:noProof/>
            <w:webHidden/>
          </w:rPr>
          <w:instrText xml:space="preserve"> PAGEREF _Toc141343900 \h </w:instrText>
        </w:r>
        <w:r w:rsidR="005137E8">
          <w:rPr>
            <w:noProof/>
            <w:webHidden/>
          </w:rPr>
        </w:r>
        <w:r w:rsidR="005137E8">
          <w:rPr>
            <w:noProof/>
            <w:webHidden/>
          </w:rPr>
          <w:fldChar w:fldCharType="separate"/>
        </w:r>
        <w:r w:rsidR="000E1725">
          <w:rPr>
            <w:noProof/>
            <w:webHidden/>
          </w:rPr>
          <w:t>75</w:t>
        </w:r>
        <w:r w:rsidR="005137E8">
          <w:rPr>
            <w:noProof/>
            <w:webHidden/>
          </w:rPr>
          <w:fldChar w:fldCharType="end"/>
        </w:r>
      </w:hyperlink>
    </w:p>
    <w:p w14:paraId="149ED82C" w14:textId="660050D2" w:rsidR="005137E8"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3901" w:history="1">
        <w:r w:rsidR="005137E8" w:rsidRPr="00533699">
          <w:rPr>
            <w:rStyle w:val="Hyperlink"/>
            <w:noProof/>
          </w:rPr>
          <w:t>Table 4.3 Cost and energy consumption summary for homes on hot summer days.</w:t>
        </w:r>
        <w:r w:rsidR="005137E8">
          <w:rPr>
            <w:noProof/>
            <w:webHidden/>
          </w:rPr>
          <w:tab/>
        </w:r>
        <w:r w:rsidR="005137E8">
          <w:rPr>
            <w:noProof/>
            <w:webHidden/>
          </w:rPr>
          <w:fldChar w:fldCharType="begin"/>
        </w:r>
        <w:r w:rsidR="005137E8">
          <w:rPr>
            <w:noProof/>
            <w:webHidden/>
          </w:rPr>
          <w:instrText xml:space="preserve"> PAGEREF _Toc141343901 \h </w:instrText>
        </w:r>
        <w:r w:rsidR="005137E8">
          <w:rPr>
            <w:noProof/>
            <w:webHidden/>
          </w:rPr>
        </w:r>
        <w:r w:rsidR="005137E8">
          <w:rPr>
            <w:noProof/>
            <w:webHidden/>
          </w:rPr>
          <w:fldChar w:fldCharType="separate"/>
        </w:r>
        <w:r w:rsidR="000E1725">
          <w:rPr>
            <w:noProof/>
            <w:webHidden/>
          </w:rPr>
          <w:t>85</w:t>
        </w:r>
        <w:r w:rsidR="005137E8">
          <w:rPr>
            <w:noProof/>
            <w:webHidden/>
          </w:rPr>
          <w:fldChar w:fldCharType="end"/>
        </w:r>
      </w:hyperlink>
    </w:p>
    <w:p w14:paraId="2CD7CE7A" w14:textId="12B15A9E" w:rsidR="005137E8"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3902" w:history="1">
        <w:r w:rsidR="005137E8" w:rsidRPr="00533699">
          <w:rPr>
            <w:rStyle w:val="Hyperlink"/>
            <w:noProof/>
          </w:rPr>
          <w:t>Table 4.4 Cost and energy consumption summary for homes on mild summer days</w:t>
        </w:r>
        <w:r w:rsidR="005137E8">
          <w:rPr>
            <w:noProof/>
            <w:webHidden/>
          </w:rPr>
          <w:tab/>
        </w:r>
        <w:r w:rsidR="005137E8">
          <w:rPr>
            <w:noProof/>
            <w:webHidden/>
          </w:rPr>
          <w:fldChar w:fldCharType="begin"/>
        </w:r>
        <w:r w:rsidR="005137E8">
          <w:rPr>
            <w:noProof/>
            <w:webHidden/>
          </w:rPr>
          <w:instrText xml:space="preserve"> PAGEREF _Toc141343902 \h </w:instrText>
        </w:r>
        <w:r w:rsidR="005137E8">
          <w:rPr>
            <w:noProof/>
            <w:webHidden/>
          </w:rPr>
        </w:r>
        <w:r w:rsidR="005137E8">
          <w:rPr>
            <w:noProof/>
            <w:webHidden/>
          </w:rPr>
          <w:fldChar w:fldCharType="separate"/>
        </w:r>
        <w:r w:rsidR="000E1725">
          <w:rPr>
            <w:noProof/>
            <w:webHidden/>
          </w:rPr>
          <w:t>86</w:t>
        </w:r>
        <w:r w:rsidR="005137E8">
          <w:rPr>
            <w:noProof/>
            <w:webHidden/>
          </w:rPr>
          <w:fldChar w:fldCharType="end"/>
        </w:r>
      </w:hyperlink>
    </w:p>
    <w:p w14:paraId="6E18E487" w14:textId="1FA1D532" w:rsidR="005137E8"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3903" w:history="1">
        <w:r w:rsidR="005137E8" w:rsidRPr="00533699">
          <w:rPr>
            <w:rStyle w:val="Hyperlink"/>
            <w:noProof/>
          </w:rPr>
          <w:t>Table 4.5 Cost and energy consumption summary for homes on cold summer days.</w:t>
        </w:r>
        <w:r w:rsidR="005137E8">
          <w:rPr>
            <w:noProof/>
            <w:webHidden/>
          </w:rPr>
          <w:tab/>
        </w:r>
        <w:r w:rsidR="005137E8">
          <w:rPr>
            <w:noProof/>
            <w:webHidden/>
          </w:rPr>
          <w:fldChar w:fldCharType="begin"/>
        </w:r>
        <w:r w:rsidR="005137E8">
          <w:rPr>
            <w:noProof/>
            <w:webHidden/>
          </w:rPr>
          <w:instrText xml:space="preserve"> PAGEREF _Toc141343903 \h </w:instrText>
        </w:r>
        <w:r w:rsidR="005137E8">
          <w:rPr>
            <w:noProof/>
            <w:webHidden/>
          </w:rPr>
        </w:r>
        <w:r w:rsidR="005137E8">
          <w:rPr>
            <w:noProof/>
            <w:webHidden/>
          </w:rPr>
          <w:fldChar w:fldCharType="separate"/>
        </w:r>
        <w:r w:rsidR="000E1725">
          <w:rPr>
            <w:noProof/>
            <w:webHidden/>
          </w:rPr>
          <w:t>86</w:t>
        </w:r>
        <w:r w:rsidR="005137E8">
          <w:rPr>
            <w:noProof/>
            <w:webHidden/>
          </w:rPr>
          <w:fldChar w:fldCharType="end"/>
        </w:r>
      </w:hyperlink>
    </w:p>
    <w:p w14:paraId="4C03F073" w14:textId="306ADD34" w:rsidR="005137E8"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3904" w:history="1">
        <w:r w:rsidR="005137E8" w:rsidRPr="00533699">
          <w:rPr>
            <w:rStyle w:val="Hyperlink"/>
            <w:noProof/>
          </w:rPr>
          <w:t>Table 4.6 EnergyPlus model variables for on/off control</w:t>
        </w:r>
        <w:r w:rsidR="005137E8">
          <w:rPr>
            <w:noProof/>
            <w:webHidden/>
          </w:rPr>
          <w:tab/>
        </w:r>
        <w:r w:rsidR="005137E8">
          <w:rPr>
            <w:noProof/>
            <w:webHidden/>
          </w:rPr>
          <w:fldChar w:fldCharType="begin"/>
        </w:r>
        <w:r w:rsidR="005137E8">
          <w:rPr>
            <w:noProof/>
            <w:webHidden/>
          </w:rPr>
          <w:instrText xml:space="preserve"> PAGEREF _Toc141343904 \h </w:instrText>
        </w:r>
        <w:r w:rsidR="005137E8">
          <w:rPr>
            <w:noProof/>
            <w:webHidden/>
          </w:rPr>
        </w:r>
        <w:r w:rsidR="005137E8">
          <w:rPr>
            <w:noProof/>
            <w:webHidden/>
          </w:rPr>
          <w:fldChar w:fldCharType="separate"/>
        </w:r>
        <w:r w:rsidR="000E1725">
          <w:rPr>
            <w:noProof/>
            <w:webHidden/>
          </w:rPr>
          <w:t>93</w:t>
        </w:r>
        <w:r w:rsidR="005137E8">
          <w:rPr>
            <w:noProof/>
            <w:webHidden/>
          </w:rPr>
          <w:fldChar w:fldCharType="end"/>
        </w:r>
      </w:hyperlink>
    </w:p>
    <w:p w14:paraId="4E2C4AB6" w14:textId="4AB57746" w:rsidR="005137E8"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3905" w:history="1">
        <w:r w:rsidR="005137E8" w:rsidRPr="00533699">
          <w:rPr>
            <w:rStyle w:val="Hyperlink"/>
            <w:noProof/>
          </w:rPr>
          <w:t>Table 4.7 MPC hyperparameters choice for impact analysis</w:t>
        </w:r>
        <w:r w:rsidR="005137E8">
          <w:rPr>
            <w:noProof/>
            <w:webHidden/>
          </w:rPr>
          <w:tab/>
        </w:r>
        <w:r w:rsidR="005137E8">
          <w:rPr>
            <w:noProof/>
            <w:webHidden/>
          </w:rPr>
          <w:fldChar w:fldCharType="begin"/>
        </w:r>
        <w:r w:rsidR="005137E8">
          <w:rPr>
            <w:noProof/>
            <w:webHidden/>
          </w:rPr>
          <w:instrText xml:space="preserve"> PAGEREF _Toc141343905 \h </w:instrText>
        </w:r>
        <w:r w:rsidR="005137E8">
          <w:rPr>
            <w:noProof/>
            <w:webHidden/>
          </w:rPr>
        </w:r>
        <w:r w:rsidR="005137E8">
          <w:rPr>
            <w:noProof/>
            <w:webHidden/>
          </w:rPr>
          <w:fldChar w:fldCharType="separate"/>
        </w:r>
        <w:r w:rsidR="000E1725">
          <w:rPr>
            <w:noProof/>
            <w:webHidden/>
          </w:rPr>
          <w:t>99</w:t>
        </w:r>
        <w:r w:rsidR="005137E8">
          <w:rPr>
            <w:noProof/>
            <w:webHidden/>
          </w:rPr>
          <w:fldChar w:fldCharType="end"/>
        </w:r>
      </w:hyperlink>
    </w:p>
    <w:p w14:paraId="143B0747" w14:textId="546F4BA0" w:rsidR="005137E8"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3906" w:history="1">
        <w:r w:rsidR="005137E8" w:rsidRPr="00533699">
          <w:rPr>
            <w:rStyle w:val="Hyperlink"/>
            <w:noProof/>
          </w:rPr>
          <w:t>Table 5.1 Other</w:t>
        </w:r>
        <w:r w:rsidR="005137E8" w:rsidRPr="00533699">
          <w:rPr>
            <w:rStyle w:val="Hyperlink"/>
            <w:noProof/>
            <w:lang w:eastAsia="en-US"/>
          </w:rPr>
          <w:t xml:space="preserve"> appliances specifications</w:t>
        </w:r>
        <w:r w:rsidR="005137E8">
          <w:rPr>
            <w:noProof/>
            <w:webHidden/>
          </w:rPr>
          <w:tab/>
        </w:r>
        <w:r w:rsidR="005137E8">
          <w:rPr>
            <w:noProof/>
            <w:webHidden/>
          </w:rPr>
          <w:fldChar w:fldCharType="begin"/>
        </w:r>
        <w:r w:rsidR="005137E8">
          <w:rPr>
            <w:noProof/>
            <w:webHidden/>
          </w:rPr>
          <w:instrText xml:space="preserve"> PAGEREF _Toc141343906 \h </w:instrText>
        </w:r>
        <w:r w:rsidR="005137E8">
          <w:rPr>
            <w:noProof/>
            <w:webHidden/>
          </w:rPr>
        </w:r>
        <w:r w:rsidR="005137E8">
          <w:rPr>
            <w:noProof/>
            <w:webHidden/>
          </w:rPr>
          <w:fldChar w:fldCharType="separate"/>
        </w:r>
        <w:r w:rsidR="000E1725">
          <w:rPr>
            <w:noProof/>
            <w:webHidden/>
          </w:rPr>
          <w:t>128</w:t>
        </w:r>
        <w:r w:rsidR="005137E8">
          <w:rPr>
            <w:noProof/>
            <w:webHidden/>
          </w:rPr>
          <w:fldChar w:fldCharType="end"/>
        </w:r>
      </w:hyperlink>
    </w:p>
    <w:p w14:paraId="3792FC7F" w14:textId="5A1B3A19" w:rsidR="005137E8"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3907" w:history="1">
        <w:r w:rsidR="005137E8" w:rsidRPr="00533699">
          <w:rPr>
            <w:rStyle w:val="Hyperlink"/>
            <w:noProof/>
          </w:rPr>
          <w:t>Table 5.2 PV panel specifications for test location</w:t>
        </w:r>
        <w:r w:rsidR="005137E8">
          <w:rPr>
            <w:noProof/>
            <w:webHidden/>
          </w:rPr>
          <w:tab/>
        </w:r>
        <w:r w:rsidR="005137E8">
          <w:rPr>
            <w:noProof/>
            <w:webHidden/>
          </w:rPr>
          <w:fldChar w:fldCharType="begin"/>
        </w:r>
        <w:r w:rsidR="005137E8">
          <w:rPr>
            <w:noProof/>
            <w:webHidden/>
          </w:rPr>
          <w:instrText xml:space="preserve"> PAGEREF _Toc141343907 \h </w:instrText>
        </w:r>
        <w:r w:rsidR="005137E8">
          <w:rPr>
            <w:noProof/>
            <w:webHidden/>
          </w:rPr>
        </w:r>
        <w:r w:rsidR="005137E8">
          <w:rPr>
            <w:noProof/>
            <w:webHidden/>
          </w:rPr>
          <w:fldChar w:fldCharType="separate"/>
        </w:r>
        <w:r w:rsidR="000E1725">
          <w:rPr>
            <w:noProof/>
            <w:webHidden/>
          </w:rPr>
          <w:t>129</w:t>
        </w:r>
        <w:r w:rsidR="005137E8">
          <w:rPr>
            <w:noProof/>
            <w:webHidden/>
          </w:rPr>
          <w:fldChar w:fldCharType="end"/>
        </w:r>
      </w:hyperlink>
    </w:p>
    <w:p w14:paraId="1CED557A" w14:textId="09556ABE" w:rsidR="005137E8"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3908" w:history="1">
        <w:r w:rsidR="005137E8" w:rsidRPr="00533699">
          <w:rPr>
            <w:rStyle w:val="Hyperlink"/>
            <w:noProof/>
          </w:rPr>
          <w:t>Table 5.3 Battery system specifications</w:t>
        </w:r>
        <w:r w:rsidR="005137E8">
          <w:rPr>
            <w:noProof/>
            <w:webHidden/>
          </w:rPr>
          <w:tab/>
        </w:r>
        <w:r w:rsidR="005137E8">
          <w:rPr>
            <w:noProof/>
            <w:webHidden/>
          </w:rPr>
          <w:fldChar w:fldCharType="begin"/>
        </w:r>
        <w:r w:rsidR="005137E8">
          <w:rPr>
            <w:noProof/>
            <w:webHidden/>
          </w:rPr>
          <w:instrText xml:space="preserve"> PAGEREF _Toc141343908 \h </w:instrText>
        </w:r>
        <w:r w:rsidR="005137E8">
          <w:rPr>
            <w:noProof/>
            <w:webHidden/>
          </w:rPr>
        </w:r>
        <w:r w:rsidR="005137E8">
          <w:rPr>
            <w:noProof/>
            <w:webHidden/>
          </w:rPr>
          <w:fldChar w:fldCharType="separate"/>
        </w:r>
        <w:r w:rsidR="000E1725">
          <w:rPr>
            <w:noProof/>
            <w:webHidden/>
          </w:rPr>
          <w:t>130</w:t>
        </w:r>
        <w:r w:rsidR="005137E8">
          <w:rPr>
            <w:noProof/>
            <w:webHidden/>
          </w:rPr>
          <w:fldChar w:fldCharType="end"/>
        </w:r>
      </w:hyperlink>
    </w:p>
    <w:p w14:paraId="57F4EBC8" w14:textId="0E2E9ED7" w:rsidR="005137E8"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3909" w:history="1">
        <w:r w:rsidR="005137E8" w:rsidRPr="00533699">
          <w:rPr>
            <w:rStyle w:val="Hyperlink"/>
            <w:noProof/>
          </w:rPr>
          <w:t>Table 5.4 User time preference interval used in case study</w:t>
        </w:r>
        <w:r w:rsidR="005137E8">
          <w:rPr>
            <w:noProof/>
            <w:webHidden/>
          </w:rPr>
          <w:tab/>
        </w:r>
        <w:r w:rsidR="005137E8">
          <w:rPr>
            <w:noProof/>
            <w:webHidden/>
          </w:rPr>
          <w:fldChar w:fldCharType="begin"/>
        </w:r>
        <w:r w:rsidR="005137E8">
          <w:rPr>
            <w:noProof/>
            <w:webHidden/>
          </w:rPr>
          <w:instrText xml:space="preserve"> PAGEREF _Toc141343909 \h </w:instrText>
        </w:r>
        <w:r w:rsidR="005137E8">
          <w:rPr>
            <w:noProof/>
            <w:webHidden/>
          </w:rPr>
        </w:r>
        <w:r w:rsidR="005137E8">
          <w:rPr>
            <w:noProof/>
            <w:webHidden/>
          </w:rPr>
          <w:fldChar w:fldCharType="separate"/>
        </w:r>
        <w:r w:rsidR="000E1725">
          <w:rPr>
            <w:noProof/>
            <w:webHidden/>
          </w:rPr>
          <w:t>131</w:t>
        </w:r>
        <w:r w:rsidR="005137E8">
          <w:rPr>
            <w:noProof/>
            <w:webHidden/>
          </w:rPr>
          <w:fldChar w:fldCharType="end"/>
        </w:r>
      </w:hyperlink>
    </w:p>
    <w:p w14:paraId="79CAB526" w14:textId="6A0635EA" w:rsidR="00146A55" w:rsidRDefault="00146A55" w:rsidP="00146A55">
      <w:pPr>
        <w:pStyle w:val="HeadnotTOC"/>
        <w:jc w:val="both"/>
      </w:pPr>
      <w:r>
        <w:fldChar w:fldCharType="end"/>
      </w:r>
      <w:r>
        <w:br w:type="page"/>
      </w:r>
    </w:p>
    <w:p w14:paraId="0265240B" w14:textId="77777777" w:rsidR="004B2A5C" w:rsidRDefault="004B2A5C" w:rsidP="00F028F0">
      <w:pPr>
        <w:pStyle w:val="HeadnotTOC"/>
      </w:pPr>
    </w:p>
    <w:p w14:paraId="08B6D7AA" w14:textId="57111ADE" w:rsidR="004B2A5C" w:rsidRDefault="004B2A5C" w:rsidP="00F028F0">
      <w:pPr>
        <w:pStyle w:val="HeadnotTOC"/>
      </w:pPr>
      <w:r>
        <w:t>List of Figures</w:t>
      </w:r>
    </w:p>
    <w:p w14:paraId="6D893091" w14:textId="15A7A685" w:rsidR="00324A55" w:rsidRDefault="00146A55">
      <w:pPr>
        <w:pStyle w:val="TableofFigures"/>
        <w:tabs>
          <w:tab w:val="right" w:leader="dot" w:pos="9016"/>
        </w:tabs>
        <w:ind w:left="960" w:hanging="480"/>
        <w:rPr>
          <w:rFonts w:asciiTheme="minorHAnsi" w:hAnsiTheme="minorHAnsi" w:cstheme="minorBidi"/>
          <w:noProof/>
          <w:szCs w:val="24"/>
          <w14:ligatures w14:val="standardContextual"/>
        </w:rPr>
      </w:pPr>
      <w:r>
        <w:fldChar w:fldCharType="begin"/>
      </w:r>
      <w:r>
        <w:instrText xml:space="preserve"> TOC \h \z \c "Figure" </w:instrText>
      </w:r>
      <w:r>
        <w:fldChar w:fldCharType="separate"/>
      </w:r>
      <w:hyperlink w:anchor="_Toc141349904" w:history="1">
        <w:r w:rsidR="00324A55" w:rsidRPr="000D3BD4">
          <w:rPr>
            <w:rStyle w:val="Hyperlink"/>
            <w:noProof/>
          </w:rPr>
          <w:t>Figure 1.1 The official “Duck Chart” during spring, shows steep ramping needs and over-supply risk, published by CASIO [3].</w:t>
        </w:r>
        <w:r w:rsidR="00324A55">
          <w:rPr>
            <w:noProof/>
            <w:webHidden/>
          </w:rPr>
          <w:tab/>
        </w:r>
        <w:r w:rsidR="00324A55">
          <w:rPr>
            <w:noProof/>
            <w:webHidden/>
          </w:rPr>
          <w:fldChar w:fldCharType="begin"/>
        </w:r>
        <w:r w:rsidR="00324A55">
          <w:rPr>
            <w:noProof/>
            <w:webHidden/>
          </w:rPr>
          <w:instrText xml:space="preserve"> PAGEREF _Toc141349904 \h </w:instrText>
        </w:r>
        <w:r w:rsidR="00324A55">
          <w:rPr>
            <w:noProof/>
            <w:webHidden/>
          </w:rPr>
        </w:r>
        <w:r w:rsidR="00324A55">
          <w:rPr>
            <w:noProof/>
            <w:webHidden/>
          </w:rPr>
          <w:fldChar w:fldCharType="separate"/>
        </w:r>
        <w:r w:rsidR="000E1725">
          <w:rPr>
            <w:noProof/>
            <w:webHidden/>
          </w:rPr>
          <w:t>2</w:t>
        </w:r>
        <w:r w:rsidR="00324A55">
          <w:rPr>
            <w:noProof/>
            <w:webHidden/>
          </w:rPr>
          <w:fldChar w:fldCharType="end"/>
        </w:r>
      </w:hyperlink>
    </w:p>
    <w:p w14:paraId="43192D6D" w14:textId="6CDBFEC5"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05" w:history="1">
        <w:r w:rsidR="00324A55" w:rsidRPr="000D3BD4">
          <w:rPr>
            <w:rStyle w:val="Hyperlink"/>
            <w:noProof/>
          </w:rPr>
          <w:t>Figure 1.2 Demand side management and DRPs in retail and wholesale markets</w:t>
        </w:r>
        <w:r w:rsidR="00324A55">
          <w:rPr>
            <w:noProof/>
            <w:webHidden/>
          </w:rPr>
          <w:tab/>
        </w:r>
        <w:r w:rsidR="00324A55">
          <w:rPr>
            <w:noProof/>
            <w:webHidden/>
          </w:rPr>
          <w:fldChar w:fldCharType="begin"/>
        </w:r>
        <w:r w:rsidR="00324A55">
          <w:rPr>
            <w:noProof/>
            <w:webHidden/>
          </w:rPr>
          <w:instrText xml:space="preserve"> PAGEREF _Toc141349905 \h </w:instrText>
        </w:r>
        <w:r w:rsidR="00324A55">
          <w:rPr>
            <w:noProof/>
            <w:webHidden/>
          </w:rPr>
        </w:r>
        <w:r w:rsidR="00324A55">
          <w:rPr>
            <w:noProof/>
            <w:webHidden/>
          </w:rPr>
          <w:fldChar w:fldCharType="separate"/>
        </w:r>
        <w:r w:rsidR="000E1725">
          <w:rPr>
            <w:noProof/>
            <w:webHidden/>
          </w:rPr>
          <w:t>5</w:t>
        </w:r>
        <w:r w:rsidR="00324A55">
          <w:rPr>
            <w:noProof/>
            <w:webHidden/>
          </w:rPr>
          <w:fldChar w:fldCharType="end"/>
        </w:r>
      </w:hyperlink>
    </w:p>
    <w:p w14:paraId="37F08717" w14:textId="2E19BC36"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06" w:history="1">
        <w:r w:rsidR="00324A55" w:rsidRPr="000D3BD4">
          <w:rPr>
            <w:rStyle w:val="Hyperlink"/>
            <w:noProof/>
          </w:rPr>
          <w:t>Figure 1.3 TOU rate examples in Oklahoma and Miami</w:t>
        </w:r>
        <w:r w:rsidR="00324A55">
          <w:rPr>
            <w:noProof/>
            <w:webHidden/>
          </w:rPr>
          <w:tab/>
        </w:r>
        <w:r w:rsidR="00324A55">
          <w:rPr>
            <w:noProof/>
            <w:webHidden/>
          </w:rPr>
          <w:fldChar w:fldCharType="begin"/>
        </w:r>
        <w:r w:rsidR="00324A55">
          <w:rPr>
            <w:noProof/>
            <w:webHidden/>
          </w:rPr>
          <w:instrText xml:space="preserve"> PAGEREF _Toc141349906 \h </w:instrText>
        </w:r>
        <w:r w:rsidR="00324A55">
          <w:rPr>
            <w:noProof/>
            <w:webHidden/>
          </w:rPr>
        </w:r>
        <w:r w:rsidR="00324A55">
          <w:rPr>
            <w:noProof/>
            <w:webHidden/>
          </w:rPr>
          <w:fldChar w:fldCharType="separate"/>
        </w:r>
        <w:r w:rsidR="000E1725">
          <w:rPr>
            <w:noProof/>
            <w:webHidden/>
          </w:rPr>
          <w:t>6</w:t>
        </w:r>
        <w:r w:rsidR="00324A55">
          <w:rPr>
            <w:noProof/>
            <w:webHidden/>
          </w:rPr>
          <w:fldChar w:fldCharType="end"/>
        </w:r>
      </w:hyperlink>
    </w:p>
    <w:p w14:paraId="217B44B0" w14:textId="7ED1D91A"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07" w:history="1">
        <w:r w:rsidR="00324A55" w:rsidRPr="000D3BD4">
          <w:rPr>
            <w:rStyle w:val="Hyperlink"/>
            <w:noProof/>
          </w:rPr>
          <w:t>Figure 1.4 Load-flexible resources, technologies, and their deployment limitations in residential buildings</w:t>
        </w:r>
        <w:r w:rsidR="00324A55">
          <w:rPr>
            <w:noProof/>
            <w:webHidden/>
          </w:rPr>
          <w:tab/>
        </w:r>
        <w:r w:rsidR="00324A55">
          <w:rPr>
            <w:noProof/>
            <w:webHidden/>
          </w:rPr>
          <w:fldChar w:fldCharType="begin"/>
        </w:r>
        <w:r w:rsidR="00324A55">
          <w:rPr>
            <w:noProof/>
            <w:webHidden/>
          </w:rPr>
          <w:instrText xml:space="preserve"> PAGEREF _Toc141349907 \h </w:instrText>
        </w:r>
        <w:r w:rsidR="00324A55">
          <w:rPr>
            <w:noProof/>
            <w:webHidden/>
          </w:rPr>
        </w:r>
        <w:r w:rsidR="00324A55">
          <w:rPr>
            <w:noProof/>
            <w:webHidden/>
          </w:rPr>
          <w:fldChar w:fldCharType="separate"/>
        </w:r>
        <w:r w:rsidR="000E1725">
          <w:rPr>
            <w:noProof/>
            <w:webHidden/>
          </w:rPr>
          <w:t>18</w:t>
        </w:r>
        <w:r w:rsidR="00324A55">
          <w:rPr>
            <w:noProof/>
            <w:webHidden/>
          </w:rPr>
          <w:fldChar w:fldCharType="end"/>
        </w:r>
      </w:hyperlink>
    </w:p>
    <w:p w14:paraId="1106EAC8" w14:textId="58003255"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08" w:history="1">
        <w:r w:rsidR="00324A55" w:rsidRPr="000D3BD4">
          <w:rPr>
            <w:rStyle w:val="Hyperlink"/>
            <w:noProof/>
          </w:rPr>
          <w:t>Figure 2.1 Two precooling strategies under DRPs</w:t>
        </w:r>
        <w:r w:rsidR="00324A55">
          <w:rPr>
            <w:noProof/>
            <w:webHidden/>
          </w:rPr>
          <w:tab/>
        </w:r>
        <w:r w:rsidR="00324A55">
          <w:rPr>
            <w:noProof/>
            <w:webHidden/>
          </w:rPr>
          <w:fldChar w:fldCharType="begin"/>
        </w:r>
        <w:r w:rsidR="00324A55">
          <w:rPr>
            <w:noProof/>
            <w:webHidden/>
          </w:rPr>
          <w:instrText xml:space="preserve"> PAGEREF _Toc141349908 \h </w:instrText>
        </w:r>
        <w:r w:rsidR="00324A55">
          <w:rPr>
            <w:noProof/>
            <w:webHidden/>
          </w:rPr>
        </w:r>
        <w:r w:rsidR="00324A55">
          <w:rPr>
            <w:noProof/>
            <w:webHidden/>
          </w:rPr>
          <w:fldChar w:fldCharType="separate"/>
        </w:r>
        <w:r w:rsidR="000E1725">
          <w:rPr>
            <w:noProof/>
            <w:webHidden/>
          </w:rPr>
          <w:t>24</w:t>
        </w:r>
        <w:r w:rsidR="00324A55">
          <w:rPr>
            <w:noProof/>
            <w:webHidden/>
          </w:rPr>
          <w:fldChar w:fldCharType="end"/>
        </w:r>
      </w:hyperlink>
    </w:p>
    <w:p w14:paraId="5169C223" w14:textId="4A47CA56"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09" w:history="1">
        <w:r w:rsidR="00324A55" w:rsidRPr="000D3BD4">
          <w:rPr>
            <w:rStyle w:val="Hyperlink"/>
            <w:noProof/>
          </w:rPr>
          <w:t>Figure 2.2 Prediction horizon, control horizon and timestep for MPC</w:t>
        </w:r>
        <w:r w:rsidR="00324A55">
          <w:rPr>
            <w:noProof/>
            <w:webHidden/>
          </w:rPr>
          <w:tab/>
        </w:r>
        <w:r w:rsidR="00324A55">
          <w:rPr>
            <w:noProof/>
            <w:webHidden/>
          </w:rPr>
          <w:fldChar w:fldCharType="begin"/>
        </w:r>
        <w:r w:rsidR="00324A55">
          <w:rPr>
            <w:noProof/>
            <w:webHidden/>
          </w:rPr>
          <w:instrText xml:space="preserve"> PAGEREF _Toc141349909 \h </w:instrText>
        </w:r>
        <w:r w:rsidR="00324A55">
          <w:rPr>
            <w:noProof/>
            <w:webHidden/>
          </w:rPr>
        </w:r>
        <w:r w:rsidR="00324A55">
          <w:rPr>
            <w:noProof/>
            <w:webHidden/>
          </w:rPr>
          <w:fldChar w:fldCharType="separate"/>
        </w:r>
        <w:r w:rsidR="000E1725">
          <w:rPr>
            <w:noProof/>
            <w:webHidden/>
          </w:rPr>
          <w:t>25</w:t>
        </w:r>
        <w:r w:rsidR="00324A55">
          <w:rPr>
            <w:noProof/>
            <w:webHidden/>
          </w:rPr>
          <w:fldChar w:fldCharType="end"/>
        </w:r>
      </w:hyperlink>
    </w:p>
    <w:p w14:paraId="61499D7E" w14:textId="4CF1A612"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10" w:history="1">
        <w:r w:rsidR="00324A55" w:rsidRPr="000D3BD4">
          <w:rPr>
            <w:rStyle w:val="Hyperlink"/>
            <w:noProof/>
          </w:rPr>
          <w:t>Figure 3.1 Schematic of the RC network of home thermal dynamics</w:t>
        </w:r>
        <w:r w:rsidR="00324A55">
          <w:rPr>
            <w:noProof/>
            <w:webHidden/>
          </w:rPr>
          <w:tab/>
        </w:r>
        <w:r w:rsidR="00324A55">
          <w:rPr>
            <w:noProof/>
            <w:webHidden/>
          </w:rPr>
          <w:fldChar w:fldCharType="begin"/>
        </w:r>
        <w:r w:rsidR="00324A55">
          <w:rPr>
            <w:noProof/>
            <w:webHidden/>
          </w:rPr>
          <w:instrText xml:space="preserve"> PAGEREF _Toc141349910 \h </w:instrText>
        </w:r>
        <w:r w:rsidR="00324A55">
          <w:rPr>
            <w:noProof/>
            <w:webHidden/>
          </w:rPr>
        </w:r>
        <w:r w:rsidR="00324A55">
          <w:rPr>
            <w:noProof/>
            <w:webHidden/>
          </w:rPr>
          <w:fldChar w:fldCharType="separate"/>
        </w:r>
        <w:r w:rsidR="000E1725">
          <w:rPr>
            <w:noProof/>
            <w:webHidden/>
          </w:rPr>
          <w:t>40</w:t>
        </w:r>
        <w:r w:rsidR="00324A55">
          <w:rPr>
            <w:noProof/>
            <w:webHidden/>
          </w:rPr>
          <w:fldChar w:fldCharType="end"/>
        </w:r>
      </w:hyperlink>
    </w:p>
    <w:p w14:paraId="602BD060" w14:textId="6876BC8E"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11" w:history="1">
        <w:r w:rsidR="00324A55" w:rsidRPr="000D3BD4">
          <w:rPr>
            <w:rStyle w:val="Hyperlink"/>
            <w:noProof/>
          </w:rPr>
          <w:t>Figure 3.2 Physics constraints explained for system identification process.</w:t>
        </w:r>
        <w:r w:rsidR="00324A55">
          <w:rPr>
            <w:noProof/>
            <w:webHidden/>
          </w:rPr>
          <w:tab/>
        </w:r>
        <w:r w:rsidR="00324A55">
          <w:rPr>
            <w:noProof/>
            <w:webHidden/>
          </w:rPr>
          <w:fldChar w:fldCharType="begin"/>
        </w:r>
        <w:r w:rsidR="00324A55">
          <w:rPr>
            <w:noProof/>
            <w:webHidden/>
          </w:rPr>
          <w:instrText xml:space="preserve"> PAGEREF _Toc141349911 \h </w:instrText>
        </w:r>
        <w:r w:rsidR="00324A55">
          <w:rPr>
            <w:noProof/>
            <w:webHidden/>
          </w:rPr>
        </w:r>
        <w:r w:rsidR="00324A55">
          <w:rPr>
            <w:noProof/>
            <w:webHidden/>
          </w:rPr>
          <w:fldChar w:fldCharType="separate"/>
        </w:r>
        <w:r w:rsidR="000E1725">
          <w:rPr>
            <w:noProof/>
            <w:webHidden/>
          </w:rPr>
          <w:t>44</w:t>
        </w:r>
        <w:r w:rsidR="00324A55">
          <w:rPr>
            <w:noProof/>
            <w:webHidden/>
          </w:rPr>
          <w:fldChar w:fldCharType="end"/>
        </w:r>
      </w:hyperlink>
    </w:p>
    <w:p w14:paraId="0BE5D868" w14:textId="7F1D3ED4"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12" w:history="1">
        <w:r w:rsidR="00324A55" w:rsidRPr="000D3BD4">
          <w:rPr>
            <w:rStyle w:val="Hyperlink"/>
            <w:noProof/>
          </w:rPr>
          <w:t>Figure 3.3 Water heater heat and water flow</w:t>
        </w:r>
        <w:r w:rsidR="00324A55">
          <w:rPr>
            <w:noProof/>
            <w:webHidden/>
          </w:rPr>
          <w:tab/>
        </w:r>
        <w:r w:rsidR="00324A55">
          <w:rPr>
            <w:noProof/>
            <w:webHidden/>
          </w:rPr>
          <w:fldChar w:fldCharType="begin"/>
        </w:r>
        <w:r w:rsidR="00324A55">
          <w:rPr>
            <w:noProof/>
            <w:webHidden/>
          </w:rPr>
          <w:instrText xml:space="preserve"> PAGEREF _Toc141349912 \h </w:instrText>
        </w:r>
        <w:r w:rsidR="00324A55">
          <w:rPr>
            <w:noProof/>
            <w:webHidden/>
          </w:rPr>
        </w:r>
        <w:r w:rsidR="00324A55">
          <w:rPr>
            <w:noProof/>
            <w:webHidden/>
          </w:rPr>
          <w:fldChar w:fldCharType="separate"/>
        </w:r>
        <w:r w:rsidR="000E1725">
          <w:rPr>
            <w:noProof/>
            <w:webHidden/>
          </w:rPr>
          <w:t>47</w:t>
        </w:r>
        <w:r w:rsidR="00324A55">
          <w:rPr>
            <w:noProof/>
            <w:webHidden/>
          </w:rPr>
          <w:fldChar w:fldCharType="end"/>
        </w:r>
      </w:hyperlink>
    </w:p>
    <w:p w14:paraId="0BABC5FB" w14:textId="44360D67"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13" w:history="1">
        <w:r w:rsidR="00324A55" w:rsidRPr="000D3BD4">
          <w:rPr>
            <w:rStyle w:val="Hyperlink"/>
            <w:noProof/>
          </w:rPr>
          <w:t>Figure 3.4 The schematic diagram of PV power generation prediction</w:t>
        </w:r>
        <w:r w:rsidR="00324A55">
          <w:rPr>
            <w:noProof/>
            <w:webHidden/>
          </w:rPr>
          <w:tab/>
        </w:r>
        <w:r w:rsidR="00324A55">
          <w:rPr>
            <w:noProof/>
            <w:webHidden/>
          </w:rPr>
          <w:fldChar w:fldCharType="begin"/>
        </w:r>
        <w:r w:rsidR="00324A55">
          <w:rPr>
            <w:noProof/>
            <w:webHidden/>
          </w:rPr>
          <w:instrText xml:space="preserve"> PAGEREF _Toc141349913 \h </w:instrText>
        </w:r>
        <w:r w:rsidR="00324A55">
          <w:rPr>
            <w:noProof/>
            <w:webHidden/>
          </w:rPr>
        </w:r>
        <w:r w:rsidR="00324A55">
          <w:rPr>
            <w:noProof/>
            <w:webHidden/>
          </w:rPr>
          <w:fldChar w:fldCharType="separate"/>
        </w:r>
        <w:r w:rsidR="000E1725">
          <w:rPr>
            <w:noProof/>
            <w:webHidden/>
          </w:rPr>
          <w:t>49</w:t>
        </w:r>
        <w:r w:rsidR="00324A55">
          <w:rPr>
            <w:noProof/>
            <w:webHidden/>
          </w:rPr>
          <w:fldChar w:fldCharType="end"/>
        </w:r>
      </w:hyperlink>
    </w:p>
    <w:p w14:paraId="57D6EA80" w14:textId="5255F777"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14" w:history="1">
        <w:r w:rsidR="00324A55" w:rsidRPr="000D3BD4">
          <w:rPr>
            <w:rStyle w:val="Hyperlink"/>
            <w:noProof/>
          </w:rPr>
          <w:t>Figure 3.5 Lab House information: (a) outside view of the front of the Lab House (b) an outdoor unit in the back yard of the Lab House (c) an indoor unit in the attic of the Lab House</w:t>
        </w:r>
        <w:r w:rsidR="00324A55">
          <w:rPr>
            <w:noProof/>
            <w:webHidden/>
          </w:rPr>
          <w:tab/>
        </w:r>
        <w:r w:rsidR="00324A55">
          <w:rPr>
            <w:noProof/>
            <w:webHidden/>
          </w:rPr>
          <w:fldChar w:fldCharType="begin"/>
        </w:r>
        <w:r w:rsidR="00324A55">
          <w:rPr>
            <w:noProof/>
            <w:webHidden/>
          </w:rPr>
          <w:instrText xml:space="preserve"> PAGEREF _Toc141349914 \h </w:instrText>
        </w:r>
        <w:r w:rsidR="00324A55">
          <w:rPr>
            <w:noProof/>
            <w:webHidden/>
          </w:rPr>
        </w:r>
        <w:r w:rsidR="00324A55">
          <w:rPr>
            <w:noProof/>
            <w:webHidden/>
          </w:rPr>
          <w:fldChar w:fldCharType="separate"/>
        </w:r>
        <w:r w:rsidR="000E1725">
          <w:rPr>
            <w:noProof/>
            <w:webHidden/>
          </w:rPr>
          <w:t>54</w:t>
        </w:r>
        <w:r w:rsidR="00324A55">
          <w:rPr>
            <w:noProof/>
            <w:webHidden/>
          </w:rPr>
          <w:fldChar w:fldCharType="end"/>
        </w:r>
      </w:hyperlink>
    </w:p>
    <w:p w14:paraId="6AEF12CE" w14:textId="68766CCE"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15" w:history="1">
        <w:r w:rsidR="00324A55" w:rsidRPr="000D3BD4">
          <w:rPr>
            <w:rStyle w:val="Hyperlink"/>
            <w:noProof/>
          </w:rPr>
          <w:t>Figure 3.6 Lab House sensors: (a) the floor plan of the Lab House and sensor locations (b) a smart thermostats and thermal couples to measure indoor air temperature (c) a node sensor to measure interior wall surface temperature (d) a power meter inside the electrical panel.</w:t>
        </w:r>
        <w:r w:rsidR="00324A55">
          <w:rPr>
            <w:noProof/>
            <w:webHidden/>
          </w:rPr>
          <w:tab/>
        </w:r>
        <w:r w:rsidR="00324A55">
          <w:rPr>
            <w:noProof/>
            <w:webHidden/>
          </w:rPr>
          <w:fldChar w:fldCharType="begin"/>
        </w:r>
        <w:r w:rsidR="00324A55">
          <w:rPr>
            <w:noProof/>
            <w:webHidden/>
          </w:rPr>
          <w:instrText xml:space="preserve"> PAGEREF _Toc141349915 \h </w:instrText>
        </w:r>
        <w:r w:rsidR="00324A55">
          <w:rPr>
            <w:noProof/>
            <w:webHidden/>
          </w:rPr>
        </w:r>
        <w:r w:rsidR="00324A55">
          <w:rPr>
            <w:noProof/>
            <w:webHidden/>
          </w:rPr>
          <w:fldChar w:fldCharType="separate"/>
        </w:r>
        <w:r w:rsidR="000E1725">
          <w:rPr>
            <w:noProof/>
            <w:webHidden/>
          </w:rPr>
          <w:t>57</w:t>
        </w:r>
        <w:r w:rsidR="00324A55">
          <w:rPr>
            <w:noProof/>
            <w:webHidden/>
          </w:rPr>
          <w:fldChar w:fldCharType="end"/>
        </w:r>
      </w:hyperlink>
    </w:p>
    <w:p w14:paraId="70B14EA9" w14:textId="00BE639D"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16" w:history="1">
        <w:r w:rsidR="00324A55" w:rsidRPr="000D3BD4">
          <w:rPr>
            <w:rStyle w:val="Hyperlink"/>
            <w:noProof/>
          </w:rPr>
          <w:t>Figure 3.7 Retrofitted smart water heater system.</w:t>
        </w:r>
        <w:r w:rsidR="00324A55">
          <w:rPr>
            <w:noProof/>
            <w:webHidden/>
          </w:rPr>
          <w:tab/>
        </w:r>
        <w:r w:rsidR="00324A55">
          <w:rPr>
            <w:noProof/>
            <w:webHidden/>
          </w:rPr>
          <w:fldChar w:fldCharType="begin"/>
        </w:r>
        <w:r w:rsidR="00324A55">
          <w:rPr>
            <w:noProof/>
            <w:webHidden/>
          </w:rPr>
          <w:instrText xml:space="preserve"> PAGEREF _Toc141349916 \h </w:instrText>
        </w:r>
        <w:r w:rsidR="00324A55">
          <w:rPr>
            <w:noProof/>
            <w:webHidden/>
          </w:rPr>
        </w:r>
        <w:r w:rsidR="00324A55">
          <w:rPr>
            <w:noProof/>
            <w:webHidden/>
          </w:rPr>
          <w:fldChar w:fldCharType="separate"/>
        </w:r>
        <w:r w:rsidR="000E1725">
          <w:rPr>
            <w:noProof/>
            <w:webHidden/>
          </w:rPr>
          <w:t>58</w:t>
        </w:r>
        <w:r w:rsidR="00324A55">
          <w:rPr>
            <w:noProof/>
            <w:webHidden/>
          </w:rPr>
          <w:fldChar w:fldCharType="end"/>
        </w:r>
      </w:hyperlink>
    </w:p>
    <w:p w14:paraId="5D23A3E7" w14:textId="5B470B71"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17" w:history="1">
        <w:r w:rsidR="00324A55" w:rsidRPr="000D3BD4">
          <w:rPr>
            <w:rStyle w:val="Hyperlink"/>
            <w:noProof/>
          </w:rPr>
          <w:t>Figure 3.8 (a) 2R2</w:t>
        </w:r>
        <w:r w:rsidR="00324A55" w:rsidRPr="000D3BD4">
          <w:rPr>
            <w:rStyle w:val="Hyperlink"/>
            <w:rFonts w:asciiTheme="minorEastAsia" w:hAnsiTheme="minorEastAsia"/>
            <w:noProof/>
          </w:rPr>
          <w:t>C</w:t>
        </w:r>
        <w:r w:rsidR="00324A55" w:rsidRPr="000D3BD4">
          <w:rPr>
            <w:rStyle w:val="Hyperlink"/>
            <w:noProof/>
          </w:rPr>
          <w:t xml:space="preserve"> model validation result and (b) AC outdoor unit consumption regression result (power lower than 3.2</w:t>
        </w:r>
        <w:r w:rsidR="00324A55" w:rsidRPr="000D3BD4">
          <w:rPr>
            <w:rStyle w:val="Hyperlink"/>
            <w:rFonts w:asciiTheme="minorEastAsia" w:hAnsiTheme="minorEastAsia"/>
            <w:noProof/>
          </w:rPr>
          <w:t>k</w:t>
        </w:r>
        <w:r w:rsidR="00324A55" w:rsidRPr="000D3BD4">
          <w:rPr>
            <w:rStyle w:val="Hyperlink"/>
            <w:noProof/>
          </w:rPr>
          <w:t>W is excluded).</w:t>
        </w:r>
        <w:r w:rsidR="00324A55">
          <w:rPr>
            <w:noProof/>
            <w:webHidden/>
          </w:rPr>
          <w:tab/>
        </w:r>
        <w:r w:rsidR="00324A55">
          <w:rPr>
            <w:noProof/>
            <w:webHidden/>
          </w:rPr>
          <w:fldChar w:fldCharType="begin"/>
        </w:r>
        <w:r w:rsidR="00324A55">
          <w:rPr>
            <w:noProof/>
            <w:webHidden/>
          </w:rPr>
          <w:instrText xml:space="preserve"> PAGEREF _Toc141349917 \h </w:instrText>
        </w:r>
        <w:r w:rsidR="00324A55">
          <w:rPr>
            <w:noProof/>
            <w:webHidden/>
          </w:rPr>
        </w:r>
        <w:r w:rsidR="00324A55">
          <w:rPr>
            <w:noProof/>
            <w:webHidden/>
          </w:rPr>
          <w:fldChar w:fldCharType="separate"/>
        </w:r>
        <w:r w:rsidR="000E1725">
          <w:rPr>
            <w:noProof/>
            <w:webHidden/>
          </w:rPr>
          <w:t>61</w:t>
        </w:r>
        <w:r w:rsidR="00324A55">
          <w:rPr>
            <w:noProof/>
            <w:webHidden/>
          </w:rPr>
          <w:fldChar w:fldCharType="end"/>
        </w:r>
      </w:hyperlink>
    </w:p>
    <w:p w14:paraId="3B53AE28" w14:textId="338D37EB"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18" w:history="1">
        <w:r w:rsidR="00324A55" w:rsidRPr="000D3BD4">
          <w:rPr>
            <w:rStyle w:val="Hyperlink"/>
            <w:noProof/>
          </w:rPr>
          <w:t>Figure 3.9 Water heater system identification result</w:t>
        </w:r>
        <w:r w:rsidR="00324A55">
          <w:rPr>
            <w:noProof/>
            <w:webHidden/>
          </w:rPr>
          <w:tab/>
        </w:r>
        <w:r w:rsidR="00324A55">
          <w:rPr>
            <w:noProof/>
            <w:webHidden/>
          </w:rPr>
          <w:fldChar w:fldCharType="begin"/>
        </w:r>
        <w:r w:rsidR="00324A55">
          <w:rPr>
            <w:noProof/>
            <w:webHidden/>
          </w:rPr>
          <w:instrText xml:space="preserve"> PAGEREF _Toc141349918 \h </w:instrText>
        </w:r>
        <w:r w:rsidR="00324A55">
          <w:rPr>
            <w:noProof/>
            <w:webHidden/>
          </w:rPr>
        </w:r>
        <w:r w:rsidR="00324A55">
          <w:rPr>
            <w:noProof/>
            <w:webHidden/>
          </w:rPr>
          <w:fldChar w:fldCharType="separate"/>
        </w:r>
        <w:r w:rsidR="000E1725">
          <w:rPr>
            <w:noProof/>
            <w:webHidden/>
          </w:rPr>
          <w:t>62</w:t>
        </w:r>
        <w:r w:rsidR="00324A55">
          <w:rPr>
            <w:noProof/>
            <w:webHidden/>
          </w:rPr>
          <w:fldChar w:fldCharType="end"/>
        </w:r>
      </w:hyperlink>
    </w:p>
    <w:p w14:paraId="144D1B30" w14:textId="5E5EF566"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19" w:history="1">
        <w:r w:rsidR="00324A55" w:rsidRPr="000D3BD4">
          <w:rPr>
            <w:rStyle w:val="Hyperlink"/>
            <w:noProof/>
          </w:rPr>
          <w:t>Figure 3.10 Model performance improvement (a) SHAP value for every train data points in feature selection for September (b) RMSE results on validation sets on September in grid search</w:t>
        </w:r>
        <w:r w:rsidR="00324A55">
          <w:rPr>
            <w:noProof/>
            <w:webHidden/>
          </w:rPr>
          <w:tab/>
        </w:r>
        <w:r w:rsidR="00324A55">
          <w:rPr>
            <w:noProof/>
            <w:webHidden/>
          </w:rPr>
          <w:fldChar w:fldCharType="begin"/>
        </w:r>
        <w:r w:rsidR="00324A55">
          <w:rPr>
            <w:noProof/>
            <w:webHidden/>
          </w:rPr>
          <w:instrText xml:space="preserve"> PAGEREF _Toc141349919 \h </w:instrText>
        </w:r>
        <w:r w:rsidR="00324A55">
          <w:rPr>
            <w:noProof/>
            <w:webHidden/>
          </w:rPr>
        </w:r>
        <w:r w:rsidR="00324A55">
          <w:rPr>
            <w:noProof/>
            <w:webHidden/>
          </w:rPr>
          <w:fldChar w:fldCharType="separate"/>
        </w:r>
        <w:r w:rsidR="000E1725">
          <w:rPr>
            <w:noProof/>
            <w:webHidden/>
          </w:rPr>
          <w:t>64</w:t>
        </w:r>
        <w:r w:rsidR="00324A55">
          <w:rPr>
            <w:noProof/>
            <w:webHidden/>
          </w:rPr>
          <w:fldChar w:fldCharType="end"/>
        </w:r>
      </w:hyperlink>
    </w:p>
    <w:p w14:paraId="6D18AE11" w14:textId="1F981D3A"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20" w:history="1">
        <w:r w:rsidR="00324A55" w:rsidRPr="000D3BD4">
          <w:rPr>
            <w:rStyle w:val="Hyperlink"/>
            <w:noProof/>
          </w:rPr>
          <w:t>Figure 3.11 PV power generation, Ghi, and relative humidity in original data on September 2, 2019</w:t>
        </w:r>
        <w:r w:rsidR="00324A55">
          <w:rPr>
            <w:noProof/>
            <w:webHidden/>
          </w:rPr>
          <w:tab/>
        </w:r>
        <w:r w:rsidR="00324A55">
          <w:rPr>
            <w:noProof/>
            <w:webHidden/>
          </w:rPr>
          <w:fldChar w:fldCharType="begin"/>
        </w:r>
        <w:r w:rsidR="00324A55">
          <w:rPr>
            <w:noProof/>
            <w:webHidden/>
          </w:rPr>
          <w:instrText xml:space="preserve"> PAGEREF _Toc141349920 \h </w:instrText>
        </w:r>
        <w:r w:rsidR="00324A55">
          <w:rPr>
            <w:noProof/>
            <w:webHidden/>
          </w:rPr>
        </w:r>
        <w:r w:rsidR="00324A55">
          <w:rPr>
            <w:noProof/>
            <w:webHidden/>
          </w:rPr>
          <w:fldChar w:fldCharType="separate"/>
        </w:r>
        <w:r w:rsidR="000E1725">
          <w:rPr>
            <w:noProof/>
            <w:webHidden/>
          </w:rPr>
          <w:t>64</w:t>
        </w:r>
        <w:r w:rsidR="00324A55">
          <w:rPr>
            <w:noProof/>
            <w:webHidden/>
          </w:rPr>
          <w:fldChar w:fldCharType="end"/>
        </w:r>
      </w:hyperlink>
    </w:p>
    <w:p w14:paraId="66DAB3C4" w14:textId="6214B1CD"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21" w:history="1">
        <w:r w:rsidR="00324A55" w:rsidRPr="000D3BD4">
          <w:rPr>
            <w:rStyle w:val="Hyperlink"/>
            <w:noProof/>
          </w:rPr>
          <w:t>Figure 3.12 PV power generation point and interval prediction compared with actual generation from August 3, 2019 to August 5,2019</w:t>
        </w:r>
        <w:r w:rsidR="00324A55">
          <w:rPr>
            <w:noProof/>
            <w:webHidden/>
          </w:rPr>
          <w:tab/>
        </w:r>
        <w:r w:rsidR="00324A55">
          <w:rPr>
            <w:noProof/>
            <w:webHidden/>
          </w:rPr>
          <w:fldChar w:fldCharType="begin"/>
        </w:r>
        <w:r w:rsidR="00324A55">
          <w:rPr>
            <w:noProof/>
            <w:webHidden/>
          </w:rPr>
          <w:instrText xml:space="preserve"> PAGEREF _Toc141349921 \h </w:instrText>
        </w:r>
        <w:r w:rsidR="00324A55">
          <w:rPr>
            <w:noProof/>
            <w:webHidden/>
          </w:rPr>
        </w:r>
        <w:r w:rsidR="00324A55">
          <w:rPr>
            <w:noProof/>
            <w:webHidden/>
          </w:rPr>
          <w:fldChar w:fldCharType="separate"/>
        </w:r>
        <w:r w:rsidR="000E1725">
          <w:rPr>
            <w:noProof/>
            <w:webHidden/>
          </w:rPr>
          <w:t>65</w:t>
        </w:r>
        <w:r w:rsidR="00324A55">
          <w:rPr>
            <w:noProof/>
            <w:webHidden/>
          </w:rPr>
          <w:fldChar w:fldCharType="end"/>
        </w:r>
      </w:hyperlink>
    </w:p>
    <w:p w14:paraId="6F2F4E20" w14:textId="49A19071"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22" w:history="1">
        <w:r w:rsidR="00324A55" w:rsidRPr="000D3BD4">
          <w:rPr>
            <w:rStyle w:val="Hyperlink"/>
            <w:noProof/>
          </w:rPr>
          <w:t>Figure 4.1 MPC agent.</w:t>
        </w:r>
        <w:r w:rsidR="00324A55">
          <w:rPr>
            <w:noProof/>
            <w:webHidden/>
          </w:rPr>
          <w:tab/>
        </w:r>
        <w:r w:rsidR="00324A55">
          <w:rPr>
            <w:noProof/>
            <w:webHidden/>
          </w:rPr>
          <w:fldChar w:fldCharType="begin"/>
        </w:r>
        <w:r w:rsidR="00324A55">
          <w:rPr>
            <w:noProof/>
            <w:webHidden/>
          </w:rPr>
          <w:instrText xml:space="preserve"> PAGEREF _Toc141349922 \h </w:instrText>
        </w:r>
        <w:r w:rsidR="00324A55">
          <w:rPr>
            <w:noProof/>
            <w:webHidden/>
          </w:rPr>
        </w:r>
        <w:r w:rsidR="00324A55">
          <w:rPr>
            <w:noProof/>
            <w:webHidden/>
          </w:rPr>
          <w:fldChar w:fldCharType="separate"/>
        </w:r>
        <w:r w:rsidR="000E1725">
          <w:rPr>
            <w:noProof/>
            <w:webHidden/>
          </w:rPr>
          <w:t>71</w:t>
        </w:r>
        <w:r w:rsidR="00324A55">
          <w:rPr>
            <w:noProof/>
            <w:webHidden/>
          </w:rPr>
          <w:fldChar w:fldCharType="end"/>
        </w:r>
      </w:hyperlink>
    </w:p>
    <w:p w14:paraId="04D51F5C" w14:textId="675C3A30"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23" w:history="1">
        <w:r w:rsidR="00324A55" w:rsidRPr="000D3BD4">
          <w:rPr>
            <w:rStyle w:val="Hyperlink"/>
            <w:noProof/>
          </w:rPr>
          <w:t>Figure 4.2 Proposed cloud-based platform for data management and control.</w:t>
        </w:r>
        <w:r w:rsidR="00324A55">
          <w:rPr>
            <w:noProof/>
            <w:webHidden/>
          </w:rPr>
          <w:tab/>
        </w:r>
        <w:r w:rsidR="00324A55">
          <w:rPr>
            <w:noProof/>
            <w:webHidden/>
          </w:rPr>
          <w:fldChar w:fldCharType="begin"/>
        </w:r>
        <w:r w:rsidR="00324A55">
          <w:rPr>
            <w:noProof/>
            <w:webHidden/>
          </w:rPr>
          <w:instrText xml:space="preserve"> PAGEREF _Toc141349923 \h </w:instrText>
        </w:r>
        <w:r w:rsidR="00324A55">
          <w:rPr>
            <w:noProof/>
            <w:webHidden/>
          </w:rPr>
        </w:r>
        <w:r w:rsidR="00324A55">
          <w:rPr>
            <w:noProof/>
            <w:webHidden/>
          </w:rPr>
          <w:fldChar w:fldCharType="separate"/>
        </w:r>
        <w:r w:rsidR="000E1725">
          <w:rPr>
            <w:noProof/>
            <w:webHidden/>
          </w:rPr>
          <w:t>73</w:t>
        </w:r>
        <w:r w:rsidR="00324A55">
          <w:rPr>
            <w:noProof/>
            <w:webHidden/>
          </w:rPr>
          <w:fldChar w:fldCharType="end"/>
        </w:r>
      </w:hyperlink>
    </w:p>
    <w:p w14:paraId="7F20B81A" w14:textId="73590F21"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24" w:history="1">
        <w:r w:rsidR="00324A55" w:rsidRPr="000D3BD4">
          <w:rPr>
            <w:rStyle w:val="Hyperlink"/>
            <w:noProof/>
          </w:rPr>
          <w:t>Figure 4.3 Test homes with diverse characteristics. (a) Building floor area distribution. (b) Count plot of AC tonnage. (c) Building ages (inner) and AC unit service time (outer).</w:t>
        </w:r>
        <w:r w:rsidR="00324A55">
          <w:rPr>
            <w:noProof/>
            <w:webHidden/>
          </w:rPr>
          <w:tab/>
        </w:r>
        <w:r w:rsidR="00324A55">
          <w:rPr>
            <w:noProof/>
            <w:webHidden/>
          </w:rPr>
          <w:fldChar w:fldCharType="begin"/>
        </w:r>
        <w:r w:rsidR="00324A55">
          <w:rPr>
            <w:noProof/>
            <w:webHidden/>
          </w:rPr>
          <w:instrText xml:space="preserve"> PAGEREF _Toc141349924 \h </w:instrText>
        </w:r>
        <w:r w:rsidR="00324A55">
          <w:rPr>
            <w:noProof/>
            <w:webHidden/>
          </w:rPr>
        </w:r>
        <w:r w:rsidR="00324A55">
          <w:rPr>
            <w:noProof/>
            <w:webHidden/>
          </w:rPr>
          <w:fldChar w:fldCharType="separate"/>
        </w:r>
        <w:r w:rsidR="000E1725">
          <w:rPr>
            <w:noProof/>
            <w:webHidden/>
          </w:rPr>
          <w:t>76</w:t>
        </w:r>
        <w:r w:rsidR="00324A55">
          <w:rPr>
            <w:noProof/>
            <w:webHidden/>
          </w:rPr>
          <w:fldChar w:fldCharType="end"/>
        </w:r>
      </w:hyperlink>
    </w:p>
    <w:p w14:paraId="2543B9AE" w14:textId="1AA1F047"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25" w:history="1">
        <w:r w:rsidR="00324A55" w:rsidRPr="000D3BD4">
          <w:rPr>
            <w:rStyle w:val="Hyperlink"/>
            <w:noProof/>
          </w:rPr>
          <w:t>Figure 4.4 Setpoint distribution in several test homes.</w:t>
        </w:r>
        <w:r w:rsidR="00324A55">
          <w:rPr>
            <w:noProof/>
            <w:webHidden/>
          </w:rPr>
          <w:tab/>
        </w:r>
        <w:r w:rsidR="00324A55">
          <w:rPr>
            <w:noProof/>
            <w:webHidden/>
          </w:rPr>
          <w:fldChar w:fldCharType="begin"/>
        </w:r>
        <w:r w:rsidR="00324A55">
          <w:rPr>
            <w:noProof/>
            <w:webHidden/>
          </w:rPr>
          <w:instrText xml:space="preserve"> PAGEREF _Toc141349925 \h </w:instrText>
        </w:r>
        <w:r w:rsidR="00324A55">
          <w:rPr>
            <w:noProof/>
            <w:webHidden/>
          </w:rPr>
        </w:r>
        <w:r w:rsidR="00324A55">
          <w:rPr>
            <w:noProof/>
            <w:webHidden/>
          </w:rPr>
          <w:fldChar w:fldCharType="separate"/>
        </w:r>
        <w:r w:rsidR="000E1725">
          <w:rPr>
            <w:noProof/>
            <w:webHidden/>
          </w:rPr>
          <w:t>77</w:t>
        </w:r>
        <w:r w:rsidR="00324A55">
          <w:rPr>
            <w:noProof/>
            <w:webHidden/>
          </w:rPr>
          <w:fldChar w:fldCharType="end"/>
        </w:r>
      </w:hyperlink>
    </w:p>
    <w:p w14:paraId="323701FB" w14:textId="72104561"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26" w:history="1">
        <w:r w:rsidR="00324A55" w:rsidRPr="000D3BD4">
          <w:rPr>
            <w:rStyle w:val="Hyperlink"/>
            <w:noProof/>
          </w:rPr>
          <w:t>Figure 4.5 Equipment installed at test homes. (a) Smart thermostat. (b) Node sensor. (c) Smart power meter.</w:t>
        </w:r>
        <w:r w:rsidR="00324A55">
          <w:rPr>
            <w:noProof/>
            <w:webHidden/>
          </w:rPr>
          <w:tab/>
        </w:r>
        <w:r w:rsidR="00324A55">
          <w:rPr>
            <w:noProof/>
            <w:webHidden/>
          </w:rPr>
          <w:fldChar w:fldCharType="begin"/>
        </w:r>
        <w:r w:rsidR="00324A55">
          <w:rPr>
            <w:noProof/>
            <w:webHidden/>
          </w:rPr>
          <w:instrText xml:space="preserve"> PAGEREF _Toc141349926 \h </w:instrText>
        </w:r>
        <w:r w:rsidR="00324A55">
          <w:rPr>
            <w:noProof/>
            <w:webHidden/>
          </w:rPr>
        </w:r>
        <w:r w:rsidR="00324A55">
          <w:rPr>
            <w:noProof/>
            <w:webHidden/>
          </w:rPr>
          <w:fldChar w:fldCharType="separate"/>
        </w:r>
        <w:r w:rsidR="000E1725">
          <w:rPr>
            <w:noProof/>
            <w:webHidden/>
          </w:rPr>
          <w:t>79</w:t>
        </w:r>
        <w:r w:rsidR="00324A55">
          <w:rPr>
            <w:noProof/>
            <w:webHidden/>
          </w:rPr>
          <w:fldChar w:fldCharType="end"/>
        </w:r>
      </w:hyperlink>
    </w:p>
    <w:p w14:paraId="0353D5C0" w14:textId="178A8E75"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27" w:history="1">
        <w:r w:rsidR="00324A55" w:rsidRPr="000D3BD4">
          <w:rPr>
            <w:rStyle w:val="Hyperlink"/>
            <w:noProof/>
          </w:rPr>
          <w:t xml:space="preserve">Figure 4.6 Seven consecutive days of MPC-based precooling test results. (a) Smart </w:t>
        </w:r>
        <w:r w:rsidR="00324A55" w:rsidRPr="000D3BD4">
          <w:rPr>
            <w:rStyle w:val="Hyperlink"/>
            <w:noProof/>
          </w:rPr>
          <w:lastRenderedPageBreak/>
          <w:t>thermostat and node sensor measurements. (b) AC signals and TOU rate. (c) Actual weather conditions.</w:t>
        </w:r>
        <w:r w:rsidR="00324A55">
          <w:rPr>
            <w:noProof/>
            <w:webHidden/>
          </w:rPr>
          <w:tab/>
        </w:r>
        <w:r w:rsidR="00324A55">
          <w:rPr>
            <w:noProof/>
            <w:webHidden/>
          </w:rPr>
          <w:fldChar w:fldCharType="begin"/>
        </w:r>
        <w:r w:rsidR="00324A55">
          <w:rPr>
            <w:noProof/>
            <w:webHidden/>
          </w:rPr>
          <w:instrText xml:space="preserve"> PAGEREF _Toc141349927 \h </w:instrText>
        </w:r>
        <w:r w:rsidR="00324A55">
          <w:rPr>
            <w:noProof/>
            <w:webHidden/>
          </w:rPr>
        </w:r>
        <w:r w:rsidR="00324A55">
          <w:rPr>
            <w:noProof/>
            <w:webHidden/>
          </w:rPr>
          <w:fldChar w:fldCharType="separate"/>
        </w:r>
        <w:r w:rsidR="000E1725">
          <w:rPr>
            <w:noProof/>
            <w:webHidden/>
          </w:rPr>
          <w:t>81</w:t>
        </w:r>
        <w:r w:rsidR="00324A55">
          <w:rPr>
            <w:noProof/>
            <w:webHidden/>
          </w:rPr>
          <w:fldChar w:fldCharType="end"/>
        </w:r>
      </w:hyperlink>
    </w:p>
    <w:p w14:paraId="423BD8E1" w14:textId="2D1EBE5F"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28" w:history="1">
        <w:r w:rsidR="00324A55" w:rsidRPr="000D3BD4">
          <w:rPr>
            <w:rStyle w:val="Hyperlink"/>
            <w:noProof/>
          </w:rPr>
          <w:t>Figure 4.7 Weather clustering results in (a) Norman and (b) Miami from July to October</w:t>
        </w:r>
        <w:r w:rsidR="00324A55">
          <w:rPr>
            <w:noProof/>
            <w:webHidden/>
          </w:rPr>
          <w:tab/>
        </w:r>
        <w:r w:rsidR="00324A55">
          <w:rPr>
            <w:noProof/>
            <w:webHidden/>
          </w:rPr>
          <w:fldChar w:fldCharType="begin"/>
        </w:r>
        <w:r w:rsidR="00324A55">
          <w:rPr>
            <w:noProof/>
            <w:webHidden/>
          </w:rPr>
          <w:instrText xml:space="preserve"> PAGEREF _Toc141349928 \h </w:instrText>
        </w:r>
        <w:r w:rsidR="00324A55">
          <w:rPr>
            <w:noProof/>
            <w:webHidden/>
          </w:rPr>
        </w:r>
        <w:r w:rsidR="00324A55">
          <w:rPr>
            <w:noProof/>
            <w:webHidden/>
          </w:rPr>
          <w:fldChar w:fldCharType="separate"/>
        </w:r>
        <w:r w:rsidR="000E1725">
          <w:rPr>
            <w:noProof/>
            <w:webHidden/>
          </w:rPr>
          <w:t>83</w:t>
        </w:r>
        <w:r w:rsidR="00324A55">
          <w:rPr>
            <w:noProof/>
            <w:webHidden/>
          </w:rPr>
          <w:fldChar w:fldCharType="end"/>
        </w:r>
      </w:hyperlink>
    </w:p>
    <w:p w14:paraId="0CFBF713" w14:textId="57B8DBBB"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29" w:history="1">
        <w:r w:rsidR="00324A55" w:rsidRPr="000D3BD4">
          <w:rPr>
            <w:rStyle w:val="Hyperlink"/>
            <w:noProof/>
          </w:rPr>
          <w:t>Figure 4.8 Cost saving summary for each home on hot summer days for normal operation days and MPC operation days.</w:t>
        </w:r>
        <w:r w:rsidR="00324A55">
          <w:rPr>
            <w:noProof/>
            <w:webHidden/>
          </w:rPr>
          <w:tab/>
        </w:r>
        <w:r w:rsidR="00324A55">
          <w:rPr>
            <w:noProof/>
            <w:webHidden/>
          </w:rPr>
          <w:fldChar w:fldCharType="begin"/>
        </w:r>
        <w:r w:rsidR="00324A55">
          <w:rPr>
            <w:noProof/>
            <w:webHidden/>
          </w:rPr>
          <w:instrText xml:space="preserve"> PAGEREF _Toc141349929 \h </w:instrText>
        </w:r>
        <w:r w:rsidR="00324A55">
          <w:rPr>
            <w:noProof/>
            <w:webHidden/>
          </w:rPr>
        </w:r>
        <w:r w:rsidR="00324A55">
          <w:rPr>
            <w:noProof/>
            <w:webHidden/>
          </w:rPr>
          <w:fldChar w:fldCharType="separate"/>
        </w:r>
        <w:r w:rsidR="000E1725">
          <w:rPr>
            <w:noProof/>
            <w:webHidden/>
          </w:rPr>
          <w:t>84</w:t>
        </w:r>
        <w:r w:rsidR="00324A55">
          <w:rPr>
            <w:noProof/>
            <w:webHidden/>
          </w:rPr>
          <w:fldChar w:fldCharType="end"/>
        </w:r>
      </w:hyperlink>
    </w:p>
    <w:p w14:paraId="39425B62" w14:textId="4CFB450B"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30" w:history="1">
        <w:r w:rsidR="00324A55" w:rsidRPr="000D3BD4">
          <w:rPr>
            <w:rStyle w:val="Hyperlink"/>
            <w:noProof/>
          </w:rPr>
          <w:t>Figure 4.9 Cost saving summary for each home on mild summer days for normal operation days and MPC operation days.</w:t>
        </w:r>
        <w:r w:rsidR="00324A55">
          <w:rPr>
            <w:noProof/>
            <w:webHidden/>
          </w:rPr>
          <w:tab/>
        </w:r>
        <w:r w:rsidR="00324A55">
          <w:rPr>
            <w:noProof/>
            <w:webHidden/>
          </w:rPr>
          <w:fldChar w:fldCharType="begin"/>
        </w:r>
        <w:r w:rsidR="00324A55">
          <w:rPr>
            <w:noProof/>
            <w:webHidden/>
          </w:rPr>
          <w:instrText xml:space="preserve"> PAGEREF _Toc141349930 \h </w:instrText>
        </w:r>
        <w:r w:rsidR="00324A55">
          <w:rPr>
            <w:noProof/>
            <w:webHidden/>
          </w:rPr>
        </w:r>
        <w:r w:rsidR="00324A55">
          <w:rPr>
            <w:noProof/>
            <w:webHidden/>
          </w:rPr>
          <w:fldChar w:fldCharType="separate"/>
        </w:r>
        <w:r w:rsidR="000E1725">
          <w:rPr>
            <w:noProof/>
            <w:webHidden/>
          </w:rPr>
          <w:t>85</w:t>
        </w:r>
        <w:r w:rsidR="00324A55">
          <w:rPr>
            <w:noProof/>
            <w:webHidden/>
          </w:rPr>
          <w:fldChar w:fldCharType="end"/>
        </w:r>
      </w:hyperlink>
    </w:p>
    <w:p w14:paraId="41B8A361" w14:textId="0656DE78"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31" w:history="1">
        <w:r w:rsidR="00324A55" w:rsidRPr="000D3BD4">
          <w:rPr>
            <w:rStyle w:val="Hyperlink"/>
            <w:noProof/>
          </w:rPr>
          <w:t>Figure 4.10 Flexibility factors during the entire test period except for extreme days</w:t>
        </w:r>
        <w:r w:rsidR="00324A55">
          <w:rPr>
            <w:noProof/>
            <w:webHidden/>
          </w:rPr>
          <w:tab/>
        </w:r>
        <w:r w:rsidR="00324A55">
          <w:rPr>
            <w:noProof/>
            <w:webHidden/>
          </w:rPr>
          <w:fldChar w:fldCharType="begin"/>
        </w:r>
        <w:r w:rsidR="00324A55">
          <w:rPr>
            <w:noProof/>
            <w:webHidden/>
          </w:rPr>
          <w:instrText xml:space="preserve"> PAGEREF _Toc141349931 \h </w:instrText>
        </w:r>
        <w:r w:rsidR="00324A55">
          <w:rPr>
            <w:noProof/>
            <w:webHidden/>
          </w:rPr>
        </w:r>
        <w:r w:rsidR="00324A55">
          <w:rPr>
            <w:noProof/>
            <w:webHidden/>
          </w:rPr>
          <w:fldChar w:fldCharType="separate"/>
        </w:r>
        <w:r w:rsidR="000E1725">
          <w:rPr>
            <w:noProof/>
            <w:webHidden/>
          </w:rPr>
          <w:t>87</w:t>
        </w:r>
        <w:r w:rsidR="00324A55">
          <w:rPr>
            <w:noProof/>
            <w:webHidden/>
          </w:rPr>
          <w:fldChar w:fldCharType="end"/>
        </w:r>
      </w:hyperlink>
    </w:p>
    <w:p w14:paraId="6360A5D7" w14:textId="3EE800A1"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32" w:history="1">
        <w:r w:rsidR="00324A55" w:rsidRPr="000D3BD4">
          <w:rPr>
            <w:rStyle w:val="Hyperlink"/>
            <w:noProof/>
          </w:rPr>
          <w:t>Figure 4.11 MPC agent performance assessment: (a) FF versus floor area in Norman test homes (b) distribution of FF for different temperature bands in the Lab House (c) average FF for different refrigerant charging conditions in the Lab House</w:t>
        </w:r>
        <w:r w:rsidR="00324A55">
          <w:rPr>
            <w:noProof/>
            <w:webHidden/>
          </w:rPr>
          <w:tab/>
        </w:r>
        <w:r w:rsidR="00324A55">
          <w:rPr>
            <w:noProof/>
            <w:webHidden/>
          </w:rPr>
          <w:fldChar w:fldCharType="begin"/>
        </w:r>
        <w:r w:rsidR="00324A55">
          <w:rPr>
            <w:noProof/>
            <w:webHidden/>
          </w:rPr>
          <w:instrText xml:space="preserve"> PAGEREF _Toc141349932 \h </w:instrText>
        </w:r>
        <w:r w:rsidR="00324A55">
          <w:rPr>
            <w:noProof/>
            <w:webHidden/>
          </w:rPr>
        </w:r>
        <w:r w:rsidR="00324A55">
          <w:rPr>
            <w:noProof/>
            <w:webHidden/>
          </w:rPr>
          <w:fldChar w:fldCharType="separate"/>
        </w:r>
        <w:r w:rsidR="000E1725">
          <w:rPr>
            <w:noProof/>
            <w:webHidden/>
          </w:rPr>
          <w:t>89</w:t>
        </w:r>
        <w:r w:rsidR="00324A55">
          <w:rPr>
            <w:noProof/>
            <w:webHidden/>
          </w:rPr>
          <w:fldChar w:fldCharType="end"/>
        </w:r>
      </w:hyperlink>
    </w:p>
    <w:p w14:paraId="0DC70EA3" w14:textId="1F6D89F8"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33" w:history="1">
        <w:r w:rsidR="00324A55" w:rsidRPr="000D3BD4">
          <w:rPr>
            <w:rStyle w:val="Hyperlink"/>
            <w:noProof/>
          </w:rPr>
          <w:t>Figure 4.12 Energy model built for the Lab House in Norman, Oklahoma</w:t>
        </w:r>
        <w:r w:rsidR="00324A55">
          <w:rPr>
            <w:noProof/>
            <w:webHidden/>
          </w:rPr>
          <w:tab/>
        </w:r>
        <w:r w:rsidR="00324A55">
          <w:rPr>
            <w:noProof/>
            <w:webHidden/>
          </w:rPr>
          <w:fldChar w:fldCharType="begin"/>
        </w:r>
        <w:r w:rsidR="00324A55">
          <w:rPr>
            <w:noProof/>
            <w:webHidden/>
          </w:rPr>
          <w:instrText xml:space="preserve"> PAGEREF _Toc141349933 \h </w:instrText>
        </w:r>
        <w:r w:rsidR="00324A55">
          <w:rPr>
            <w:noProof/>
            <w:webHidden/>
          </w:rPr>
        </w:r>
        <w:r w:rsidR="00324A55">
          <w:rPr>
            <w:noProof/>
            <w:webHidden/>
          </w:rPr>
          <w:fldChar w:fldCharType="separate"/>
        </w:r>
        <w:r w:rsidR="000E1725">
          <w:rPr>
            <w:noProof/>
            <w:webHidden/>
          </w:rPr>
          <w:t>92</w:t>
        </w:r>
        <w:r w:rsidR="00324A55">
          <w:rPr>
            <w:noProof/>
            <w:webHidden/>
          </w:rPr>
          <w:fldChar w:fldCharType="end"/>
        </w:r>
      </w:hyperlink>
    </w:p>
    <w:p w14:paraId="28893B6A" w14:textId="25BD8681"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34" w:history="1">
        <w:r w:rsidR="00324A55" w:rsidRPr="000D3BD4">
          <w:rPr>
            <w:rStyle w:val="Hyperlink"/>
            <w:noProof/>
          </w:rPr>
          <w:t>Figure 4.13 Proposed Erl for on/off control with deadband</w:t>
        </w:r>
        <w:r w:rsidR="00324A55">
          <w:rPr>
            <w:noProof/>
            <w:webHidden/>
          </w:rPr>
          <w:tab/>
        </w:r>
        <w:r w:rsidR="00324A55">
          <w:rPr>
            <w:noProof/>
            <w:webHidden/>
          </w:rPr>
          <w:fldChar w:fldCharType="begin"/>
        </w:r>
        <w:r w:rsidR="00324A55">
          <w:rPr>
            <w:noProof/>
            <w:webHidden/>
          </w:rPr>
          <w:instrText xml:space="preserve"> PAGEREF _Toc141349934 \h </w:instrText>
        </w:r>
        <w:r w:rsidR="00324A55">
          <w:rPr>
            <w:noProof/>
            <w:webHidden/>
          </w:rPr>
        </w:r>
        <w:r w:rsidR="00324A55">
          <w:rPr>
            <w:noProof/>
            <w:webHidden/>
          </w:rPr>
          <w:fldChar w:fldCharType="separate"/>
        </w:r>
        <w:r w:rsidR="000E1725">
          <w:rPr>
            <w:noProof/>
            <w:webHidden/>
          </w:rPr>
          <w:t>94</w:t>
        </w:r>
        <w:r w:rsidR="00324A55">
          <w:rPr>
            <w:noProof/>
            <w:webHidden/>
          </w:rPr>
          <w:fldChar w:fldCharType="end"/>
        </w:r>
      </w:hyperlink>
    </w:p>
    <w:p w14:paraId="33B90DD3" w14:textId="4371822F"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35" w:history="1">
        <w:r w:rsidR="00324A55" w:rsidRPr="000D3BD4">
          <w:rPr>
            <w:rStyle w:val="Hyperlink"/>
            <w:noProof/>
          </w:rPr>
          <w:t>Figure 4.14 Indoor air temperature comparison between actual smart thermostat measurement and EnergyPlus simulation</w:t>
        </w:r>
        <w:r w:rsidR="00324A55">
          <w:rPr>
            <w:noProof/>
            <w:webHidden/>
          </w:rPr>
          <w:tab/>
        </w:r>
        <w:r w:rsidR="00324A55">
          <w:rPr>
            <w:noProof/>
            <w:webHidden/>
          </w:rPr>
          <w:fldChar w:fldCharType="begin"/>
        </w:r>
        <w:r w:rsidR="00324A55">
          <w:rPr>
            <w:noProof/>
            <w:webHidden/>
          </w:rPr>
          <w:instrText xml:space="preserve"> PAGEREF _Toc141349935 \h </w:instrText>
        </w:r>
        <w:r w:rsidR="00324A55">
          <w:rPr>
            <w:noProof/>
            <w:webHidden/>
          </w:rPr>
        </w:r>
        <w:r w:rsidR="00324A55">
          <w:rPr>
            <w:noProof/>
            <w:webHidden/>
          </w:rPr>
          <w:fldChar w:fldCharType="separate"/>
        </w:r>
        <w:r w:rsidR="000E1725">
          <w:rPr>
            <w:noProof/>
            <w:webHidden/>
          </w:rPr>
          <w:t>95</w:t>
        </w:r>
        <w:r w:rsidR="00324A55">
          <w:rPr>
            <w:noProof/>
            <w:webHidden/>
          </w:rPr>
          <w:fldChar w:fldCharType="end"/>
        </w:r>
      </w:hyperlink>
    </w:p>
    <w:p w14:paraId="5D5439F5" w14:textId="25A839AE"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36" w:history="1">
        <w:r w:rsidR="00324A55" w:rsidRPr="000D3BD4">
          <w:rPr>
            <w:rStyle w:val="Hyperlink"/>
            <w:noProof/>
          </w:rPr>
          <w:t>Figure 4.15 Daily energy consumption comparison with outdoor air temperature</w:t>
        </w:r>
        <w:r w:rsidR="00324A55">
          <w:rPr>
            <w:noProof/>
            <w:webHidden/>
          </w:rPr>
          <w:tab/>
        </w:r>
        <w:r w:rsidR="00324A55">
          <w:rPr>
            <w:noProof/>
            <w:webHidden/>
          </w:rPr>
          <w:fldChar w:fldCharType="begin"/>
        </w:r>
        <w:r w:rsidR="00324A55">
          <w:rPr>
            <w:noProof/>
            <w:webHidden/>
          </w:rPr>
          <w:instrText xml:space="preserve"> PAGEREF _Toc141349936 \h </w:instrText>
        </w:r>
        <w:r w:rsidR="00324A55">
          <w:rPr>
            <w:noProof/>
            <w:webHidden/>
          </w:rPr>
        </w:r>
        <w:r w:rsidR="00324A55">
          <w:rPr>
            <w:noProof/>
            <w:webHidden/>
          </w:rPr>
          <w:fldChar w:fldCharType="separate"/>
        </w:r>
        <w:r w:rsidR="000E1725">
          <w:rPr>
            <w:noProof/>
            <w:webHidden/>
          </w:rPr>
          <w:t>96</w:t>
        </w:r>
        <w:r w:rsidR="00324A55">
          <w:rPr>
            <w:noProof/>
            <w:webHidden/>
          </w:rPr>
          <w:fldChar w:fldCharType="end"/>
        </w:r>
      </w:hyperlink>
    </w:p>
    <w:p w14:paraId="034051D6" w14:textId="06D8BD70"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37" w:history="1">
        <w:r w:rsidR="00324A55" w:rsidRPr="000D3BD4">
          <w:rPr>
            <w:rStyle w:val="Hyperlink"/>
            <w:noProof/>
          </w:rPr>
          <w:t>Figure 4.16 MPC-based precooling control through Python plugin and EnergyPlus virtual testbed.</w:t>
        </w:r>
        <w:r w:rsidR="00324A55">
          <w:rPr>
            <w:noProof/>
            <w:webHidden/>
          </w:rPr>
          <w:tab/>
        </w:r>
        <w:r w:rsidR="00324A55">
          <w:rPr>
            <w:noProof/>
            <w:webHidden/>
          </w:rPr>
          <w:fldChar w:fldCharType="begin"/>
        </w:r>
        <w:r w:rsidR="00324A55">
          <w:rPr>
            <w:noProof/>
            <w:webHidden/>
          </w:rPr>
          <w:instrText xml:space="preserve"> PAGEREF _Toc141349937 \h </w:instrText>
        </w:r>
        <w:r w:rsidR="00324A55">
          <w:rPr>
            <w:noProof/>
            <w:webHidden/>
          </w:rPr>
        </w:r>
        <w:r w:rsidR="00324A55">
          <w:rPr>
            <w:noProof/>
            <w:webHidden/>
          </w:rPr>
          <w:fldChar w:fldCharType="separate"/>
        </w:r>
        <w:r w:rsidR="000E1725">
          <w:rPr>
            <w:noProof/>
            <w:webHidden/>
          </w:rPr>
          <w:t>98</w:t>
        </w:r>
        <w:r w:rsidR="00324A55">
          <w:rPr>
            <w:noProof/>
            <w:webHidden/>
          </w:rPr>
          <w:fldChar w:fldCharType="end"/>
        </w:r>
      </w:hyperlink>
    </w:p>
    <w:p w14:paraId="55902C73" w14:textId="3A935D31"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38" w:history="1">
        <w:r w:rsidR="00324A55" w:rsidRPr="000D3BD4">
          <w:rPr>
            <w:rStyle w:val="Hyperlink"/>
            <w:noProof/>
          </w:rPr>
          <w:t xml:space="preserve">Figure 4.17 An example of a 2R2C model, a </w:t>
        </w:r>
        <m:oMath>
          <m:r>
            <m:rPr>
              <m:sty m:val="p"/>
            </m:rPr>
            <w:rPr>
              <w:rStyle w:val="Hyperlink"/>
              <w:rFonts w:ascii="Cambria Math" w:hAnsi="Cambria Math"/>
              <w:noProof/>
            </w:rPr>
            <m:t>2R2CreduceAC</m:t>
          </m:r>
        </m:oMath>
        <w:r w:rsidR="00324A55" w:rsidRPr="000D3BD4">
          <w:rPr>
            <w:rStyle w:val="Hyperlink"/>
            <w:noProof/>
          </w:rPr>
          <w:t xml:space="preserve"> model, and a </w:t>
        </w:r>
        <m:oMath>
          <m:r>
            <m:rPr>
              <m:sty m:val="p"/>
            </m:rPr>
            <w:rPr>
              <w:rStyle w:val="Hyperlink"/>
              <w:rFonts w:ascii="Cambria Math" w:hAnsi="Cambria Math"/>
              <w:noProof/>
            </w:rPr>
            <w:lastRenderedPageBreak/>
            <m:t xml:space="preserve">2R2Creduceτ </m:t>
          </m:r>
        </m:oMath>
        <w:r w:rsidR="00324A55" w:rsidRPr="000D3BD4">
          <w:rPr>
            <w:rStyle w:val="Hyperlink"/>
            <w:noProof/>
          </w:rPr>
          <w:t xml:space="preserve"> model simulation results compared with the EnergyPlus outputs. (a) Indoor air temperature results. (b) Interior wall surface temperature results. (c) AC impact and reduced AC impact to the home thermal dynamics.</w:t>
        </w:r>
        <w:r w:rsidR="00324A55">
          <w:rPr>
            <w:noProof/>
            <w:webHidden/>
          </w:rPr>
          <w:tab/>
        </w:r>
        <w:r w:rsidR="00324A55">
          <w:rPr>
            <w:noProof/>
            <w:webHidden/>
          </w:rPr>
          <w:fldChar w:fldCharType="begin"/>
        </w:r>
        <w:r w:rsidR="00324A55">
          <w:rPr>
            <w:noProof/>
            <w:webHidden/>
          </w:rPr>
          <w:instrText xml:space="preserve"> PAGEREF _Toc141349938 \h </w:instrText>
        </w:r>
        <w:r w:rsidR="00324A55">
          <w:rPr>
            <w:noProof/>
            <w:webHidden/>
          </w:rPr>
        </w:r>
        <w:r w:rsidR="00324A55">
          <w:rPr>
            <w:noProof/>
            <w:webHidden/>
          </w:rPr>
          <w:fldChar w:fldCharType="separate"/>
        </w:r>
        <w:r w:rsidR="000E1725">
          <w:rPr>
            <w:noProof/>
            <w:webHidden/>
          </w:rPr>
          <w:t>100</w:t>
        </w:r>
        <w:r w:rsidR="00324A55">
          <w:rPr>
            <w:noProof/>
            <w:webHidden/>
          </w:rPr>
          <w:fldChar w:fldCharType="end"/>
        </w:r>
      </w:hyperlink>
    </w:p>
    <w:p w14:paraId="170609FB" w14:textId="1B2FCD7F"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39" w:history="1">
        <w:r w:rsidR="00324A55" w:rsidRPr="000D3BD4">
          <w:rPr>
            <w:rStyle w:val="Hyperlink"/>
            <w:noProof/>
          </w:rPr>
          <w:t>Figure 4.18 MPC-based precooling test result on August 6 at virtual testbed</w:t>
        </w:r>
        <w:r w:rsidR="00324A55">
          <w:rPr>
            <w:noProof/>
            <w:webHidden/>
          </w:rPr>
          <w:tab/>
        </w:r>
        <w:r w:rsidR="00324A55">
          <w:rPr>
            <w:noProof/>
            <w:webHidden/>
          </w:rPr>
          <w:fldChar w:fldCharType="begin"/>
        </w:r>
        <w:r w:rsidR="00324A55">
          <w:rPr>
            <w:noProof/>
            <w:webHidden/>
          </w:rPr>
          <w:instrText xml:space="preserve"> PAGEREF _Toc141349939 \h </w:instrText>
        </w:r>
        <w:r w:rsidR="00324A55">
          <w:rPr>
            <w:noProof/>
            <w:webHidden/>
          </w:rPr>
        </w:r>
        <w:r w:rsidR="00324A55">
          <w:rPr>
            <w:noProof/>
            <w:webHidden/>
          </w:rPr>
          <w:fldChar w:fldCharType="separate"/>
        </w:r>
        <w:r w:rsidR="000E1725">
          <w:rPr>
            <w:noProof/>
            <w:webHidden/>
          </w:rPr>
          <w:t>101</w:t>
        </w:r>
        <w:r w:rsidR="00324A55">
          <w:rPr>
            <w:noProof/>
            <w:webHidden/>
          </w:rPr>
          <w:fldChar w:fldCharType="end"/>
        </w:r>
      </w:hyperlink>
    </w:p>
    <w:p w14:paraId="5DB99043" w14:textId="43FA5DED"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40" w:history="1">
        <w:r w:rsidR="00324A55" w:rsidRPr="000D3BD4">
          <w:rPr>
            <w:rStyle w:val="Hyperlink"/>
            <w:noProof/>
          </w:rPr>
          <w:t>Figure 4.19 Sensitivity analysis on optimization horizon in terms of cost saving with forecasted weather and with perfect weather.</w:t>
        </w:r>
        <w:r w:rsidR="00324A55">
          <w:rPr>
            <w:noProof/>
            <w:webHidden/>
          </w:rPr>
          <w:tab/>
        </w:r>
        <w:r w:rsidR="00324A55">
          <w:rPr>
            <w:noProof/>
            <w:webHidden/>
          </w:rPr>
          <w:fldChar w:fldCharType="begin"/>
        </w:r>
        <w:r w:rsidR="00324A55">
          <w:rPr>
            <w:noProof/>
            <w:webHidden/>
          </w:rPr>
          <w:instrText xml:space="preserve"> PAGEREF _Toc141349940 \h </w:instrText>
        </w:r>
        <w:r w:rsidR="00324A55">
          <w:rPr>
            <w:noProof/>
            <w:webHidden/>
          </w:rPr>
        </w:r>
        <w:r w:rsidR="00324A55">
          <w:rPr>
            <w:noProof/>
            <w:webHidden/>
          </w:rPr>
          <w:fldChar w:fldCharType="separate"/>
        </w:r>
        <w:r w:rsidR="000E1725">
          <w:rPr>
            <w:noProof/>
            <w:webHidden/>
          </w:rPr>
          <w:t>102</w:t>
        </w:r>
        <w:r w:rsidR="00324A55">
          <w:rPr>
            <w:noProof/>
            <w:webHidden/>
          </w:rPr>
          <w:fldChar w:fldCharType="end"/>
        </w:r>
      </w:hyperlink>
    </w:p>
    <w:p w14:paraId="32E04F61" w14:textId="45397AED"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41" w:history="1">
        <w:r w:rsidR="00324A55" w:rsidRPr="000D3BD4">
          <w:rPr>
            <w:rStyle w:val="Hyperlink"/>
            <w:noProof/>
          </w:rPr>
          <w:t>Figure 4.20 Ablation study using cumulative AC operation cost: compare ideal case (bold green) to baseline case (dashed black) and five different ablations.</w:t>
        </w:r>
        <w:r w:rsidR="00324A55">
          <w:rPr>
            <w:noProof/>
            <w:webHidden/>
          </w:rPr>
          <w:tab/>
        </w:r>
        <w:r w:rsidR="00324A55">
          <w:rPr>
            <w:noProof/>
            <w:webHidden/>
          </w:rPr>
          <w:fldChar w:fldCharType="begin"/>
        </w:r>
        <w:r w:rsidR="00324A55">
          <w:rPr>
            <w:noProof/>
            <w:webHidden/>
          </w:rPr>
          <w:instrText xml:space="preserve"> PAGEREF _Toc141349941 \h </w:instrText>
        </w:r>
        <w:r w:rsidR="00324A55">
          <w:rPr>
            <w:noProof/>
            <w:webHidden/>
          </w:rPr>
        </w:r>
        <w:r w:rsidR="00324A55">
          <w:rPr>
            <w:noProof/>
            <w:webHidden/>
          </w:rPr>
          <w:fldChar w:fldCharType="separate"/>
        </w:r>
        <w:r w:rsidR="000E1725">
          <w:rPr>
            <w:noProof/>
            <w:webHidden/>
          </w:rPr>
          <w:t>104</w:t>
        </w:r>
        <w:r w:rsidR="00324A55">
          <w:rPr>
            <w:noProof/>
            <w:webHidden/>
          </w:rPr>
          <w:fldChar w:fldCharType="end"/>
        </w:r>
      </w:hyperlink>
    </w:p>
    <w:p w14:paraId="62520B70" w14:textId="778CE9D3"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42" w:history="1">
        <w:r w:rsidR="00324A55" w:rsidRPr="000D3BD4">
          <w:rPr>
            <w:rStyle w:val="Hyperlink"/>
            <w:noProof/>
          </w:rPr>
          <w:t>Figure 4.21 Performance comparison using cumulative AC operation cost: compare baseline case (bold black) to idea case (dashed green) and five different cases between them.</w:t>
        </w:r>
        <w:r w:rsidR="00324A55">
          <w:rPr>
            <w:noProof/>
            <w:webHidden/>
          </w:rPr>
          <w:tab/>
        </w:r>
        <w:r w:rsidR="00324A55">
          <w:rPr>
            <w:noProof/>
            <w:webHidden/>
          </w:rPr>
          <w:fldChar w:fldCharType="begin"/>
        </w:r>
        <w:r w:rsidR="00324A55">
          <w:rPr>
            <w:noProof/>
            <w:webHidden/>
          </w:rPr>
          <w:instrText xml:space="preserve"> PAGEREF _Toc141349942 \h </w:instrText>
        </w:r>
        <w:r w:rsidR="00324A55">
          <w:rPr>
            <w:noProof/>
            <w:webHidden/>
          </w:rPr>
        </w:r>
        <w:r w:rsidR="00324A55">
          <w:rPr>
            <w:noProof/>
            <w:webHidden/>
          </w:rPr>
          <w:fldChar w:fldCharType="separate"/>
        </w:r>
        <w:r w:rsidR="000E1725">
          <w:rPr>
            <w:noProof/>
            <w:webHidden/>
          </w:rPr>
          <w:t>104</w:t>
        </w:r>
        <w:r w:rsidR="00324A55">
          <w:rPr>
            <w:noProof/>
            <w:webHidden/>
          </w:rPr>
          <w:fldChar w:fldCharType="end"/>
        </w:r>
      </w:hyperlink>
    </w:p>
    <w:p w14:paraId="008DA14E" w14:textId="54235577"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43" w:history="1">
        <w:r w:rsidR="00324A55" w:rsidRPr="000D3BD4">
          <w:rPr>
            <w:rStyle w:val="Hyperlink"/>
            <w:noProof/>
          </w:rPr>
          <w:t>Figure 5.1 Three different types of PV Systemsm: Off-grid (left), Grid-tie (middle), and Hybrid System (right).</w:t>
        </w:r>
        <w:r w:rsidR="00324A55">
          <w:rPr>
            <w:noProof/>
            <w:webHidden/>
          </w:rPr>
          <w:tab/>
        </w:r>
        <w:r w:rsidR="00324A55">
          <w:rPr>
            <w:noProof/>
            <w:webHidden/>
          </w:rPr>
          <w:fldChar w:fldCharType="begin"/>
        </w:r>
        <w:r w:rsidR="00324A55">
          <w:rPr>
            <w:noProof/>
            <w:webHidden/>
          </w:rPr>
          <w:instrText xml:space="preserve"> PAGEREF _Toc141349943 \h </w:instrText>
        </w:r>
        <w:r w:rsidR="00324A55">
          <w:rPr>
            <w:noProof/>
            <w:webHidden/>
          </w:rPr>
        </w:r>
        <w:r w:rsidR="00324A55">
          <w:rPr>
            <w:noProof/>
            <w:webHidden/>
          </w:rPr>
          <w:fldChar w:fldCharType="separate"/>
        </w:r>
        <w:r w:rsidR="000E1725">
          <w:rPr>
            <w:noProof/>
            <w:webHidden/>
          </w:rPr>
          <w:t>109</w:t>
        </w:r>
        <w:r w:rsidR="00324A55">
          <w:rPr>
            <w:noProof/>
            <w:webHidden/>
          </w:rPr>
          <w:fldChar w:fldCharType="end"/>
        </w:r>
      </w:hyperlink>
    </w:p>
    <w:p w14:paraId="5471EA1A" w14:textId="12212610"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44" w:history="1">
        <w:r w:rsidR="00324A55" w:rsidRPr="000D3BD4">
          <w:rPr>
            <w:rStyle w:val="Hyperlink"/>
            <w:rFonts w:ascii="Times" w:hAnsi="Times"/>
            <w:noProof/>
          </w:rPr>
          <w:t>Figure 5.2 An example of ATUS dataset.</w:t>
        </w:r>
        <w:r w:rsidR="00324A55">
          <w:rPr>
            <w:noProof/>
            <w:webHidden/>
          </w:rPr>
          <w:tab/>
        </w:r>
        <w:r w:rsidR="00324A55">
          <w:rPr>
            <w:noProof/>
            <w:webHidden/>
          </w:rPr>
          <w:fldChar w:fldCharType="begin"/>
        </w:r>
        <w:r w:rsidR="00324A55">
          <w:rPr>
            <w:noProof/>
            <w:webHidden/>
          </w:rPr>
          <w:instrText xml:space="preserve"> PAGEREF _Toc141349944 \h </w:instrText>
        </w:r>
        <w:r w:rsidR="00324A55">
          <w:rPr>
            <w:noProof/>
            <w:webHidden/>
          </w:rPr>
        </w:r>
        <w:r w:rsidR="00324A55">
          <w:rPr>
            <w:noProof/>
            <w:webHidden/>
          </w:rPr>
          <w:fldChar w:fldCharType="separate"/>
        </w:r>
        <w:r w:rsidR="000E1725">
          <w:rPr>
            <w:noProof/>
            <w:webHidden/>
          </w:rPr>
          <w:t>122</w:t>
        </w:r>
        <w:r w:rsidR="00324A55">
          <w:rPr>
            <w:noProof/>
            <w:webHidden/>
          </w:rPr>
          <w:fldChar w:fldCharType="end"/>
        </w:r>
      </w:hyperlink>
    </w:p>
    <w:p w14:paraId="312ECD33" w14:textId="3B4ADFF8"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45" w:history="1">
        <w:r w:rsidR="00324A55" w:rsidRPr="000D3BD4">
          <w:rPr>
            <w:rStyle w:val="Hyperlink"/>
            <w:noProof/>
          </w:rPr>
          <w:t>Figure 5.3 Example of the probability density function of (a) Kitchen clean up and (b) Laundry.</w:t>
        </w:r>
        <w:r w:rsidR="00324A55">
          <w:rPr>
            <w:noProof/>
            <w:webHidden/>
          </w:rPr>
          <w:tab/>
        </w:r>
        <w:r w:rsidR="00324A55">
          <w:rPr>
            <w:noProof/>
            <w:webHidden/>
          </w:rPr>
          <w:fldChar w:fldCharType="begin"/>
        </w:r>
        <w:r w:rsidR="00324A55">
          <w:rPr>
            <w:noProof/>
            <w:webHidden/>
          </w:rPr>
          <w:instrText xml:space="preserve"> PAGEREF _Toc141349945 \h </w:instrText>
        </w:r>
        <w:r w:rsidR="00324A55">
          <w:rPr>
            <w:noProof/>
            <w:webHidden/>
          </w:rPr>
        </w:r>
        <w:r w:rsidR="00324A55">
          <w:rPr>
            <w:noProof/>
            <w:webHidden/>
          </w:rPr>
          <w:fldChar w:fldCharType="separate"/>
        </w:r>
        <w:r w:rsidR="000E1725">
          <w:rPr>
            <w:noProof/>
            <w:webHidden/>
          </w:rPr>
          <w:t>123</w:t>
        </w:r>
        <w:r w:rsidR="00324A55">
          <w:rPr>
            <w:noProof/>
            <w:webHidden/>
          </w:rPr>
          <w:fldChar w:fldCharType="end"/>
        </w:r>
      </w:hyperlink>
    </w:p>
    <w:p w14:paraId="6B82F617" w14:textId="1FF47C95"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46" w:history="1">
        <w:r w:rsidR="00324A55" w:rsidRPr="000D3BD4">
          <w:rPr>
            <w:rStyle w:val="Hyperlink"/>
            <w:noProof/>
          </w:rPr>
          <w:t xml:space="preserve">Figure 5.4 Hot water usage data collected from a single-family water heater </w:t>
        </w:r>
        <w:r w:rsidR="00324A55" w:rsidRPr="000D3BD4">
          <w:rPr>
            <w:rStyle w:val="Hyperlink"/>
            <w:rFonts w:cs="Times"/>
            <w:noProof/>
          </w:rPr>
          <w:t>[139]</w:t>
        </w:r>
        <w:r w:rsidR="00324A55" w:rsidRPr="000D3BD4">
          <w:rPr>
            <w:rStyle w:val="Hyperlink"/>
            <w:noProof/>
          </w:rPr>
          <w:t>.</w:t>
        </w:r>
        <w:r w:rsidR="00324A55">
          <w:rPr>
            <w:noProof/>
            <w:webHidden/>
          </w:rPr>
          <w:tab/>
        </w:r>
        <w:r w:rsidR="00324A55">
          <w:rPr>
            <w:noProof/>
            <w:webHidden/>
          </w:rPr>
          <w:fldChar w:fldCharType="begin"/>
        </w:r>
        <w:r w:rsidR="00324A55">
          <w:rPr>
            <w:noProof/>
            <w:webHidden/>
          </w:rPr>
          <w:instrText xml:space="preserve"> PAGEREF _Toc141349946 \h </w:instrText>
        </w:r>
        <w:r w:rsidR="00324A55">
          <w:rPr>
            <w:noProof/>
            <w:webHidden/>
          </w:rPr>
        </w:r>
        <w:r w:rsidR="00324A55">
          <w:rPr>
            <w:noProof/>
            <w:webHidden/>
          </w:rPr>
          <w:fldChar w:fldCharType="separate"/>
        </w:r>
        <w:r w:rsidR="000E1725">
          <w:rPr>
            <w:noProof/>
            <w:webHidden/>
          </w:rPr>
          <w:t>124</w:t>
        </w:r>
        <w:r w:rsidR="00324A55">
          <w:rPr>
            <w:noProof/>
            <w:webHidden/>
          </w:rPr>
          <w:fldChar w:fldCharType="end"/>
        </w:r>
      </w:hyperlink>
    </w:p>
    <w:p w14:paraId="1A27C505" w14:textId="46F8557E"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47" w:history="1">
        <w:r w:rsidR="00324A55" w:rsidRPr="000D3BD4">
          <w:rPr>
            <w:rStyle w:val="Hyperlink"/>
            <w:noProof/>
          </w:rPr>
          <w:t>Figure 5.5 Comfort reward examples.</w:t>
        </w:r>
        <w:r w:rsidR="00324A55">
          <w:rPr>
            <w:noProof/>
            <w:webHidden/>
          </w:rPr>
          <w:tab/>
        </w:r>
        <w:r w:rsidR="00324A55">
          <w:rPr>
            <w:noProof/>
            <w:webHidden/>
          </w:rPr>
          <w:fldChar w:fldCharType="begin"/>
        </w:r>
        <w:r w:rsidR="00324A55">
          <w:rPr>
            <w:noProof/>
            <w:webHidden/>
          </w:rPr>
          <w:instrText xml:space="preserve"> PAGEREF _Toc141349947 \h </w:instrText>
        </w:r>
        <w:r w:rsidR="00324A55">
          <w:rPr>
            <w:noProof/>
            <w:webHidden/>
          </w:rPr>
        </w:r>
        <w:r w:rsidR="00324A55">
          <w:rPr>
            <w:noProof/>
            <w:webHidden/>
          </w:rPr>
          <w:fldChar w:fldCharType="separate"/>
        </w:r>
        <w:r w:rsidR="000E1725">
          <w:rPr>
            <w:noProof/>
            <w:webHidden/>
          </w:rPr>
          <w:t>126</w:t>
        </w:r>
        <w:r w:rsidR="00324A55">
          <w:rPr>
            <w:noProof/>
            <w:webHidden/>
          </w:rPr>
          <w:fldChar w:fldCharType="end"/>
        </w:r>
      </w:hyperlink>
    </w:p>
    <w:p w14:paraId="02BE239E" w14:textId="29032F53"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48" w:history="1">
        <w:r w:rsidR="00324A55" w:rsidRPr="000D3BD4">
          <w:rPr>
            <w:rStyle w:val="Hyperlink"/>
            <w:noProof/>
          </w:rPr>
          <w:t>Figure 5.6 Hot water usage profiles (a) hot water usage profile from July to August (b) most representative hot water usage 24-hour profile.</w:t>
        </w:r>
        <w:r w:rsidR="00324A55">
          <w:rPr>
            <w:noProof/>
            <w:webHidden/>
          </w:rPr>
          <w:tab/>
        </w:r>
        <w:r w:rsidR="00324A55">
          <w:rPr>
            <w:noProof/>
            <w:webHidden/>
          </w:rPr>
          <w:fldChar w:fldCharType="begin"/>
        </w:r>
        <w:r w:rsidR="00324A55">
          <w:rPr>
            <w:noProof/>
            <w:webHidden/>
          </w:rPr>
          <w:instrText xml:space="preserve"> PAGEREF _Toc141349948 \h </w:instrText>
        </w:r>
        <w:r w:rsidR="00324A55">
          <w:rPr>
            <w:noProof/>
            <w:webHidden/>
          </w:rPr>
        </w:r>
        <w:r w:rsidR="00324A55">
          <w:rPr>
            <w:noProof/>
            <w:webHidden/>
          </w:rPr>
          <w:fldChar w:fldCharType="separate"/>
        </w:r>
        <w:r w:rsidR="000E1725">
          <w:rPr>
            <w:noProof/>
            <w:webHidden/>
          </w:rPr>
          <w:t>131</w:t>
        </w:r>
        <w:r w:rsidR="00324A55">
          <w:rPr>
            <w:noProof/>
            <w:webHidden/>
          </w:rPr>
          <w:fldChar w:fldCharType="end"/>
        </w:r>
      </w:hyperlink>
    </w:p>
    <w:p w14:paraId="53690CDC" w14:textId="4F82CF71"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49" w:history="1">
        <w:r w:rsidR="00324A55" w:rsidRPr="000D3BD4">
          <w:rPr>
            <w:rStyle w:val="Hyperlink"/>
            <w:noProof/>
          </w:rPr>
          <w:t>Figure 5.7 Baseline operation of five appliances on August 7.</w:t>
        </w:r>
        <w:r w:rsidR="00324A55">
          <w:rPr>
            <w:noProof/>
            <w:webHidden/>
          </w:rPr>
          <w:tab/>
        </w:r>
        <w:r w:rsidR="00324A55">
          <w:rPr>
            <w:noProof/>
            <w:webHidden/>
          </w:rPr>
          <w:fldChar w:fldCharType="begin"/>
        </w:r>
        <w:r w:rsidR="00324A55">
          <w:rPr>
            <w:noProof/>
            <w:webHidden/>
          </w:rPr>
          <w:instrText xml:space="preserve"> PAGEREF _Toc141349949 \h </w:instrText>
        </w:r>
        <w:r w:rsidR="00324A55">
          <w:rPr>
            <w:noProof/>
            <w:webHidden/>
          </w:rPr>
        </w:r>
        <w:r w:rsidR="00324A55">
          <w:rPr>
            <w:noProof/>
            <w:webHidden/>
          </w:rPr>
          <w:fldChar w:fldCharType="separate"/>
        </w:r>
        <w:r w:rsidR="000E1725">
          <w:rPr>
            <w:noProof/>
            <w:webHidden/>
          </w:rPr>
          <w:t>134</w:t>
        </w:r>
        <w:r w:rsidR="00324A55">
          <w:rPr>
            <w:noProof/>
            <w:webHidden/>
          </w:rPr>
          <w:fldChar w:fldCharType="end"/>
        </w:r>
      </w:hyperlink>
    </w:p>
    <w:p w14:paraId="001F3110" w14:textId="512437EA"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50" w:history="1">
        <w:r w:rsidR="00324A55" w:rsidRPr="000D3BD4">
          <w:rPr>
            <w:rStyle w:val="Hyperlink"/>
            <w:noProof/>
          </w:rPr>
          <w:t>Figure 5.8 Grid-tie system operation of five appliances on August 7.</w:t>
        </w:r>
        <w:r w:rsidR="00324A55">
          <w:rPr>
            <w:noProof/>
            <w:webHidden/>
          </w:rPr>
          <w:tab/>
        </w:r>
        <w:r w:rsidR="00324A55">
          <w:rPr>
            <w:noProof/>
            <w:webHidden/>
          </w:rPr>
          <w:fldChar w:fldCharType="begin"/>
        </w:r>
        <w:r w:rsidR="00324A55">
          <w:rPr>
            <w:noProof/>
            <w:webHidden/>
          </w:rPr>
          <w:instrText xml:space="preserve"> PAGEREF _Toc141349950 \h </w:instrText>
        </w:r>
        <w:r w:rsidR="00324A55">
          <w:rPr>
            <w:noProof/>
            <w:webHidden/>
          </w:rPr>
        </w:r>
        <w:r w:rsidR="00324A55">
          <w:rPr>
            <w:noProof/>
            <w:webHidden/>
          </w:rPr>
          <w:fldChar w:fldCharType="separate"/>
        </w:r>
        <w:r w:rsidR="000E1725">
          <w:rPr>
            <w:noProof/>
            <w:webHidden/>
          </w:rPr>
          <w:t>135</w:t>
        </w:r>
        <w:r w:rsidR="00324A55">
          <w:rPr>
            <w:noProof/>
            <w:webHidden/>
          </w:rPr>
          <w:fldChar w:fldCharType="end"/>
        </w:r>
      </w:hyperlink>
    </w:p>
    <w:p w14:paraId="47A9F4D3" w14:textId="15163397"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51" w:history="1">
        <w:r w:rsidR="00324A55" w:rsidRPr="000D3BD4">
          <w:rPr>
            <w:rStyle w:val="Hyperlink"/>
            <w:noProof/>
          </w:rPr>
          <w:t>Figure 5.9 Hybrid system operation of five appliances on August 7.</w:t>
        </w:r>
        <w:r w:rsidR="00324A55">
          <w:rPr>
            <w:noProof/>
            <w:webHidden/>
          </w:rPr>
          <w:tab/>
        </w:r>
        <w:r w:rsidR="00324A55">
          <w:rPr>
            <w:noProof/>
            <w:webHidden/>
          </w:rPr>
          <w:fldChar w:fldCharType="begin"/>
        </w:r>
        <w:r w:rsidR="00324A55">
          <w:rPr>
            <w:noProof/>
            <w:webHidden/>
          </w:rPr>
          <w:instrText xml:space="preserve"> PAGEREF _Toc141349951 \h </w:instrText>
        </w:r>
        <w:r w:rsidR="00324A55">
          <w:rPr>
            <w:noProof/>
            <w:webHidden/>
          </w:rPr>
        </w:r>
        <w:r w:rsidR="00324A55">
          <w:rPr>
            <w:noProof/>
            <w:webHidden/>
          </w:rPr>
          <w:fldChar w:fldCharType="separate"/>
        </w:r>
        <w:r w:rsidR="000E1725">
          <w:rPr>
            <w:noProof/>
            <w:webHidden/>
          </w:rPr>
          <w:t>136</w:t>
        </w:r>
        <w:r w:rsidR="00324A55">
          <w:rPr>
            <w:noProof/>
            <w:webHidden/>
          </w:rPr>
          <w:fldChar w:fldCharType="end"/>
        </w:r>
      </w:hyperlink>
    </w:p>
    <w:p w14:paraId="5E221D77" w14:textId="370B8011"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52" w:history="1">
        <w:r w:rsidR="00324A55" w:rsidRPr="000D3BD4">
          <w:rPr>
            <w:rStyle w:val="Hyperlink"/>
            <w:noProof/>
          </w:rPr>
          <w:t>Figure 5.10 Power flow comparison (a) total power buy from grid for three different operations (b) battery (dis-)charging profiles.</w:t>
        </w:r>
        <w:r w:rsidR="00324A55">
          <w:rPr>
            <w:noProof/>
            <w:webHidden/>
          </w:rPr>
          <w:tab/>
        </w:r>
        <w:r w:rsidR="00324A55">
          <w:rPr>
            <w:noProof/>
            <w:webHidden/>
          </w:rPr>
          <w:fldChar w:fldCharType="begin"/>
        </w:r>
        <w:r w:rsidR="00324A55">
          <w:rPr>
            <w:noProof/>
            <w:webHidden/>
          </w:rPr>
          <w:instrText xml:space="preserve"> PAGEREF _Toc141349952 \h </w:instrText>
        </w:r>
        <w:r w:rsidR="00324A55">
          <w:rPr>
            <w:noProof/>
            <w:webHidden/>
          </w:rPr>
        </w:r>
        <w:r w:rsidR="00324A55">
          <w:rPr>
            <w:noProof/>
            <w:webHidden/>
          </w:rPr>
          <w:fldChar w:fldCharType="separate"/>
        </w:r>
        <w:r w:rsidR="000E1725">
          <w:rPr>
            <w:noProof/>
            <w:webHidden/>
          </w:rPr>
          <w:t>137</w:t>
        </w:r>
        <w:r w:rsidR="00324A55">
          <w:rPr>
            <w:noProof/>
            <w:webHidden/>
          </w:rPr>
          <w:fldChar w:fldCharType="end"/>
        </w:r>
      </w:hyperlink>
    </w:p>
    <w:p w14:paraId="5DD14C26" w14:textId="6B6B5A7D"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53" w:history="1">
        <w:r w:rsidR="00324A55" w:rsidRPr="000D3BD4">
          <w:rPr>
            <w:rStyle w:val="Hyperlink"/>
            <w:noProof/>
          </w:rPr>
          <w:t>Figure 5.11 Power flow for (a) Grid-tie system (b) Hybrid System with a medium battery (c) Hybrid System with a small battery (d) Hybrid System with a large battery</w:t>
        </w:r>
        <w:r w:rsidR="00324A55">
          <w:rPr>
            <w:noProof/>
            <w:webHidden/>
          </w:rPr>
          <w:tab/>
        </w:r>
        <w:r w:rsidR="00324A55">
          <w:rPr>
            <w:noProof/>
            <w:webHidden/>
          </w:rPr>
          <w:fldChar w:fldCharType="begin"/>
        </w:r>
        <w:r w:rsidR="00324A55">
          <w:rPr>
            <w:noProof/>
            <w:webHidden/>
          </w:rPr>
          <w:instrText xml:space="preserve"> PAGEREF _Toc141349953 \h </w:instrText>
        </w:r>
        <w:r w:rsidR="00324A55">
          <w:rPr>
            <w:noProof/>
            <w:webHidden/>
          </w:rPr>
        </w:r>
        <w:r w:rsidR="00324A55">
          <w:rPr>
            <w:noProof/>
            <w:webHidden/>
          </w:rPr>
          <w:fldChar w:fldCharType="separate"/>
        </w:r>
        <w:r w:rsidR="000E1725">
          <w:rPr>
            <w:noProof/>
            <w:webHidden/>
          </w:rPr>
          <w:t>138</w:t>
        </w:r>
        <w:r w:rsidR="00324A55">
          <w:rPr>
            <w:noProof/>
            <w:webHidden/>
          </w:rPr>
          <w:fldChar w:fldCharType="end"/>
        </w:r>
      </w:hyperlink>
    </w:p>
    <w:p w14:paraId="4163398D" w14:textId="68740570"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54" w:history="1">
        <w:r w:rsidR="00324A55" w:rsidRPr="000D3BD4">
          <w:rPr>
            <w:rStyle w:val="Hyperlink"/>
            <w:noProof/>
          </w:rPr>
          <w:t>Figure 5.12 Performance indices for different system operations. (a) PV self-consumption (b) PV self-sufficiency (c) Flexibility factor.</w:t>
        </w:r>
        <w:r w:rsidR="00324A55">
          <w:rPr>
            <w:noProof/>
            <w:webHidden/>
          </w:rPr>
          <w:tab/>
        </w:r>
        <w:r w:rsidR="00324A55">
          <w:rPr>
            <w:noProof/>
            <w:webHidden/>
          </w:rPr>
          <w:fldChar w:fldCharType="begin"/>
        </w:r>
        <w:r w:rsidR="00324A55">
          <w:rPr>
            <w:noProof/>
            <w:webHidden/>
          </w:rPr>
          <w:instrText xml:space="preserve"> PAGEREF _Toc141349954 \h </w:instrText>
        </w:r>
        <w:r w:rsidR="00324A55">
          <w:rPr>
            <w:noProof/>
            <w:webHidden/>
          </w:rPr>
        </w:r>
        <w:r w:rsidR="00324A55">
          <w:rPr>
            <w:noProof/>
            <w:webHidden/>
          </w:rPr>
          <w:fldChar w:fldCharType="separate"/>
        </w:r>
        <w:r w:rsidR="000E1725">
          <w:rPr>
            <w:noProof/>
            <w:webHidden/>
          </w:rPr>
          <w:t>140</w:t>
        </w:r>
        <w:r w:rsidR="00324A55">
          <w:rPr>
            <w:noProof/>
            <w:webHidden/>
          </w:rPr>
          <w:fldChar w:fldCharType="end"/>
        </w:r>
      </w:hyperlink>
    </w:p>
    <w:p w14:paraId="16A3B7B5" w14:textId="4396D2BD"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55" w:history="1">
        <w:r w:rsidR="00324A55" w:rsidRPr="000D3BD4">
          <w:rPr>
            <w:rStyle w:val="Hyperlink"/>
            <w:noProof/>
          </w:rPr>
          <w:t>Figure 5.13 Cost-saving variation in terms of different weather conditions, user preference, and operation scenarios.</w:t>
        </w:r>
        <w:r w:rsidR="00324A55">
          <w:rPr>
            <w:noProof/>
            <w:webHidden/>
          </w:rPr>
          <w:tab/>
        </w:r>
        <w:r w:rsidR="00324A55">
          <w:rPr>
            <w:noProof/>
            <w:webHidden/>
          </w:rPr>
          <w:fldChar w:fldCharType="begin"/>
        </w:r>
        <w:r w:rsidR="00324A55">
          <w:rPr>
            <w:noProof/>
            <w:webHidden/>
          </w:rPr>
          <w:instrText xml:space="preserve"> PAGEREF _Toc141349955 \h </w:instrText>
        </w:r>
        <w:r w:rsidR="00324A55">
          <w:rPr>
            <w:noProof/>
            <w:webHidden/>
          </w:rPr>
        </w:r>
        <w:r w:rsidR="00324A55">
          <w:rPr>
            <w:noProof/>
            <w:webHidden/>
          </w:rPr>
          <w:fldChar w:fldCharType="separate"/>
        </w:r>
        <w:r w:rsidR="000E1725">
          <w:rPr>
            <w:noProof/>
            <w:webHidden/>
          </w:rPr>
          <w:t>141</w:t>
        </w:r>
        <w:r w:rsidR="00324A55">
          <w:rPr>
            <w:noProof/>
            <w:webHidden/>
          </w:rPr>
          <w:fldChar w:fldCharType="end"/>
        </w:r>
      </w:hyperlink>
    </w:p>
    <w:p w14:paraId="21CB5A4C" w14:textId="2BBED8F2"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56" w:history="1">
        <w:r w:rsidR="00324A55" w:rsidRPr="000D3BD4">
          <w:rPr>
            <w:rStyle w:val="Hyperlink"/>
            <w:noProof/>
          </w:rPr>
          <w:t>Figure 5.14 User preference impact on appliance operation. (a) Grid-tie system appliance operation given strict user time preference. (b) Grid-tie system appliance operation given flexible user time preference.</w:t>
        </w:r>
        <w:r w:rsidR="00324A55">
          <w:rPr>
            <w:noProof/>
            <w:webHidden/>
          </w:rPr>
          <w:tab/>
        </w:r>
        <w:r w:rsidR="00324A55">
          <w:rPr>
            <w:noProof/>
            <w:webHidden/>
          </w:rPr>
          <w:fldChar w:fldCharType="begin"/>
        </w:r>
        <w:r w:rsidR="00324A55">
          <w:rPr>
            <w:noProof/>
            <w:webHidden/>
          </w:rPr>
          <w:instrText xml:space="preserve"> PAGEREF _Toc141349956 \h </w:instrText>
        </w:r>
        <w:r w:rsidR="00324A55">
          <w:rPr>
            <w:noProof/>
            <w:webHidden/>
          </w:rPr>
        </w:r>
        <w:r w:rsidR="00324A55">
          <w:rPr>
            <w:noProof/>
            <w:webHidden/>
          </w:rPr>
          <w:fldChar w:fldCharType="separate"/>
        </w:r>
        <w:r w:rsidR="000E1725">
          <w:rPr>
            <w:noProof/>
            <w:webHidden/>
          </w:rPr>
          <w:t>143</w:t>
        </w:r>
        <w:r w:rsidR="00324A55">
          <w:rPr>
            <w:noProof/>
            <w:webHidden/>
          </w:rPr>
          <w:fldChar w:fldCharType="end"/>
        </w:r>
      </w:hyperlink>
    </w:p>
    <w:p w14:paraId="1153CA4A" w14:textId="2829B221"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57" w:history="1">
        <w:r w:rsidR="00324A55" w:rsidRPr="000D3BD4">
          <w:rPr>
            <w:rStyle w:val="Hyperlink"/>
            <w:noProof/>
          </w:rPr>
          <w:t xml:space="preserve">Figure 5.15 Multi-objective optimization results where HVAC system behavior shown only. (a) choose </w:t>
        </w:r>
        <m:oMath>
          <m:r>
            <m:rPr>
              <m:sty m:val="p"/>
            </m:rPr>
            <w:rPr>
              <w:rStyle w:val="Hyperlink"/>
              <w:rFonts w:ascii="Cambria Math" w:hAnsi="Cambria Math"/>
              <w:noProof/>
            </w:rPr>
            <m:t>w1</m:t>
          </m:r>
        </m:oMath>
        <w:r w:rsidR="00324A55" w:rsidRPr="000D3BD4">
          <w:rPr>
            <w:rStyle w:val="Hyperlink"/>
            <w:noProof/>
          </w:rPr>
          <w:t xml:space="preserve"> equals 0.1 (b) choose </w:t>
        </w:r>
        <m:oMath>
          <m:r>
            <m:rPr>
              <m:sty m:val="p"/>
            </m:rPr>
            <w:rPr>
              <w:rStyle w:val="Hyperlink"/>
              <w:rFonts w:ascii="Cambria Math" w:hAnsi="Cambria Math"/>
              <w:noProof/>
            </w:rPr>
            <m:t xml:space="preserve">w1 </m:t>
          </m:r>
        </m:oMath>
        <w:r w:rsidR="00324A55" w:rsidRPr="000D3BD4">
          <w:rPr>
            <w:rStyle w:val="Hyperlink"/>
            <w:noProof/>
          </w:rPr>
          <w:t>equals 0.9.</w:t>
        </w:r>
        <w:r w:rsidR="00324A55">
          <w:rPr>
            <w:noProof/>
            <w:webHidden/>
          </w:rPr>
          <w:tab/>
        </w:r>
        <w:r w:rsidR="00324A55">
          <w:rPr>
            <w:noProof/>
            <w:webHidden/>
          </w:rPr>
          <w:fldChar w:fldCharType="begin"/>
        </w:r>
        <w:r w:rsidR="00324A55">
          <w:rPr>
            <w:noProof/>
            <w:webHidden/>
          </w:rPr>
          <w:instrText xml:space="preserve"> PAGEREF _Toc141349957 \h </w:instrText>
        </w:r>
        <w:r w:rsidR="00324A55">
          <w:rPr>
            <w:noProof/>
            <w:webHidden/>
          </w:rPr>
        </w:r>
        <w:r w:rsidR="00324A55">
          <w:rPr>
            <w:noProof/>
            <w:webHidden/>
          </w:rPr>
          <w:fldChar w:fldCharType="separate"/>
        </w:r>
        <w:r w:rsidR="000E1725">
          <w:rPr>
            <w:noProof/>
            <w:webHidden/>
          </w:rPr>
          <w:t>144</w:t>
        </w:r>
        <w:r w:rsidR="00324A55">
          <w:rPr>
            <w:noProof/>
            <w:webHidden/>
          </w:rPr>
          <w:fldChar w:fldCharType="end"/>
        </w:r>
      </w:hyperlink>
    </w:p>
    <w:p w14:paraId="56842098" w14:textId="31D28FDF"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58" w:history="1">
        <w:r w:rsidR="00324A55" w:rsidRPr="000D3BD4">
          <w:rPr>
            <w:rStyle w:val="Hyperlink"/>
            <w:noProof/>
          </w:rPr>
          <w:t>Figure 5.16 Scheduling result with the multi-objective framework with equal weights on cost and comfort (</w:t>
        </w:r>
        <m:oMath>
          <m:r>
            <m:rPr>
              <m:sty m:val="p"/>
            </m:rPr>
            <w:rPr>
              <w:rStyle w:val="Hyperlink"/>
              <w:rFonts w:ascii="Cambria Math" w:hAnsi="Cambria Math"/>
              <w:noProof/>
            </w:rPr>
            <m:t>w1</m:t>
          </m:r>
        </m:oMath>
        <w:r w:rsidR="00324A55" w:rsidRPr="000D3BD4">
          <w:rPr>
            <w:rStyle w:val="Hyperlink"/>
            <w:noProof/>
          </w:rPr>
          <w:t xml:space="preserve"> equals 0.5)</w:t>
        </w:r>
        <w:r w:rsidR="00324A55">
          <w:rPr>
            <w:noProof/>
            <w:webHidden/>
          </w:rPr>
          <w:tab/>
        </w:r>
        <w:r w:rsidR="00324A55">
          <w:rPr>
            <w:noProof/>
            <w:webHidden/>
          </w:rPr>
          <w:fldChar w:fldCharType="begin"/>
        </w:r>
        <w:r w:rsidR="00324A55">
          <w:rPr>
            <w:noProof/>
            <w:webHidden/>
          </w:rPr>
          <w:instrText xml:space="preserve"> PAGEREF _Toc141349958 \h </w:instrText>
        </w:r>
        <w:r w:rsidR="00324A55">
          <w:rPr>
            <w:noProof/>
            <w:webHidden/>
          </w:rPr>
        </w:r>
        <w:r w:rsidR="00324A55">
          <w:rPr>
            <w:noProof/>
            <w:webHidden/>
          </w:rPr>
          <w:fldChar w:fldCharType="separate"/>
        </w:r>
        <w:r w:rsidR="000E1725">
          <w:rPr>
            <w:noProof/>
            <w:webHidden/>
          </w:rPr>
          <w:t>145</w:t>
        </w:r>
        <w:r w:rsidR="00324A55">
          <w:rPr>
            <w:noProof/>
            <w:webHidden/>
          </w:rPr>
          <w:fldChar w:fldCharType="end"/>
        </w:r>
      </w:hyperlink>
    </w:p>
    <w:p w14:paraId="25E34B66" w14:textId="1C6992D3" w:rsidR="00324A55"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349959" w:history="1">
        <w:r w:rsidR="00324A55" w:rsidRPr="000D3BD4">
          <w:rPr>
            <w:rStyle w:val="Hyperlink"/>
            <w:noProof/>
          </w:rPr>
          <w:t>Figure 5.17 Cost and comfort trade-off.</w:t>
        </w:r>
        <w:r w:rsidR="00324A55">
          <w:rPr>
            <w:noProof/>
            <w:webHidden/>
          </w:rPr>
          <w:tab/>
        </w:r>
        <w:r w:rsidR="00324A55">
          <w:rPr>
            <w:noProof/>
            <w:webHidden/>
          </w:rPr>
          <w:fldChar w:fldCharType="begin"/>
        </w:r>
        <w:r w:rsidR="00324A55">
          <w:rPr>
            <w:noProof/>
            <w:webHidden/>
          </w:rPr>
          <w:instrText xml:space="preserve"> PAGEREF _Toc141349959 \h </w:instrText>
        </w:r>
        <w:r w:rsidR="00324A55">
          <w:rPr>
            <w:noProof/>
            <w:webHidden/>
          </w:rPr>
        </w:r>
        <w:r w:rsidR="00324A55">
          <w:rPr>
            <w:noProof/>
            <w:webHidden/>
          </w:rPr>
          <w:fldChar w:fldCharType="separate"/>
        </w:r>
        <w:r w:rsidR="000E1725">
          <w:rPr>
            <w:noProof/>
            <w:webHidden/>
          </w:rPr>
          <w:t>146</w:t>
        </w:r>
        <w:r w:rsidR="00324A55">
          <w:rPr>
            <w:noProof/>
            <w:webHidden/>
          </w:rPr>
          <w:fldChar w:fldCharType="end"/>
        </w:r>
      </w:hyperlink>
    </w:p>
    <w:p w14:paraId="509EA98D" w14:textId="77777777" w:rsidR="00D31DE2" w:rsidRDefault="00146A55" w:rsidP="00D31DE2">
      <w:pPr>
        <w:pStyle w:val="HeadnotTOC"/>
        <w:ind w:firstLine="0"/>
        <w:jc w:val="both"/>
        <w:rPr>
          <w:noProof/>
        </w:rPr>
      </w:pPr>
      <w:r>
        <w:fldChar w:fldCharType="end"/>
      </w:r>
      <w:r w:rsidR="00D31DE2">
        <w:fldChar w:fldCharType="begin"/>
      </w:r>
      <w:r w:rsidR="00D31DE2">
        <w:instrText xml:space="preserve"> TOC \h \z \c "Figure A." </w:instrText>
      </w:r>
      <w:r w:rsidR="00D31DE2">
        <w:fldChar w:fldCharType="separate"/>
      </w:r>
    </w:p>
    <w:p w14:paraId="71DB79D6" w14:textId="409FBAA3" w:rsidR="00D31DE2" w:rsidRDefault="00000000">
      <w:pPr>
        <w:pStyle w:val="TableofFigures"/>
        <w:tabs>
          <w:tab w:val="right" w:leader="dot" w:pos="9016"/>
        </w:tabs>
        <w:ind w:left="960" w:hanging="480"/>
        <w:rPr>
          <w:rFonts w:asciiTheme="minorHAnsi" w:hAnsiTheme="minorHAnsi" w:cstheme="minorBidi"/>
          <w:noProof/>
          <w:szCs w:val="24"/>
          <w14:ligatures w14:val="standardContextual"/>
        </w:rPr>
      </w:pPr>
      <w:hyperlink w:anchor="_Toc141443570" w:history="1">
        <w:r w:rsidR="00D31DE2" w:rsidRPr="009712AB">
          <w:rPr>
            <w:rStyle w:val="Hyperlink"/>
            <w:noProof/>
          </w:rPr>
          <w:t>Figure A. 1 Three stages of the modified matrix profile-based weather clustering algorithm</w:t>
        </w:r>
        <w:r w:rsidR="00D31DE2">
          <w:rPr>
            <w:noProof/>
            <w:webHidden/>
          </w:rPr>
          <w:tab/>
        </w:r>
        <w:r w:rsidR="00D31DE2">
          <w:rPr>
            <w:noProof/>
            <w:webHidden/>
          </w:rPr>
          <w:fldChar w:fldCharType="begin"/>
        </w:r>
        <w:r w:rsidR="00D31DE2">
          <w:rPr>
            <w:noProof/>
            <w:webHidden/>
          </w:rPr>
          <w:instrText xml:space="preserve"> PAGEREF _Toc141443570 \h </w:instrText>
        </w:r>
        <w:r w:rsidR="00D31DE2">
          <w:rPr>
            <w:noProof/>
            <w:webHidden/>
          </w:rPr>
        </w:r>
        <w:r w:rsidR="00D31DE2">
          <w:rPr>
            <w:noProof/>
            <w:webHidden/>
          </w:rPr>
          <w:fldChar w:fldCharType="separate"/>
        </w:r>
        <w:r w:rsidR="000E1725">
          <w:rPr>
            <w:noProof/>
            <w:webHidden/>
          </w:rPr>
          <w:t>158</w:t>
        </w:r>
        <w:r w:rsidR="00D31DE2">
          <w:rPr>
            <w:noProof/>
            <w:webHidden/>
          </w:rPr>
          <w:fldChar w:fldCharType="end"/>
        </w:r>
      </w:hyperlink>
    </w:p>
    <w:p w14:paraId="2C591F67" w14:textId="6F093E0F" w:rsidR="00E16F05" w:rsidRDefault="00D31DE2" w:rsidP="00D31DE2">
      <w:pPr>
        <w:pStyle w:val="HeadnotTOC"/>
        <w:ind w:firstLine="0"/>
        <w:jc w:val="both"/>
        <w:sectPr w:rsidR="00E16F05" w:rsidSect="006D3E5B">
          <w:footerReference w:type="default" r:id="rId12"/>
          <w:footerReference w:type="first" r:id="rId13"/>
          <w:pgSz w:w="11906" w:h="16838"/>
          <w:pgMar w:top="1440" w:right="1440" w:bottom="1440" w:left="1440" w:header="851" w:footer="992" w:gutter="0"/>
          <w:pgNumType w:fmt="lowerRoman" w:start="4"/>
          <w:cols w:space="425"/>
          <w:titlePg/>
          <w:docGrid w:type="lines" w:linePitch="326"/>
        </w:sectPr>
      </w:pPr>
      <w:r>
        <w:fldChar w:fldCharType="end"/>
      </w:r>
      <w:r w:rsidR="004B2A5C">
        <w:br w:type="page"/>
      </w:r>
    </w:p>
    <w:p w14:paraId="1399D96C" w14:textId="2B97D7B2" w:rsidR="004B2A5C" w:rsidRDefault="009B5CD9" w:rsidP="00557486">
      <w:pPr>
        <w:pStyle w:val="Heading1"/>
        <w:rPr>
          <w:rFonts w:eastAsiaTheme="minorEastAsia"/>
        </w:rPr>
      </w:pPr>
      <w:bookmarkStart w:id="13" w:name="_Toc126326773"/>
      <w:bookmarkStart w:id="14" w:name="_Toc126327447"/>
      <w:bookmarkStart w:id="15" w:name="_Toc126327560"/>
      <w:bookmarkStart w:id="16" w:name="_Ref126327935"/>
      <w:bookmarkStart w:id="17" w:name="_Toc132122438"/>
      <w:bookmarkStart w:id="18" w:name="_Toc132122562"/>
      <w:bookmarkStart w:id="19" w:name="_Ref139494364"/>
      <w:bookmarkStart w:id="20" w:name="_Toc141991663"/>
      <w:r w:rsidRPr="00557486">
        <w:lastRenderedPageBreak/>
        <w:t>I</w:t>
      </w:r>
      <w:r w:rsidR="004B2A5C" w:rsidRPr="00557486">
        <w:rPr>
          <w:rFonts w:eastAsiaTheme="minorEastAsia"/>
        </w:rPr>
        <w:t>ntroduction</w:t>
      </w:r>
      <w:bookmarkEnd w:id="13"/>
      <w:bookmarkEnd w:id="14"/>
      <w:bookmarkEnd w:id="15"/>
      <w:bookmarkEnd w:id="16"/>
      <w:bookmarkEnd w:id="17"/>
      <w:bookmarkEnd w:id="18"/>
      <w:bookmarkEnd w:id="19"/>
      <w:bookmarkEnd w:id="20"/>
    </w:p>
    <w:p w14:paraId="0EC4A927" w14:textId="637971D6" w:rsidR="007C509A" w:rsidRPr="007C509A" w:rsidRDefault="00A60E99" w:rsidP="007C509A">
      <w:r>
        <w:t xml:space="preserve">This study aims at </w:t>
      </w:r>
      <w:r w:rsidR="00D93CFB">
        <w:t>developing and implementing a</w:t>
      </w:r>
      <w:r w:rsidR="008822D4">
        <w:t xml:space="preserve">n </w:t>
      </w:r>
      <w:r w:rsidR="00B65796">
        <w:t>intelligent system to coordinate multiple electric loads in residential buildings</w:t>
      </w:r>
      <w:r w:rsidR="00E146CD">
        <w:t xml:space="preserve">. </w:t>
      </w:r>
      <w:r w:rsidR="00462842">
        <w:t>In this chapter, the m</w:t>
      </w:r>
      <w:r w:rsidR="00605C95">
        <w:t>otivation of the study is introduced first, followed by state of the art and gap analysis. R</w:t>
      </w:r>
      <w:r w:rsidR="00F35337">
        <w:t xml:space="preserve">esearch </w:t>
      </w:r>
      <w:r w:rsidR="00397E17">
        <w:t>questions</w:t>
      </w:r>
      <w:r w:rsidR="00605C95">
        <w:t>,</w:t>
      </w:r>
      <w:r w:rsidR="00D2206D">
        <w:t xml:space="preserve"> the scope of </w:t>
      </w:r>
      <w:r w:rsidR="002C27F3">
        <w:t xml:space="preserve">the </w:t>
      </w:r>
      <w:r w:rsidR="00D2206D">
        <w:t>research</w:t>
      </w:r>
      <w:r w:rsidR="007E7D10">
        <w:t xml:space="preserve">, and the </w:t>
      </w:r>
      <w:r w:rsidR="005C5B49">
        <w:t>main contribution</w:t>
      </w:r>
      <w:r w:rsidR="00D2206D">
        <w:t>s</w:t>
      </w:r>
      <w:r w:rsidR="007E7D10">
        <w:t xml:space="preserve"> of </w:t>
      </w:r>
      <w:r w:rsidR="005C5B49">
        <w:t>this</w:t>
      </w:r>
      <w:r w:rsidR="007E7D10">
        <w:t xml:space="preserve"> dissertation</w:t>
      </w:r>
      <w:r w:rsidR="00462842">
        <w:t xml:space="preserve"> are summarized at the end</w:t>
      </w:r>
      <w:r w:rsidR="007E7D10">
        <w:t xml:space="preserve">. </w:t>
      </w:r>
    </w:p>
    <w:p w14:paraId="04CACA01" w14:textId="731C747B" w:rsidR="00E75E8A" w:rsidRDefault="00842E36" w:rsidP="00F028F0">
      <w:pPr>
        <w:pStyle w:val="Heading2"/>
      </w:pPr>
      <w:bookmarkStart w:id="21" w:name="_Toc132122439"/>
      <w:bookmarkStart w:id="22" w:name="_Toc132122563"/>
      <w:bookmarkStart w:id="23" w:name="_Toc141991664"/>
      <w:r>
        <w:t>Motivation</w:t>
      </w:r>
      <w:bookmarkEnd w:id="21"/>
      <w:bookmarkEnd w:id="22"/>
      <w:bookmarkEnd w:id="23"/>
      <w:r w:rsidR="009B5CD9" w:rsidRPr="009B5CD9">
        <w:t xml:space="preserve"> </w:t>
      </w:r>
    </w:p>
    <w:p w14:paraId="19E7828D" w14:textId="579EF57B" w:rsidR="00150564" w:rsidRDefault="006D731C" w:rsidP="00150564">
      <w:r>
        <w:t>In 2022, about 22% of electricity produced at utility-scale generation facilities was from re</w:t>
      </w:r>
      <w:r w:rsidRPr="00B70327">
        <w:t>newable energy</w:t>
      </w:r>
      <w:r>
        <w:t xml:space="preserve"> </w:t>
      </w:r>
      <w:r>
        <w:fldChar w:fldCharType="begin"/>
      </w:r>
      <w:r w:rsidR="005D48B2">
        <w:instrText xml:space="preserve"> ADDIN ZOTERO_ITEM CSL_CITATION {"citationID":"EIE0C3lJ","properties":{"formattedCitation":"[1]","plainCitation":"[1]","noteIndex":0},"citationItems":[{"id":1667,"uris":["http://zotero.org/users/5659608/items/CQ7IWVUN"],"itemData":{"id":1667,"type":"webpage","abstract":"Energy Information Administration - EIA - Official Energy Statistics from the U.S. Government","title":"Frequently Asked Questions (FAQs) What is U.S. electricity generation by energy source?","URL":"https://www.eia.gov/tools/faqs/faq.php","author":[{"family":"U.S. Energy Information Administration (EIA)","given":""}],"accessed":{"date-parts":[["2023",3,7]]},"citation-key":"u.s.energyinformationadministrationeiaFrequentlyAskedQuestions"}}],"schema":"https://github.com/citation-style-language/schema/raw/master/csl-citation.json"} </w:instrText>
      </w:r>
      <w:r>
        <w:fldChar w:fldCharType="separate"/>
      </w:r>
      <w:r>
        <w:t>[1]</w:t>
      </w:r>
      <w:r>
        <w:fldChar w:fldCharType="end"/>
      </w:r>
      <w:r>
        <w:t>.</w:t>
      </w:r>
      <w:r w:rsidRPr="00B70327">
        <w:t xml:space="preserve"> </w:t>
      </w:r>
      <w:r>
        <w:t>Although variable renewable energy</w:t>
      </w:r>
      <w:r w:rsidRPr="00B70327">
        <w:t xml:space="preserve"> </w:t>
      </w:r>
      <w:r>
        <w:t xml:space="preserve">(VRE) resource </w:t>
      </w:r>
      <w:r w:rsidRPr="00B70327">
        <w:t>emit</w:t>
      </w:r>
      <w:r>
        <w:t>s</w:t>
      </w:r>
      <w:r w:rsidRPr="00B70327">
        <w:t xml:space="preserve"> little to no greenhouse gas</w:t>
      </w:r>
      <w:r>
        <w:t xml:space="preserve"> and is sustainable</w:t>
      </w:r>
      <w:r w:rsidRPr="00B70327">
        <w:t xml:space="preserve">, </w:t>
      </w:r>
      <w:r>
        <w:t xml:space="preserve">it </w:t>
      </w:r>
      <w:r w:rsidRPr="00B70327">
        <w:t xml:space="preserve">brings reliability risk to the grid due to </w:t>
      </w:r>
      <w:r w:rsidR="00B70F01">
        <w:t>their</w:t>
      </w:r>
      <w:r w:rsidRPr="00B70327">
        <w:t xml:space="preserve"> inherent variability.</w:t>
      </w:r>
      <w:r w:rsidR="00241A80">
        <w:t xml:space="preserve"> </w:t>
      </w:r>
      <w:r w:rsidR="00150564" w:rsidRPr="00DA498D">
        <w:rPr>
          <w:color w:val="000000" w:themeColor="text1"/>
        </w:rPr>
        <w:t>A</w:t>
      </w:r>
      <w:r w:rsidR="00150564">
        <w:rPr>
          <w:color w:val="000000" w:themeColor="text1"/>
        </w:rPr>
        <w:t xml:space="preserve"> well-known </w:t>
      </w:r>
      <w:r w:rsidR="00150564">
        <w:t xml:space="preserve">phenomena, </w:t>
      </w:r>
      <w:r w:rsidR="00CC5F97">
        <w:t xml:space="preserve">the </w:t>
      </w:r>
      <w:r w:rsidR="00150564">
        <w:t xml:space="preserve">California Duck, reveals that one of the </w:t>
      </w:r>
      <w:r w:rsidR="00A5268F">
        <w:t>main</w:t>
      </w:r>
      <w:r w:rsidR="00150564">
        <w:t xml:space="preserve"> manifestations of the grid reliability problem is </w:t>
      </w:r>
      <w:r w:rsidR="005A27FB">
        <w:t>that when solar energy has</w:t>
      </w:r>
      <w:r w:rsidR="00FC163E">
        <w:t xml:space="preserve"> a</w:t>
      </w:r>
      <w:r w:rsidR="005A27FB">
        <w:t xml:space="preserve"> high penetration in the </w:t>
      </w:r>
      <w:r w:rsidR="00A346A9">
        <w:t>grid</w:t>
      </w:r>
      <w:r w:rsidR="001E15D4">
        <w:t>, there is a</w:t>
      </w:r>
      <w:r w:rsidR="00150564">
        <w:t xml:space="preserve"> high </w:t>
      </w:r>
      <w:r w:rsidR="001E15D4">
        <w:t xml:space="preserve">probability </w:t>
      </w:r>
      <w:r w:rsidR="00150564">
        <w:t>of</w:t>
      </w:r>
      <w:r w:rsidR="001E15D4">
        <w:t xml:space="preserve"> an</w:t>
      </w:r>
      <w:r w:rsidR="00150564">
        <w:t xml:space="preserve"> demand and supply imbalance at different times </w:t>
      </w:r>
      <w:r w:rsidR="00150564">
        <w:fldChar w:fldCharType="begin"/>
      </w:r>
      <w:r w:rsidR="005D48B2">
        <w:instrText xml:space="preserve"> ADDIN ZOTERO_ITEM CSL_CITATION {"citationID":"KmY91hBU","properties":{"formattedCitation":"[2,3]","plainCitation":"[2,3]","noteIndex":0},"citationItems":[{"id":1591,"uris":["http://zotero.org/users/5659608/items/PRMUU9IZ"],"itemData":{"id":1591,"type":"webpage","abstract":"In February 2008, a team of NREL analysts led by Paul Denholm published a paper that examined how to plan for future large-scale integration of solar photovoltaic (PV) generation on the electric grid. They observed a unique change in the shape of the electric load met by conventional power plants when increasing levels of PV are added to the system, and thus identified the earliest version of what was later named the \"duck curve\" by the California Independent System Operator.","language":"en","title":"Ten Years of Analyzing the Duck Chart: How an NREL Discovery in 2008 Is Helping Enable More Solar on the Grid Today","title-short":"Ten Years of Analyzing the Duck Chart","URL":"https://www.nrel.gov/news/program/2018/10-years-duck-curve.html","accessed":{"date-parts":[["2023",2,8]]},"citation-key":"TenYearsAnalyzing"}},{"id":1594,"uris":["http://zotero.org/users/5659608/items/C2I3H4PF"],"itemData":{"id":1594,"type":"webpage","title":"California ISO - Renewables and emissions reports","URL":"https://www.caiso.com/market/Pages/ReportsBulletins/RenewablesReporting.aspx","accessed":{"date-parts":[["2023",2,8]]},"citation-key":"CaliforniaISORenewables"}}],"schema":"https://github.com/citation-style-language/schema/raw/master/csl-citation.json"} </w:instrText>
      </w:r>
      <w:r w:rsidR="00150564">
        <w:fldChar w:fldCharType="separate"/>
      </w:r>
      <w:r w:rsidR="008F0A4A" w:rsidRPr="008F0A4A">
        <w:t>[2,3]</w:t>
      </w:r>
      <w:r w:rsidR="00150564">
        <w:fldChar w:fldCharType="end"/>
      </w:r>
      <w:r w:rsidR="00150564">
        <w:t xml:space="preserve">. The “Duck Chart”, which describes the change </w:t>
      </w:r>
      <w:r w:rsidR="000D577E">
        <w:t>in</w:t>
      </w:r>
      <w:r w:rsidR="00150564">
        <w:t xml:space="preserve"> net load (the difference between the forecasted </w:t>
      </w:r>
      <w:r w:rsidR="00107957">
        <w:t xml:space="preserve">demand </w:t>
      </w:r>
      <w:r w:rsidR="00150564">
        <w:t xml:space="preserve">and the expected </w:t>
      </w:r>
      <w:r w:rsidR="006E750C">
        <w:t>generation</w:t>
      </w:r>
      <w:r w:rsidR="00150564">
        <w:t>), was</w:t>
      </w:r>
      <w:r w:rsidR="00D6731E">
        <w:t xml:space="preserve"> first</w:t>
      </w:r>
      <w:r w:rsidR="00150564">
        <w:t xml:space="preserve"> published in 2016 in </w:t>
      </w:r>
      <w:r w:rsidR="00150564">
        <w:rPr>
          <w:rFonts w:hint="eastAsia"/>
        </w:rPr>
        <w:t>C</w:t>
      </w:r>
      <w:r w:rsidR="00150564">
        <w:t xml:space="preserve">ASIO’s report </w:t>
      </w:r>
      <w:r w:rsidR="00150564">
        <w:fldChar w:fldCharType="begin"/>
      </w:r>
      <w:r w:rsidR="005D48B2">
        <w:instrText xml:space="preserve"> ADDIN ZOTERO_ITEM CSL_CITATION {"citationID":"7ksq9LJv","properties":{"formattedCitation":"[3]","plainCitation":"[3]","noteIndex":0},"citationItems":[{"id":1594,"uris":["http://zotero.org/users/5659608/items/C2I3H4PF"],"itemData":{"id":1594,"type":"webpage","title":"California ISO - Renewables and emissions reports","URL":"https://www.caiso.com/market/Pages/ReportsBulletins/RenewablesReporting.aspx","accessed":{"date-parts":[["2023",2,8]]},"citation-key":"CaliforniaISORenewables"}}],"schema":"https://github.com/citation-style-language/schema/raw/master/csl-citation.json"} </w:instrText>
      </w:r>
      <w:r w:rsidR="00150564">
        <w:fldChar w:fldCharType="separate"/>
      </w:r>
      <w:r w:rsidR="008F0A4A" w:rsidRPr="008F0A4A">
        <w:t>[3]</w:t>
      </w:r>
      <w:r w:rsidR="00150564">
        <w:fldChar w:fldCharType="end"/>
      </w:r>
      <w:r w:rsidR="00150564">
        <w:t>, see</w:t>
      </w:r>
      <w:r w:rsidR="00146A55">
        <w:t xml:space="preserve"> </w:t>
      </w:r>
      <w:r w:rsidR="00146A55">
        <w:fldChar w:fldCharType="begin"/>
      </w:r>
      <w:r w:rsidR="00146A55">
        <w:instrText xml:space="preserve"> REF _Ref130470070 \h </w:instrText>
      </w:r>
      <w:r w:rsidR="00146A55">
        <w:fldChar w:fldCharType="separate"/>
      </w:r>
      <w:r w:rsidR="000E1725" w:rsidRPr="007A686F">
        <w:t xml:space="preserve">Figure </w:t>
      </w:r>
      <w:r w:rsidR="000E1725">
        <w:rPr>
          <w:noProof/>
        </w:rPr>
        <w:t>1</w:t>
      </w:r>
      <w:r w:rsidR="000E1725" w:rsidRPr="007A686F">
        <w:t>.</w:t>
      </w:r>
      <w:r w:rsidR="000E1725">
        <w:rPr>
          <w:noProof/>
        </w:rPr>
        <w:t>1</w:t>
      </w:r>
      <w:r w:rsidR="00146A55">
        <w:fldChar w:fldCharType="end"/>
      </w:r>
      <w:r w:rsidR="00150564">
        <w:t xml:space="preserve">. The “belly” appearance in the mid-afternoon is due to the excess capacity of renewable energy (oversupply), and the “duck neck” appearance </w:t>
      </w:r>
      <w:r w:rsidR="00AD049F">
        <w:t>links</w:t>
      </w:r>
      <w:r w:rsidR="00150564">
        <w:t xml:space="preserve"> to the ramp</w:t>
      </w:r>
      <w:r w:rsidR="00A346A9">
        <w:t>ing</w:t>
      </w:r>
      <w:r w:rsidR="00150564">
        <w:t xml:space="preserve"> demand in the late</w:t>
      </w:r>
      <w:r w:rsidR="00A346A9">
        <w:t xml:space="preserve"> </w:t>
      </w:r>
      <w:r w:rsidR="00150564">
        <w:t xml:space="preserve">afternoon and the decrease in the renewable energy when sunsets (undersupply). Since </w:t>
      </w:r>
      <w:r w:rsidR="00DC6BC3">
        <w:t>a</w:t>
      </w:r>
      <w:r w:rsidR="00150564">
        <w:t xml:space="preserve"> reliable grid requires </w:t>
      </w:r>
      <w:r w:rsidR="008B43BA">
        <w:t>a</w:t>
      </w:r>
      <w:r w:rsidR="00150564">
        <w:t xml:space="preserve"> </w:t>
      </w:r>
      <w:r w:rsidR="008B43BA">
        <w:t>continuous</w:t>
      </w:r>
      <w:r w:rsidR="007C76FA">
        <w:t xml:space="preserve"> supply/</w:t>
      </w:r>
      <w:r w:rsidR="00150564">
        <w:t xml:space="preserve">demand </w:t>
      </w:r>
      <w:r w:rsidR="008D7158">
        <w:t>balance</w:t>
      </w:r>
      <w:r w:rsidR="00D51DFA">
        <w:t xml:space="preserve"> to maintain the frequency </w:t>
      </w:r>
      <w:r w:rsidR="00DA6B95">
        <w:t xml:space="preserve">of </w:t>
      </w:r>
      <w:r w:rsidR="007C76FA">
        <w:t xml:space="preserve">the </w:t>
      </w:r>
      <w:r w:rsidR="00DA6B95">
        <w:t xml:space="preserve">power system </w:t>
      </w:r>
      <w:r w:rsidR="00D51DFA">
        <w:t>(</w:t>
      </w:r>
      <w:r w:rsidR="00AD38C8">
        <w:t>e.g.,</w:t>
      </w:r>
      <w:r w:rsidR="00D51DFA">
        <w:t xml:space="preserve"> 60Hz in the US)</w:t>
      </w:r>
      <w:r w:rsidR="00150564">
        <w:t xml:space="preserve">, </w:t>
      </w:r>
      <w:r w:rsidR="00BD228E">
        <w:t>facility operator</w:t>
      </w:r>
      <w:r w:rsidR="00BC22ED">
        <w:t>s</w:t>
      </w:r>
      <w:r w:rsidR="00150564">
        <w:t xml:space="preserve"> may choose to manually </w:t>
      </w:r>
      <w:r w:rsidR="00721572">
        <w:t>curtail</w:t>
      </w:r>
      <w:r w:rsidR="00D52F8E">
        <w:t xml:space="preserve"> to maintain </w:t>
      </w:r>
      <w:r w:rsidR="00AB2E5C">
        <w:t>the</w:t>
      </w:r>
      <w:r w:rsidR="00D52F8E">
        <w:t xml:space="preserve"> base load of generators</w:t>
      </w:r>
      <w:r w:rsidR="00150564">
        <w:t xml:space="preserve"> </w:t>
      </w:r>
      <w:r w:rsidR="008D7158">
        <w:t xml:space="preserve">when </w:t>
      </w:r>
      <w:r w:rsidR="00150564">
        <w:t>oversupply</w:t>
      </w:r>
      <w:r w:rsidR="008D7158">
        <w:t xml:space="preserve"> occurs</w:t>
      </w:r>
      <w:r w:rsidR="00150564">
        <w:t xml:space="preserve">; </w:t>
      </w:r>
      <w:r w:rsidR="009626C5">
        <w:t xml:space="preserve">or </w:t>
      </w:r>
      <w:r w:rsidR="00BD228E">
        <w:t>they</w:t>
      </w:r>
      <w:r w:rsidR="00150564">
        <w:t xml:space="preserve"> </w:t>
      </w:r>
      <w:r w:rsidR="00101E32">
        <w:t>could</w:t>
      </w:r>
      <w:r w:rsidR="00150564">
        <w:t xml:space="preserve"> </w:t>
      </w:r>
      <w:r w:rsidR="00150564">
        <w:lastRenderedPageBreak/>
        <w:t xml:space="preserve">dispatch conventional generators resources to </w:t>
      </w:r>
      <w:r w:rsidR="00101E32">
        <w:t>meet</w:t>
      </w:r>
      <w:r w:rsidR="00150564">
        <w:t xml:space="preserve"> ramp</w:t>
      </w:r>
      <w:r w:rsidR="00101E32">
        <w:t>ing</w:t>
      </w:r>
      <w:r w:rsidR="00150564">
        <w:t xml:space="preserve"> demand </w:t>
      </w:r>
      <w:r w:rsidR="007D1CA9">
        <w:t xml:space="preserve">to </w:t>
      </w:r>
      <w:r w:rsidR="00042C90">
        <w:t>handle</w:t>
      </w:r>
      <w:r w:rsidR="007D1CA9">
        <w:t xml:space="preserve"> undersupply issue</w:t>
      </w:r>
      <w:r w:rsidR="00150564">
        <w:t>. However, these strategies cause economic or environment</w:t>
      </w:r>
      <w:r w:rsidR="002044CE">
        <w:t>al</w:t>
      </w:r>
      <w:r w:rsidR="00150564">
        <w:t xml:space="preserve"> loss</w:t>
      </w:r>
      <w:r w:rsidR="002044CE">
        <w:t xml:space="preserve"> and thus</w:t>
      </w:r>
      <w:r w:rsidR="00150564">
        <w:t xml:space="preserve"> are not long-term solutions. </w:t>
      </w:r>
    </w:p>
    <w:p w14:paraId="63189E5F" w14:textId="77777777" w:rsidR="00150564" w:rsidRDefault="00150564" w:rsidP="00623535">
      <w:pPr>
        <w:pStyle w:val="12FigureFormatSelectafigureandclickonthisstyle"/>
      </w:pPr>
      <w:r>
        <w:rPr>
          <w:noProof/>
        </w:rPr>
        <w:drawing>
          <wp:inline distT="0" distB="0" distL="0" distR="0" wp14:anchorId="51D41472" wp14:editId="21D597F6">
            <wp:extent cx="3783635" cy="1971924"/>
            <wp:effectExtent l="0" t="0" r="7620" b="9525"/>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3805953" cy="1983555"/>
                    </a:xfrm>
                    <a:prstGeom prst="rect">
                      <a:avLst/>
                    </a:prstGeom>
                  </pic:spPr>
                </pic:pic>
              </a:graphicData>
            </a:graphic>
          </wp:inline>
        </w:drawing>
      </w:r>
    </w:p>
    <w:p w14:paraId="12994FCF" w14:textId="3E3A3B3A" w:rsidR="00150564" w:rsidRPr="007A686F" w:rsidRDefault="00150564" w:rsidP="007A686F">
      <w:pPr>
        <w:pStyle w:val="13FigureCaption"/>
      </w:pPr>
      <w:r w:rsidRPr="00150564">
        <w:t xml:space="preserve"> </w:t>
      </w:r>
      <w:bookmarkStart w:id="24" w:name="_Ref130470070"/>
      <w:bookmarkStart w:id="25" w:name="_Toc141349904"/>
      <w:r w:rsidRPr="007A686F">
        <w:t xml:space="preserve">Figure </w:t>
      </w:r>
      <w:fldSimple w:instr=" STYLEREF 1 \s ">
        <w:r w:rsidR="000E1725">
          <w:rPr>
            <w:noProof/>
          </w:rPr>
          <w:t>1</w:t>
        </w:r>
      </w:fldSimple>
      <w:r w:rsidR="005445E0" w:rsidRPr="007A686F">
        <w:t>.</w:t>
      </w:r>
      <w:fldSimple w:instr=" SEQ Figure \* ARABIC \s 1 ">
        <w:r w:rsidR="000E1725">
          <w:rPr>
            <w:noProof/>
          </w:rPr>
          <w:t>1</w:t>
        </w:r>
      </w:fldSimple>
      <w:bookmarkEnd w:id="24"/>
      <w:r w:rsidRPr="007A686F">
        <w:t xml:space="preserve"> The official “Duck Chart” during spring, shows steep ramping needs and over</w:t>
      </w:r>
      <w:r w:rsidR="00841E31" w:rsidRPr="007A686F">
        <w:t>-supply</w:t>
      </w:r>
      <w:r w:rsidRPr="007A686F">
        <w:t xml:space="preserve"> risk, </w:t>
      </w:r>
      <w:r w:rsidRPr="007A686F">
        <w:rPr>
          <w:rFonts w:hint="eastAsia"/>
        </w:rPr>
        <w:t>published</w:t>
      </w:r>
      <w:r w:rsidRPr="007A686F">
        <w:t xml:space="preserve"> by CASIO </w:t>
      </w:r>
      <w:r w:rsidRPr="007A686F">
        <w:fldChar w:fldCharType="begin"/>
      </w:r>
      <w:r w:rsidR="005D48B2" w:rsidRPr="007A686F">
        <w:instrText xml:space="preserve"> ADDIN ZOTERO_ITEM CSL_CITATION {"citationID":"9myr3BFD","properties":{"formattedCitation":"[3]","plainCitation":"[3]","noteIndex":0},"citationItems":[{"id":1594,"uris":["http://zotero.org/users/5659608/items/C2I3H4PF"],"itemData":{"id":1594,"type":"webpage","title":"California ISO - Renewables and emissions reports","URL":"https://www.caiso.com/market/Pages/ReportsBulletins/RenewablesReporting.aspx","accessed":{"date-parts":[["2023",2,8]]},"citation-key":"CaliforniaISORenewables"}}],"schema":"https://github.com/citation-style-language/schema/raw/master/csl-citation.json"} </w:instrText>
      </w:r>
      <w:r w:rsidRPr="007A686F">
        <w:fldChar w:fldCharType="separate"/>
      </w:r>
      <w:r w:rsidR="008F0A4A" w:rsidRPr="007A686F">
        <w:t>[3]</w:t>
      </w:r>
      <w:r w:rsidRPr="007A686F">
        <w:fldChar w:fldCharType="end"/>
      </w:r>
      <w:r w:rsidRPr="007A686F">
        <w:t>.</w:t>
      </w:r>
      <w:bookmarkEnd w:id="25"/>
      <w:r w:rsidRPr="007A686F">
        <w:t xml:space="preserve">  </w:t>
      </w:r>
    </w:p>
    <w:p w14:paraId="0D9FCC5B" w14:textId="4E25D396" w:rsidR="00A439AC" w:rsidRDefault="00A439AC" w:rsidP="00A439AC">
      <w:r>
        <w:rPr>
          <w:rFonts w:hint="eastAsia"/>
        </w:rPr>
        <w:t>I</w:t>
      </w:r>
      <w:r>
        <w:t xml:space="preserve">n </w:t>
      </w:r>
      <w:r>
        <w:fldChar w:fldCharType="begin"/>
      </w:r>
      <w:r w:rsidR="005D48B2">
        <w:instrText xml:space="preserve"> ADDIN ZOTERO_ITEM CSL_CITATION {"citationID":"jQew6gyS","properties":{"formattedCitation":"[4]","plainCitation":"[4]","noteIndex":0},"citationItems":[{"id":1718,"uris":["http://zotero.org/users/5659608/items/U78R6IIP"],"itemData":{"id":1718,"type":"article-journal","container-title":"renewable energy","note":"publisher: Elsevier","page":"2271–2285","title":"Challenges and solution technologies for the integration of variable renewable energy sources—a review","volume":"145","author":[{"family":"Sinsel","given":"Simon R"},{"family":"Riemke","given":"Rhea L"},{"family":"Hoffmann","given":"Volker H"}],"issued":{"date-parts":[["2020"]]},"citation-key":"sinselChallengesSolutionTechnologies2020"}}],"schema":"https://github.com/citation-style-language/schema/raw/master/csl-citation.json"} </w:instrText>
      </w:r>
      <w:r>
        <w:fldChar w:fldCharType="separate"/>
      </w:r>
      <w:r w:rsidR="008F0A4A" w:rsidRPr="008F0A4A">
        <w:t>[4]</w:t>
      </w:r>
      <w:r>
        <w:fldChar w:fldCharType="end"/>
      </w:r>
      <w:r>
        <w:t xml:space="preserve">, </w:t>
      </w:r>
      <w:r w:rsidR="00584EDC">
        <w:t>by comparing</w:t>
      </w:r>
      <w:r w:rsidR="00FA15C2">
        <w:t xml:space="preserve"> different solutions to handle grid reliability issue</w:t>
      </w:r>
      <w:r w:rsidR="00841E31">
        <w:t>s</w:t>
      </w:r>
      <w:r w:rsidR="00584EDC">
        <w:t>,</w:t>
      </w:r>
      <w:r>
        <w:t xml:space="preserve"> the authors indicated that only flexibility technologies, i.e., the technology that contribute</w:t>
      </w:r>
      <w:r w:rsidR="00841E31">
        <w:t>s</w:t>
      </w:r>
      <w:r>
        <w:t xml:space="preserve"> to the system flexibility by generating and consuming active power, can address the </w:t>
      </w:r>
      <w:r w:rsidR="00B50A65">
        <w:t>supply-demand</w:t>
      </w:r>
      <w:r>
        <w:t xml:space="preserve"> balance issue. However, </w:t>
      </w:r>
      <w:r w:rsidR="00E90616">
        <w:t>some</w:t>
      </w:r>
      <w:r>
        <w:t xml:space="preserve"> flexibility technologies, including developing grid</w:t>
      </w:r>
      <w:r w:rsidR="002F53B2">
        <w:t>-</w:t>
      </w:r>
      <w:r>
        <w:t xml:space="preserve">friendly PV plants or modifying conventional generators, require </w:t>
      </w:r>
      <w:r w:rsidR="000553C9">
        <w:t>significant</w:t>
      </w:r>
      <w:r>
        <w:t xml:space="preserve"> investment</w:t>
      </w:r>
      <w:r w:rsidR="00642121">
        <w:t>s</w:t>
      </w:r>
      <w:r>
        <w:t xml:space="preserve">. </w:t>
      </w:r>
      <w:r w:rsidR="000553C9">
        <w:t>In recent years</w:t>
      </w:r>
      <w:r>
        <w:t xml:space="preserve">, a simpler and less expensive </w:t>
      </w:r>
      <w:r w:rsidR="003C7C99">
        <w:t>approach</w:t>
      </w:r>
      <w:r>
        <w:t>, called D</w:t>
      </w:r>
      <w:r>
        <w:rPr>
          <w:rFonts w:hint="eastAsia"/>
        </w:rPr>
        <w:t>emand</w:t>
      </w:r>
      <w:r>
        <w:t xml:space="preserve"> Side Management (DSM), has </w:t>
      </w:r>
      <w:r w:rsidR="00B13CB9">
        <w:t>attracted</w:t>
      </w:r>
      <w:r>
        <w:t xml:space="preserve"> attention. </w:t>
      </w:r>
    </w:p>
    <w:p w14:paraId="2B44144C" w14:textId="501F6FE3" w:rsidR="00061A0A" w:rsidRPr="00061A0A" w:rsidRDefault="00A439AC" w:rsidP="000B3A87">
      <w:r>
        <w:t xml:space="preserve">DSM </w:t>
      </w:r>
      <w:r w:rsidR="00305606">
        <w:t>is a collection of</w:t>
      </w:r>
      <w:r w:rsidR="007E0BAA">
        <w:t xml:space="preserve"> </w:t>
      </w:r>
      <w:r w:rsidR="009640F8">
        <w:t>flexibility</w:t>
      </w:r>
      <w:r w:rsidR="007E0BAA">
        <w:t xml:space="preserve"> strategies </w:t>
      </w:r>
      <w:r w:rsidR="00284FEC">
        <w:t>and technique</w:t>
      </w:r>
      <w:r w:rsidR="00BC1C2D">
        <w:t xml:space="preserve">s </w:t>
      </w:r>
      <w:r w:rsidR="00EF441B">
        <w:t>designed to manage</w:t>
      </w:r>
      <w:r w:rsidR="00284FEC">
        <w:t xml:space="preserve"> electricity consumption </w:t>
      </w:r>
      <w:r w:rsidR="00BC1C2D">
        <w:t>at the</w:t>
      </w:r>
      <w:r w:rsidR="00284FEC">
        <w:t xml:space="preserve"> end</w:t>
      </w:r>
      <w:r w:rsidR="00475812">
        <w:t>-</w:t>
      </w:r>
      <w:r w:rsidR="00DE0473">
        <w:t>user</w:t>
      </w:r>
      <w:r w:rsidR="00AE5211">
        <w:t xml:space="preserve"> </w:t>
      </w:r>
      <w:r w:rsidR="00EF051C">
        <w:t>side</w:t>
      </w:r>
      <w:r w:rsidR="007B1E9E">
        <w:t xml:space="preserve"> to </w:t>
      </w:r>
      <w:r w:rsidR="00D77B92">
        <w:t>facilitate reliable and sustainable grid</w:t>
      </w:r>
      <w:r w:rsidR="00AE5211">
        <w:t xml:space="preserve"> </w:t>
      </w:r>
      <w:r w:rsidR="00367670">
        <w:fldChar w:fldCharType="begin"/>
      </w:r>
      <w:r w:rsidR="005D48B2">
        <w:instrText xml:space="preserve"> ADDIN ZOTERO_ITEM CSL_CITATION {"citationID":"HBpK2OqG","properties":{"formattedCitation":"[5]","plainCitation":"[5]","noteIndex":0},"citationItems":[{"id":1723,"uris":["http://zotero.org/users/5659608/items/YXGA2IHM"],"itemData":{"id":1723,"type":"article-journal","abstract":"Demand-side management (DSM) has a crucial role in the attainment of sustainable energy that aims to optimize the energy utilization and mitigate emissions. Hence, DSM enhances the flexibility in the power system operation and facilitates low carbon transition in the electricity generation. Recently, the conventional terminology and strategies of DSM have been reformed to match with deregulation of energy environment. Furthermore, the increasing penetration of distributed energy resources (DERs) as well as the advent of smart grids have diversified the techniques and methods of DSM. This paper aggregates the expressions and methodologies about DSM subjects used by the literature and presents explicit definitions of the relevant concepts. In contrast with other review papers in DSM arena, this paper proposes a novel theoretical framework which aims to unify the terminology, concepts, and modalities associated with the literature. A comprehensive categorization of DSM strategies is presented, the scopes are clarified, and the relevant modalities are explicated to attain the unequivocalness in terminology. The evolution of DSM as well as state of the art concepts are considered in the organization of this paper. Moreover, the methods of DSM are reviewed under the paradigms applied in the accomplished classification.","container-title":"Renewable and Sustainable Energy Reviews","DOI":"10.1016/j.rser.2017.05.207","ISSN":"1364-0321","journalAbbreviation":"Renewable and Sustainable Energy Reviews","language":"en","page":"367-379","source":"ScienceDirect","title":"A review of demand-side management: Reconsidering theoretical framework","title-short":"A review of demand-side management","volume":"80","author":[{"family":"Meyabadi","given":"A. Fattahi"},{"family":"Deihimi","given":"M. H."}],"issued":{"date-parts":[["2017",12,1]]},"citation-key":"meyabadiReviewDemandsideManagement2017"}}],"schema":"https://github.com/citation-style-language/schema/raw/master/csl-citation.json"} </w:instrText>
      </w:r>
      <w:r w:rsidR="00367670">
        <w:fldChar w:fldCharType="separate"/>
      </w:r>
      <w:r w:rsidR="00367670" w:rsidRPr="00367670">
        <w:t>[5]</w:t>
      </w:r>
      <w:r w:rsidR="00367670">
        <w:fldChar w:fldCharType="end"/>
      </w:r>
      <w:r w:rsidR="00284FEC">
        <w:t>.</w:t>
      </w:r>
      <w:r w:rsidR="00AC732A">
        <w:t xml:space="preserve"> </w:t>
      </w:r>
      <w:r w:rsidR="00061A0A">
        <w:t>Among all end users,</w:t>
      </w:r>
      <w:r w:rsidR="008459B2">
        <w:t xml:space="preserve"> residential </w:t>
      </w:r>
      <w:r w:rsidR="00E845FD">
        <w:t>buildings</w:t>
      </w:r>
      <w:r w:rsidR="00663BA6">
        <w:t xml:space="preserve"> hold</w:t>
      </w:r>
      <w:r w:rsidR="0074550E">
        <w:t xml:space="preserve"> great potential</w:t>
      </w:r>
      <w:r w:rsidR="00061A0A">
        <w:t xml:space="preserve"> </w:t>
      </w:r>
      <w:r w:rsidR="0043218F">
        <w:rPr>
          <w:szCs w:val="24"/>
        </w:rPr>
        <w:t xml:space="preserve">to address grid reliability issue. </w:t>
      </w:r>
      <w:r w:rsidR="0074550E">
        <w:t xml:space="preserve">As </w:t>
      </w:r>
      <w:r w:rsidR="00061A0A">
        <w:t>one of the key drivers of electricity demand</w:t>
      </w:r>
      <w:r w:rsidR="00964239">
        <w:rPr>
          <w:szCs w:val="24"/>
        </w:rPr>
        <w:t xml:space="preserve">, </w:t>
      </w:r>
      <w:r w:rsidR="0043218F">
        <w:rPr>
          <w:szCs w:val="24"/>
        </w:rPr>
        <w:t>residential building</w:t>
      </w:r>
      <w:r w:rsidR="00B81EDC">
        <w:rPr>
          <w:szCs w:val="24"/>
        </w:rPr>
        <w:t>s</w:t>
      </w:r>
      <w:r w:rsidR="00964239" w:rsidRPr="00A27918">
        <w:rPr>
          <w:szCs w:val="24"/>
        </w:rPr>
        <w:t xml:space="preserve"> </w:t>
      </w:r>
      <w:r w:rsidR="008A1028">
        <w:rPr>
          <w:szCs w:val="24"/>
        </w:rPr>
        <w:t>consume</w:t>
      </w:r>
      <w:r w:rsidR="00964239" w:rsidRPr="00A27918">
        <w:rPr>
          <w:szCs w:val="24"/>
        </w:rPr>
        <w:t xml:space="preserve"> 21% of total U.S. energy in </w:t>
      </w:r>
      <w:r w:rsidR="00964239" w:rsidRPr="00D35AD8">
        <w:rPr>
          <w:szCs w:val="24"/>
        </w:rPr>
        <w:lastRenderedPageBreak/>
        <w:t>2021 when energy los</w:t>
      </w:r>
      <w:r w:rsidR="00964239" w:rsidRPr="00DF7A88">
        <w:rPr>
          <w:szCs w:val="24"/>
        </w:rPr>
        <w:t>ses</w:t>
      </w:r>
      <w:r w:rsidR="00964239" w:rsidRPr="00D35AD8">
        <w:rPr>
          <w:szCs w:val="24"/>
        </w:rPr>
        <w:t xml:space="preserve"> during generation, transmission</w:t>
      </w:r>
      <w:r w:rsidR="00964239">
        <w:rPr>
          <w:szCs w:val="24"/>
        </w:rPr>
        <w:t>,</w:t>
      </w:r>
      <w:r w:rsidR="00964239" w:rsidRPr="00D35AD8">
        <w:rPr>
          <w:szCs w:val="24"/>
        </w:rPr>
        <w:t xml:space="preserve"> and distribution are included</w:t>
      </w:r>
      <w:r w:rsidR="00061A0A">
        <w:t xml:space="preserve"> </w:t>
      </w:r>
      <w:r w:rsidR="00061A0A">
        <w:fldChar w:fldCharType="begin"/>
      </w:r>
      <w:r w:rsidR="005D48B2">
        <w:instrText xml:space="preserve"> ADDIN ZOTERO_ITEM CSL_CITATION {"citationID":"9xb4MA21","properties":{"formattedCitation":"[6]","plainCitation":"[6]","noteIndex":0},"citationItems":[{"id":1298,"uris":["http://zotero.org/users/5659608/items/7MGM69WM"],"itemData":{"id":1298,"type":"report","abstract":"A publication of recent and historical energy statistics. This publication includes total energy production, consumption, stocks, and trade; energy prices; overviews of petroleum, natural gas, coal, electricity, nuclear energy, renewable energy, and carbon dioxide emissions; and data unit conversions values.","collection-title":"Monthly Energy Review (MER)","number":"OE/EIA-0035","page":"38","title":"December 2022 Monthly Energy Review","URL":"http://www.eia.gov/mer","author":[{"family":"U.S. Energy Information Administration (EIA)","given":""}],"accessed":{"date-parts":[["2022",12,31]]},"issued":{"date-parts":[["2022",12,22]]},"citation-key":"u.s.energyinformationadministrationeiaDecember2022Monthly2022"}}],"schema":"https://github.com/citation-style-language/schema/raw/master/csl-citation.json"} </w:instrText>
      </w:r>
      <w:r w:rsidR="00061A0A">
        <w:fldChar w:fldCharType="separate"/>
      </w:r>
      <w:r w:rsidR="00061A0A" w:rsidRPr="008F0A4A">
        <w:t>[6]</w:t>
      </w:r>
      <w:r w:rsidR="00061A0A">
        <w:fldChar w:fldCharType="end"/>
      </w:r>
      <w:r w:rsidR="00061A0A">
        <w:t xml:space="preserve">. </w:t>
      </w:r>
      <w:r w:rsidR="00351C4E" w:rsidRPr="00A27918">
        <w:rPr>
          <w:szCs w:val="24"/>
        </w:rPr>
        <w:t>Spac</w:t>
      </w:r>
      <w:r w:rsidR="00351C4E">
        <w:rPr>
          <w:szCs w:val="24"/>
        </w:rPr>
        <w:t>e</w:t>
      </w:r>
      <w:r w:rsidR="00351C4E" w:rsidRPr="00A27918">
        <w:rPr>
          <w:szCs w:val="24"/>
        </w:rPr>
        <w:t xml:space="preserve"> cooling contributes about 16% of</w:t>
      </w:r>
      <w:r w:rsidR="00351C4E">
        <w:rPr>
          <w:szCs w:val="24"/>
        </w:rPr>
        <w:t xml:space="preserve"> </w:t>
      </w:r>
      <w:r w:rsidR="00351C4E" w:rsidRPr="00A27918">
        <w:rPr>
          <w:szCs w:val="24"/>
        </w:rPr>
        <w:t xml:space="preserve">total </w:t>
      </w:r>
      <w:r w:rsidR="00E276F9">
        <w:rPr>
          <w:szCs w:val="24"/>
        </w:rPr>
        <w:t xml:space="preserve">household </w:t>
      </w:r>
      <w:r w:rsidR="00351C4E" w:rsidRPr="00A27918">
        <w:rPr>
          <w:szCs w:val="24"/>
        </w:rPr>
        <w:t xml:space="preserve">electricity consumption and will </w:t>
      </w:r>
      <w:r w:rsidR="00351C4E" w:rsidRPr="009831CF">
        <w:rPr>
          <w:szCs w:val="24"/>
        </w:rPr>
        <w:t>general</w:t>
      </w:r>
      <w:r w:rsidR="00EB5CA1">
        <w:rPr>
          <w:szCs w:val="24"/>
        </w:rPr>
        <w:t>ly</w:t>
      </w:r>
      <w:r w:rsidR="00351C4E" w:rsidRPr="00A27918">
        <w:rPr>
          <w:szCs w:val="24"/>
        </w:rPr>
        <w:t xml:space="preserve"> </w:t>
      </w:r>
      <w:r w:rsidR="00EB5CA1">
        <w:rPr>
          <w:szCs w:val="24"/>
        </w:rPr>
        <w:t>increase over</w:t>
      </w:r>
      <w:r w:rsidR="00351C4E" w:rsidRPr="00A27918">
        <w:rPr>
          <w:szCs w:val="24"/>
        </w:rPr>
        <w:t xml:space="preserve"> </w:t>
      </w:r>
      <w:r w:rsidR="00351C4E">
        <w:rPr>
          <w:szCs w:val="24"/>
        </w:rPr>
        <w:t>the</w:t>
      </w:r>
      <w:r w:rsidR="00351C4E" w:rsidRPr="00A27918">
        <w:rPr>
          <w:szCs w:val="24"/>
        </w:rPr>
        <w:t xml:space="preserve"> next 30 years due to climate and population change</w:t>
      </w:r>
      <w:r w:rsidR="00EB5CA1">
        <w:rPr>
          <w:szCs w:val="24"/>
        </w:rPr>
        <w:t>s</w:t>
      </w:r>
      <w:r w:rsidR="00351C4E">
        <w:t xml:space="preserve"> </w:t>
      </w:r>
      <w:r w:rsidR="00061A0A">
        <w:fldChar w:fldCharType="begin"/>
      </w:r>
      <w:r w:rsidR="005D48B2">
        <w:instrText xml:space="preserve"> ADDIN ZOTERO_ITEM CSL_CITATION {"citationID":"4HUf0TsD","properties":{"formattedCitation":"[7]","plainCitation":"[7]","noteIndex":0},"citationItems":[{"id":1304,"uris":["http://zotero.org/users/5659608/items/6BLKZMI3"],"itemData":{"id":1304,"type":"report","event-place":"Washington, D.C., USA","genre":"Independent Statistics &amp; Analysis","language":"English","number":"AEO2022 Narrative","publisher-place":"Washington, D.C., USA","title":"Annual Energy Outlook 2022 with projections to 2050","URL":"https://www.eia.gov/outlooks/aeo/index.php","author":[{"family":"U.S. Energy Information Administration (EIA)","given":""}],"accessed":{"date-parts":[["2022",12,31]]},"issued":{"date-parts":[["2022",3]]},"citation-key":"u.s.energyinformationadministrationeiaAnnualEnergyOutlook2022"}}],"schema":"https://github.com/citation-style-language/schema/raw/master/csl-citation.json"} </w:instrText>
      </w:r>
      <w:r w:rsidR="00061A0A">
        <w:fldChar w:fldCharType="separate"/>
      </w:r>
      <w:r w:rsidR="00061A0A" w:rsidRPr="008F0A4A">
        <w:t>[7]</w:t>
      </w:r>
      <w:r w:rsidR="00061A0A">
        <w:fldChar w:fldCharType="end"/>
      </w:r>
      <w:r w:rsidR="008259D1">
        <w:t>, therefore</w:t>
      </w:r>
      <w:r w:rsidR="00907E0A">
        <w:t xml:space="preserve"> HVAC system operation </w:t>
      </w:r>
      <w:r w:rsidR="00B316F7">
        <w:t>b</w:t>
      </w:r>
      <w:r w:rsidR="008259D1">
        <w:t>ecome</w:t>
      </w:r>
      <w:r w:rsidR="00642121">
        <w:t>s</w:t>
      </w:r>
      <w:r w:rsidR="008259D1">
        <w:t xml:space="preserve"> </w:t>
      </w:r>
      <w:r w:rsidR="00D56F8A">
        <w:t>one of the</w:t>
      </w:r>
      <w:r w:rsidR="008259D1">
        <w:t xml:space="preserve"> </w:t>
      </w:r>
      <w:r w:rsidR="00FC65C2">
        <w:t>focus</w:t>
      </w:r>
      <w:r w:rsidR="00AE36A3">
        <w:t>es</w:t>
      </w:r>
      <w:r w:rsidR="00FC65C2">
        <w:t xml:space="preserve"> of</w:t>
      </w:r>
      <w:r w:rsidR="00116517">
        <w:t xml:space="preserve"> th</w:t>
      </w:r>
      <w:r w:rsidR="000F306A">
        <w:t>is</w:t>
      </w:r>
      <w:r w:rsidR="00116517">
        <w:t xml:space="preserve"> stud</w:t>
      </w:r>
      <w:r w:rsidR="00907E0A">
        <w:t>y</w:t>
      </w:r>
      <w:r w:rsidR="00061A0A">
        <w:t>.</w:t>
      </w:r>
      <w:r w:rsidR="00061A0A">
        <w:rPr>
          <w:rFonts w:hint="eastAsia"/>
        </w:rPr>
        <w:t xml:space="preserve"> </w:t>
      </w:r>
      <w:r w:rsidR="00061A0A" w:rsidRPr="003C5B9C">
        <w:t xml:space="preserve">Meanwhile, as the </w:t>
      </w:r>
      <w:r w:rsidR="00401C0B">
        <w:t>penetration</w:t>
      </w:r>
      <w:r w:rsidR="00061A0A" w:rsidRPr="003C5B9C">
        <w:t xml:space="preserve"> of solar panels </w:t>
      </w:r>
      <w:r w:rsidR="008B6D65">
        <w:t>and active</w:t>
      </w:r>
      <w:r w:rsidR="00061A0A" w:rsidRPr="003C5B9C">
        <w:t xml:space="preserve"> energy storage </w:t>
      </w:r>
      <w:r w:rsidR="00401C0B">
        <w:t>increases</w:t>
      </w:r>
      <w:r w:rsidR="00B9659D">
        <w:t xml:space="preserve"> in residential buildings</w:t>
      </w:r>
      <w:r w:rsidR="00061A0A" w:rsidRPr="003C5B9C">
        <w:t>,</w:t>
      </w:r>
      <w:r w:rsidR="00061A0A">
        <w:t xml:space="preserve"> </w:t>
      </w:r>
      <w:r w:rsidR="00061A0A" w:rsidRPr="003C5B9C">
        <w:t>PV-battery system</w:t>
      </w:r>
      <w:r w:rsidR="00642121">
        <w:t>s</w:t>
      </w:r>
      <w:r w:rsidR="002B4957">
        <w:t xml:space="preserve"> become another </w:t>
      </w:r>
      <w:r w:rsidR="00187C81">
        <w:t>effective source</w:t>
      </w:r>
      <w:r w:rsidR="003F3FCC">
        <w:t xml:space="preserve"> </w:t>
      </w:r>
      <w:r w:rsidR="001E21A9">
        <w:t xml:space="preserve">for </w:t>
      </w:r>
      <w:r w:rsidR="00662227">
        <w:t>DSM</w:t>
      </w:r>
      <w:r w:rsidR="00B9659D">
        <w:t xml:space="preserve"> </w:t>
      </w:r>
      <w:r w:rsidR="00D41461">
        <w:fldChar w:fldCharType="begin"/>
      </w:r>
      <w:r w:rsidR="005D48B2">
        <w:instrText xml:space="preserve"> ADDIN ZOTERO_ITEM CSL_CITATION {"citationID":"0pmcuyP2","properties":{"formattedCitation":"[5]","plainCitation":"[5]","noteIndex":0},"citationItems":[{"id":1723,"uris":["http://zotero.org/users/5659608/items/YXGA2IHM"],"itemData":{"id":1723,"type":"article-journal","abstract":"Demand-side management (DSM) has a crucial role in the attainment of sustainable energy that aims to optimize the energy utilization and mitigate emissions. Hence, DSM enhances the flexibility in the power system operation and facilitates low carbon transition in the electricity generation. Recently, the conventional terminology and strategies of DSM have been reformed to match with deregulation of energy environment. Furthermore, the increasing penetration of distributed energy resources (DERs) as well as the advent of smart grids have diversified the techniques and methods of DSM. This paper aggregates the expressions and methodologies about DSM subjects used by the literature and presents explicit definitions of the relevant concepts. In contrast with other review papers in DSM arena, this paper proposes a novel theoretical framework which aims to unify the terminology, concepts, and modalities associated with the literature. A comprehensive categorization of DSM strategies is presented, the scopes are clarified, and the relevant modalities are explicated to attain the unequivocalness in terminology. The evolution of DSM as well as state of the art concepts are considered in the organization of this paper. Moreover, the methods of DSM are reviewed under the paradigms applied in the accomplished classification.","container-title":"Renewable and Sustainable Energy Reviews","DOI":"10.1016/j.rser.2017.05.207","ISSN":"1364-0321","journalAbbreviation":"Renewable and Sustainable Energy Reviews","language":"en","page":"367-379","source":"ScienceDirect","title":"A review of demand-side management: Reconsidering theoretical framework","title-short":"A review of demand-side management","volume":"80","author":[{"family":"Meyabadi","given":"A. Fattahi"},{"family":"Deihimi","given":"M. H."}],"issued":{"date-parts":[["2017",12,1]]},"citation-key":"meyabadiReviewDemandsideManagement2017"}}],"schema":"https://github.com/citation-style-language/schema/raw/master/csl-citation.json"} </w:instrText>
      </w:r>
      <w:r w:rsidR="00D41461">
        <w:fldChar w:fldCharType="separate"/>
      </w:r>
      <w:r w:rsidR="00D41461" w:rsidRPr="00D41461">
        <w:t>[5]</w:t>
      </w:r>
      <w:r w:rsidR="00D41461">
        <w:fldChar w:fldCharType="end"/>
      </w:r>
      <w:r w:rsidR="00061A0A" w:rsidRPr="003C5B9C">
        <w:t>.</w:t>
      </w:r>
      <w:r w:rsidR="00061A0A">
        <w:t xml:space="preserve"> </w:t>
      </w:r>
      <w:r w:rsidR="004434C5">
        <w:t>In 2015</w:t>
      </w:r>
      <w:r w:rsidR="00F73DBC">
        <w:t xml:space="preserve">, </w:t>
      </w:r>
      <w:r w:rsidR="00F73DBC" w:rsidRPr="003C5B9C">
        <w:t xml:space="preserve">since roughly half of the </w:t>
      </w:r>
      <w:r w:rsidR="0044658A">
        <w:t>energy</w:t>
      </w:r>
      <w:r w:rsidR="00F73DBC" w:rsidRPr="003C5B9C">
        <w:t xml:space="preserve"> </w:t>
      </w:r>
      <w:r w:rsidR="00F73DBC">
        <w:t>usage</w:t>
      </w:r>
      <w:r w:rsidR="00F73DBC" w:rsidRPr="003C5B9C">
        <w:t xml:space="preserve"> </w:t>
      </w:r>
      <w:r w:rsidR="00642121">
        <w:t xml:space="preserve">was </w:t>
      </w:r>
      <w:r w:rsidR="00F73DBC">
        <w:t>contributed b</w:t>
      </w:r>
      <w:r w:rsidR="00187C81">
        <w:t>y</w:t>
      </w:r>
      <w:r w:rsidR="00F73DBC">
        <w:t xml:space="preserve"> </w:t>
      </w:r>
      <w:r w:rsidR="000F3124">
        <w:t xml:space="preserve">electrical </w:t>
      </w:r>
      <w:r w:rsidR="00F73DBC">
        <w:t>appliance</w:t>
      </w:r>
      <w:r w:rsidR="00187C81">
        <w:t>s</w:t>
      </w:r>
      <w:r w:rsidR="00F73DBC">
        <w:t>,</w:t>
      </w:r>
      <w:r w:rsidR="00F73DBC" w:rsidRPr="003C5B9C">
        <w:t xml:space="preserve"> </w:t>
      </w:r>
      <w:r w:rsidR="002E5ECF">
        <w:t xml:space="preserve">on top of </w:t>
      </w:r>
      <w:r w:rsidR="002E5ECF" w:rsidRPr="003C5B9C">
        <w:t>space heating, air conditioning, water heating, and refrigerators</w:t>
      </w:r>
      <w:r w:rsidR="00341D25">
        <w:t xml:space="preserve">, </w:t>
      </w:r>
      <w:r w:rsidR="00F73DBC" w:rsidRPr="003C5B9C">
        <w:t>EIA</w:t>
      </w:r>
      <w:r w:rsidR="00341D25">
        <w:t xml:space="preserve"> added 22</w:t>
      </w:r>
      <w:r w:rsidR="00F73DBC" w:rsidRPr="003C5B9C">
        <w:t xml:space="preserve"> categories</w:t>
      </w:r>
      <w:r w:rsidR="00F73DBC">
        <w:t xml:space="preserve"> </w:t>
      </w:r>
      <w:r w:rsidR="00341D25">
        <w:t xml:space="preserve">such as </w:t>
      </w:r>
      <w:r w:rsidR="00341D25" w:rsidRPr="003C5B9C">
        <w:t>dishwashers, clothes washers, and clothes dryers</w:t>
      </w:r>
      <w:r w:rsidR="00341D25">
        <w:t xml:space="preserve"> into</w:t>
      </w:r>
      <w:r w:rsidR="00F73DBC" w:rsidRPr="003C5B9C">
        <w:t xml:space="preserve"> household energy usage</w:t>
      </w:r>
      <w:r w:rsidR="00F73DBC">
        <w:t xml:space="preserve"> </w:t>
      </w:r>
      <w:r w:rsidR="00F73DBC">
        <w:fldChar w:fldCharType="begin"/>
      </w:r>
      <w:r w:rsidR="005D48B2">
        <w:instrText xml:space="preserve"> ADDIN ZOTERO_ITEM CSL_CITATION {"citationID":"zntfRyiI","properties":{"formattedCitation":"[8]","plainCitation":"[8]","noteIndex":0},"citationItems":[{"id":245,"uris":["http://zotero.org/users/5659608/items/QT9V7SJI"],"itemData":{"id":245,"type":"webpage","title":"Residential Energy Consumption Survey (RECS) - Data - U.S. Energy Information Administration (EIA)","URL":"https://www.eia.gov/consumption/residential/data/2015/","accessed":{"date-parts":[["2021",2,18]]},"citation-key":"ResidentialEnergyConsumption"}}],"schema":"https://github.com/citation-style-language/schema/raw/master/csl-citation.json"} </w:instrText>
      </w:r>
      <w:r w:rsidR="00F73DBC">
        <w:fldChar w:fldCharType="separate"/>
      </w:r>
      <w:r w:rsidR="00F73DBC" w:rsidRPr="00A74C91">
        <w:t>[8]</w:t>
      </w:r>
      <w:r w:rsidR="00F73DBC">
        <w:fldChar w:fldCharType="end"/>
      </w:r>
      <w:r w:rsidR="00F73DBC" w:rsidRPr="003C5B9C">
        <w:t xml:space="preserve">. </w:t>
      </w:r>
      <w:r w:rsidR="00D0129C">
        <w:t xml:space="preserve">These </w:t>
      </w:r>
      <w:r w:rsidR="00633184">
        <w:t>electrical</w:t>
      </w:r>
      <w:r w:rsidR="00D0129C">
        <w:t xml:space="preserve"> devices</w:t>
      </w:r>
      <w:r w:rsidR="001F2B09">
        <w:t xml:space="preserve"> </w:t>
      </w:r>
      <w:r w:rsidR="006B7626">
        <w:rPr>
          <w:rFonts w:hint="eastAsia"/>
        </w:rPr>
        <w:t>also</w:t>
      </w:r>
      <w:r w:rsidR="006B7626">
        <w:t xml:space="preserve"> </w:t>
      </w:r>
      <w:r w:rsidR="001F2B09">
        <w:t xml:space="preserve">bring </w:t>
      </w:r>
      <w:r w:rsidR="005B2BBF">
        <w:t>opportunities</w:t>
      </w:r>
      <w:r w:rsidR="00BC0605">
        <w:t xml:space="preserve"> </w:t>
      </w:r>
      <w:r w:rsidR="00491DB7">
        <w:t>for DSM</w:t>
      </w:r>
      <w:r w:rsidR="00BC0605">
        <w:t xml:space="preserve"> since they are more flexible compared with </w:t>
      </w:r>
      <w:r w:rsidR="00714947">
        <w:t xml:space="preserve">thermostatically </w:t>
      </w:r>
      <w:r w:rsidR="00203F95">
        <w:t>appliance</w:t>
      </w:r>
      <w:r w:rsidR="00F73DBC" w:rsidRPr="003C5B9C">
        <w:t>.</w:t>
      </w:r>
    </w:p>
    <w:p w14:paraId="3155E00B" w14:textId="00CB565A" w:rsidR="0095138D" w:rsidRPr="00061A0A" w:rsidRDefault="000B5D4C" w:rsidP="000B3A87">
      <w:r>
        <w:t>Due to its</w:t>
      </w:r>
      <w:r w:rsidR="000A28EC">
        <w:t xml:space="preserve"> significant</w:t>
      </w:r>
      <w:r>
        <w:t xml:space="preserve"> potential on </w:t>
      </w:r>
      <w:r w:rsidR="00BF4A35">
        <w:t>address</w:t>
      </w:r>
      <w:r w:rsidR="00F10002">
        <w:t>ing</w:t>
      </w:r>
      <w:r w:rsidR="00BF4A35">
        <w:t xml:space="preserve"> grid reliability, </w:t>
      </w:r>
      <w:r w:rsidR="009000BB">
        <w:t xml:space="preserve">many </w:t>
      </w:r>
      <w:r w:rsidR="0029426B">
        <w:t xml:space="preserve">utilities </w:t>
      </w:r>
      <w:r w:rsidR="000F5368">
        <w:t>offered demand response programs</w:t>
      </w:r>
      <w:r w:rsidR="00F37468">
        <w:t xml:space="preserve"> (</w:t>
      </w:r>
      <w:r w:rsidR="00F37468">
        <w:rPr>
          <w:rFonts w:hint="eastAsia"/>
        </w:rPr>
        <w:t>DRPs</w:t>
      </w:r>
      <w:r w:rsidR="00F37468">
        <w:t>)</w:t>
      </w:r>
      <w:r w:rsidR="000F5368">
        <w:t xml:space="preserve"> </w:t>
      </w:r>
      <w:r w:rsidR="009000BB">
        <w:t>in retail level</w:t>
      </w:r>
      <w:r w:rsidR="009D103F">
        <w:t xml:space="preserve">, in hoping to </w:t>
      </w:r>
      <w:r w:rsidR="00243677">
        <w:t xml:space="preserve">facilitate </w:t>
      </w:r>
      <w:r w:rsidR="009D103F">
        <w:t>the residential buildings to adjust their power demand based on grid</w:t>
      </w:r>
      <w:r w:rsidR="007B7574">
        <w:t xml:space="preserve"> signals</w:t>
      </w:r>
      <w:r w:rsidR="009000BB">
        <w:t xml:space="preserve">. </w:t>
      </w:r>
      <w:r w:rsidR="00AA5A40">
        <w:t>Unfortunately</w:t>
      </w:r>
      <w:r w:rsidR="009000BB">
        <w:t xml:space="preserve">, </w:t>
      </w:r>
      <w:r w:rsidR="00AD0543">
        <w:t xml:space="preserve">the participation of residential users in </w:t>
      </w:r>
      <w:r w:rsidR="00F37468">
        <w:t>DRP</w:t>
      </w:r>
      <w:r w:rsidR="00732824">
        <w:t xml:space="preserve"> remains low</w:t>
      </w:r>
      <w:r w:rsidR="00B0573B">
        <w:t xml:space="preserve"> </w:t>
      </w:r>
      <w:r w:rsidR="000F6FC9">
        <w:fldChar w:fldCharType="begin"/>
      </w:r>
      <w:r w:rsidR="005D48B2">
        <w:instrText xml:space="preserve"> ADDIN ZOTERO_ITEM CSL_CITATION {"citationID":"V2NjM06U","properties":{"formattedCitation":"[9]","plainCitation":"[9]","noteIndex":0},"citationItems":[{"id":1726,"uris":["http://zotero.org/users/5659608/items/EDDN8H54"],"itemData":{"id":1726,"type":"webpage","abstract":"Federal Energy Regulatory Commission staff issues the Assessment of Demand Response and Advanced Metering report annually in accordance with section 1252(e)(3) of the Energy Policy Act of 2005. The information presented in the report is based on publicly available data that is used to estimate demand response potential in the retail and wholesale markets. The report also discusses state and federal updates to advanced metering infrastructure and demand response.","language":"en","title":"Reports on Demand Response and Advanced Metering | Federal Energy Regulatory Commission","URL":"https://www.ferc.gov/power-sales-and-markets/demand-response/reports-demand-response-and-advanced-metering","accessed":{"date-parts":[["2023",3,23]]},"citation-key":"ReportsDemandResponse"}}],"schema":"https://github.com/citation-style-language/schema/raw/master/csl-citation.json"} </w:instrText>
      </w:r>
      <w:r w:rsidR="000F6FC9">
        <w:fldChar w:fldCharType="separate"/>
      </w:r>
      <w:r w:rsidR="000F6FC9" w:rsidRPr="000F6FC9">
        <w:t>[9]</w:t>
      </w:r>
      <w:r w:rsidR="000F6FC9">
        <w:fldChar w:fldCharType="end"/>
      </w:r>
      <w:r w:rsidR="009000BB">
        <w:rPr>
          <w:rFonts w:hint="eastAsia"/>
        </w:rPr>
        <w:t>.</w:t>
      </w:r>
      <w:r w:rsidR="009000BB">
        <w:t xml:space="preserve"> </w:t>
      </w:r>
      <w:r w:rsidR="00B0573B">
        <w:t>The primary reason</w:t>
      </w:r>
      <w:r w:rsidR="000317E5">
        <w:t xml:space="preserve"> </w:t>
      </w:r>
      <w:r w:rsidR="00CA6EF3">
        <w:t xml:space="preserve">is </w:t>
      </w:r>
      <w:r w:rsidR="004738D7">
        <w:t>the</w:t>
      </w:r>
      <w:r w:rsidR="00CA6EF3">
        <w:t xml:space="preserve"> lack of </w:t>
      </w:r>
      <w:r w:rsidR="00464476">
        <w:t xml:space="preserve">an </w:t>
      </w:r>
      <w:r w:rsidR="00056816">
        <w:t xml:space="preserve">intelligent </w:t>
      </w:r>
      <w:r w:rsidR="00D509CD">
        <w:t>control and coordination</w:t>
      </w:r>
      <w:r w:rsidR="00056816">
        <w:t xml:space="preserve"> </w:t>
      </w:r>
      <w:r w:rsidR="006C1ED8">
        <w:t>system</w:t>
      </w:r>
      <w:r w:rsidR="00AC48C9">
        <w:t>,</w:t>
      </w:r>
      <w:r w:rsidR="006C1ED8">
        <w:t xml:space="preserve"> </w:t>
      </w:r>
      <w:r w:rsidR="00AC48C9">
        <w:t>designed</w:t>
      </w:r>
      <w:r w:rsidR="006C1ED8">
        <w:rPr>
          <w:rFonts w:hint="eastAsia"/>
        </w:rPr>
        <w:t xml:space="preserve"> </w:t>
      </w:r>
      <w:r w:rsidR="006C1ED8">
        <w:t xml:space="preserve">for the </w:t>
      </w:r>
      <w:r w:rsidR="00375604">
        <w:t>residential customers</w:t>
      </w:r>
      <w:r w:rsidR="00DD6EDB">
        <w:t>,</w:t>
      </w:r>
      <w:r w:rsidR="00375604">
        <w:t xml:space="preserve"> to </w:t>
      </w:r>
      <w:r w:rsidR="00A570A4">
        <w:t>optimize the operation of</w:t>
      </w:r>
      <w:r w:rsidR="00F106BA">
        <w:t xml:space="preserve"> appliances under </w:t>
      </w:r>
      <w:r w:rsidR="00A570A4">
        <w:t xml:space="preserve">the </w:t>
      </w:r>
      <w:r w:rsidR="00F37468">
        <w:t>DRPs</w:t>
      </w:r>
      <w:r w:rsidR="00DD6EDB">
        <w:t xml:space="preserve">. This intelligent </w:t>
      </w:r>
      <w:r w:rsidR="003134EE">
        <w:t>control</w:t>
      </w:r>
      <w:r w:rsidR="00DD6EDB">
        <w:t>, which ideally should be low-cost, effective, and algin with user preference,</w:t>
      </w:r>
      <w:r w:rsidR="003A6C3C">
        <w:t xml:space="preserve"> </w:t>
      </w:r>
      <w:r w:rsidR="000B1424">
        <w:t xml:space="preserve">cloud </w:t>
      </w:r>
      <w:r w:rsidR="003A6C3C">
        <w:t xml:space="preserve">improve </w:t>
      </w:r>
      <w:r w:rsidR="000801B8">
        <w:t>operation efficiency</w:t>
      </w:r>
      <w:r w:rsidR="00681534">
        <w:t>,</w:t>
      </w:r>
      <w:r w:rsidR="00B448D8">
        <w:t xml:space="preserve"> increase </w:t>
      </w:r>
      <w:r w:rsidR="000B1424">
        <w:t xml:space="preserve">home appliances’ </w:t>
      </w:r>
      <w:r w:rsidR="00B448D8">
        <w:t xml:space="preserve">response speed </w:t>
      </w:r>
      <w:r w:rsidR="00BD26C6">
        <w:t>to the gird</w:t>
      </w:r>
      <w:r w:rsidR="000B1424">
        <w:t xml:space="preserve"> signal</w:t>
      </w:r>
      <w:r w:rsidR="00B448D8">
        <w:t xml:space="preserve">, </w:t>
      </w:r>
      <w:r w:rsidR="003C751A">
        <w:t xml:space="preserve">and </w:t>
      </w:r>
      <w:r w:rsidR="00A74F98">
        <w:t>save times</w:t>
      </w:r>
      <w:r w:rsidR="00BD26C6">
        <w:t xml:space="preserve"> for users</w:t>
      </w:r>
      <w:r w:rsidR="003A6C3C">
        <w:t xml:space="preserve">. </w:t>
      </w:r>
      <w:r w:rsidR="00366347">
        <w:t xml:space="preserve">However, designing such intelligent </w:t>
      </w:r>
      <w:r w:rsidR="00A64ACE">
        <w:t>control</w:t>
      </w:r>
      <w:r w:rsidR="004C2ECD">
        <w:t xml:space="preserve"> </w:t>
      </w:r>
      <w:r w:rsidR="00366347">
        <w:t xml:space="preserve">for home appliances often involves navigating a complex system: the thermal </w:t>
      </w:r>
      <w:r w:rsidR="00366347">
        <w:lastRenderedPageBreak/>
        <w:t>interactions between indoor</w:t>
      </w:r>
      <w:r w:rsidR="00A64ACE">
        <w:t>s</w:t>
      </w:r>
      <w:r w:rsidR="00366347">
        <w:t xml:space="preserve"> and outdoor</w:t>
      </w:r>
      <w:r w:rsidR="00A64ACE">
        <w:t>s</w:t>
      </w:r>
      <w:r w:rsidR="00366347">
        <w:t>,</w:t>
      </w:r>
      <w:r w:rsidR="00A64ACE">
        <w:t xml:space="preserve"> occupancy behavior patterns, and the operation characteristic of the appliances all needed to be predicted or simulated. In the following section, </w:t>
      </w:r>
      <w:r w:rsidR="00171894">
        <w:t xml:space="preserve">current </w:t>
      </w:r>
      <w:r w:rsidR="00A64ACE">
        <w:t>deployment barrier are reviewed for development of such intelligent control</w:t>
      </w:r>
      <w:r w:rsidR="00BF43D0">
        <w:t xml:space="preserve">. </w:t>
      </w:r>
      <w:r w:rsidR="00665BD8">
        <w:t xml:space="preserve"> </w:t>
      </w:r>
    </w:p>
    <w:p w14:paraId="32CD92BD" w14:textId="46025E10" w:rsidR="00954259" w:rsidRDefault="00F37468" w:rsidP="00954259">
      <w:pPr>
        <w:pStyle w:val="Heading2"/>
      </w:pPr>
      <w:bookmarkStart w:id="26" w:name="_Ref139413146"/>
      <w:bookmarkStart w:id="27" w:name="_Toc141991665"/>
      <w:r>
        <w:t>DRPs</w:t>
      </w:r>
      <w:r w:rsidR="00573E1B">
        <w:t xml:space="preserve"> </w:t>
      </w:r>
      <w:r w:rsidR="00056D70">
        <w:t>and Gap Analysis</w:t>
      </w:r>
      <w:r w:rsidR="004D6888">
        <w:t xml:space="preserve"> in Residential Buildings</w:t>
      </w:r>
      <w:bookmarkEnd w:id="26"/>
      <w:bookmarkEnd w:id="27"/>
    </w:p>
    <w:p w14:paraId="18D2B8E6" w14:textId="120BBDD1" w:rsidR="00185865" w:rsidRPr="00185865" w:rsidRDefault="00995A50" w:rsidP="00FC699A">
      <w:r>
        <w:t xml:space="preserve">In this chapter, </w:t>
      </w:r>
      <w:r w:rsidR="00475C2E">
        <w:t>the concepts and examples of demand response programs (DR</w:t>
      </w:r>
      <w:r w:rsidR="002E170A">
        <w:t>P</w:t>
      </w:r>
      <w:r w:rsidR="00475C2E">
        <w:t>s) in residential buildings are</w:t>
      </w:r>
      <w:r w:rsidR="002C4618">
        <w:t xml:space="preserve"> </w:t>
      </w:r>
      <w:r w:rsidR="008B74A6">
        <w:t>introduced first</w:t>
      </w:r>
      <w:r w:rsidR="008A181B">
        <w:t xml:space="preserve">. </w:t>
      </w:r>
      <w:r w:rsidR="00943598">
        <w:t>To deploy the DRPs</w:t>
      </w:r>
      <w:r w:rsidR="00BC2575">
        <w:t>,</w:t>
      </w:r>
      <w:r w:rsidR="006301BE">
        <w:t xml:space="preserve"> </w:t>
      </w:r>
      <w:r w:rsidR="00FC15FD">
        <w:t xml:space="preserve">the </w:t>
      </w:r>
      <w:r w:rsidR="000215B4">
        <w:t xml:space="preserve">load-flexible </w:t>
      </w:r>
      <w:r w:rsidR="00383514">
        <w:t>resources</w:t>
      </w:r>
      <w:r w:rsidR="00FC15FD">
        <w:t xml:space="preserve"> and the</w:t>
      </w:r>
      <w:r w:rsidR="00DF71B4">
        <w:t xml:space="preserve">ir </w:t>
      </w:r>
      <w:r w:rsidR="001629FF">
        <w:t>accompanying</w:t>
      </w:r>
      <w:r w:rsidR="00C95FFE">
        <w:t xml:space="preserve"> smart technologies that </w:t>
      </w:r>
      <w:r w:rsidR="001629FF">
        <w:t>hold</w:t>
      </w:r>
      <w:r w:rsidR="00C95FFE">
        <w:t xml:space="preserve"> potential </w:t>
      </w:r>
      <w:r w:rsidR="001629FF">
        <w:t xml:space="preserve">for enabling energy management in </w:t>
      </w:r>
      <w:r w:rsidR="00C95FFE">
        <w:t>the</w:t>
      </w:r>
      <w:r w:rsidR="008A181B">
        <w:t xml:space="preserve"> residential </w:t>
      </w:r>
      <w:r w:rsidR="006301BE">
        <w:t>building</w:t>
      </w:r>
      <w:r w:rsidR="001629FF">
        <w:t>s</w:t>
      </w:r>
      <w:r w:rsidR="00C95FFE">
        <w:t xml:space="preserve"> (</w:t>
      </w:r>
      <w:r w:rsidR="00DA1270">
        <w:t xml:space="preserve">from </w:t>
      </w:r>
      <w:r w:rsidR="00C95FFE">
        <w:t>demand side)</w:t>
      </w:r>
      <w:r w:rsidR="006301BE">
        <w:t xml:space="preserve"> </w:t>
      </w:r>
      <w:r w:rsidR="008B1DD2">
        <w:t xml:space="preserve">are </w:t>
      </w:r>
      <w:r w:rsidR="003F7C5C">
        <w:t xml:space="preserve">then </w:t>
      </w:r>
      <w:r w:rsidR="00DF71B4">
        <w:t>reviewed</w:t>
      </w:r>
      <w:r w:rsidR="008B1DD2">
        <w:t xml:space="preserve">. </w:t>
      </w:r>
      <w:r w:rsidR="00B813BB">
        <w:t>Building on these discussions</w:t>
      </w:r>
      <w:r w:rsidR="008B1DD2">
        <w:t xml:space="preserve">, </w:t>
      </w:r>
      <w:r w:rsidR="00EF680B">
        <w:t>the deployment barriers of the</w:t>
      </w:r>
      <w:r w:rsidR="00EF680B" w:rsidDel="008B1DD2">
        <w:t xml:space="preserve"> </w:t>
      </w:r>
      <w:r w:rsidR="00F37468">
        <w:t>DRPs</w:t>
      </w:r>
      <w:r w:rsidR="008B1DD2">
        <w:t xml:space="preserve"> </w:t>
      </w:r>
      <w:r w:rsidR="005C27BB">
        <w:t>in residential buildings</w:t>
      </w:r>
      <w:r w:rsidR="008A181B">
        <w:t xml:space="preserve"> </w:t>
      </w:r>
      <w:r w:rsidR="006301BE">
        <w:t>are discussed</w:t>
      </w:r>
      <w:r w:rsidR="00C77AF5">
        <w:t>.</w:t>
      </w:r>
      <w:r w:rsidR="006E7165">
        <w:t xml:space="preserve"> It is important to </w:t>
      </w:r>
      <w:r w:rsidR="00DC51B4">
        <w:t>recognize</w:t>
      </w:r>
      <w:r w:rsidR="006E7165">
        <w:t xml:space="preserve"> that improving the participation</w:t>
      </w:r>
      <w:r w:rsidR="00DC51B4">
        <w:t xml:space="preserve"> or involvement</w:t>
      </w:r>
      <w:r w:rsidR="006E7165">
        <w:t xml:space="preserve"> of DRPs from the demand side is not only use the current </w:t>
      </w:r>
      <w:r w:rsidR="000215B4">
        <w:t xml:space="preserve">load-flexible </w:t>
      </w:r>
      <w:r w:rsidR="00383514">
        <w:t>resources</w:t>
      </w:r>
      <w:r w:rsidR="006E7165">
        <w:t xml:space="preserve"> and their technologies, but also </w:t>
      </w:r>
      <w:r w:rsidR="00A07981">
        <w:t xml:space="preserve">understand and overcome </w:t>
      </w:r>
      <w:r w:rsidR="009E78B9">
        <w:t>these deployment barriers</w:t>
      </w:r>
      <w:r w:rsidR="00A07981">
        <w:t xml:space="preserve"> which </w:t>
      </w:r>
      <w:r w:rsidR="004105A5">
        <w:t>encompass</w:t>
      </w:r>
      <w:r w:rsidR="00A07981">
        <w:t xml:space="preserve"> hardware, software, financial and social</w:t>
      </w:r>
      <w:r w:rsidR="009E78B9">
        <w:t xml:space="preserve"> factors.</w:t>
      </w:r>
      <w:r w:rsidR="00C77AF5">
        <w:t xml:space="preserve"> After</w:t>
      </w:r>
      <w:r w:rsidR="00750070">
        <w:t>ward</w:t>
      </w:r>
      <w:r w:rsidR="00185865">
        <w:t xml:space="preserve">, </w:t>
      </w:r>
      <w:r w:rsidR="00750070">
        <w:t xml:space="preserve">research questions </w:t>
      </w:r>
      <w:r w:rsidR="00251C29">
        <w:t xml:space="preserve">are formulated based on </w:t>
      </w:r>
      <w:r w:rsidR="0005656B">
        <w:t>this review</w:t>
      </w:r>
      <w:r w:rsidR="00D65413">
        <w:t>. Finally, the outline of</w:t>
      </w:r>
      <w:r w:rsidR="00750070">
        <w:t xml:space="preserve"> this dissertation</w:t>
      </w:r>
      <w:r w:rsidR="00D65413">
        <w:t xml:space="preserve"> are </w:t>
      </w:r>
      <w:r w:rsidR="004105A5">
        <w:t>demonstrated</w:t>
      </w:r>
      <w:r w:rsidR="00185865">
        <w:t xml:space="preserve">. </w:t>
      </w:r>
    </w:p>
    <w:p w14:paraId="1AD86BE8" w14:textId="0980BF8C" w:rsidR="00F9530B" w:rsidRDefault="00F37468" w:rsidP="00CF5BD7">
      <w:pPr>
        <w:pStyle w:val="Heading3"/>
      </w:pPr>
      <w:bookmarkStart w:id="28" w:name="_Toc141991666"/>
      <w:bookmarkStart w:id="29" w:name="_Ref131531705"/>
      <w:r>
        <w:rPr>
          <w:rFonts w:hint="eastAsia"/>
        </w:rPr>
        <w:t>DRPs</w:t>
      </w:r>
      <w:r>
        <w:t xml:space="preserve"> </w:t>
      </w:r>
      <w:r w:rsidR="00312DD6">
        <w:t>offered by utilities</w:t>
      </w:r>
      <w:bookmarkEnd w:id="28"/>
      <w:r w:rsidR="00F9530B">
        <w:t xml:space="preserve"> </w:t>
      </w:r>
      <w:bookmarkEnd w:id="29"/>
    </w:p>
    <w:p w14:paraId="7C0F9409" w14:textId="6DCD53E3" w:rsidR="00527FE4" w:rsidRPr="00527FE4" w:rsidRDefault="00211DB8" w:rsidP="000B3A87">
      <w:r>
        <w:t xml:space="preserve">New challenges arise </w:t>
      </w:r>
      <w:r w:rsidR="00527FE4">
        <w:t>after</w:t>
      </w:r>
      <w:r w:rsidR="00622CE6">
        <w:t xml:space="preserve"> the</w:t>
      </w:r>
      <w:r w:rsidR="00527FE4">
        <w:t xml:space="preserve"> integrating </w:t>
      </w:r>
      <w:r w:rsidR="00622CE6">
        <w:t xml:space="preserve">of </w:t>
      </w:r>
      <w:r w:rsidR="00527FE4">
        <w:t>renewable energy</w:t>
      </w:r>
      <w:r w:rsidR="00622CE6">
        <w:t xml:space="preserve"> into the gird</w:t>
      </w:r>
      <w:r w:rsidR="00527FE4">
        <w:t xml:space="preserve">, </w:t>
      </w:r>
      <w:r w:rsidR="004944C8">
        <w:t xml:space="preserve">particularly </w:t>
      </w:r>
      <w:r w:rsidR="00527FE4">
        <w:t>in supply-</w:t>
      </w:r>
      <w:r w:rsidR="00031186">
        <w:t>demand</w:t>
      </w:r>
      <w:r w:rsidR="00527FE4">
        <w:t xml:space="preserve"> balance issue. </w:t>
      </w:r>
      <w:r>
        <w:t>T</w:t>
      </w:r>
      <w:r w:rsidR="00054E79">
        <w:t xml:space="preserve">he </w:t>
      </w:r>
      <w:r w:rsidR="00527FE4">
        <w:t xml:space="preserve">building’s high demand is one of the reasons for this balance issue, </w:t>
      </w:r>
      <w:r w:rsidR="00FE43F8">
        <w:t>but</w:t>
      </w:r>
      <w:r w:rsidR="00527FE4">
        <w:t xml:space="preserve"> it can also be the most efficient solution due to its flexibility. Building load, </w:t>
      </w:r>
      <w:r w:rsidR="00982621">
        <w:t>of which</w:t>
      </w:r>
      <w:r w:rsidR="00AB0F0A">
        <w:t xml:space="preserve"> 55% </w:t>
      </w:r>
      <w:r w:rsidR="00982621">
        <w:t xml:space="preserve">is </w:t>
      </w:r>
      <w:r w:rsidR="00AB0F0A">
        <w:t>consumed by residential buildings</w:t>
      </w:r>
      <w:r w:rsidR="00527FE4">
        <w:t xml:space="preserve"> </w:t>
      </w:r>
      <w:r w:rsidR="00527FE4">
        <w:fldChar w:fldCharType="begin"/>
      </w:r>
      <w:r w:rsidR="005D48B2">
        <w:instrText xml:space="preserve"> ADDIN ZOTERO_ITEM CSL_CITATION {"citationID":"OUlOdFKs","properties":{"formattedCitation":"[8]","plainCitation":"[8]","noteIndex":0},"citationItems":[{"id":245,"uris":["http://zotero.org/users/5659608/items/QT9V7SJI"],"itemData":{"id":245,"type":"webpage","title":"Residential Energy Consumption Survey (RECS) - Data - U.S. Energy Information Administration (EIA)","URL":"https://www.eia.gov/consumption/residential/data/2015/","accessed":{"date-parts":[["2021",2,18]]},"citation-key":"ResidentialEnergyConsumption"}}],"schema":"https://github.com/citation-style-language/schema/raw/master/csl-citation.json"} </w:instrText>
      </w:r>
      <w:r w:rsidR="00527FE4">
        <w:fldChar w:fldCharType="separate"/>
      </w:r>
      <w:r w:rsidR="00527FE4" w:rsidRPr="00DC6CFA">
        <w:t>[8]</w:t>
      </w:r>
      <w:r w:rsidR="00527FE4">
        <w:fldChar w:fldCharType="end"/>
      </w:r>
      <w:r w:rsidR="00982621">
        <w:t>,</w:t>
      </w:r>
      <w:r w:rsidR="00527FE4">
        <w:t xml:space="preserve"> can be adjusted through proper management.</w:t>
      </w:r>
      <w:r w:rsidR="000C2391">
        <w:t xml:space="preserve"> </w:t>
      </w:r>
    </w:p>
    <w:p w14:paraId="3F3D93A4" w14:textId="77777777" w:rsidR="000E1725" w:rsidRDefault="00F9530B" w:rsidP="000E1725">
      <w:pPr>
        <w:tabs>
          <w:tab w:val="left" w:pos="4950"/>
        </w:tabs>
      </w:pPr>
      <w:r>
        <w:lastRenderedPageBreak/>
        <w:t xml:space="preserve">If a building adjusts its load profile based on the signal that comes from the grid, it is called demand response (DR). As </w:t>
      </w:r>
      <w:r w:rsidR="00B41D38">
        <w:t>utilities</w:t>
      </w:r>
      <w:r>
        <w:t xml:space="preserve"> realize the value of </w:t>
      </w:r>
      <w:r w:rsidR="00467BD7">
        <w:t>Demand Side Management (</w:t>
      </w:r>
      <w:r w:rsidR="00181B74">
        <w:t>DSM</w:t>
      </w:r>
      <w:r w:rsidR="00467BD7">
        <w:t>)</w:t>
      </w:r>
      <w:r>
        <w:t xml:space="preserve">, more </w:t>
      </w:r>
      <w:r w:rsidR="00467BD7">
        <w:t>Demand Response Programs (DRPs)</w:t>
      </w:r>
      <w:r>
        <w:t>, aim</w:t>
      </w:r>
      <w:r w:rsidR="00653CE6">
        <w:t>ing</w:t>
      </w:r>
      <w:r>
        <w:t xml:space="preserve"> to motivate users </w:t>
      </w:r>
      <w:r w:rsidR="001D427F">
        <w:t xml:space="preserve">to </w:t>
      </w:r>
      <w:r>
        <w:t xml:space="preserve">conduct </w:t>
      </w:r>
      <w:r w:rsidR="00467BD7">
        <w:t>DR</w:t>
      </w:r>
      <w:r>
        <w:t xml:space="preserve"> by providing time-based rate</w:t>
      </w:r>
      <w:r w:rsidR="001D427F">
        <w:t>s</w:t>
      </w:r>
      <w:r>
        <w:t xml:space="preserve"> or incentives, start </w:t>
      </w:r>
      <w:r w:rsidR="001D427F">
        <w:t>to</w:t>
      </w:r>
      <w:r>
        <w:t xml:space="preserve"> </w:t>
      </w:r>
      <w:r w:rsidR="00CC74AC">
        <w:t xml:space="preserve">be </w:t>
      </w:r>
      <w:r>
        <w:t>focus</w:t>
      </w:r>
      <w:r w:rsidR="00CC74AC">
        <w:t>ed</w:t>
      </w:r>
      <w:r>
        <w:t xml:space="preserve"> on </w:t>
      </w:r>
      <w:r w:rsidR="001D427F">
        <w:t xml:space="preserve">the </w:t>
      </w:r>
      <w:r>
        <w:t>retail level.</w:t>
      </w:r>
      <w:r>
        <w:fldChar w:fldCharType="begin"/>
      </w:r>
      <w:r>
        <w:instrText xml:space="preserve"> REF _Ref126940004 \h  \* MERGEFORMAT </w:instrText>
      </w:r>
      <w:r>
        <w:fldChar w:fldCharType="separate"/>
      </w:r>
    </w:p>
    <w:p w14:paraId="7BB055B4" w14:textId="507236A7" w:rsidR="00F9530B" w:rsidRDefault="000E1725" w:rsidP="00B61648">
      <w:pPr>
        <w:tabs>
          <w:tab w:val="left" w:pos="4950"/>
        </w:tabs>
      </w:pPr>
      <w:r>
        <w:t>Figure</w:t>
      </w:r>
      <w:r>
        <w:rPr>
          <w:noProof/>
        </w:rPr>
        <w:t xml:space="preserve"> 1.2</w:t>
      </w:r>
      <w:r>
        <w:t xml:space="preserve"> Demand </w:t>
      </w:r>
      <w:r>
        <w:rPr>
          <w:rFonts w:hint="eastAsia"/>
        </w:rPr>
        <w:t>side</w:t>
      </w:r>
      <w:r>
        <w:t xml:space="preserve"> management and </w:t>
      </w:r>
      <w:r>
        <w:rPr>
          <w:rFonts w:hint="eastAsia"/>
        </w:rPr>
        <w:t>DRPs</w:t>
      </w:r>
      <w:r>
        <w:t xml:space="preserve"> </w:t>
      </w:r>
      <w:r>
        <w:rPr>
          <w:rFonts w:hint="eastAsia"/>
        </w:rPr>
        <w:t>i</w:t>
      </w:r>
      <w:r>
        <w:t>n retail and wholesale markets</w:t>
      </w:r>
      <w:r w:rsidRPr="00877D84">
        <w:t xml:space="preserve"> </w:t>
      </w:r>
      <w:r w:rsidR="00F9530B">
        <w:fldChar w:fldCharType="end"/>
      </w:r>
      <w:r w:rsidR="00F9530B">
        <w:t xml:space="preserve"> </w:t>
      </w:r>
      <w:r w:rsidR="00F9530B">
        <w:rPr>
          <w:rFonts w:hint="eastAsia"/>
        </w:rPr>
        <w:t>lists</w:t>
      </w:r>
      <w:r w:rsidR="00F9530B">
        <w:t xml:space="preserve"> major </w:t>
      </w:r>
      <w:r w:rsidR="00F37468">
        <w:t>DRPs</w:t>
      </w:r>
      <w:r w:rsidR="00F9530B">
        <w:t xml:space="preserve"> </w:t>
      </w:r>
      <w:r w:rsidR="001D427F">
        <w:t>at</w:t>
      </w:r>
      <w:r w:rsidR="00F9530B">
        <w:t xml:space="preserve"> </w:t>
      </w:r>
      <w:r w:rsidR="001D427F">
        <w:t>the</w:t>
      </w:r>
      <w:r w:rsidR="00F9530B">
        <w:t xml:space="preserve"> wholesale market level and </w:t>
      </w:r>
      <w:r w:rsidR="001D427F">
        <w:t>at</w:t>
      </w:r>
      <w:r w:rsidR="00F9530B">
        <w:t xml:space="preserve"> </w:t>
      </w:r>
      <w:r w:rsidR="001D427F">
        <w:t xml:space="preserve">the </w:t>
      </w:r>
      <w:r w:rsidR="00F9530B">
        <w:t xml:space="preserve">retail level. Among those </w:t>
      </w:r>
      <w:r w:rsidR="00F37468">
        <w:t>DRPs</w:t>
      </w:r>
      <w:r w:rsidR="00F9530B">
        <w:t xml:space="preserve">, time-based program such as Time-of-Use (TOU), which </w:t>
      </w:r>
      <w:r w:rsidR="00232D04">
        <w:t>aims to provide</w:t>
      </w:r>
      <w:r w:rsidR="00F9530B">
        <w:t xml:space="preserve"> time-</w:t>
      </w:r>
      <w:r w:rsidR="00232D04">
        <w:t>varying price</w:t>
      </w:r>
      <w:r w:rsidR="00F9530B">
        <w:t xml:space="preserve"> to </w:t>
      </w:r>
      <w:r w:rsidR="00232D04">
        <w:t>stimulate users to adjust</w:t>
      </w:r>
      <w:r w:rsidR="00F9530B">
        <w:t xml:space="preserve"> their load </w:t>
      </w:r>
      <w:r w:rsidR="00F9530B">
        <w:fldChar w:fldCharType="begin"/>
      </w:r>
      <w:r w:rsidR="005D48B2">
        <w:instrText xml:space="preserve"> ADDIN ZOTERO_ITEM CSL_CITATION {"citationID":"ef7PUymD","properties":{"formattedCitation":"[10]","plainCitation":"[10]","noteIndex":0},"citationItems":[{"id":1307,"uris":["http://zotero.org/users/5659608/items/PGFP6J4H"],"itemData":{"id":1307,"type":"webpage","abstract":"View profiles of demand response and time-variable pricing programs throughout the United States.","container-title":"Energy.gov","language":"en","title":"Demand Response and Time-Variable Pricing Programs","URL":"https://www.energy.gov/eere/femp/demand-response-and-time-variable-pricing-programs","accessed":{"date-parts":[["2022",12,31]]},"citation-key":"DemandResponseTimeVariable"}}],"schema":"https://github.com/citation-style-language/schema/raw/master/csl-citation.json"} </w:instrText>
      </w:r>
      <w:r w:rsidR="00F9530B">
        <w:fldChar w:fldCharType="separate"/>
      </w:r>
      <w:r w:rsidR="00BC14E7" w:rsidRPr="00BC14E7">
        <w:t>[10]</w:t>
      </w:r>
      <w:r w:rsidR="00F9530B">
        <w:fldChar w:fldCharType="end"/>
      </w:r>
      <w:r w:rsidR="00C9745E">
        <w:t>,</w:t>
      </w:r>
      <w:r w:rsidR="00F9530B">
        <w:t xml:space="preserve"> is the most established </w:t>
      </w:r>
      <w:r w:rsidR="00722615">
        <w:t>program</w:t>
      </w:r>
      <w:r w:rsidR="00F9530B">
        <w:t xml:space="preserve"> and </w:t>
      </w:r>
      <w:r w:rsidR="00434DB5">
        <w:t xml:space="preserve">has </w:t>
      </w:r>
      <w:r w:rsidR="00F9530B">
        <w:t>already be</w:t>
      </w:r>
      <w:r w:rsidR="00434DB5">
        <w:t>en used</w:t>
      </w:r>
      <w:r w:rsidR="008322E4">
        <w:t xml:space="preserve"> in</w:t>
      </w:r>
      <w:r w:rsidR="00F9530B">
        <w:t xml:space="preserve"> commercial and residential buildings. </w:t>
      </w:r>
    </w:p>
    <w:p w14:paraId="06C08920" w14:textId="77777777" w:rsidR="00146A55" w:rsidRDefault="00F9530B" w:rsidP="00623535">
      <w:pPr>
        <w:pStyle w:val="12FigureFormatSelectafigureandclickonthisstyle"/>
      </w:pPr>
      <w:r>
        <w:rPr>
          <w:noProof/>
        </w:rPr>
        <w:drawing>
          <wp:inline distT="0" distB="0" distL="0" distR="0" wp14:anchorId="239715FE" wp14:editId="76337EE5">
            <wp:extent cx="5666911" cy="1475117"/>
            <wp:effectExtent l="0" t="0" r="0" b="0"/>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85940" cy="1480070"/>
                    </a:xfrm>
                    <a:prstGeom prst="rect">
                      <a:avLst/>
                    </a:prstGeom>
                  </pic:spPr>
                </pic:pic>
              </a:graphicData>
            </a:graphic>
          </wp:inline>
        </w:drawing>
      </w:r>
      <w:bookmarkStart w:id="30" w:name="_Ref126940004"/>
    </w:p>
    <w:p w14:paraId="36D4E3F6" w14:textId="7A677DC8" w:rsidR="00F9530B" w:rsidRDefault="00146A55" w:rsidP="00146A55">
      <w:pPr>
        <w:pStyle w:val="13FigureCaption"/>
      </w:pPr>
      <w:bookmarkStart w:id="31" w:name="_Toc141349905"/>
      <w:r>
        <w:t xml:space="preserve">Figure </w:t>
      </w:r>
      <w:fldSimple w:instr=" STYLEREF 1 \s ">
        <w:r w:rsidR="000E1725">
          <w:rPr>
            <w:noProof/>
          </w:rPr>
          <w:t>1</w:t>
        </w:r>
      </w:fldSimple>
      <w:r w:rsidR="005445E0">
        <w:t>.</w:t>
      </w:r>
      <w:fldSimple w:instr=" SEQ Figure \* ARABIC \s 1 ">
        <w:r w:rsidR="000E1725">
          <w:rPr>
            <w:noProof/>
          </w:rPr>
          <w:t>2</w:t>
        </w:r>
      </w:fldSimple>
      <w:r>
        <w:t xml:space="preserve"> Demand </w:t>
      </w:r>
      <w:r>
        <w:rPr>
          <w:rFonts w:hint="eastAsia"/>
        </w:rPr>
        <w:t>side</w:t>
      </w:r>
      <w:r>
        <w:t xml:space="preserve"> management and </w:t>
      </w:r>
      <w:r>
        <w:rPr>
          <w:rFonts w:hint="eastAsia"/>
        </w:rPr>
        <w:t>DRPs</w:t>
      </w:r>
      <w:r>
        <w:t xml:space="preserve"> </w:t>
      </w:r>
      <w:r>
        <w:rPr>
          <w:rFonts w:hint="eastAsia"/>
        </w:rPr>
        <w:t>i</w:t>
      </w:r>
      <w:r>
        <w:t>n retail and wholesale markets</w:t>
      </w:r>
      <w:bookmarkEnd w:id="31"/>
      <w:r w:rsidR="00F9530B" w:rsidRPr="00877D84">
        <w:t xml:space="preserve"> </w:t>
      </w:r>
      <w:bookmarkEnd w:id="30"/>
      <w:r>
        <w:t xml:space="preserve"> </w:t>
      </w:r>
      <w:r w:rsidR="00F9530B">
        <w:t xml:space="preserve"> </w:t>
      </w:r>
    </w:p>
    <w:p w14:paraId="203A1ABA" w14:textId="47F63292" w:rsidR="00F9530B" w:rsidRDefault="00F9530B" w:rsidP="000B3A87">
      <w:r>
        <w:fldChar w:fldCharType="begin"/>
      </w:r>
      <w:r>
        <w:instrText xml:space="preserve"> REF _Ref131429379 \h </w:instrText>
      </w:r>
      <w:r w:rsidR="005A22F9">
        <w:instrText xml:space="preserve"> \* MERGEFORMAT </w:instrText>
      </w:r>
      <w:r>
        <w:fldChar w:fldCharType="separate"/>
      </w:r>
      <w:r w:rsidR="000E1725">
        <w:t xml:space="preserve">Figure </w:t>
      </w:r>
      <w:r w:rsidR="000E1725">
        <w:rPr>
          <w:noProof/>
        </w:rPr>
        <w:t>1.3</w:t>
      </w:r>
      <w:r>
        <w:fldChar w:fldCharType="end"/>
      </w:r>
      <w:r>
        <w:t xml:space="preserve"> displays a comparison of </w:t>
      </w:r>
      <w:r w:rsidR="00A85F50">
        <w:t xml:space="preserve">Oklahoma’s and Miami’s 2022 </w:t>
      </w:r>
      <w:r>
        <w:t xml:space="preserve">TOU rates, which are actual </w:t>
      </w:r>
      <w:r w:rsidR="00816986">
        <w:t xml:space="preserve">quotes </w:t>
      </w:r>
      <w:r w:rsidR="000F4540">
        <w:t xml:space="preserve">offered by </w:t>
      </w:r>
      <w:r>
        <w:t xml:space="preserve">utilities to their customers. </w:t>
      </w:r>
      <w:r w:rsidR="00C201CC">
        <w:t>In s</w:t>
      </w:r>
      <w:r w:rsidR="000F4540">
        <w:t>ome</w:t>
      </w:r>
      <w:r>
        <w:t xml:space="preserve"> periods the price is higher (the on-peak hour) and </w:t>
      </w:r>
      <w:r w:rsidR="00C201CC">
        <w:t xml:space="preserve">in </w:t>
      </w:r>
      <w:r w:rsidR="003B47F6">
        <w:t xml:space="preserve">some </w:t>
      </w:r>
      <w:r w:rsidR="00C201CC">
        <w:t xml:space="preserve">other </w:t>
      </w:r>
      <w:r w:rsidR="003B47F6">
        <w:t xml:space="preserve">periods </w:t>
      </w:r>
      <w:r>
        <w:t>the price is lower (the off-peak hour)</w:t>
      </w:r>
      <w:r w:rsidR="003B47F6">
        <w:t>.</w:t>
      </w:r>
      <w:r>
        <w:t xml:space="preserve"> </w:t>
      </w:r>
      <w:r w:rsidR="003B47F6">
        <w:t>B</w:t>
      </w:r>
      <w:r>
        <w:t xml:space="preserve">ut the time span of the high price period, and the magnitude of the high prices of </w:t>
      </w:r>
      <w:r w:rsidR="003B47F6">
        <w:t>two TOU rates</w:t>
      </w:r>
      <w:r>
        <w:t xml:space="preserve"> are different, </w:t>
      </w:r>
      <w:r w:rsidR="00FB5247">
        <w:t>depending</w:t>
      </w:r>
      <w:r>
        <w:t xml:space="preserve"> on </w:t>
      </w:r>
      <w:r w:rsidR="008879F9">
        <w:t xml:space="preserve">different preferences from different </w:t>
      </w:r>
      <w:r>
        <w:t xml:space="preserve">utilities. </w:t>
      </w:r>
    </w:p>
    <w:p w14:paraId="70201A8C" w14:textId="77777777" w:rsidR="00F9530B" w:rsidRDefault="00F9530B" w:rsidP="000B3A87">
      <w:pPr>
        <w:pStyle w:val="Newparagraph"/>
      </w:pPr>
      <w:r>
        <w:rPr>
          <w:rFonts w:hint="eastAsia"/>
          <w:noProof/>
        </w:rPr>
        <w:lastRenderedPageBreak/>
        <w:drawing>
          <wp:inline distT="0" distB="0" distL="0" distR="0" wp14:anchorId="30981E4A" wp14:editId="56CEC38A">
            <wp:extent cx="4479426" cy="2194564"/>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79426" cy="2194564"/>
                    </a:xfrm>
                    <a:prstGeom prst="rect">
                      <a:avLst/>
                    </a:prstGeom>
                  </pic:spPr>
                </pic:pic>
              </a:graphicData>
            </a:graphic>
          </wp:inline>
        </w:drawing>
      </w:r>
    </w:p>
    <w:p w14:paraId="724E0A9B" w14:textId="6BE7A2CF" w:rsidR="00F9530B" w:rsidRPr="00F9530B" w:rsidRDefault="00F9530B" w:rsidP="00F9530B">
      <w:pPr>
        <w:pStyle w:val="13FigureCaption"/>
      </w:pPr>
      <w:bookmarkStart w:id="32" w:name="_Ref131429379"/>
      <w:bookmarkStart w:id="33" w:name="_Toc141349906"/>
      <w:r>
        <w:t xml:space="preserve">Figure </w:t>
      </w:r>
      <w:fldSimple w:instr=" STYLEREF 1 \s ">
        <w:r w:rsidR="000E1725">
          <w:rPr>
            <w:noProof/>
          </w:rPr>
          <w:t>1</w:t>
        </w:r>
      </w:fldSimple>
      <w:r w:rsidR="005445E0">
        <w:t>.</w:t>
      </w:r>
      <w:fldSimple w:instr=" SEQ Figure \* ARABIC \s 1 ">
        <w:r w:rsidR="000E1725">
          <w:rPr>
            <w:noProof/>
          </w:rPr>
          <w:t>3</w:t>
        </w:r>
      </w:fldSimple>
      <w:bookmarkEnd w:id="32"/>
      <w:r>
        <w:t xml:space="preserve"> TOU rate examples in Oklahoma and Miami</w:t>
      </w:r>
      <w:bookmarkEnd w:id="33"/>
      <w:r>
        <w:t xml:space="preserve"> </w:t>
      </w:r>
    </w:p>
    <w:p w14:paraId="0E83D36F" w14:textId="2024B4E4" w:rsidR="005E0F13" w:rsidRPr="00F23F8D" w:rsidRDefault="00312DD6" w:rsidP="00CF5BD7">
      <w:pPr>
        <w:pStyle w:val="Heading3"/>
      </w:pPr>
      <w:bookmarkStart w:id="34" w:name="_Toc132122442"/>
      <w:bookmarkStart w:id="35" w:name="_Toc132122566"/>
      <w:bookmarkStart w:id="36" w:name="_Toc141991667"/>
      <w:r>
        <w:t>B</w:t>
      </w:r>
      <w:r w:rsidR="00A653CD" w:rsidRPr="00F23F8D">
        <w:t>uilding energy management strategies</w:t>
      </w:r>
      <w:bookmarkEnd w:id="34"/>
      <w:bookmarkEnd w:id="35"/>
      <w:r>
        <w:t xml:space="preserve"> and the focus of this study</w:t>
      </w:r>
      <w:bookmarkEnd w:id="36"/>
      <w:r w:rsidR="00A653CD" w:rsidRPr="00F23F8D">
        <w:t xml:space="preserve"> </w:t>
      </w:r>
    </w:p>
    <w:p w14:paraId="64C0F3CD" w14:textId="7AA0DB00" w:rsidR="00DC42D9" w:rsidRDefault="00A22120" w:rsidP="006D0D11">
      <w:r>
        <w:t xml:space="preserve">Since the </w:t>
      </w:r>
      <w:r>
        <w:rPr>
          <w:rFonts w:hint="eastAsia"/>
        </w:rPr>
        <w:t>time</w:t>
      </w:r>
      <w:r>
        <w:t xml:space="preserve">-based </w:t>
      </w:r>
      <w:r w:rsidR="00F37468">
        <w:t>DRPs</w:t>
      </w:r>
      <w:r>
        <w:t xml:space="preserve">, such as </w:t>
      </w:r>
      <w:r w:rsidR="00776587">
        <w:t xml:space="preserve">the </w:t>
      </w:r>
      <w:r>
        <w:t xml:space="preserve">TOU rate, </w:t>
      </w:r>
      <w:r w:rsidR="006C3842">
        <w:t>are designed</w:t>
      </w:r>
      <w:r w:rsidR="0054426C">
        <w:t xml:space="preserve"> to incentivize users rather than directly control </w:t>
      </w:r>
      <w:r w:rsidR="00281784">
        <w:t xml:space="preserve">the electricity </w:t>
      </w:r>
      <w:r w:rsidR="00FC523A">
        <w:t xml:space="preserve">load, </w:t>
      </w:r>
      <w:r w:rsidR="00C05E7F">
        <w:t xml:space="preserve">the </w:t>
      </w:r>
      <w:r w:rsidR="00281784">
        <w:t>demand</w:t>
      </w:r>
      <w:r w:rsidR="00C05E7F">
        <w:t>-</w:t>
      </w:r>
      <w:r w:rsidR="00281784">
        <w:t xml:space="preserve">side </w:t>
      </w:r>
      <w:r w:rsidR="00262457">
        <w:t>management</w:t>
      </w:r>
      <w:r w:rsidR="00DA44B2">
        <w:t xml:space="preserve"> strategies </w:t>
      </w:r>
      <w:r w:rsidR="004C3341">
        <w:t>for building</w:t>
      </w:r>
      <w:r w:rsidR="00DA44B2">
        <w:t xml:space="preserve"> load</w:t>
      </w:r>
      <w:r w:rsidR="004C3341">
        <w:t xml:space="preserve"> adjustments</w:t>
      </w:r>
      <w:r w:rsidR="00DA44B2">
        <w:t xml:space="preserve"> </w:t>
      </w:r>
      <w:r w:rsidR="00C05E7F">
        <w:t>becomes particularly important.</w:t>
      </w:r>
      <w:r w:rsidR="003F7ED8">
        <w:t xml:space="preserve"> </w:t>
      </w:r>
      <w:r w:rsidR="009F110F">
        <w:t xml:space="preserve">Based on </w:t>
      </w:r>
      <w:r w:rsidR="00186417">
        <w:t xml:space="preserve">the </w:t>
      </w:r>
      <w:r w:rsidR="009F110F">
        <w:t>DOE report</w:t>
      </w:r>
      <w:r w:rsidR="006D6533">
        <w:t xml:space="preserve"> in 2019</w:t>
      </w:r>
      <w:r w:rsidR="002A62E3">
        <w:t xml:space="preserve"> </w:t>
      </w:r>
      <w:r w:rsidR="00611A89">
        <w:fldChar w:fldCharType="begin"/>
      </w:r>
      <w:r w:rsidR="005D48B2">
        <w:instrText xml:space="preserve"> ADDIN ZOTERO_ITEM CSL_CITATION {"citationID":"hK6KYQkO","properties":{"formattedCitation":"[11]","plainCitation":"[11]","noteIndex":0},"citationItems":[{"id":1603,"uris":["http://zotero.org/users/5659608/items/SXFABWX8"],"itemData":{"id":1603,"type":"article-journal","note":"Citation Key: neukomm2019grid\npublisher: National Renewable Energy Lab.(NREL), Golden, CO (United States)","title":"Grid-interactive efficient buildings technical report series: Overview of research challenges and gaps","author":[{"family":"Neukomm","given":"Monica"},{"family":"Nubbe","given":"Valerie"},{"family":"Fares","given":"Robert"}],"issued":{"date-parts":[["2019"]]},"citation-key":"neukomm2019grid"}}],"schema":"https://github.com/citation-style-language/schema/raw/master/csl-citation.json"} </w:instrText>
      </w:r>
      <w:r w:rsidR="00611A89">
        <w:fldChar w:fldCharType="separate"/>
      </w:r>
      <w:r w:rsidR="00BC14E7" w:rsidRPr="00BC14E7">
        <w:t>[11]</w:t>
      </w:r>
      <w:r w:rsidR="00611A89">
        <w:fldChar w:fldCharType="end"/>
      </w:r>
      <w:r w:rsidR="009F110F">
        <w:t>, there are five</w:t>
      </w:r>
      <w:r w:rsidR="00BA5899">
        <w:t xml:space="preserve"> management</w:t>
      </w:r>
      <w:r w:rsidR="009F110F">
        <w:t xml:space="preserve"> </w:t>
      </w:r>
      <w:r w:rsidR="00BA5899">
        <w:t>strategies</w:t>
      </w:r>
      <w:r w:rsidR="009F110F">
        <w:t xml:space="preserve"> that </w:t>
      </w:r>
      <w:r w:rsidR="00F27546">
        <w:t xml:space="preserve">a </w:t>
      </w:r>
      <w:r w:rsidR="009F110F">
        <w:t>building</w:t>
      </w:r>
      <w:r w:rsidR="00BA5899">
        <w:t xml:space="preserve"> </w:t>
      </w:r>
      <w:r w:rsidR="00595DD8">
        <w:t>can</w:t>
      </w:r>
      <w:r w:rsidR="00BB218B">
        <w:t xml:space="preserve"> conduct to</w:t>
      </w:r>
      <w:r w:rsidR="008A4B15">
        <w:t xml:space="preserve"> adjust</w:t>
      </w:r>
      <w:r w:rsidR="00BB218B">
        <w:t xml:space="preserve"> its load</w:t>
      </w:r>
      <w:r w:rsidR="005E7BBC">
        <w:t xml:space="preserve">, as shown in </w:t>
      </w:r>
      <w:r w:rsidR="005E7BBC">
        <w:fldChar w:fldCharType="begin"/>
      </w:r>
      <w:r w:rsidR="005E7BBC">
        <w:instrText xml:space="preserve"> REF _Ref132128998 \h </w:instrText>
      </w:r>
      <w:r w:rsidR="005E7BBC">
        <w:fldChar w:fldCharType="separate"/>
      </w:r>
      <w:r w:rsidR="000E1725">
        <w:t xml:space="preserve">Table </w:t>
      </w:r>
      <w:r w:rsidR="000E1725">
        <w:rPr>
          <w:noProof/>
        </w:rPr>
        <w:t>1</w:t>
      </w:r>
      <w:r w:rsidR="000E1725">
        <w:t>.</w:t>
      </w:r>
      <w:r w:rsidR="000E1725">
        <w:rPr>
          <w:noProof/>
        </w:rPr>
        <w:t>1</w:t>
      </w:r>
      <w:r w:rsidR="005E7BBC">
        <w:fldChar w:fldCharType="end"/>
      </w:r>
      <w:r w:rsidR="005E7BBC">
        <w:t xml:space="preserve">. </w:t>
      </w:r>
      <w:r w:rsidR="006D0D11">
        <w:t xml:space="preserve">The load shifting and generation in residential buildings are the focus in this study. </w:t>
      </w:r>
    </w:p>
    <w:p w14:paraId="37B84246" w14:textId="42BCDC33" w:rsidR="00996E18" w:rsidRDefault="00996E18" w:rsidP="00410CB0">
      <w:pPr>
        <w:pStyle w:val="15TableTitle"/>
      </w:pPr>
      <w:bookmarkStart w:id="37" w:name="_Ref132128998"/>
      <w:bookmarkStart w:id="38" w:name="_Toc141343892"/>
      <w:r>
        <w:t xml:space="preserve">Table </w:t>
      </w:r>
      <w:fldSimple w:instr=" STYLEREF 1 \s ">
        <w:r w:rsidR="000E1725">
          <w:rPr>
            <w:noProof/>
          </w:rPr>
          <w:t>1</w:t>
        </w:r>
      </w:fldSimple>
      <w:r w:rsidR="00146A55">
        <w:t>.</w:t>
      </w:r>
      <w:fldSimple w:instr=" SEQ Table \* ARABIC \s 1 ">
        <w:r w:rsidR="000E1725">
          <w:rPr>
            <w:noProof/>
          </w:rPr>
          <w:t>1</w:t>
        </w:r>
      </w:fldSimple>
      <w:bookmarkEnd w:id="37"/>
      <w:r>
        <w:t xml:space="preserve"> Five </w:t>
      </w:r>
      <w:r w:rsidR="00513BC8">
        <w:t xml:space="preserve">ways building can provide value to </w:t>
      </w:r>
      <w:r w:rsidR="0045371A">
        <w:t>the grid</w:t>
      </w:r>
      <w:r w:rsidR="00AB0DCB">
        <w:t xml:space="preserve"> </w:t>
      </w:r>
      <w:r w:rsidR="00AB0DCB">
        <w:fldChar w:fldCharType="begin"/>
      </w:r>
      <w:r w:rsidR="005D48B2">
        <w:instrText xml:space="preserve"> ADDIN ZOTERO_ITEM CSL_CITATION {"citationID":"a1dfp9bs6op","properties":{"formattedCitation":"[11,12]","plainCitation":"[11,12]","noteIndex":0},"citationItems":[{"id":1603,"uris":["http://zotero.org/users/5659608/items/SXFABWX8"],"itemData":{"id":1603,"type":"article-journal","note":"Citation Key: neukomm2019grid\npublisher: National Renewable Energy Lab.(NREL), Golden, CO (United States)","title":"Grid-interactive efficient buildings technical report series: Overview of research challenges and gaps","author":[{"family":"Neukomm","given":"Monica"},{"family":"Nubbe","given":"Valerie"},{"family":"Fares","given":"Robert"}],"issued":{"date-parts":[["2019"]]},"citation-key":"neukomm2019grid"}},{"id":1852,"uris":["http://zotero.org/users/5659608/items/MNN8QTT9"],"itemData":{"id":1852,"type":"report","abstract":"The way electricity is generated and consumed in the US is quickly changing, including in terms of the rapid growth in variable power generation resources and the need for large-scale investments to replace aging infrastructure and modernize the grid. Buildings that coordinate electricity use with grid conditions are a flexible and cost-effective resource to address the evolving power system challenges. Outfitted with smart technologies, GEBs are energy-efficient buildings with smart technologies characterized by the active use of distributed energy resources to optimize energy use for grid services, occupant needs and preferences, and cost reductions in a continuous and integrated way. In doing so, GEBs can play a key role in promoting greater affordability, resilience, environmental performance, and reliability. The report finds that, over the next two decades, GEBs could deliver between $100 and $200 billion in savings to the US power system and cut CO2 emissions by 80 million tons per year by 2030, or 6% of total power sector CO2 emissions. The report also provides 14 recommendations for addressing the top barriers to overcome barriers to GEB adoption and deployment.","language":"English","note":"DOI: 10.2172/1784302","publisher":"Lawrence Berkeley National Lab. (LBNL), Berkeley, CA (United States)","source":"www.osti.gov","title":"A National Roadmap for Grid-Interactive Efficient Buildings","URL":"https://www.osti.gov/biblio/1784302","author":[{"family":"Satchwell","given":"Andrew"},{"family":"Piette","given":"Mary Ann"},{"family":"Khandekar","given":"Aditya"},{"family":"Granderson","given":"Jessica"},{"family":"Frick","given":"Natalie Mims"},{"family":"Hledik","given":"Ryan"},{"family":"Faruqui","given":"Ahmad"},{"family":"Lam","given":"Long"},{"family":"Ross","given":"Stephanie"},{"family":"Cohen","given":"Jesse"},{"family":"Wang","given":"Kitty"},{"family":"Urigwe","given":"Daniela"},{"family":"Delurey","given":"Dan"},{"family":"Neukomm","given":"Monica"},{"family":"Nemtzow","given":"David"}],"accessed":{"date-parts":[["2023",4,11]]},"issued":{"date-parts":[["2021",5,17]]},"citation-key":"satchwellNationalRoadmapGridInteractive2021"}}],"schema":"https://github.com/citation-style-language/schema/raw/master/csl-citation.json"} </w:instrText>
      </w:r>
      <w:r w:rsidR="00AB0DCB">
        <w:fldChar w:fldCharType="separate"/>
      </w:r>
      <w:r w:rsidR="00EB7B9B" w:rsidRPr="00EB7B9B">
        <w:t>[11,12]</w:t>
      </w:r>
      <w:bookmarkEnd w:id="38"/>
      <w:r w:rsidR="00AB0DCB">
        <w:fldChar w:fldCharType="end"/>
      </w:r>
    </w:p>
    <w:tbl>
      <w:tblPr>
        <w:tblStyle w:val="TableGrid"/>
        <w:tblW w:w="0" w:type="auto"/>
        <w:jc w:val="center"/>
        <w:tblLook w:val="04A0" w:firstRow="1" w:lastRow="0" w:firstColumn="1" w:lastColumn="0" w:noHBand="0" w:noVBand="1"/>
      </w:tblPr>
      <w:tblGrid>
        <w:gridCol w:w="1972"/>
        <w:gridCol w:w="3399"/>
        <w:gridCol w:w="3645"/>
      </w:tblGrid>
      <w:tr w:rsidR="00482005" w14:paraId="5D07B9F8" w14:textId="77777777" w:rsidTr="00FE04EE">
        <w:trPr>
          <w:jc w:val="center"/>
        </w:trPr>
        <w:tc>
          <w:tcPr>
            <w:tcW w:w="2102" w:type="dxa"/>
          </w:tcPr>
          <w:p w14:paraId="58F646CD" w14:textId="77469DD2" w:rsidR="00482005" w:rsidRPr="00FE04EE" w:rsidRDefault="00A62B56" w:rsidP="000B3A87">
            <w:pPr>
              <w:ind w:firstLine="0"/>
              <w:rPr>
                <w:b/>
                <w:bCs/>
              </w:rPr>
            </w:pPr>
            <w:r w:rsidRPr="00FE04EE">
              <w:rPr>
                <w:rFonts w:hint="eastAsia"/>
                <w:b/>
                <w:bCs/>
              </w:rPr>
              <w:t>N</w:t>
            </w:r>
            <w:r w:rsidRPr="00FE04EE">
              <w:rPr>
                <w:b/>
                <w:bCs/>
              </w:rPr>
              <w:t>ame</w:t>
            </w:r>
          </w:p>
        </w:tc>
        <w:tc>
          <w:tcPr>
            <w:tcW w:w="3705" w:type="dxa"/>
          </w:tcPr>
          <w:p w14:paraId="7B070DDF" w14:textId="108C4F4A" w:rsidR="00482005" w:rsidRPr="00FE04EE" w:rsidRDefault="00A43CCB" w:rsidP="000B3A87">
            <w:pPr>
              <w:ind w:firstLine="0"/>
              <w:rPr>
                <w:b/>
                <w:bCs/>
              </w:rPr>
            </w:pPr>
            <w:r w:rsidRPr="00FE04EE">
              <w:rPr>
                <w:b/>
                <w:bCs/>
              </w:rPr>
              <w:t xml:space="preserve">Characteristics </w:t>
            </w:r>
          </w:p>
        </w:tc>
        <w:tc>
          <w:tcPr>
            <w:tcW w:w="3209" w:type="dxa"/>
          </w:tcPr>
          <w:p w14:paraId="58AC1753" w14:textId="60E8ADBF" w:rsidR="00482005" w:rsidRPr="00FE04EE" w:rsidRDefault="0045371A" w:rsidP="000B3A87">
            <w:pPr>
              <w:ind w:firstLine="0"/>
              <w:rPr>
                <w:b/>
                <w:bCs/>
              </w:rPr>
            </w:pPr>
            <w:r w:rsidRPr="00FE04EE">
              <w:rPr>
                <w:rFonts w:hint="eastAsia"/>
                <w:b/>
                <w:bCs/>
              </w:rPr>
              <w:t>E</w:t>
            </w:r>
            <w:r w:rsidRPr="00FE04EE">
              <w:rPr>
                <w:b/>
                <w:bCs/>
              </w:rPr>
              <w:t>xample load profile</w:t>
            </w:r>
          </w:p>
        </w:tc>
      </w:tr>
      <w:tr w:rsidR="00482005" w14:paraId="559FC362" w14:textId="77777777" w:rsidTr="00FE04EE">
        <w:trPr>
          <w:jc w:val="center"/>
        </w:trPr>
        <w:tc>
          <w:tcPr>
            <w:tcW w:w="2102" w:type="dxa"/>
          </w:tcPr>
          <w:p w14:paraId="0C7651BD" w14:textId="27C86323" w:rsidR="00482005" w:rsidRDefault="00A62B56" w:rsidP="000B3A87">
            <w:pPr>
              <w:ind w:firstLine="0"/>
            </w:pPr>
            <w:r>
              <w:rPr>
                <w:rFonts w:hint="eastAsia"/>
              </w:rPr>
              <w:t>E</w:t>
            </w:r>
            <w:r>
              <w:t>fficiency</w:t>
            </w:r>
          </w:p>
        </w:tc>
        <w:tc>
          <w:tcPr>
            <w:tcW w:w="3705" w:type="dxa"/>
          </w:tcPr>
          <w:p w14:paraId="322A6FB1" w14:textId="3A88F269" w:rsidR="00482005" w:rsidRDefault="00C677AA" w:rsidP="00A43CCB">
            <w:pPr>
              <w:ind w:firstLine="0"/>
              <w:jc w:val="left"/>
            </w:pPr>
            <w:r>
              <w:t>A</w:t>
            </w:r>
            <w:r w:rsidR="00A43CCB">
              <w:t>ims to reduce long-term energy use regardless of time</w:t>
            </w:r>
          </w:p>
        </w:tc>
        <w:tc>
          <w:tcPr>
            <w:tcW w:w="3209" w:type="dxa"/>
          </w:tcPr>
          <w:p w14:paraId="210B9D56" w14:textId="35447541" w:rsidR="00482005" w:rsidRDefault="00A62B56" w:rsidP="000B3A87">
            <w:pPr>
              <w:ind w:firstLine="0"/>
            </w:pPr>
            <w:r w:rsidRPr="00A62B56">
              <w:rPr>
                <w:noProof/>
              </w:rPr>
              <w:drawing>
                <wp:inline distT="0" distB="0" distL="0" distR="0" wp14:anchorId="1E52FE9B" wp14:editId="40100173">
                  <wp:extent cx="2160000" cy="1440000"/>
                  <wp:effectExtent l="0" t="0" r="0" b="8255"/>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60000" cy="1440000"/>
                          </a:xfrm>
                          <a:prstGeom prst="rect">
                            <a:avLst/>
                          </a:prstGeom>
                        </pic:spPr>
                      </pic:pic>
                    </a:graphicData>
                  </a:graphic>
                </wp:inline>
              </w:drawing>
            </w:r>
          </w:p>
        </w:tc>
      </w:tr>
      <w:tr w:rsidR="00482005" w14:paraId="26FC0F6E" w14:textId="77777777" w:rsidTr="00FE04EE">
        <w:trPr>
          <w:jc w:val="center"/>
        </w:trPr>
        <w:tc>
          <w:tcPr>
            <w:tcW w:w="2102" w:type="dxa"/>
          </w:tcPr>
          <w:p w14:paraId="6D1769F4" w14:textId="41DD9EFF" w:rsidR="00482005" w:rsidRDefault="00A43CCB" w:rsidP="000B3A87">
            <w:pPr>
              <w:ind w:firstLine="0"/>
            </w:pPr>
            <w:r>
              <w:rPr>
                <w:rFonts w:hint="eastAsia"/>
              </w:rPr>
              <w:lastRenderedPageBreak/>
              <w:t>L</w:t>
            </w:r>
            <w:r>
              <w:t>oad shed</w:t>
            </w:r>
          </w:p>
        </w:tc>
        <w:tc>
          <w:tcPr>
            <w:tcW w:w="3705" w:type="dxa"/>
          </w:tcPr>
          <w:p w14:paraId="3648B04D" w14:textId="32C886CE" w:rsidR="00482005" w:rsidRDefault="00C677AA" w:rsidP="00735E64">
            <w:pPr>
              <w:ind w:firstLine="0"/>
              <w:jc w:val="left"/>
            </w:pPr>
            <w:r>
              <w:t>A</w:t>
            </w:r>
            <w:r w:rsidR="00735E64">
              <w:t>ims to provide immediate energy reduction during peak hours or an emergent event</w:t>
            </w:r>
          </w:p>
        </w:tc>
        <w:tc>
          <w:tcPr>
            <w:tcW w:w="3209" w:type="dxa"/>
          </w:tcPr>
          <w:p w14:paraId="1DA03ACA" w14:textId="2C1492F4" w:rsidR="00482005" w:rsidRDefault="00735E64" w:rsidP="000B3A87">
            <w:pPr>
              <w:ind w:firstLine="0"/>
            </w:pPr>
            <w:r w:rsidRPr="00735E64">
              <w:rPr>
                <w:noProof/>
              </w:rPr>
              <w:drawing>
                <wp:inline distT="0" distB="0" distL="0" distR="0" wp14:anchorId="2C5660DA" wp14:editId="78905410">
                  <wp:extent cx="2160000" cy="1440000"/>
                  <wp:effectExtent l="0" t="0" r="0" b="8255"/>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60000" cy="1440000"/>
                          </a:xfrm>
                          <a:prstGeom prst="rect">
                            <a:avLst/>
                          </a:prstGeom>
                        </pic:spPr>
                      </pic:pic>
                    </a:graphicData>
                  </a:graphic>
                </wp:inline>
              </w:drawing>
            </w:r>
          </w:p>
        </w:tc>
      </w:tr>
      <w:tr w:rsidR="00482005" w14:paraId="5A4B01D1" w14:textId="77777777" w:rsidTr="00FE04EE">
        <w:trPr>
          <w:jc w:val="center"/>
        </w:trPr>
        <w:tc>
          <w:tcPr>
            <w:tcW w:w="2102" w:type="dxa"/>
          </w:tcPr>
          <w:p w14:paraId="2EE8C3B5" w14:textId="5E44655F" w:rsidR="00482005" w:rsidRDefault="00735E64" w:rsidP="000B3A87">
            <w:pPr>
              <w:ind w:firstLine="0"/>
            </w:pPr>
            <w:r>
              <w:rPr>
                <w:rFonts w:hint="eastAsia"/>
              </w:rPr>
              <w:t>L</w:t>
            </w:r>
            <w:r>
              <w:t>oad shift</w:t>
            </w:r>
          </w:p>
        </w:tc>
        <w:tc>
          <w:tcPr>
            <w:tcW w:w="3705" w:type="dxa"/>
          </w:tcPr>
          <w:p w14:paraId="32A8BAF1" w14:textId="51E84C73" w:rsidR="00482005" w:rsidRDefault="00C677AA" w:rsidP="00891FD0">
            <w:pPr>
              <w:ind w:firstLine="0"/>
              <w:jc w:val="left"/>
            </w:pPr>
            <w:r>
              <w:t>B</w:t>
            </w:r>
            <w:r w:rsidR="00891FD0">
              <w:t>uilding</w:t>
            </w:r>
            <w:r w:rsidR="00DF6FE3">
              <w:t>s</w:t>
            </w:r>
            <w:r w:rsidR="00891FD0">
              <w:t xml:space="preserve"> change the timing of energy usage</w:t>
            </w:r>
            <w:r w:rsidR="00DF6FE3">
              <w:t>;</w:t>
            </w:r>
            <w:r w:rsidR="00891FD0">
              <w:t xml:space="preserve"> usually means intentional and planned shifting</w:t>
            </w:r>
          </w:p>
        </w:tc>
        <w:tc>
          <w:tcPr>
            <w:tcW w:w="3209" w:type="dxa"/>
          </w:tcPr>
          <w:p w14:paraId="0E186E45" w14:textId="0C1DE445" w:rsidR="00482005" w:rsidRPr="00DF6FE3" w:rsidRDefault="00D3639B" w:rsidP="000B3A87">
            <w:pPr>
              <w:ind w:firstLine="0"/>
            </w:pPr>
            <w:r w:rsidRPr="00D3639B">
              <w:rPr>
                <w:noProof/>
              </w:rPr>
              <w:drawing>
                <wp:inline distT="0" distB="0" distL="0" distR="0" wp14:anchorId="71CADAB8" wp14:editId="19B28923">
                  <wp:extent cx="2178000" cy="1440000"/>
                  <wp:effectExtent l="0" t="0" r="0" b="8255"/>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78000" cy="1440000"/>
                          </a:xfrm>
                          <a:prstGeom prst="rect">
                            <a:avLst/>
                          </a:prstGeom>
                        </pic:spPr>
                      </pic:pic>
                    </a:graphicData>
                  </a:graphic>
                </wp:inline>
              </w:drawing>
            </w:r>
          </w:p>
        </w:tc>
      </w:tr>
      <w:tr w:rsidR="00482005" w14:paraId="5455FA73" w14:textId="77777777" w:rsidTr="00FE04EE">
        <w:trPr>
          <w:jc w:val="center"/>
        </w:trPr>
        <w:tc>
          <w:tcPr>
            <w:tcW w:w="2102" w:type="dxa"/>
          </w:tcPr>
          <w:p w14:paraId="0A9183F9" w14:textId="43CE82BA" w:rsidR="00482005" w:rsidRDefault="00D3639B" w:rsidP="000B3A87">
            <w:pPr>
              <w:ind w:firstLine="0"/>
            </w:pPr>
            <w:r>
              <w:rPr>
                <w:rFonts w:hint="eastAsia"/>
              </w:rPr>
              <w:t>M</w:t>
            </w:r>
            <w:r>
              <w:t>odulate</w:t>
            </w:r>
          </w:p>
        </w:tc>
        <w:tc>
          <w:tcPr>
            <w:tcW w:w="3705" w:type="dxa"/>
          </w:tcPr>
          <w:p w14:paraId="0B80A128" w14:textId="57C9B9C8" w:rsidR="00482005" w:rsidRDefault="0083222C" w:rsidP="00D3639B">
            <w:pPr>
              <w:ind w:firstLine="0"/>
              <w:jc w:val="left"/>
            </w:pPr>
            <w:r>
              <w:t>B</w:t>
            </w:r>
            <w:r w:rsidR="00D3639B">
              <w:t>uilding automatically responds to the grid signals during the dispatch period in seconds and sub-second</w:t>
            </w:r>
          </w:p>
        </w:tc>
        <w:tc>
          <w:tcPr>
            <w:tcW w:w="3209" w:type="dxa"/>
          </w:tcPr>
          <w:p w14:paraId="60B329C3" w14:textId="3EDE24C7" w:rsidR="00482005" w:rsidRDefault="00F840C0" w:rsidP="000B3A87">
            <w:pPr>
              <w:ind w:firstLine="0"/>
            </w:pPr>
            <w:r w:rsidRPr="00F840C0">
              <w:rPr>
                <w:noProof/>
              </w:rPr>
              <w:drawing>
                <wp:inline distT="0" distB="0" distL="0" distR="0" wp14:anchorId="6B35C107" wp14:editId="7143C580">
                  <wp:extent cx="2160000" cy="1602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60000" cy="1602000"/>
                          </a:xfrm>
                          <a:prstGeom prst="rect">
                            <a:avLst/>
                          </a:prstGeom>
                        </pic:spPr>
                      </pic:pic>
                    </a:graphicData>
                  </a:graphic>
                </wp:inline>
              </w:drawing>
            </w:r>
          </w:p>
        </w:tc>
      </w:tr>
      <w:tr w:rsidR="00482005" w14:paraId="2329B1E9" w14:textId="77777777" w:rsidTr="00FE04EE">
        <w:trPr>
          <w:jc w:val="center"/>
        </w:trPr>
        <w:tc>
          <w:tcPr>
            <w:tcW w:w="2102" w:type="dxa"/>
          </w:tcPr>
          <w:p w14:paraId="0175FB1A" w14:textId="5B261A80" w:rsidR="00482005" w:rsidRDefault="0045371A" w:rsidP="000B3A87">
            <w:pPr>
              <w:ind w:firstLine="0"/>
            </w:pPr>
            <w:r>
              <w:t xml:space="preserve">Generation </w:t>
            </w:r>
          </w:p>
        </w:tc>
        <w:tc>
          <w:tcPr>
            <w:tcW w:w="3705" w:type="dxa"/>
          </w:tcPr>
          <w:p w14:paraId="262EC873" w14:textId="70E91DF9" w:rsidR="00482005" w:rsidRDefault="0083222C" w:rsidP="0045371A">
            <w:pPr>
              <w:ind w:firstLine="0"/>
              <w:jc w:val="left"/>
            </w:pPr>
            <w:r>
              <w:t>B</w:t>
            </w:r>
            <w:r w:rsidR="0045371A">
              <w:t>uilding generates energy for its on-site energy usage</w:t>
            </w:r>
          </w:p>
        </w:tc>
        <w:tc>
          <w:tcPr>
            <w:tcW w:w="3209" w:type="dxa"/>
          </w:tcPr>
          <w:p w14:paraId="6BCC9980" w14:textId="56CB08A5" w:rsidR="00482005" w:rsidRDefault="00996E18" w:rsidP="000B3A87">
            <w:pPr>
              <w:ind w:firstLine="0"/>
            </w:pPr>
            <w:r w:rsidRPr="00996E18">
              <w:rPr>
                <w:noProof/>
              </w:rPr>
              <w:drawing>
                <wp:inline distT="0" distB="0" distL="0" distR="0" wp14:anchorId="46178871" wp14:editId="4FFCABC5">
                  <wp:extent cx="2124000" cy="1440000"/>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24000" cy="1440000"/>
                          </a:xfrm>
                          <a:prstGeom prst="rect">
                            <a:avLst/>
                          </a:prstGeom>
                        </pic:spPr>
                      </pic:pic>
                    </a:graphicData>
                  </a:graphic>
                </wp:inline>
              </w:drawing>
            </w:r>
          </w:p>
        </w:tc>
      </w:tr>
    </w:tbl>
    <w:p w14:paraId="06A47EC2" w14:textId="46B90610" w:rsidR="009A7050" w:rsidRDefault="00BA2238" w:rsidP="00CF5BD7">
      <w:pPr>
        <w:pStyle w:val="Heading3"/>
      </w:pPr>
      <w:bookmarkStart w:id="39" w:name="_Toc139404811"/>
      <w:bookmarkStart w:id="40" w:name="_Toc139410118"/>
      <w:bookmarkStart w:id="41" w:name="_Toc139410223"/>
      <w:bookmarkStart w:id="42" w:name="_Toc139410429"/>
      <w:bookmarkStart w:id="43" w:name="_Toc139410532"/>
      <w:bookmarkStart w:id="44" w:name="_Toc139411580"/>
      <w:bookmarkStart w:id="45" w:name="_Ref131518627"/>
      <w:bookmarkStart w:id="46" w:name="_Toc132122443"/>
      <w:bookmarkStart w:id="47" w:name="_Toc132122567"/>
      <w:bookmarkStart w:id="48" w:name="_Toc141991668"/>
      <w:bookmarkEnd w:id="39"/>
      <w:bookmarkEnd w:id="40"/>
      <w:bookmarkEnd w:id="41"/>
      <w:bookmarkEnd w:id="42"/>
      <w:bookmarkEnd w:id="43"/>
      <w:bookmarkEnd w:id="44"/>
      <w:r>
        <w:t>Available load-</w:t>
      </w:r>
      <w:r w:rsidR="00586269">
        <w:t>flexible resources</w:t>
      </w:r>
      <w:bookmarkEnd w:id="45"/>
      <w:bookmarkEnd w:id="46"/>
      <w:bookmarkEnd w:id="47"/>
      <w:r>
        <w:t xml:space="preserve"> in residential buildings</w:t>
      </w:r>
      <w:bookmarkEnd w:id="48"/>
    </w:p>
    <w:p w14:paraId="338F8489" w14:textId="16C68071" w:rsidR="00DD50E6" w:rsidRDefault="008344E3" w:rsidP="000B3A87">
      <w:r>
        <w:t>To enable the full potential of residential building</w:t>
      </w:r>
      <w:r w:rsidR="00E103A6">
        <w:t>s’</w:t>
      </w:r>
      <w:r>
        <w:t xml:space="preserve"> capability on load shifting</w:t>
      </w:r>
      <w:r w:rsidR="00C861C1">
        <w:t xml:space="preserve"> </w:t>
      </w:r>
      <w:r>
        <w:t xml:space="preserve">and generation, </w:t>
      </w:r>
      <w:r w:rsidR="00217E34">
        <w:t xml:space="preserve">lots </w:t>
      </w:r>
      <w:r w:rsidR="00AE228D">
        <w:t xml:space="preserve">of research and development </w:t>
      </w:r>
      <w:r w:rsidR="00CE184D">
        <w:t>efforts</w:t>
      </w:r>
      <w:r w:rsidR="00AE228D">
        <w:t xml:space="preserve"> ha</w:t>
      </w:r>
      <w:r w:rsidR="00CE184D">
        <w:t>ve</w:t>
      </w:r>
      <w:r w:rsidR="00AE228D">
        <w:t xml:space="preserve"> been devote</w:t>
      </w:r>
      <w:r w:rsidR="00E103A6">
        <w:t>d</w:t>
      </w:r>
      <w:r w:rsidR="00AE228D">
        <w:t xml:space="preserve"> </w:t>
      </w:r>
      <w:r w:rsidR="00E103A6">
        <w:t>to</w:t>
      </w:r>
      <w:r w:rsidR="00AE228D">
        <w:t xml:space="preserve"> sensing and control of</w:t>
      </w:r>
      <w:r>
        <w:t xml:space="preserve"> specific resources that can facilit</w:t>
      </w:r>
      <w:r w:rsidR="00E103A6">
        <w:t>ate</w:t>
      </w:r>
      <w:r>
        <w:t xml:space="preserve"> </w:t>
      </w:r>
      <w:r w:rsidR="00F61271">
        <w:t xml:space="preserve">load </w:t>
      </w:r>
      <w:r w:rsidR="00A06914">
        <w:t>coordination</w:t>
      </w:r>
      <w:r w:rsidR="00CD612D">
        <w:t xml:space="preserve"> in </w:t>
      </w:r>
      <w:r w:rsidR="00AE228D">
        <w:t xml:space="preserve">residential </w:t>
      </w:r>
      <w:r w:rsidR="00CD612D">
        <w:t>buildings</w:t>
      </w:r>
      <w:r w:rsidR="00F61271">
        <w:t>.</w:t>
      </w:r>
      <w:r w:rsidR="006B02D3">
        <w:t xml:space="preserve"> </w:t>
      </w:r>
      <w:r w:rsidR="00F61271">
        <w:t>Several review studies have been done to discuss those resources</w:t>
      </w:r>
      <w:r w:rsidR="00F61271">
        <w:fldChar w:fldCharType="begin"/>
      </w:r>
      <w:r w:rsidR="005D48B2">
        <w:instrText xml:space="preserve"> ADDIN ZOTERO_ITEM CSL_CITATION {"citationID":"24muQUbT","properties":{"formattedCitation":"[4,13,14]","plainCitation":"[4,13,14]","noteIndex":0},"citationItems":[{"id":1718,"uris":["http://zotero.org/users/5659608/items/U78R6IIP"],"itemData":{"id":1718,"type":"article-journal","container-title":"renewable energy","note":"publisher: Elsevier","page":"2271–2285","title":"Challenges and solution technologies for the integration of variable renewable energy sources—a review","volume":"145","author":[{"family":"Sinsel","given":"Simon R"},{"family":"Riemke","given":"Rhea L"},{"family":"Hoffmann","given":"Volker H"}],"issued":{"date-parts":[["2020"]]},"citation-key":"sinselChallengesSolutionTechnologies2020"}},{"id":1749,"uris":["http://zotero.org/users/5659608/items/XWD7J86A"],"itemData":{"id":1749,"type":"article-journal","abstract":"This paper classifies and discusses the energy flexibility improvement strategies for demand responsive control in grid-interactive buildings based on a comprehensive study of the literature. Both supply and demand sides are considered. The flexibility measures range from renewable energy such as photovoltaic cells (PV) and wind to heating, ventilation, and air conditioning (HVAC) systems, energy storage, building thermal mass, appliances, and occupant behaviors. Currently, owing to the highly developed smart appliances and sensing communication techniques, DR is considered as an essential measure for improving energy flexibility in buildings without much additional investment. With the help of advanced demand response (DR) control strategies and measures, buildings can become more flexible in terms of power demand from the power grid. In this way, buildings achieve a better ability to balance differences in energy supply and demand. Furthermore, a synergistic approach with various measures is advisable, e.g., the use of energy storage technologies with PV and passive DR methods. This paper summarizes the measures for improving the flexibility of commercial and residential buildings, and develops a systematic methodology framework to evaluate energy demand flexibility in buildings.","container-title":"Energy and Buildings","DOI":"10.1016/j.enbuild.2018.08.003","ISSN":"0378-7788","journalAbbreviation":"Energy and Buildings","language":"en","page":"125-139","source":"ScienceDirect","title":"Measures to improve energy demand flexibility in buildings for demand response (DR): A review","title-short":"Measures to improve energy demand flexibility in buildings for demand response (DR)","volume":"177","author":[{"family":"Chen","given":"Yongbao"},{"family":"Xu","given":"Peng"},{"family":"Gu","given":"Jiefan"},{"family":"Schmidt","given":"Ferdinand"},{"family":"Li","given":"Weilin"}],"issued":{"date-parts":[["2018",10,15]]},"citation-key":"chenMeasuresImproveEnergy2018"}},{"id":1606,"uris":["http://zotero.org/users/5659608/items/ZUZL2ZSZ"],"itemData":{"id":1606,"type":"article-journal","abstract":"With building electric demand becoming increasingly dynamic, and a growing percentage of intermittent renewable power generation from solar photovoltaics and wind turbines, the power grid is facing increasing challenge to manage the real time balance between the supply and demand. With advancements in smart sensing and metering, smart appliances, electric vehicles, and energy storage technologies, demand side management of residential buildings can help the grid to improve stability by optimizing flexible loads. This paper reviews recent studies on residential building demand side management, with a focus on characterization and quantification of energy flexibility covering various types of flexible loads, metrics, methods, and applications. The reviewed studies showed four levels of applications: building level (45%), district or community level (29%), system level (19%), and building sector level (7%). Shifting loads is the dominant flexibility type in 60% of applications, followed by shedding (19%), generation (16%), and modulating (6%). Depending on the technology and application scope, flexible operations have a wide range of performance, with peak power reductions of 1%~65%, energy savings up to 60%, operational cost reduction of 1%~48%, and greenhouse gas emission reductions of up to29%. More than half (51%) of the studies employed control strategies to achieve flexibility; among those 72% used optimal controls, while 28% used rule-based controls. About 58% of the studies used mathematical formulation to quantify energy flexibility. Most studies were based on simulation, while less than 15% of the studies had measurements from experiments or field tests. The review reveals research opportunities to address significant gaps in the existing literature: (1) establishing a common definition and performance metrics for energy flexibility of buildings that are technology and application agnostic, (2) developing an ontology to standardize representation of flexibility resources for interoperability, (3) integrating occupant impacts into the quantification and optimization of energy flexibility, and (4) developing requirements and credits of energy flexibility in building energy codes and standards. Findings from the review can inform future research and development of energy flexible buildings which are essential to a reliable and resilient power grid.","container-title":"Advances in Applied Energy","DOI":"10.1016/j.adapen.2021.100054","ISSN":"2666-7924","journalAbbreviation":"Advances in Applied Energy","language":"en","page":"100054","source":"ScienceDirect","title":"Energy flexibility of residential buildings: A systematic review of characterization and quantification methods and applications","title-short":"Energy flexibility of residential buildings","volume":"3","author":[{"family":"Li","given":"Han"},{"family":"Wang","given":"Zhe"},{"family":"Hong","given":"Tianzhen"},{"family":"Piette","given":"Mary Ann"}],"issued":{"date-parts":[["2021",8,25]]},"citation-key":"liEnergyFlexibilityResidential2021"}}],"schema":"https://github.com/citation-style-language/schema/raw/master/csl-citation.json"} </w:instrText>
      </w:r>
      <w:r w:rsidR="00F61271">
        <w:fldChar w:fldCharType="separate"/>
      </w:r>
      <w:r w:rsidR="00EB7B9B" w:rsidRPr="00EB7B9B">
        <w:t>[4,13,14]</w:t>
      </w:r>
      <w:r w:rsidR="00F61271">
        <w:fldChar w:fldCharType="end"/>
      </w:r>
      <w:r w:rsidR="00F61271">
        <w:t xml:space="preserve">. It is commonly accepted </w:t>
      </w:r>
      <w:r w:rsidR="00F61271">
        <w:lastRenderedPageBreak/>
        <w:t xml:space="preserve">that </w:t>
      </w:r>
      <w:r w:rsidR="00E103A6">
        <w:t>four major resources</w:t>
      </w:r>
      <w:r w:rsidR="006B02D3">
        <w:t xml:space="preserve"> can </w:t>
      </w:r>
      <w:r w:rsidR="006B02D3">
        <w:rPr>
          <w:rFonts w:hint="eastAsia"/>
        </w:rPr>
        <w:t>provide</w:t>
      </w:r>
      <w:r w:rsidR="006B02D3">
        <w:t xml:space="preserve"> </w:t>
      </w:r>
      <w:r w:rsidR="006B02D3">
        <w:rPr>
          <w:rFonts w:hint="eastAsia"/>
        </w:rPr>
        <w:t>t</w:t>
      </w:r>
      <w:r w:rsidR="006B02D3">
        <w:t>he shifting</w:t>
      </w:r>
      <w:r w:rsidR="007B56E4">
        <w:t xml:space="preserve"> </w:t>
      </w:r>
      <w:r w:rsidR="006B02D3">
        <w:t>and generation</w:t>
      </w:r>
      <w:r w:rsidR="00B76012">
        <w:t xml:space="preserve"> capabilities</w:t>
      </w:r>
      <w:r w:rsidR="006B02D3">
        <w:t xml:space="preserve">: </w:t>
      </w:r>
    </w:p>
    <w:p w14:paraId="059B7322" w14:textId="6C205644" w:rsidR="006B02D3" w:rsidRDefault="00857030" w:rsidP="0062300A">
      <w:pPr>
        <w:pStyle w:val="ListParagraph"/>
        <w:numPr>
          <w:ilvl w:val="0"/>
          <w:numId w:val="42"/>
        </w:numPr>
        <w:ind w:firstLineChars="0"/>
      </w:pPr>
      <w:r w:rsidRPr="00FC699A">
        <w:rPr>
          <w:i/>
          <w:iCs/>
        </w:rPr>
        <w:t>Thermostatically controlled load:</w:t>
      </w:r>
      <w:r w:rsidR="006B02D3" w:rsidRPr="00FC699A">
        <w:rPr>
          <w:i/>
          <w:iCs/>
        </w:rPr>
        <w:t xml:space="preserve"> </w:t>
      </w:r>
      <w:r w:rsidR="00756A9A">
        <w:t xml:space="preserve">This </w:t>
      </w:r>
      <w:r w:rsidR="00255763">
        <w:t>energy load mainly refers to</w:t>
      </w:r>
      <w:r w:rsidR="00212F46">
        <w:t xml:space="preserve"> the traditional </w:t>
      </w:r>
      <w:r w:rsidR="008222AC">
        <w:t>energy end-users like space heating, air conditioning, and water heating</w:t>
      </w:r>
      <w:r w:rsidR="00B41AEF">
        <w:t>, which consumes</w:t>
      </w:r>
      <w:r w:rsidR="00966F91">
        <w:t xml:space="preserve"> 42%</w:t>
      </w:r>
      <w:r w:rsidR="00146A55">
        <w:t>–</w:t>
      </w:r>
      <w:r w:rsidR="00966F91">
        <w:t>46%</w:t>
      </w:r>
      <w:r w:rsidR="001B19A6">
        <w:t xml:space="preserve"> of energy in residential building</w:t>
      </w:r>
      <w:r w:rsidR="007F750A">
        <w:t>s</w:t>
      </w:r>
      <w:r w:rsidR="00886EBE">
        <w:t xml:space="preserve"> </w:t>
      </w:r>
      <w:r w:rsidR="001B19A6">
        <w:fldChar w:fldCharType="begin"/>
      </w:r>
      <w:r w:rsidR="005D48B2">
        <w:instrText xml:space="preserve"> ADDIN ZOTERO_ITEM CSL_CITATION {"citationID":"a28208313r1","properties":{"formattedCitation":"[8,15]","plainCitation":"[8,15]","noteIndex":0},"citationItems":[{"id":245,"uris":["http://zotero.org/users/5659608/items/QT9V7SJI"],"itemData":{"id":245,"type":"webpage","title":"Residential Energy Consumption Survey (RECS) - Data - U.S. Energy Information Administration (EIA)","URL":"https://www.eia.gov/consumption/residential/data/2015/","accessed":{"date-parts":[["2021",2,18]]},"citation-key":"ResidentialEnergyConsumption"}},{"id":1803,"uris":["http://zotero.org/users/5659608/items/79WWT9KG"],"itemData":{"id":1803,"type":"webpage","title":"Use of electricity - U.S. Energy Information Administration (EIA)","URL":"https://www.eia.gov/energyexplained/electricity/use-of-electricity.php","accessed":{"date-parts":[["2023",4,4]]},"citation-key":"UseElectricityEnergy"}}],"schema":"https://github.com/citation-style-language/schema/raw/master/csl-citation.json"} </w:instrText>
      </w:r>
      <w:r w:rsidR="001B19A6">
        <w:fldChar w:fldCharType="separate"/>
      </w:r>
      <w:r w:rsidR="00EB7B9B" w:rsidRPr="00EB7B9B">
        <w:t>[8,15]</w:t>
      </w:r>
      <w:r w:rsidR="001B19A6">
        <w:fldChar w:fldCharType="end"/>
      </w:r>
      <w:r w:rsidR="008222AC">
        <w:t xml:space="preserve">. </w:t>
      </w:r>
      <w:r w:rsidR="002D5B09">
        <w:t xml:space="preserve">Depending on the </w:t>
      </w:r>
      <w:r w:rsidR="00F75DA1">
        <w:t>operation method, the thermostatic control load can be divided into two par</w:t>
      </w:r>
      <w:r w:rsidR="00886EBE">
        <w:t>t</w:t>
      </w:r>
      <w:r w:rsidR="00F75DA1">
        <w:t>s:</w:t>
      </w:r>
    </w:p>
    <w:p w14:paraId="34D62F9D" w14:textId="41F160BA" w:rsidR="00F75DA1" w:rsidRDefault="00F75DA1" w:rsidP="0062300A">
      <w:pPr>
        <w:pStyle w:val="ListParagraph"/>
        <w:numPr>
          <w:ilvl w:val="1"/>
          <w:numId w:val="42"/>
        </w:numPr>
        <w:ind w:firstLineChars="0"/>
      </w:pPr>
      <w:r>
        <w:t>Passive thermal storage</w:t>
      </w:r>
      <w:r w:rsidR="00B00A4E">
        <w:t>:</w:t>
      </w:r>
      <w:r w:rsidR="00BD2068">
        <w:t xml:space="preserve"> passive thermal storage refers to th</w:t>
      </w:r>
      <w:r w:rsidR="001A0578">
        <w:t>e</w:t>
      </w:r>
      <w:r w:rsidR="00AF3F64">
        <w:t xml:space="preserve"> </w:t>
      </w:r>
      <w:r w:rsidR="00AB6102">
        <w:t>ability</w:t>
      </w:r>
      <w:r w:rsidR="001A0578">
        <w:t xml:space="preserve"> of</w:t>
      </w:r>
      <w:r w:rsidR="00050EA4">
        <w:t xml:space="preserve"> </w:t>
      </w:r>
      <w:r w:rsidR="001A0578">
        <w:t>building itself</w:t>
      </w:r>
      <w:r w:rsidR="00297B2C">
        <w:t xml:space="preserve"> </w:t>
      </w:r>
      <w:r w:rsidR="00A118C0">
        <w:t>to help</w:t>
      </w:r>
      <w:r w:rsidR="00AB6102">
        <w:t xml:space="preserve"> </w:t>
      </w:r>
      <w:r w:rsidR="00A06914">
        <w:t>coordinat</w:t>
      </w:r>
      <w:r w:rsidR="00A118C0">
        <w:t>e</w:t>
      </w:r>
      <w:r w:rsidR="00297B2C">
        <w:t xml:space="preserve"> </w:t>
      </w:r>
      <w:r w:rsidR="00297B2C">
        <w:rPr>
          <w:rFonts w:hint="eastAsia"/>
        </w:rPr>
        <w:t>the</w:t>
      </w:r>
      <w:r w:rsidR="00FB156D">
        <w:t xml:space="preserve"> </w:t>
      </w:r>
      <w:r w:rsidR="00297B2C">
        <w:t>electricity demand</w:t>
      </w:r>
      <w:r w:rsidR="00FB156D">
        <w:t xml:space="preserve"> of the HVAC system</w:t>
      </w:r>
      <w:r w:rsidR="00297B2C">
        <w:t>.</w:t>
      </w:r>
      <w:r w:rsidR="00E94107">
        <w:t xml:space="preserve"> </w:t>
      </w:r>
      <w:r w:rsidR="00E103A6">
        <w:t>A b</w:t>
      </w:r>
      <w:r w:rsidR="00223974">
        <w:t xml:space="preserve">uilding’s envelope and </w:t>
      </w:r>
      <w:r w:rsidR="00A118C0">
        <w:t>its</w:t>
      </w:r>
      <w:r w:rsidR="00223974">
        <w:t xml:space="preserve"> int</w:t>
      </w:r>
      <w:r w:rsidR="0086440D">
        <w:t>ernal</w:t>
      </w:r>
      <w:r w:rsidR="00223974">
        <w:t xml:space="preserve"> thermal mass can </w:t>
      </w:r>
      <w:r w:rsidR="00F21850">
        <w:t>unleash significant potential</w:t>
      </w:r>
      <w:r w:rsidR="004F5BF6">
        <w:t xml:space="preserve"> </w:t>
      </w:r>
      <w:r w:rsidR="005E1D78">
        <w:t>serv</w:t>
      </w:r>
      <w:r w:rsidR="004F5BF6">
        <w:t>ing</w:t>
      </w:r>
      <w:r w:rsidR="005E1D78">
        <w:t xml:space="preserve"> as a heating or cooling energy storage </w:t>
      </w:r>
      <w:r w:rsidR="004F5BF6">
        <w:t>in precooling or preheating, i.e., cool</w:t>
      </w:r>
      <w:r w:rsidR="007F750A">
        <w:t>ing</w:t>
      </w:r>
      <w:r w:rsidR="004F5BF6">
        <w:t xml:space="preserve"> </w:t>
      </w:r>
      <w:r w:rsidR="004A4DAE">
        <w:t>or heat</w:t>
      </w:r>
      <w:r w:rsidR="007F750A">
        <w:t>ing</w:t>
      </w:r>
      <w:r w:rsidR="004A4DAE">
        <w:t xml:space="preserve"> the space at the appropriate time to</w:t>
      </w:r>
      <w:r w:rsidR="00E5610C">
        <w:t xml:space="preserve"> shift the load</w:t>
      </w:r>
      <w:r w:rsidR="00D55F68">
        <w:t xml:space="preserve"> </w:t>
      </w:r>
      <w:r w:rsidR="00F669C7">
        <w:fldChar w:fldCharType="begin"/>
      </w:r>
      <w:r w:rsidR="005D48B2">
        <w:instrText xml:space="preserve"> ADDIN ZOTERO_ITEM CSL_CITATION {"citationID":"a5h3h5r6uu","properties":{"formattedCitation":"[16]","plainCitation":"[16]","noteIndex":0},"citationItems":[{"id":1807,"uris":["http://zotero.org/users/5659608/items/3S3QMW9K"],"itemData":{"id":1807,"type":"article-journal","note":"Citation Key: turner2014reducing","title":"Reducing residential peak electricity demand with mechanical pre-cooling of building thermal mass","author":[{"family":"Turner","given":"William JN"},{"family":"Roux","given":"Jordan"},{"family":"Walker","given":"Iain S"}],"issued":{"date-parts":[["2014"]]},"citation-key":"turner2014reducing"}}],"schema":"https://github.com/citation-style-language/schema/raw/master/csl-citation.json"} </w:instrText>
      </w:r>
      <w:r w:rsidR="00F669C7">
        <w:fldChar w:fldCharType="separate"/>
      </w:r>
      <w:r w:rsidR="00EB7B9B" w:rsidRPr="00EB7B9B">
        <w:t>[16]</w:t>
      </w:r>
      <w:r w:rsidR="00F669C7">
        <w:fldChar w:fldCharType="end"/>
      </w:r>
      <w:r w:rsidR="00E5610C">
        <w:t xml:space="preserve">. </w:t>
      </w:r>
      <w:r w:rsidR="00C818F5">
        <w:t>It</w:t>
      </w:r>
      <w:r w:rsidR="005B6DDD" w:rsidRPr="00736797">
        <w:t xml:space="preserve"> should not be overlooked that the HVAC</w:t>
      </w:r>
      <w:r w:rsidR="00C818F5">
        <w:t xml:space="preserve"> system</w:t>
      </w:r>
      <w:r w:rsidR="005B6DDD" w:rsidRPr="00736797">
        <w:t xml:space="preserve"> directly </w:t>
      </w:r>
      <w:r w:rsidR="00C818F5" w:rsidRPr="00736797">
        <w:t>affects</w:t>
      </w:r>
      <w:r w:rsidR="005B6DDD" w:rsidRPr="00736797">
        <w:t xml:space="preserve"> the user’s </w:t>
      </w:r>
      <w:r w:rsidR="00C818F5">
        <w:t xml:space="preserve">thermal </w:t>
      </w:r>
      <w:r w:rsidR="005B6DDD" w:rsidRPr="00736797">
        <w:t>comfort</w:t>
      </w:r>
      <w:r w:rsidR="00C818F5">
        <w:t xml:space="preserve">. To conduct the precooling or preheating without </w:t>
      </w:r>
      <w:r w:rsidR="004E0789">
        <w:t>compromising</w:t>
      </w:r>
      <w:r w:rsidR="00C818F5">
        <w:t xml:space="preserve"> the user experience, </w:t>
      </w:r>
      <w:r w:rsidR="00C7777F">
        <w:t xml:space="preserve">the </w:t>
      </w:r>
      <w:r w:rsidR="002F0E3B">
        <w:t xml:space="preserve">indoor air temperature dynamics under HVAC operation must be accurately </w:t>
      </w:r>
      <w:r w:rsidR="009371A8">
        <w:t>modeled</w:t>
      </w:r>
      <w:r w:rsidR="00C818F5">
        <w:t>. However, this modeling is one of the most complicated tasks</w:t>
      </w:r>
      <w:r w:rsidR="007F5801">
        <w:t xml:space="preserve"> in DSM</w:t>
      </w:r>
      <w:r w:rsidR="00C818F5">
        <w:t xml:space="preserve">, since indoor air temperature </w:t>
      </w:r>
      <w:r w:rsidR="00120B5B">
        <w:t>dynamics</w:t>
      </w:r>
      <w:r w:rsidR="00DB7AA4">
        <w:t xml:space="preserve"> </w:t>
      </w:r>
      <w:r w:rsidR="008A1A6F">
        <w:t>involve</w:t>
      </w:r>
      <w:r w:rsidR="0062520B">
        <w:t xml:space="preserve"> </w:t>
      </w:r>
      <w:r w:rsidR="00E50E36">
        <w:t>time-varying</w:t>
      </w:r>
      <w:r w:rsidR="0062520B">
        <w:t xml:space="preserve"> outside disturbance (e.g., weather condition</w:t>
      </w:r>
      <w:r w:rsidR="007F750A">
        <w:t>s</w:t>
      </w:r>
      <w:r w:rsidR="0062520B">
        <w:t>)</w:t>
      </w:r>
      <w:r w:rsidR="00DB7AA4">
        <w:t>,</w:t>
      </w:r>
      <w:r w:rsidR="00236820" w:rsidRPr="00236820">
        <w:t xml:space="preserve"> </w:t>
      </w:r>
      <w:r w:rsidR="00236820">
        <w:t>occupant preferences, and</w:t>
      </w:r>
      <w:r w:rsidR="00DB7AA4">
        <w:t xml:space="preserve"> </w:t>
      </w:r>
      <w:r w:rsidR="00107939">
        <w:t>complicated</w:t>
      </w:r>
      <w:r w:rsidR="00F06438">
        <w:t xml:space="preserve"> HVAC system (</w:t>
      </w:r>
      <w:r w:rsidR="002B2353">
        <w:t xml:space="preserve">different components </w:t>
      </w:r>
      <w:r w:rsidR="008A1A6F">
        <w:t xml:space="preserve">and </w:t>
      </w:r>
      <w:r w:rsidR="002B2353">
        <w:t>phase change</w:t>
      </w:r>
      <w:r w:rsidR="008A1A6F">
        <w:t xml:space="preserve"> involved</w:t>
      </w:r>
      <w:r w:rsidR="00F06438">
        <w:t>)</w:t>
      </w:r>
      <w:r w:rsidR="00017BBB">
        <w:t xml:space="preserve"> </w:t>
      </w:r>
      <w:r w:rsidR="00A47A88">
        <w:fldChar w:fldCharType="begin"/>
      </w:r>
      <w:r w:rsidR="005D48B2">
        <w:instrText xml:space="preserve"> ADDIN ZOTERO_ITEM CSL_CITATION {"citationID":"a1qsg34e1jm","properties":{"formattedCitation":"[17\\uc0\\u8211{}19]","plainCitation":"[17–19]","noteIndex":0},"citationItems":[{"id":755,"uris":["http://zotero.org/users/5659608/items/CHVTD7GU"],"itemData":{"id":755,"type":"book","call-number":"TH7222 .M26 2005","edition":"6th ed","event-place":"Hoboken, N.J","ISBN":"978-0-471-47015-1","language":"en","number-of-pages":"623","publisher":"John Wiley &amp; Sons","publisher-place":"Hoboken, N.J","source":"Library of Congress ISBN","title":"Heating, ventilating, and air conditioning: analysis and design","title-short":"Heating, ventilating, and air conditioning","author":[{"family":"McQuiston","given":"Faye C."},{"family":"Parker","given":"Jerald D."},{"family":"Spitler","given":"Jeffrey D."}],"issued":{"date-parts":[["2005"]]},"citation-key":"mcquistonHeatingVentilatingAir2005"}},{"id":1640,"uris":["http://zotero.org/users/5659608/items/ITM4Y2J2"],"itemData":{"id":1640,"type":"article-journal","abstract":"In the European Union, the building sector is one of the largest energy consumer with about 40% of the final energy consumption. Reducing consumption is also a sociological, technological and scientific matter. New methods have to be devised in order to support building professionals in their effort to optimize designs and to enhance energy performances. Indeed, the research field related to building modelling and energy performances prediction is very productive, involving various scientific domains. Among them, one can distinguish physics-related fields, focusing on the resolution of equations simulating building thermal behaviour and mathematics-related ones, consisting in the implementation of prediction model thanks to machine learning techniques. This paper proposes a detailed review and discussion of these works. First, the approaches based on physical (“white box”) models are reviewed according three-category classification. Then, we present the main machine learning (“black box”) tools used for prediction of energy consumption, heating/cooling demand, indoor temperature. Eventually, a third approach called hybrid (“grey box”) method is introduced, which uses both physical and statistical techniques. The paper covers a wide range of research works, giving the base principles of each technique and numerous illustrative examples.","container-title":"Renewable and Sustainable Energy Reviews","DOI":"10.1016/j.rser.2013.03.004","ISSN":"1364-0321","journalAbbreviation":"Renewable and Sustainable Energy Reviews","language":"en","page":"272-288","source":"ScienceDirect","title":"State of the art in building modelling and energy performances prediction: A review","title-short":"State of the art in building modelling and energy performances prediction","volume":"23","author":[{"family":"Foucquier","given":"Aurélie"},{"family":"Robert","given":"Sylvain"},{"family":"Suard","given":"Frédéric"},{"family":"Stéphan","given":"Louis"},{"family":"Jay","given":"Arnaud"}],"issued":{"date-parts":[["2013",7,1]]},"citation-key":"foucquierStateArtBuilding2013"}},{"id":1351,"uris":["http://zotero.org/users/5659608/items/U8TMY4YR"],"itemData":{"id":1351,"type":"article-journal","abstract":"Building systems are subject of dynamic system that have a general feature of non-linearity and in turn, present us with different challenges for its optimized control of energy-saving and thermal comfort. Occupancy behavior, weather forecast, ambient temperature and solar irradiation, etc. In particular are difficult to predict. These uncertainty parameters have a direct influence on the building's behavior that further complicate problem formulation for energy saving in a building. Model predictive control (MPC) has been one of the potential strategies for control schemes to address these problems and tackle them since its invention. MPC is a suitable and the best candidate when it comes to questioning for future predictions in terms of energy efficiency, cost, and control mechanisms. MPC consists of model of a plant, prediction horizon and optimization tools used for the optimization of the future response of the plant. After broad applications of MPC in industrial applications for process control, it has been gaining ground in the field of Heating Ventilation and Air-conditioning (HVAC). Although there has been extensive research of MPC in HVAC systems of buildings, there lacks a detailed review, a complete structure that formulates and describes the applications. An overall holistic view of applications of MPC in building HVAC system has been provided in this paper. Broader information on modeling techniques and optimization algorithms are discussed in a detailed manner. Different design parameters such as prediction horizon, time step, cost function, etc., that ultimately affect MPC performance are presented in a comprehensive form. Various kinds of modeling software with their technical features, pros and cons are elaborated. The main goal of the current paper is to highlight important design parameters crucial for the MPC control scheme and provide better guidelines for further studies. Various future outlines have been listed that can be helpful for future work in this field.","container-title":"Building and Environment","DOI":"10.1016/j.buildenv.2021.107952","ISSN":"0360-1323","journalAbbreviation":"Building and Environment","language":"en","page":"107952","source":"ScienceDirect","title":"State of the art review on model predictive control (MPC) in Heating Ventilation and Air-conditioning (HVAC) field","volume":"200","author":[{"family":"Yao","given":"Ye"},{"family":"Shekhar","given":"Divyanshu Kumar"}],"issued":{"date-parts":[["2021",8,1]]},"citation-key":"yaoStateArtReview2021"}}],"schema":"https://github.com/citation-style-language/schema/raw/master/csl-citation.json"} </w:instrText>
      </w:r>
      <w:r w:rsidR="00A47A88">
        <w:fldChar w:fldCharType="separate"/>
      </w:r>
      <w:r w:rsidR="00EB7B9B" w:rsidRPr="00EB7B9B">
        <w:rPr>
          <w:kern w:val="0"/>
          <w:szCs w:val="24"/>
        </w:rPr>
        <w:t>[17–19]</w:t>
      </w:r>
      <w:r w:rsidR="00A47A88">
        <w:fldChar w:fldCharType="end"/>
      </w:r>
      <w:r w:rsidR="00E50E36">
        <w:t xml:space="preserve">. </w:t>
      </w:r>
      <w:r w:rsidR="00DB7AA4">
        <w:t xml:space="preserve"> </w:t>
      </w:r>
    </w:p>
    <w:p w14:paraId="0F4CA944" w14:textId="2F06C70A" w:rsidR="008E4BB0" w:rsidRPr="005B6DDD" w:rsidRDefault="00715079" w:rsidP="00FC699A">
      <w:pPr>
        <w:pStyle w:val="ListParagraph"/>
        <w:numPr>
          <w:ilvl w:val="1"/>
          <w:numId w:val="42"/>
        </w:numPr>
        <w:ind w:firstLineChars="0"/>
        <w:rPr>
          <w:i/>
          <w:iCs/>
        </w:rPr>
      </w:pPr>
      <w:r w:rsidRPr="00FC699A">
        <w:rPr>
          <w:i/>
          <w:iCs/>
        </w:rPr>
        <w:t>A</w:t>
      </w:r>
      <w:r w:rsidR="006B02D3" w:rsidRPr="00FC699A">
        <w:rPr>
          <w:i/>
          <w:iCs/>
        </w:rPr>
        <w:t xml:space="preserve">ctive thermal </w:t>
      </w:r>
      <w:r w:rsidR="00A10AEA" w:rsidRPr="00FC699A">
        <w:rPr>
          <w:i/>
          <w:iCs/>
        </w:rPr>
        <w:t>storage</w:t>
      </w:r>
      <w:r w:rsidR="006B02D3" w:rsidRPr="00FC699A">
        <w:rPr>
          <w:i/>
          <w:iCs/>
        </w:rPr>
        <w:t>:</w:t>
      </w:r>
      <w:r w:rsidR="006B02D3">
        <w:t xml:space="preserve"> </w:t>
      </w:r>
      <w:r w:rsidR="00D93A54">
        <w:t>active</w:t>
      </w:r>
      <w:r w:rsidR="008D7950">
        <w:t xml:space="preserve"> thermal storage refers to</w:t>
      </w:r>
      <w:r w:rsidR="0044655B">
        <w:t xml:space="preserve"> </w:t>
      </w:r>
      <w:r w:rsidR="003863BF">
        <w:t xml:space="preserve">thermal storage tank which </w:t>
      </w:r>
      <w:r w:rsidR="00D93A54">
        <w:t>can</w:t>
      </w:r>
      <w:r w:rsidR="003863BF">
        <w:t xml:space="preserve"> </w:t>
      </w:r>
      <w:r w:rsidR="00285E72">
        <w:t xml:space="preserve">charge </w:t>
      </w:r>
      <w:r w:rsidR="006B6092">
        <w:t>and discharge</w:t>
      </w:r>
      <w:r w:rsidR="003863BF">
        <w:t xml:space="preserve"> energy</w:t>
      </w:r>
      <w:r w:rsidR="00112812">
        <w:t xml:space="preserve"> through the thermal </w:t>
      </w:r>
      <w:r w:rsidR="007B72DD">
        <w:t xml:space="preserve">medium at the appropriate time to shift </w:t>
      </w:r>
      <w:r w:rsidR="006B6092">
        <w:t>or shed the load</w:t>
      </w:r>
      <w:r w:rsidR="007B72DD">
        <w:t>.</w:t>
      </w:r>
      <w:r w:rsidR="00A92EF8">
        <w:t xml:space="preserve"> In residential </w:t>
      </w:r>
      <w:r w:rsidR="00D93A54">
        <w:t>buildings</w:t>
      </w:r>
      <w:r w:rsidR="00A92EF8">
        <w:t xml:space="preserve">, </w:t>
      </w:r>
      <w:r w:rsidR="007F5801">
        <w:t>activated</w:t>
      </w:r>
      <w:r w:rsidR="00A92EF8">
        <w:t xml:space="preserve"> thermal storage </w:t>
      </w:r>
      <w:r w:rsidR="00882FAE">
        <w:t xml:space="preserve">usually </w:t>
      </w:r>
      <w:r w:rsidR="00882FAE">
        <w:lastRenderedPageBreak/>
        <w:t>refers to</w:t>
      </w:r>
      <w:r w:rsidR="00A92EF8">
        <w:t xml:space="preserve"> </w:t>
      </w:r>
      <w:r w:rsidR="00CA0574">
        <w:t>a</w:t>
      </w:r>
      <w:r w:rsidR="00A92EF8">
        <w:t xml:space="preserve"> water heater.</w:t>
      </w:r>
      <w:r w:rsidR="000B3332">
        <w:t xml:space="preserve"> Noticed that except for electricity, water is the medium that connects many different appliances such as clothes washers. This coupling effect contributes to the difficulty of its thermal modeling. </w:t>
      </w:r>
      <w:r w:rsidR="00191A3D">
        <w:t>In addition</w:t>
      </w:r>
      <w:r w:rsidR="000B3332">
        <w:t xml:space="preserve">, </w:t>
      </w:r>
      <w:r w:rsidR="00191A3D">
        <w:t xml:space="preserve">for user satisfaction and safety, </w:t>
      </w:r>
      <w:r w:rsidR="00284105">
        <w:t xml:space="preserve">thermal comfort </w:t>
      </w:r>
      <w:r w:rsidR="00453F02">
        <w:t xml:space="preserve">limitation </w:t>
      </w:r>
      <w:r w:rsidR="00284105">
        <w:t>of water heater</w:t>
      </w:r>
      <w:r w:rsidR="00453F02">
        <w:t>s</w:t>
      </w:r>
      <w:r w:rsidR="00284105">
        <w:t xml:space="preserve"> is also </w:t>
      </w:r>
      <w:r w:rsidR="00191A3D">
        <w:t>needed</w:t>
      </w:r>
      <w:r w:rsidR="00284105">
        <w:t xml:space="preserve"> to conside</w:t>
      </w:r>
      <w:r w:rsidR="00191A3D">
        <w:t>r</w:t>
      </w:r>
      <w:r w:rsidR="005B6DDD" w:rsidRPr="00736797">
        <w:t>.</w:t>
      </w:r>
      <w:r w:rsidR="005B6DDD" w:rsidRPr="00996129">
        <w:rPr>
          <w:i/>
          <w:iCs/>
        </w:rPr>
        <w:t xml:space="preserve"> </w:t>
      </w:r>
      <w:r w:rsidR="005B6DDD" w:rsidRPr="00736797">
        <w:t xml:space="preserve">For example, it is reported that harmful bacteria such as Legionella may occur if the water temperature at the tank is lower than 120℉ </w:t>
      </w:r>
      <w:r w:rsidR="005B6DDD" w:rsidRPr="00736797">
        <w:fldChar w:fldCharType="begin"/>
      </w:r>
      <w:r w:rsidR="005D48B2">
        <w:instrText xml:space="preserve"> ADDIN ZOTERO_ITEM CSL_CITATION {"citationID":"a1qvpl0de6t","properties":{"formattedCitation":"[20]","plainCitation":"[20]","noteIndex":0},"citationItems":[{"id":212,"uris":["http://zotero.org/users/5659608/items/IV2TDEV9"],"itemData":{"id":212,"type":"article-journal","abstract":"Scheduled control of domestic electric water heaters, designed to cut energy use while minimising the impact on users’ comfort and convenience, has been fairly common for some time in a number of countries. The aim is usually load-shifting (by heating water at oﬀ-peak times) and/or maximising time-of-use pricing beneﬁts for users. The scheduling tends not to be linked to actual hot water usage and depends largely on stored thermal energy. Heat losses therefore tend to be greater than if the heater ran without a break. The eﬀect of such a control strategy is thus to worsen the energy loss and in most cases increase greenhouse gas emissions. Many developing countries have ﬂat-pricing (no time-of-use incentives) and rely heavily on energy from fossil fuels, making these considerations even more pressing. We explore three strategies for optimal control of domestic water heating that do not use thermostat control: matching the delivery temperature in the hot water, matching the energy delivered in the hot water, and a variation of the second strategy which provides for Legionella sterilisation. For each of these strategies we examine the energy used in heating, the energy delivered at the tank outlet, and issues of convenience to the user. The study diﬀers from most previous work in that it uses real daily hot-water usage proﬁles, ensures like-for-like comparison in delivered energy at the point of use, and includes a daily Legionella avoidance strategy. We tackled this as an optimal control problem using dynamic programming. Our results demonstrate a median energy saving of between 8% and 18% for the three strategies. Even more savings would be realised if intended and unintended usage events are correctly classiﬁed, and the optimal control only plans for intended usage events.","language":"en","page":"22","source":"Zotero","title":"How much energy can optimal control of domestic water heating save?","author":[{"family":"Booysen","given":"M J"},{"family":"Engelbrecht","given":"J A A"},{"family":"Ritchie","given":"M"},{"family":"Apperley","given":"M"},{"family":"Cloete","given":"A H"}],"citation-key":"booysenHowMuchEnergy"}}],"schema":"https://github.com/citation-style-language/schema/raw/master/csl-citation.json"} </w:instrText>
      </w:r>
      <w:r w:rsidR="005B6DDD" w:rsidRPr="00736797">
        <w:fldChar w:fldCharType="separate"/>
      </w:r>
      <w:r w:rsidR="00EB7B9B" w:rsidRPr="00EB7B9B">
        <w:t>[20]</w:t>
      </w:r>
      <w:r w:rsidR="005B6DDD" w:rsidRPr="00736797">
        <w:fldChar w:fldCharType="end"/>
      </w:r>
      <w:r w:rsidR="005B6DDD" w:rsidRPr="00736797">
        <w:t>.</w:t>
      </w:r>
      <w:r w:rsidR="003A0A3B">
        <w:t xml:space="preserve"> </w:t>
      </w:r>
      <w:r w:rsidR="0043531E">
        <w:t xml:space="preserve">This requires </w:t>
      </w:r>
      <w:r w:rsidR="00996129">
        <w:t>accurate modeling of the heat transfer inside the water tank</w:t>
      </w:r>
      <w:r w:rsidR="00CF5BBF">
        <w:t xml:space="preserve"> as well</w:t>
      </w:r>
      <w:r w:rsidR="00996129">
        <w:t>.</w:t>
      </w:r>
      <w:r w:rsidR="00340D1B">
        <w:t xml:space="preserve"> </w:t>
      </w:r>
    </w:p>
    <w:p w14:paraId="13156E91" w14:textId="1A6022EA" w:rsidR="008E4BB0" w:rsidRDefault="003079F5" w:rsidP="0062300A">
      <w:pPr>
        <w:pStyle w:val="ListParagraph"/>
        <w:numPr>
          <w:ilvl w:val="0"/>
          <w:numId w:val="42"/>
        </w:numPr>
        <w:ind w:firstLineChars="0"/>
      </w:pPr>
      <w:r w:rsidRPr="00FC699A">
        <w:rPr>
          <w:i/>
          <w:iCs/>
        </w:rPr>
        <w:t>Non-thermostatically controlled</w:t>
      </w:r>
      <w:r w:rsidR="00C35BA8" w:rsidRPr="00FC699A">
        <w:rPr>
          <w:i/>
          <w:iCs/>
        </w:rPr>
        <w:t xml:space="preserve"> load</w:t>
      </w:r>
      <w:r w:rsidR="004E2145" w:rsidRPr="00FC699A">
        <w:rPr>
          <w:i/>
          <w:iCs/>
        </w:rPr>
        <w:t>:</w:t>
      </w:r>
      <w:r>
        <w:t xml:space="preserve"> non-thermostatically controlled load refers to </w:t>
      </w:r>
      <w:r w:rsidR="00687C64">
        <w:t>end-users</w:t>
      </w:r>
      <w:r w:rsidR="0045463A">
        <w:t xml:space="preserve"> that are not </w:t>
      </w:r>
      <w:r w:rsidR="000B7886">
        <w:t>affected by the thermal dynamic</w:t>
      </w:r>
      <w:r w:rsidR="00687C64">
        <w:t xml:space="preserve"> mechanism</w:t>
      </w:r>
      <w:r w:rsidR="00DA70B8">
        <w:t xml:space="preserve">. In residential </w:t>
      </w:r>
      <w:r w:rsidR="00DF601D">
        <w:t>buildings</w:t>
      </w:r>
      <w:r w:rsidR="00DA70B8">
        <w:t xml:space="preserve">, they can be </w:t>
      </w:r>
      <w:r w:rsidR="00687C64">
        <w:t>lighting, electronic, and electric appliances.</w:t>
      </w:r>
      <w:r w:rsidR="00F8731D">
        <w:t xml:space="preserve"> </w:t>
      </w:r>
      <w:r w:rsidR="00D01750">
        <w:t xml:space="preserve">However, not all the appliances are suitable for </w:t>
      </w:r>
      <w:r w:rsidR="00377110">
        <w:t>adjusting</w:t>
      </w:r>
      <w:r w:rsidR="00D01750">
        <w:t xml:space="preserve"> in residential buildings. It is not proper to </w:t>
      </w:r>
      <w:r w:rsidR="007E77C0">
        <w:t xml:space="preserve">coordinate some </w:t>
      </w:r>
      <w:r w:rsidR="00AA3E5F">
        <w:t>appliances</w:t>
      </w:r>
      <w:r w:rsidR="007E77C0">
        <w:t xml:space="preserve"> such as</w:t>
      </w:r>
      <w:r w:rsidR="00D01750">
        <w:t xml:space="preserve"> TV, computer, or </w:t>
      </w:r>
      <w:r w:rsidR="00B1332D">
        <w:t>ligh</w:t>
      </w:r>
      <w:r w:rsidR="00AA3E5F">
        <w:t>ts, as</w:t>
      </w:r>
      <w:r w:rsidR="009A42B6">
        <w:t xml:space="preserve"> t</w:t>
      </w:r>
      <w:r w:rsidR="00B32DDD">
        <w:t xml:space="preserve">hey </w:t>
      </w:r>
      <w:r w:rsidR="00AA3E5F">
        <w:t xml:space="preserve">not only do not </w:t>
      </w:r>
      <w:r w:rsidR="00B32DDD">
        <w:t xml:space="preserve">consume </w:t>
      </w:r>
      <w:r w:rsidR="00AA3E5F">
        <w:t>high levels</w:t>
      </w:r>
      <w:r w:rsidR="00F7468E">
        <w:t xml:space="preserve"> of</w:t>
      </w:r>
      <w:r w:rsidR="00B32DDD">
        <w:t xml:space="preserve"> energy</w:t>
      </w:r>
      <w:r w:rsidR="00F7468E">
        <w:t>, but also adjusting them</w:t>
      </w:r>
      <w:r w:rsidR="00B32DDD">
        <w:t xml:space="preserve"> </w:t>
      </w:r>
      <w:r w:rsidR="00377110">
        <w:t xml:space="preserve">may </w:t>
      </w:r>
      <w:r w:rsidR="00F7468E">
        <w:t>cause significant in</w:t>
      </w:r>
      <w:r w:rsidR="00377110">
        <w:t>convenience</w:t>
      </w:r>
      <w:r w:rsidR="00F7468E">
        <w:t xml:space="preserve"> to</w:t>
      </w:r>
      <w:r w:rsidR="00377110">
        <w:t xml:space="preserve"> the users. </w:t>
      </w:r>
      <w:r w:rsidR="00D83CC4">
        <w:t>In energy management studies, those appliances are called non-schedulable appliances, while some appliances such as dishwasher</w:t>
      </w:r>
      <w:r w:rsidR="003222DF">
        <w:t>s</w:t>
      </w:r>
      <w:r w:rsidR="00D83CC4">
        <w:t>, clothes washer</w:t>
      </w:r>
      <w:r w:rsidR="003222DF">
        <w:t>s,</w:t>
      </w:r>
      <w:r w:rsidR="00D83CC4">
        <w:t xml:space="preserve"> and dryers are called </w:t>
      </w:r>
      <w:r w:rsidR="00290DDA">
        <w:t>schedulable appliances</w:t>
      </w:r>
      <w:r w:rsidR="007136F8">
        <w:t xml:space="preserve"> </w:t>
      </w:r>
      <w:r w:rsidR="00290DDA">
        <w:fldChar w:fldCharType="begin"/>
      </w:r>
      <w:r w:rsidR="005D48B2">
        <w:instrText xml:space="preserve"> ADDIN ZOTERO_ITEM CSL_CITATION {"citationID":"ab57np6lnq","properties":{"formattedCitation":"[13]","plainCitation":"[13]","noteIndex":0},"citationItems":[{"id":1749,"uris":["http://zotero.org/users/5659608/items/XWD7J86A"],"itemData":{"id":1749,"type":"article-journal","abstract":"This paper classifies and discusses the energy flexibility improvement strategies for demand responsive control in grid-interactive buildings based on a comprehensive study of the literature. Both supply and demand sides are considered. The flexibility measures range from renewable energy such as photovoltaic cells (PV) and wind to heating, ventilation, and air conditioning (HVAC) systems, energy storage, building thermal mass, appliances, and occupant behaviors. Currently, owing to the highly developed smart appliances and sensing communication techniques, DR is considered as an essential measure for improving energy flexibility in buildings without much additional investment. With the help of advanced demand response (DR) control strategies and measures, buildings can become more flexible in terms of power demand from the power grid. In this way, buildings achieve a better ability to balance differences in energy supply and demand. Furthermore, a synergistic approach with various measures is advisable, e.g., the use of energy storage technologies with PV and passive DR methods. This paper summarizes the measures for improving the flexibility of commercial and residential buildings, and develops a systematic methodology framework to evaluate energy demand flexibility in buildings.","container-title":"Energy and Buildings","DOI":"10.1016/j.enbuild.2018.08.003","ISSN":"0378-7788","journalAbbreviation":"Energy and Buildings","language":"en","page":"125-139","source":"ScienceDirect","title":"Measures to improve energy demand flexibility in buildings for demand response (DR): A review","title-short":"Measures to improve energy demand flexibility in buildings for demand response (DR)","volume":"177","author":[{"family":"Chen","given":"Yongbao"},{"family":"Xu","given":"Peng"},{"family":"Gu","given":"Jiefan"},{"family":"Schmidt","given":"Ferdinand"},{"family":"Li","given":"Weilin"}],"issued":{"date-parts":[["2018",10,15]]},"citation-key":"chenMeasuresImproveEnergy2018"}}],"schema":"https://github.com/citation-style-language/schema/raw/master/csl-citation.json"} </w:instrText>
      </w:r>
      <w:r w:rsidR="00290DDA">
        <w:fldChar w:fldCharType="separate"/>
      </w:r>
      <w:r w:rsidR="00EB7B9B" w:rsidRPr="00EB7B9B">
        <w:t>[13]</w:t>
      </w:r>
      <w:r w:rsidR="00290DDA">
        <w:fldChar w:fldCharType="end"/>
      </w:r>
      <w:r w:rsidR="00D83CC4">
        <w:t>.</w:t>
      </w:r>
    </w:p>
    <w:p w14:paraId="0308AFC0" w14:textId="39985208" w:rsidR="00CA64EB" w:rsidRDefault="00B85E0C" w:rsidP="0062300A">
      <w:pPr>
        <w:pStyle w:val="ListParagraph"/>
        <w:numPr>
          <w:ilvl w:val="0"/>
          <w:numId w:val="42"/>
        </w:numPr>
        <w:ind w:firstLineChars="0"/>
      </w:pPr>
      <w:r w:rsidRPr="00FC699A">
        <w:rPr>
          <w:i/>
          <w:iCs/>
        </w:rPr>
        <w:t xml:space="preserve">Distributed </w:t>
      </w:r>
      <w:r w:rsidR="00685425" w:rsidRPr="00FC699A">
        <w:rPr>
          <w:i/>
          <w:iCs/>
        </w:rPr>
        <w:t xml:space="preserve">energy resources: </w:t>
      </w:r>
      <w:r w:rsidR="00685425">
        <w:t xml:space="preserve">distributed energy resources (DER) </w:t>
      </w:r>
      <w:r w:rsidR="003F5336">
        <w:t xml:space="preserve">include </w:t>
      </w:r>
      <w:r w:rsidR="00685425">
        <w:t>the self-generator such as PV panel</w:t>
      </w:r>
      <w:r w:rsidR="003222DF">
        <w:t>s</w:t>
      </w:r>
      <w:r w:rsidR="00685425">
        <w:t xml:space="preserve"> </w:t>
      </w:r>
      <w:r w:rsidR="003222DF">
        <w:t xml:space="preserve">and </w:t>
      </w:r>
      <w:r w:rsidR="00685425">
        <w:t>wind turbine</w:t>
      </w:r>
      <w:r w:rsidR="003222DF">
        <w:t>s</w:t>
      </w:r>
      <w:r w:rsidR="00685425">
        <w:t xml:space="preserve">. </w:t>
      </w:r>
      <w:r w:rsidR="00B178E1">
        <w:t xml:space="preserve">DER is another important </w:t>
      </w:r>
      <w:r w:rsidR="00AB348C">
        <w:t>resource</w:t>
      </w:r>
      <w:r w:rsidR="00B178E1">
        <w:t xml:space="preserve"> that can provide </w:t>
      </w:r>
      <w:r w:rsidR="00FC6BAD">
        <w:rPr>
          <w:rFonts w:hint="eastAsia"/>
        </w:rPr>
        <w:t>energy</w:t>
      </w:r>
      <w:r w:rsidR="00B178E1">
        <w:t xml:space="preserve"> flexibility </w:t>
      </w:r>
      <w:r w:rsidR="00AB348C">
        <w:t xml:space="preserve">to the </w:t>
      </w:r>
      <w:r w:rsidR="00FC6BAD">
        <w:rPr>
          <w:rFonts w:hint="eastAsia"/>
        </w:rPr>
        <w:t>home</w:t>
      </w:r>
      <w:r w:rsidR="00AB348C">
        <w:t xml:space="preserve">. </w:t>
      </w:r>
      <w:r w:rsidR="00DC7815">
        <w:t>The self-generation energy provide</w:t>
      </w:r>
      <w:r w:rsidR="003222DF">
        <w:t>s</w:t>
      </w:r>
      <w:r w:rsidR="00DC7815">
        <w:t xml:space="preserve"> load</w:t>
      </w:r>
      <w:r w:rsidR="003222DF">
        <w:t>-</w:t>
      </w:r>
      <w:r w:rsidR="00DC7815">
        <w:t>shedding capability, and meanwhile</w:t>
      </w:r>
      <w:r w:rsidR="003222DF">
        <w:t>,</w:t>
      </w:r>
      <w:r w:rsidR="00DC7815">
        <w:t xml:space="preserve"> it can combine with the</w:t>
      </w:r>
      <w:r w:rsidR="00CA07C8">
        <w:t xml:space="preserve"> other appliances</w:t>
      </w:r>
      <w:r w:rsidR="00BF04E6">
        <w:t xml:space="preserve"> or energy </w:t>
      </w:r>
      <w:r w:rsidR="00BF04E6">
        <w:lastRenderedPageBreak/>
        <w:t>storage equipment such as battery</w:t>
      </w:r>
      <w:r w:rsidR="00CA07C8">
        <w:t xml:space="preserve"> to further provide</w:t>
      </w:r>
      <w:r w:rsidR="00DC7815">
        <w:t xml:space="preserve"> load</w:t>
      </w:r>
      <w:r w:rsidR="003222DF">
        <w:t>-</w:t>
      </w:r>
      <w:r w:rsidR="00DC7815">
        <w:t>shifting capabilities</w:t>
      </w:r>
      <w:r w:rsidR="00043421">
        <w:t xml:space="preserve"> </w:t>
      </w:r>
      <w:r w:rsidR="00DC7815">
        <w:fldChar w:fldCharType="begin"/>
      </w:r>
      <w:r w:rsidR="005D48B2">
        <w:instrText xml:space="preserve"> ADDIN ZOTERO_ITEM CSL_CITATION {"citationID":"anulra5eu8","properties":{"formattedCitation":"[21]","plainCitation":"[21]","noteIndex":0},"citationItems":[{"id":1712,"uris":["http://zotero.org/users/5659608/items/GNBUHGUT"],"itemData":{"id":1712,"type":"article-journal","abstract":"Ever increasing numbers of air-conditioners and, in many places, more extreme weather and urban overheating are placing additional stresses on electricity networks globally, reflecting not only their high power draw but also highly correlated operation driven by weather conditions. The resulting peak demands can be considerably greater than average network flows requiring additional electricity generation and network capabilities for what might only be infrequent periods. Energy users must of course pay for this additional investment, including potentially via peak demand and time-of-use charges. Pre-cooling of buildings to spread air conditioning demand is one approach to reduce these peaks. Its potential contribution depends on the thermal performance of the building stock, particularly how long it can retain pre-cooled air, and patterns of weather on warm days. The use of solar energy, including particularly rooftop solar photovoltaics presents another possible option. Photovoltaics generates during daylight hours, which is well-matched with higher temperatures. However, photovoltaics generation may often be declining while heat loads in buildings and hence air conditioning are still climbing in the late afternoon. This suggests the potential of solar pre-cooling when solar photovoltaic electricity is used to run air conditioners in the pre-cooling phase. Literature reviews to date have tended to focus on only aspects of pre-cooling and solar pre-cooling, for example, the effect of thermal mass on the energy performance of buildings but not specifically on peak demand shifting and cost reduction. There is a particular gap with review papers that investigate pre-cooling and solar pre-cooling together with detailed characterization of their potential in different circumstances. The review presented here covers a wide range of state-of-the-art studies in the field of pre-cooling and solar pre-cooling covering the period 2014 to 2021. It also presents, for the first time, the necessary steps to design and implement pre-cooling and solar pre-cooling strategies. It is intended to support the growing research studies and practical implementations of pre-cooling and solar pre-cooling within the electricity sector.","container-title":"Energy and Buildings","DOI":"10.1016/j.enbuild.2022.112340","ISSN":"0378-7788","journalAbbreviation":"Energy and Buildings","language":"en","page":"112340","source":"ScienceDirect","title":"Demand response via pre-cooling and solar pre-cooling: A review","title-short":"Demand response via pre-cooling and solar pre-cooling","volume":"272","author":[{"family":"Naderi","given":"Shayan"},{"family":"Pignatta","given":"Gloria"},{"family":"Heslop","given":"Simon"},{"family":"MacGill","given":"Iain"},{"family":"Chen","given":"Dong"}],"issued":{"date-parts":[["2022",10,1]]},"citation-key":"naderiDemandResponsePrecooling2022"}}],"schema":"https://github.com/citation-style-language/schema/raw/master/csl-citation.json"} </w:instrText>
      </w:r>
      <w:r w:rsidR="00DC7815">
        <w:fldChar w:fldCharType="separate"/>
      </w:r>
      <w:r w:rsidR="00EB7B9B" w:rsidRPr="00EB7B9B">
        <w:t>[21]</w:t>
      </w:r>
      <w:r w:rsidR="00DC7815">
        <w:fldChar w:fldCharType="end"/>
      </w:r>
      <w:r w:rsidR="00DC7815">
        <w:t xml:space="preserve">. </w:t>
      </w:r>
      <w:r w:rsidR="004977E9">
        <w:t xml:space="preserve">The most used self-generator is rooftop </w:t>
      </w:r>
      <w:r w:rsidR="00AF440B">
        <w:t xml:space="preserve">photovoltaic (PV) </w:t>
      </w:r>
      <w:r w:rsidR="004977E9">
        <w:t>panel</w:t>
      </w:r>
      <w:r w:rsidR="003222DF">
        <w:t>s</w:t>
      </w:r>
      <w:r w:rsidR="004977E9">
        <w:t xml:space="preserve"> in residential buildings. </w:t>
      </w:r>
      <w:r w:rsidR="00BA746A">
        <w:t>Noticed that</w:t>
      </w:r>
      <w:r w:rsidR="009A66BB">
        <w:t xml:space="preserve"> the generation efficiency of the </w:t>
      </w:r>
      <w:r w:rsidR="00AF440B">
        <w:t>PV</w:t>
      </w:r>
      <w:r w:rsidR="009A66BB">
        <w:t xml:space="preserve"> is not only </w:t>
      </w:r>
      <w:r w:rsidR="006F3C93">
        <w:t>limited by</w:t>
      </w:r>
      <w:r w:rsidR="004F78B7">
        <w:t xml:space="preserve"> outside weather,</w:t>
      </w:r>
      <w:r w:rsidR="006F3C93">
        <w:t xml:space="preserve"> its </w:t>
      </w:r>
      <w:r w:rsidR="00426C12">
        <w:t>distribution</w:t>
      </w:r>
      <w:r w:rsidR="006F3C93">
        <w:t xml:space="preserve"> networks, </w:t>
      </w:r>
      <w:r w:rsidR="003222DF">
        <w:t xml:space="preserve">and </w:t>
      </w:r>
      <w:r w:rsidR="006F3C93">
        <w:t xml:space="preserve">the </w:t>
      </w:r>
      <w:r w:rsidR="004F78B7">
        <w:t xml:space="preserve">rooftop availability but also </w:t>
      </w:r>
      <w:r w:rsidR="00C57DC0">
        <w:t>the inverter efficiency</w:t>
      </w:r>
      <w:r w:rsidR="000D43D1">
        <w:t xml:space="preserve"> (DC to AC) </w:t>
      </w:r>
      <w:r w:rsidR="000570AC">
        <w:fldChar w:fldCharType="begin"/>
      </w:r>
      <w:r w:rsidR="005D48B2">
        <w:instrText xml:space="preserve"> ADDIN ZOTERO_ITEM CSL_CITATION {"citationID":"anci79qjgm","properties":{"formattedCitation":"[22]","plainCitation":"[22]","noteIndex":0},"citationItems":[{"id":1634,"uris":["http://zotero.org/users/5659608/items/3PHPJUMD"],"itemData":{"id":1634,"type":"article-journal","abstract":"Integration of solar photovoltaic (PV) and battery storage systems is an upward trend for residential sector to achieve major targets like minimizing the electricity bill, grid dependency, emission and so forth. In recent years, there has been a rapid deployment of PV and battery installation in residential sector. In this regard, optimal planning of PV-battery systems is a critical issue for the designers, consumers, and network operators due to high number of parameters that can affect the optimization problem. This paper aims to present a comprehensive and critical review on the effective parameters in optimal planning process of solar PV and battery storage system for grid-connected residential sector. The key parameters in process of optimal planning for PV-battery system are recognized and explained. These parameters are economic and technical data, objective functions, energy management systems, design constraints, optimization algorithms, and electricity pricing programs. A timely review on the state-of-the-art studies in PV-battery optimal planning is presented. The challenges, trends and latest developments in the topic are discussed. At the end, scopes for future studies are developed. It is found that new guidelines should be provided for the customers based on various electricity rates and demand response programs. Also, several design considerations like grid dependency and resiliency need further investigation in the optimal planning of PV-battery systems.","container-title":"Renewable and Sustainable Energy Reviews","DOI":"10.1016/j.rser.2021.111763","ISSN":"1364-0321","journalAbbreviation":"Renewable and Sustainable Energy Reviews","language":"en","page":"111763","source":"ScienceDirect","title":"Optimal planning of solar photovoltaic and battery storage systems for grid-connected residential sector: Review, challenges and new perspectives","title-short":"Optimal planning of solar photovoltaic and battery storage systems for grid-connected residential sector","volume":"153","author":[{"family":"Khezri","given":"Rahmat"},{"family":"Mahmoudi","given":"Amin"},{"family":"Aki","given":"Hirohisa"}],"issued":{"date-parts":[["2022",1,1]]},"citation-key":"khezriOptimalPlanningSolar2022"}}],"schema":"https://github.com/citation-style-language/schema/raw/master/csl-citation.json"} </w:instrText>
      </w:r>
      <w:r w:rsidR="000570AC">
        <w:fldChar w:fldCharType="separate"/>
      </w:r>
      <w:r w:rsidR="00EB7B9B" w:rsidRPr="00EB7B9B">
        <w:t>[22]</w:t>
      </w:r>
      <w:r w:rsidR="000570AC">
        <w:fldChar w:fldCharType="end"/>
      </w:r>
      <w:r w:rsidR="000570AC">
        <w:t>.</w:t>
      </w:r>
      <w:r w:rsidR="00C57DC0">
        <w:t xml:space="preserve"> </w:t>
      </w:r>
    </w:p>
    <w:p w14:paraId="109C5226" w14:textId="050762C8" w:rsidR="00A56B5D" w:rsidRDefault="00F763AA" w:rsidP="0062300A">
      <w:pPr>
        <w:pStyle w:val="ListParagraph"/>
        <w:numPr>
          <w:ilvl w:val="0"/>
          <w:numId w:val="42"/>
        </w:numPr>
        <w:ind w:firstLineChars="0"/>
      </w:pPr>
      <w:r w:rsidRPr="00FC699A">
        <w:rPr>
          <w:i/>
          <w:iCs/>
        </w:rPr>
        <w:t xml:space="preserve">Electricity storage: </w:t>
      </w:r>
      <w:r w:rsidR="00D93A54">
        <w:t>Electricity</w:t>
      </w:r>
      <w:r>
        <w:t xml:space="preserve"> storage usually refers to batteries or electric vehicles. Similar to </w:t>
      </w:r>
      <w:r w:rsidR="00D93A54">
        <w:t>active</w:t>
      </w:r>
      <w:r>
        <w:t xml:space="preserve"> thermal storage, it can provide both load shifting and shedding by charge and discharge operation, but no </w:t>
      </w:r>
      <w:r w:rsidR="00EB2C6D">
        <w:t>need to involve with the thermal medium.</w:t>
      </w:r>
      <w:r w:rsidR="00C85301">
        <w:t xml:space="preserve"> </w:t>
      </w:r>
      <w:r w:rsidR="00D7679E">
        <w:t>Different from passive or active thermal storage, wh</w:t>
      </w:r>
      <w:r w:rsidR="003222DF">
        <w:t>ich</w:t>
      </w:r>
      <w:r w:rsidR="00D7679E">
        <w:t xml:space="preserve"> might need time to precool or preheat the space or thermal medium, electricity storage provide</w:t>
      </w:r>
      <w:r w:rsidR="003222DF">
        <w:t>s</w:t>
      </w:r>
      <w:r w:rsidR="00D7679E">
        <w:t xml:space="preserve"> electricity flexibility immediately</w:t>
      </w:r>
      <w:r w:rsidR="00B20ECC">
        <w:t>.</w:t>
      </w:r>
      <w:r w:rsidR="00D7679E">
        <w:t xml:space="preserve"> </w:t>
      </w:r>
      <w:r w:rsidR="008D4AC4">
        <w:t>However, it is also limited by battery cell temperature, state of charge, depth of cycle, C-rate</w:t>
      </w:r>
      <w:r w:rsidR="00394868">
        <w:t xml:space="preserve"> (charging rate)</w:t>
      </w:r>
      <w:r w:rsidR="008D4AC4">
        <w:t xml:space="preserve">, etc. </w:t>
      </w:r>
      <w:r w:rsidR="0089586A">
        <w:t>In general</w:t>
      </w:r>
      <w:r w:rsidR="00394868">
        <w:t xml:space="preserve">, </w:t>
      </w:r>
      <w:r w:rsidR="00F716E2">
        <w:t>its</w:t>
      </w:r>
      <w:r w:rsidR="00BB12A9">
        <w:t xml:space="preserve"> efficiency is almost certain to change over time</w:t>
      </w:r>
      <w:r w:rsidR="00147BBA">
        <w:t xml:space="preserve"> </w:t>
      </w:r>
      <w:r w:rsidR="00864F36">
        <w:t xml:space="preserve">due to the limitations of its chemical mechanism </w:t>
      </w:r>
      <w:r w:rsidR="00BB12A9">
        <w:fldChar w:fldCharType="begin"/>
      </w:r>
      <w:r w:rsidR="005D48B2">
        <w:instrText xml:space="preserve"> ADDIN ZOTERO_ITEM CSL_CITATION {"citationID":"a2nj2hvfg83","properties":{"formattedCitation":"[23,24]","plainCitation":"[23,24]","noteIndex":0},"citationItems":[{"id":1072,"uris":["http://zotero.org/users/5659608/items/57MZ65QG"],"itemData":{"id":1072,"type":"article-journal","container-title":"Nature Energy","DOI":"10.1038/s41560-019-0356-8","ISSN":"2058-7546","issue":"5","journalAbbreviation":"Nat Energy","language":"en","page":"383-391","source":"DOI.org (Crossref)","title":"Data-driven prediction of battery cycle life before capacity degradation","volume":"4","author":[{"family":"Severson","given":"Kristen A."},{"family":"Attia","given":"Peter M."},{"family":"Jin","given":"Norman"},{"family":"Perkins","given":"Nicholas"},{"family":"Jiang","given":"Benben"},{"family":"Yang","given":"Zi"},{"family":"Chen","given":"Michael H."},{"family":"Aykol","given":"Muratahan"},{"family":"Herring","given":"Patrick K."},{"family":"Fraggedakis","given":"Dimitrios"},{"family":"Bazant","given":"Martin Z."},{"family":"Harris","given":"Stephen J."},{"family":"Chueh","given":"William C."},{"family":"Braatz","given":"Richard D."}],"issued":{"date-parts":[["2019",5]]},"citation-key":"seversonDatadrivenPredictionBattery2019"}},{"id":1069,"uris":["http://zotero.org/users/5659608/items/WPVGF9VD"],"itemData":{"id":1069,"type":"article-journal","abstract":"This paper presents an aging-aware model predictive control (MPC) approach for operation of sustainable buildings with on-site photovoltaic (PV) and battery systems. On-site batteries can be used to collect excess PV power during low demand hours and to discharge when PV generation is not enough to meet loads. To further increase the value of the PV-battery assets, batteries can be proactively charged/discharged to shed peak demands for utility cost reduction. The battery life span is highly dependent on the operation strategy and aggressive charge/discharge actions lead to faster battery capacity degradation and higher overall operation cost due to more frequent replacement. The control strategy developed in this study incorporates a convex battery capacity loss model, derived from a physically-based degradation model, to capture the battery aging cost in the control optimization. The degradation model used in the control optimization consists of a set of convex and piece-wise linear sub-models to approximate the battery degradation effect at different time instances. A convex MPC problem is solved in the proposed control strategy to seek the optimal balance between the building utility cost and the battery life-cycle cost. Whole month simulation tests were carried out for a typical office building with on-site PV and battery assets. To quantify the benefits of the proposed control approach, three baseline strategies were also simulated that represent the best current practices. Test results showed that conventional battery control strategies seeking minimum utility cost could double the battery degradation rate and lead to a significant increase in the battery life-cycle cost. The proposed strategy could foresee the tradeoff between the utility cost and battery aging cost and make decisions accordingly. It was demonstrated that the proposed control solution could reduce the utility cost by 9% with moderate battery degradation increase, leading to overall building operation cost reduction up to 4%.","container-title":"Applied Energy","DOI":"10.1016/j.apenergy.2018.12.003","ISSN":"0306-2619","journalAbbreviation":"Applied Energy","language":"en","page":"478-488","source":"ScienceDirect","title":"Aging-aware predictive control of PV-battery assets in buildings","volume":"236","author":[{"family":"Cai","given":"Jie"},{"family":"Zhang","given":"Hao"},{"family":"Jin","given":"Xing"}],"issued":{"date-parts":[["2019",2,15]]},"citation-key":"caiAgingawarePredictiveControl2019"}}],"schema":"https://github.com/citation-style-language/schema/raw/master/csl-citation.json"} </w:instrText>
      </w:r>
      <w:r w:rsidR="00BB12A9">
        <w:fldChar w:fldCharType="separate"/>
      </w:r>
      <w:r w:rsidR="00EB7B9B" w:rsidRPr="00EB7B9B">
        <w:t>[23,24]</w:t>
      </w:r>
      <w:r w:rsidR="00BB12A9">
        <w:fldChar w:fldCharType="end"/>
      </w:r>
      <w:r w:rsidR="00BB12A9">
        <w:t xml:space="preserve">. </w:t>
      </w:r>
    </w:p>
    <w:p w14:paraId="7C51887C" w14:textId="15C7661C" w:rsidR="00B00A4E" w:rsidRDefault="00454997" w:rsidP="00CF5BD7">
      <w:pPr>
        <w:pStyle w:val="Heading3"/>
      </w:pPr>
      <w:bookmarkStart w:id="49" w:name="_Toc132122444"/>
      <w:bookmarkStart w:id="50" w:name="_Toc132122568"/>
      <w:bookmarkStart w:id="51" w:name="_Toc141991669"/>
      <w:r>
        <w:rPr>
          <w:rFonts w:asciiTheme="minorEastAsia" w:eastAsiaTheme="minorEastAsia" w:hAnsiTheme="minorEastAsia"/>
        </w:rPr>
        <w:t>D</w:t>
      </w:r>
      <w:r>
        <w:t>eployment b</w:t>
      </w:r>
      <w:r w:rsidR="00B02E4D">
        <w:t xml:space="preserve">arriers in demand response </w:t>
      </w:r>
      <w:bookmarkEnd w:id="49"/>
      <w:bookmarkEnd w:id="50"/>
      <w:r w:rsidR="004D40FC">
        <w:t>participation</w:t>
      </w:r>
      <w:bookmarkEnd w:id="51"/>
    </w:p>
    <w:p w14:paraId="3FC5A8BD" w14:textId="1C678EB1" w:rsidR="000F0DA4" w:rsidRPr="009659FA" w:rsidRDefault="009659FA" w:rsidP="00864F36">
      <w:r>
        <w:t xml:space="preserve">In 2021, </w:t>
      </w:r>
      <w:r w:rsidR="003222DF">
        <w:t xml:space="preserve">the </w:t>
      </w:r>
      <w:r w:rsidRPr="003C5B9C">
        <w:t>U.S. energy information administration (</w:t>
      </w:r>
      <w:r>
        <w:t xml:space="preserve">EIA) reported more than 300 </w:t>
      </w:r>
      <w:r w:rsidR="00080138">
        <w:t>DRPs</w:t>
      </w:r>
      <w:r>
        <w:t xml:space="preserve"> offered by utilities in the US </w:t>
      </w:r>
      <w:r>
        <w:fldChar w:fldCharType="begin"/>
      </w:r>
      <w:r w:rsidR="005D48B2">
        <w:instrText xml:space="preserve"> ADDIN ZOTERO_ITEM CSL_CITATION {"citationID":"h7na5P1n","properties":{"formattedCitation":"[25]","plainCitation":"[25]","noteIndex":0},"citationItems":[{"id":1721,"uris":["http://zotero.org/users/5659608/items/HWP3WZBT"],"itemData":{"id":1721,"type":"webpage","title":"Annual Electric Power Industry Report, Form EIA-861 detailed data files","URL":"https://www.eia.gov/electricity/data/eia861/","accessed":{"date-parts":[["2023",3,22]]},"citation-key":"AnnualElectricPower"}}],"schema":"https://github.com/citation-style-language/schema/raw/master/csl-citation.json"} </w:instrText>
      </w:r>
      <w:r>
        <w:fldChar w:fldCharType="separate"/>
      </w:r>
      <w:r w:rsidR="00EB7B9B" w:rsidRPr="00EB7B9B">
        <w:t>[25]</w:t>
      </w:r>
      <w:r>
        <w:fldChar w:fldCharType="end"/>
      </w:r>
      <w:r>
        <w:t xml:space="preserve">. </w:t>
      </w:r>
      <w:r w:rsidR="00184259">
        <w:t>Most</w:t>
      </w:r>
      <w:r>
        <w:t xml:space="preserve"> of these </w:t>
      </w:r>
      <w:r w:rsidR="00F37468">
        <w:t>DRPs</w:t>
      </w:r>
      <w:r>
        <w:t xml:space="preserve"> are targeted toward commercial and residential buildings, </w:t>
      </w:r>
      <w:r>
        <w:rPr>
          <w:rFonts w:hint="eastAsia"/>
        </w:rPr>
        <w:t>with</w:t>
      </w:r>
      <w:r>
        <w:t xml:space="preserve"> some of them are for industrial sectors, and only a few intended for transportation. However, participation </w:t>
      </w:r>
      <w:r w:rsidR="00864F36">
        <w:t>in</w:t>
      </w:r>
      <w:r>
        <w:t xml:space="preserve"> </w:t>
      </w:r>
      <w:r w:rsidR="00F37468">
        <w:t>DRPs</w:t>
      </w:r>
      <w:r>
        <w:t xml:space="preserve"> remains low, especially in residential buildings. For example, in a report, </w:t>
      </w:r>
      <w:r w:rsidR="00F1140A">
        <w:t>approximately</w:t>
      </w:r>
      <w:r>
        <w:t xml:space="preserve"> </w:t>
      </w:r>
      <w:r w:rsidRPr="00496BFB">
        <w:t xml:space="preserve">9.4 million enrolled </w:t>
      </w:r>
      <w:r w:rsidR="00864F36">
        <w:t xml:space="preserve">in </w:t>
      </w:r>
      <w:r w:rsidRPr="00496BFB">
        <w:t>DR</w:t>
      </w:r>
      <w:r w:rsidR="005B1758">
        <w:t>Ps</w:t>
      </w:r>
      <w:r w:rsidRPr="00496BFB">
        <w:t xml:space="preserve"> versus 134 million residential building</w:t>
      </w:r>
      <w:r w:rsidR="00864F36">
        <w:t>s</w:t>
      </w:r>
      <w:r w:rsidRPr="00496BFB">
        <w:t xml:space="preserve"> in the survey</w:t>
      </w:r>
      <w:r w:rsidR="00F1140A">
        <w:t xml:space="preserve"> </w:t>
      </w:r>
      <w:r>
        <w:fldChar w:fldCharType="begin"/>
      </w:r>
      <w:r w:rsidR="005D48B2">
        <w:instrText xml:space="preserve"> ADDIN ZOTERO_ITEM CSL_CITATION {"citationID":"a2mq53qkkpt","properties":{"formattedCitation":"[9]","plainCitation":"[9]","noteIndex":0},"citationItems":[{"id":1726,"uris":["http://zotero.org/users/5659608/items/EDDN8H54"],"itemData":{"id":1726,"type":"webpage","abstract":"Federal Energy Regulatory Commission staff issues the Assessment of Demand Response and Advanced Metering report annually in accordance with section 1252(e)(3) of the Energy Policy Act of 2005. The information presented in the report is based on publicly available data that is used to estimate demand response potential in the retail and wholesale markets. The report also discusses state and federal updates to advanced metering infrastructure and demand response.","language":"en","title":"Reports on Demand Response and Advanced Metering | Federal Energy Regulatory Commission","URL":"https://www.ferc.gov/power-sales-and-markets/demand-response/reports-demand-response-and-advanced-metering","accessed":{"date-parts":[["2023",3,23]]},"citation-key":"ReportsDemandResponse"}}],"schema":"https://github.com/citation-style-language/schema/raw/master/csl-citation.json"} </w:instrText>
      </w:r>
      <w:r>
        <w:fldChar w:fldCharType="separate"/>
      </w:r>
      <w:r w:rsidRPr="00444309">
        <w:t>[9]</w:t>
      </w:r>
      <w:r>
        <w:fldChar w:fldCharType="end"/>
      </w:r>
      <w:r w:rsidRPr="00496BFB">
        <w:t>.</w:t>
      </w:r>
      <w:r>
        <w:t xml:space="preserve"> </w:t>
      </w:r>
      <w:r w:rsidR="00374852">
        <w:t>Although</w:t>
      </w:r>
      <w:r>
        <w:t xml:space="preserve"> the residential building’s participation has </w:t>
      </w:r>
      <w:r>
        <w:lastRenderedPageBreak/>
        <w:t>grow</w:t>
      </w:r>
      <w:r w:rsidR="00864F36">
        <w:t>n</w:t>
      </w:r>
      <w:r w:rsidR="00374852">
        <w:t xml:space="preserve"> with the implementation of various policies and guidelines</w:t>
      </w:r>
      <w:r>
        <w:t xml:space="preserve">, some reports </w:t>
      </w:r>
      <w:r w:rsidR="007F7D89">
        <w:t xml:space="preserve">still indicate </w:t>
      </w:r>
      <w:r w:rsidR="00F1140A">
        <w:t xml:space="preserve">that </w:t>
      </w:r>
      <w:r>
        <w:t xml:space="preserve">the level of response from users who enrolled in programs </w:t>
      </w:r>
      <w:r w:rsidR="00F1140A">
        <w:t>is</w:t>
      </w:r>
      <w:r>
        <w:t xml:space="preserve"> not as high as expected </w:t>
      </w:r>
      <w:r>
        <w:fldChar w:fldCharType="begin"/>
      </w:r>
      <w:r w:rsidR="005D48B2">
        <w:instrText xml:space="preserve"> ADDIN ZOTERO_ITEM CSL_CITATION {"citationID":"a1s6aa3fvro","properties":{"formattedCitation":"[26,27]","plainCitation":"[26,27]","noteIndex":0},"citationItems":[{"id":1805,"uris":["http://zotero.org/users/5659608/items/AQZLL69J"],"itemData":{"id":1805,"type":"article-journal","abstract":"Recent efforts to restructure electricity markets have renewed interest in assessing how consumers respond to price changes. This paper develops a model for evaluating the effects of alternative tariff designs on electricity use. The model concurrently addresses several interrelated difficulties posed by nonlinear pricing, heterogeneity in consumer price sensitivity, and consumption aggregation over appliances and time. We estimate the model using extensive data for a representative sample of 1300 California households. The results imply a strikingly skewed distribution of household electricity price elasticities in the population, with a small fraction of households accounting for most aggregate demand response. We then estimate the aggregate and distributional consequences of recent tariff structure changes in California, the consumption effects of which have been the subject of considerable debate.","container-title":"The Review of Economic Studies","DOI":"10.1111/0034-6527.00354","ISSN":"0034-6527","issue":"3","journalAbbreviation":"The Review of Economic Studies","page":"853-883","source":"Silverchair","title":"Household Electricity Demand, Revisited","volume":"72","author":[{"family":"Reiss","given":"Peter C."},{"family":"White","given":"Matthew W."}],"issued":{"date-parts":[["2005",7,1]]},"citation-key":"reissHouseholdElectricityDemand2005"}},{"id":1801,"uris":["http://zotero.org/users/5659608/items/R2U2ACYD"],"itemData":{"id":1801,"type":"article-journal","container-title":"Energy Research &amp; Social Science","note":"Citation Key: pritoni2015energy\npublisher: Elsevier","page":"190–197","title":"Energy efficiency and the misuse of programmable thermostats: The effectiveness of crowdsourcing for understanding household behavior","volume":"8","author":[{"family":"Pritoni","given":"Marco"},{"family":"Meier","given":"Alan K"},{"family":"Aragon","given":"Cecilia"},{"family":"Perry","given":"Daniel"},{"family":"Peffer","given":"Therese"}],"issued":{"date-parts":[["2015"]]},"citation-key":"pritoni2015energy"}}],"schema":"https://github.com/citation-style-language/schema/raw/master/csl-citation.json"} </w:instrText>
      </w:r>
      <w:r>
        <w:fldChar w:fldCharType="separate"/>
      </w:r>
      <w:r w:rsidR="00EB7B9B" w:rsidRPr="00EB7B9B">
        <w:t>[26,27]</w:t>
      </w:r>
      <w:r>
        <w:fldChar w:fldCharType="end"/>
      </w:r>
      <w:r>
        <w:t xml:space="preserve">. </w:t>
      </w:r>
      <w:r w:rsidR="000F0DA4">
        <w:t xml:space="preserve">Several studies have discussed the barriers </w:t>
      </w:r>
      <w:r w:rsidR="00864F36">
        <w:t>to</w:t>
      </w:r>
      <w:r w:rsidR="000F0DA4">
        <w:t xml:space="preserve"> </w:t>
      </w:r>
      <w:r w:rsidR="00F37468">
        <w:rPr>
          <w:rFonts w:hint="eastAsia"/>
        </w:rPr>
        <w:t>DRP</w:t>
      </w:r>
      <w:r w:rsidR="000F0DA4">
        <w:t xml:space="preserve">s deployment </w:t>
      </w:r>
      <w:r w:rsidR="000F0DA4">
        <w:fldChar w:fldCharType="begin"/>
      </w:r>
      <w:r w:rsidR="005D48B2">
        <w:instrText xml:space="preserve"> ADDIN ZOTERO_ITEM CSL_CITATION {"citationID":"aogajuleoi","properties":{"formattedCitation":"[28\\uc0\\u8211{}32]","plainCitation":"[28–32]","noteIndex":0},"citationItems":[{"id":1782,"uris":["http://zotero.org/users/5659608/items/CLT7UHJQ"],"itemData":{"id":1782,"type":"article-journal","abstract":"Electricity demand response refers to consumer actions that change the utility load profile in a way that reduces costs or improves grid security. The focus of demand response has mainly been on the commercial and big industrial sectors because of the large demand reduction that they can offer to the utility grid operators. Utilities are showing increasing interest in residential demand response (RDR). RDR can be treated as an energy resource which can be assessed and commercially developed, however, there are still some issues that remain to be addressed for RDR to be successful. These include price unresponsiveness of some residential consumers, equity issues and high cost of the metering infrastructure. The aim of this paper is to investigate and present some of the challenges in achieving effective voluntary demand reduction based on a review of residential demand response literature as well as the general residential energy use behaviour literature. The authors propose the use of a hybrid engineering approach using social psychology and economic behaviour models to overcome these challenges and realize the benefits of supply security and cost management.","container-title":"Renewable and Sustainable Energy Reviews","DOI":"10.1016/j.rser.2013.04.006","ISSN":"1364-0321","journalAbbreviation":"Renewable and Sustainable Energy Reviews","language":"en","page":"71-77","source":"ScienceDirect","title":"Residential peak electricity demand response—Highlights of some behavioural issues","volume":"25","author":[{"family":"Gyamfi","given":"Samuel"},{"family":"Krumdieck","given":"Susan"},{"family":"Urmee","given":"Tania"}],"issued":{"date-parts":[["2013",9,1]]},"citation-key":"gyamfiResidentialPeakElectricity2013"}},{"id":1776,"uris":["http://zotero.org/users/5659608/items/NJGKBU8T"],"itemData":{"id":1776,"type":"article-journal","abstract":"Demand response is increasing in popularity and many utilities are developing demand response programs. However, there exists many challenges to the deployment of demand response. One of the main barriers to widespread rollout is the uncertainty surrounding the value of demand response. In this regard, there is a real and pressing need to evaluate demand response if its full potential is to be realized. This paper presents a comprehensive review of the literature and identifies some of the key barriers to the deployment and the challenges to the evaluation of demand response and provides some recommendations on evaluation methodologies.","container-title":"Applied Energy","DOI":"10.1016/j.apenergy.2015.04.083","ISSN":"0306-2619","journalAbbreviation":"Applied Energy","language":"en","page":"1-10","source":"ScienceDirect","title":"Challenges and barriers to demand response deployment and evaluation","volume":"152","author":[{"family":"Nolan","given":"Sheila"},{"family":"O’Malley","given":"Mark"}],"issued":{"date-parts":[["2015",8,15]]},"citation-key":"nolanChallengesBarriersDemand2015"}},{"id":1779,"uris":["http://zotero.org/users/5659608/items/TN9JWAPH"],"itemData":{"id":1779,"type":"article-journal","abstract":"Demand for flexibility in electricity systems and the transition to the Smart Grid is increasing opportunities for demand response (DR). However, there are many barriers which prevent the full potential of DR being realised. Unlocking of this potential, through identification of DR enablers, can be aided through systematic classification and analysis of DR barriers. To this end, while previous works mostly focused on individual aspects, this paper develops a comprehensive ‘socio-techno-economic’ review, classification and analysis of DR barriers and enablers in a Smart Grid context. This provides an intellectual framework which may be used to underpin further work on the study and integration of DR. DR barriers are classified as either fundamental (i.e., relating to intrinsic human nature/essential enabling technology) or secondary (i.e., relating to anthropogenic institutions/or system feedbacks). Fundamental barriers are defined as economic, social or technological, whilst secondary barriers relate to political regulatory aspects, design of markets, physical (electrical network) issues, or to general understanding of DR. Subsequently, associated enablers for the defined barriers are suggested. Consideration of technical and commercial/social aspects for both power system and information and communication technology (the “internet of things”) domains provides a foundational contribution to improve understanding of DR within the Smart Grid paradigm. Finally, the complexity resulting from connections between various barriers, enablers and the energy system generally, and the existence of the signature characteristics of complex systems is acknowledged and implications discussed.","container-title":"Renewable and Sustainable Energy Reviews","DOI":"10.1016/j.rser.2017.01.043","ISSN":"1364-0321","journalAbbreviation":"Renewable and Sustainable Energy Reviews","language":"en","page":"57-72","source":"ScienceDirect","title":"Review and classification of barriers and enablers of demand response in the smart grid","volume":"72","author":[{"family":"Good","given":"Nicholas"},{"family":"Ellis","given":"Keith A."},{"family":"Mancarella","given":"Pierluigi"}],"issued":{"date-parts":[["2017",5,1]]},"citation-key":"goodReviewClassificationBarriers2017"}},{"id":1786,"uris":["http://zotero.org/users/5659608/items/FGAFT3BA"],"itemData":{"id":1786,"type":"article-journal","container-title":"Smart Grids and Their Communication Systems","note":"publisher: Springer","page":"255–279","title":"Demand response from residential consumers: potentials, barriers, and solutions","author":[{"family":"Safdarian","given":"Amir"},{"family":"Fotuhi-Firuzabad","given":"Mahmud"},{"family":"Lehtonen","given":"Matti"}],"issued":{"date-parts":[["2019"]]},"citation-key":"safdarianDemandResponseResidential2019"}},{"id":1774,"uris":["http://zotero.org/users/5659608/items/ZX7XZ56W"],"itemData":{"id":1774,"type":"article-journal","abstract":"Demand response is increasingly attracting policy attention. It involves changing electricity demand at different times based on grid conditions, which could help to integrate variable renewable generation and new electric loads associated with decarbonisation. Residential consumers could offer a substantial new source of demand-side flexibility. However, while there is considerable evidence that at least some residential users engage with at least some forms of demand response, there is also considerable variation in user engagement. Better understanding this variation could help to predict demand response potential, and to engage and protect consumers participating in demand response. Based on a systematic review of international demand response trials, programmes and surveys, we identify motivations for participation, and barriers and enablers to engagement including familiarity and trust, perceived risk and control, complexity and effort, and consumer characteristics and routines. We then discuss how these factors relate to the features of different demand response products and services. While the complexity of the evidence makes it difficult to draw unequivocal conclusions, the findings of this review could contribute to guide early efforts to deploy residential demand response more widely.","container-title":"Energy Policy","DOI":"10.1016/j.enpol.2019.111221","ISSN":"0301-4215","journalAbbreviation":"Energy Policy","language":"en","page":"111221","source":"ScienceDirect","title":"A systematic review of motivations, enablers and barriers for consumer engagement with residential demand response","volume":"138","author":[{"family":"Parrish","given":"Bryony"},{"family":"Heptonstall","given":"Phil"},{"family":"Gross","given":"Rob"},{"family":"Sovacool","given":"Benjamin K."}],"issued":{"date-parts":[["2020",3,1]]},"citation-key":"parrishSystematicReviewMotivations2020"}}],"schema":"https://github.com/citation-style-language/schema/raw/master/csl-citation.json"} </w:instrText>
      </w:r>
      <w:r w:rsidR="000F0DA4">
        <w:fldChar w:fldCharType="separate"/>
      </w:r>
      <w:r w:rsidR="00EB7B9B" w:rsidRPr="00EB7B9B">
        <w:rPr>
          <w:kern w:val="0"/>
          <w:szCs w:val="24"/>
        </w:rPr>
        <w:t>[28–32]</w:t>
      </w:r>
      <w:r w:rsidR="000F0DA4">
        <w:fldChar w:fldCharType="end"/>
      </w:r>
      <w:r w:rsidR="000F0DA4">
        <w:t>. In these studies, the</w:t>
      </w:r>
      <w:r w:rsidR="00B02E4D">
        <w:t xml:space="preserve"> </w:t>
      </w:r>
      <w:r w:rsidR="00F25F9C">
        <w:t xml:space="preserve">most frequently </w:t>
      </w:r>
      <w:r w:rsidR="00B02E4D">
        <w:t>mentioned</w:t>
      </w:r>
      <w:r w:rsidR="000F0DA4">
        <w:t xml:space="preserve"> barriers </w:t>
      </w:r>
      <w:r w:rsidR="00864F36">
        <w:t>to</w:t>
      </w:r>
      <w:r w:rsidR="000F0DA4">
        <w:t xml:space="preserve"> demand response deployment </w:t>
      </w:r>
      <w:r w:rsidR="00F25F9C">
        <w:t>in</w:t>
      </w:r>
      <w:r w:rsidR="000F0DA4">
        <w:t xml:space="preserve"> residential buildings are</w:t>
      </w:r>
      <w:r w:rsidR="003E0086">
        <w:t xml:space="preserve"> technology,</w:t>
      </w:r>
      <w:r w:rsidR="000F0DA4">
        <w:t xml:space="preserve"> high cost, operation complexity, and user consumption routine. </w:t>
      </w:r>
    </w:p>
    <w:p w14:paraId="0FC614A9" w14:textId="1463D28C" w:rsidR="00603F26" w:rsidRPr="00603F26" w:rsidRDefault="00603F26" w:rsidP="000B3A87">
      <w:pPr>
        <w:pStyle w:val="Heading4"/>
      </w:pPr>
      <w:bookmarkStart w:id="52" w:name="_Toc132122445"/>
      <w:bookmarkStart w:id="53" w:name="_Toc132122569"/>
      <w:bookmarkStart w:id="54" w:name="_Toc141991670"/>
      <w:r w:rsidRPr="00603F26">
        <w:rPr>
          <w:rFonts w:hint="eastAsia"/>
        </w:rPr>
        <w:t>T</w:t>
      </w:r>
      <w:r w:rsidRPr="00603F26">
        <w:t>echnology barriers</w:t>
      </w:r>
      <w:r w:rsidR="00BB2350">
        <w:t xml:space="preserve">: </w:t>
      </w:r>
      <w:r w:rsidR="004D54FD">
        <w:t>h</w:t>
      </w:r>
      <w:r w:rsidR="00BB2350" w:rsidRPr="00CF5BD7">
        <w:t>ardware</w:t>
      </w:r>
      <w:bookmarkEnd w:id="52"/>
      <w:bookmarkEnd w:id="53"/>
      <w:bookmarkEnd w:id="54"/>
    </w:p>
    <w:p w14:paraId="4DD04383" w14:textId="49786A47" w:rsidR="008A20C3" w:rsidRDefault="008B3818" w:rsidP="00603F26">
      <w:r>
        <w:t>The technology barriers refer</w:t>
      </w:r>
      <w:r w:rsidR="00F25F9C">
        <w:t xml:space="preserve"> </w:t>
      </w:r>
      <w:r w:rsidR="00056545">
        <w:t xml:space="preserve">to </w:t>
      </w:r>
      <w:r w:rsidR="002611E7">
        <w:t>insufficient</w:t>
      </w:r>
      <w:r w:rsidR="00F25F9C">
        <w:t xml:space="preserve"> hardware and software </w:t>
      </w:r>
      <w:r w:rsidR="00A30F5D">
        <w:t>in sensing, computing, and communication</w:t>
      </w:r>
      <w:r w:rsidR="00FB1D49">
        <w:t xml:space="preserve"> in demand side management. In</w:t>
      </w:r>
      <w:r w:rsidR="00EE0288">
        <w:t xml:space="preserve"> </w:t>
      </w:r>
      <w:r w:rsidR="00EE0288">
        <w:fldChar w:fldCharType="begin"/>
      </w:r>
      <w:r w:rsidR="005D48B2">
        <w:instrText xml:space="preserve"> ADDIN ZOTERO_ITEM CSL_CITATION {"citationID":"a1860rj7l17","properties":{"formattedCitation":"[30]","plainCitation":"[30]","noteIndex":0},"citationItems":[{"id":1779,"uris":["http://zotero.org/users/5659608/items/TN9JWAPH"],"itemData":{"id":1779,"type":"article-journal","abstract":"Demand for flexibility in electricity systems and the transition to the Smart Grid is increasing opportunities for demand response (DR). However, there are many barriers which prevent the full potential of DR being realised. Unlocking of this potential, through identification of DR enablers, can be aided through systematic classification and analysis of DR barriers. To this end, while previous works mostly focused on individual aspects, this paper develops a comprehensive ‘socio-techno-economic’ review, classification and analysis of DR barriers and enablers in a Smart Grid context. This provides an intellectual framework which may be used to underpin further work on the study and integration of DR. DR barriers are classified as either fundamental (i.e., relating to intrinsic human nature/essential enabling technology) or secondary (i.e., relating to anthropogenic institutions/or system feedbacks). Fundamental barriers are defined as economic, social or technological, whilst secondary barriers relate to political regulatory aspects, design of markets, physical (electrical network) issues, or to general understanding of DR. Subsequently, associated enablers for the defined barriers are suggested. Consideration of technical and commercial/social aspects for both power system and information and communication technology (the “internet of things”) domains provides a foundational contribution to improve understanding of DR within the Smart Grid paradigm. Finally, the complexity resulting from connections between various barriers, enablers and the energy system generally, and the existence of the signature characteristics of complex systems is acknowledged and implications discussed.","container-title":"Renewable and Sustainable Energy Reviews","DOI":"10.1016/j.rser.2017.01.043","ISSN":"1364-0321","journalAbbreviation":"Renewable and Sustainable Energy Reviews","language":"en","page":"57-72","source":"ScienceDirect","title":"Review and classification of barriers and enablers of demand response in the smart grid","volume":"72","author":[{"family":"Good","given":"Nicholas"},{"family":"Ellis","given":"Keith A."},{"family":"Mancarella","given":"Pierluigi"}],"issued":{"date-parts":[["2017",5,1]]},"citation-key":"goodReviewClassificationBarriers2017"}}],"schema":"https://github.com/citation-style-language/schema/raw/master/csl-citation.json"} </w:instrText>
      </w:r>
      <w:r w:rsidR="00EE0288">
        <w:fldChar w:fldCharType="separate"/>
      </w:r>
      <w:r w:rsidR="00EB7B9B" w:rsidRPr="00EB7B9B">
        <w:t>[30]</w:t>
      </w:r>
      <w:r w:rsidR="00EE0288">
        <w:fldChar w:fldCharType="end"/>
      </w:r>
      <w:r w:rsidR="00FB1D49">
        <w:t>, the authors</w:t>
      </w:r>
      <w:r w:rsidR="005632D3">
        <w:t xml:space="preserve"> pointed out that </w:t>
      </w:r>
      <w:r w:rsidR="00FB1D49">
        <w:t>the technology barrier</w:t>
      </w:r>
      <w:r w:rsidR="007314D7">
        <w:t xml:space="preserve">s are </w:t>
      </w:r>
      <w:r w:rsidR="00FB1D49">
        <w:t xml:space="preserve">the fundamental barrier </w:t>
      </w:r>
      <w:r w:rsidR="00EE0288">
        <w:t xml:space="preserve">due to </w:t>
      </w:r>
      <w:r w:rsidR="007314D7">
        <w:t>their</w:t>
      </w:r>
      <w:r w:rsidR="00EE0288">
        <w:t xml:space="preserve"> importance.</w:t>
      </w:r>
      <w:r>
        <w:t xml:space="preserve"> </w:t>
      </w:r>
      <w:r w:rsidR="001E0EBF">
        <w:t xml:space="preserve">The </w:t>
      </w:r>
      <w:r w:rsidR="008A20C3">
        <w:rPr>
          <w:rFonts w:hint="eastAsia"/>
        </w:rPr>
        <w:t>emer</w:t>
      </w:r>
      <w:r w:rsidR="008A20C3">
        <w:t xml:space="preserve">gency of </w:t>
      </w:r>
      <w:r w:rsidR="00056545">
        <w:t>the</w:t>
      </w:r>
      <w:r w:rsidR="008A20C3">
        <w:t xml:space="preserve"> </w:t>
      </w:r>
      <w:r w:rsidR="006C314D">
        <w:t>I</w:t>
      </w:r>
      <w:r w:rsidR="001E0EBF">
        <w:t>nternet of Things (IoT)</w:t>
      </w:r>
      <w:r w:rsidR="008A20C3">
        <w:t xml:space="preserve"> may serve as a promising hardware solution to overcome the technology barrier. Its rapid development and increasing penetration rate in the past few years have demonstrated its potential as well. </w:t>
      </w:r>
      <w:r w:rsidR="00A767F5">
        <w:t xml:space="preserve">As mentioned in Section </w:t>
      </w:r>
      <w:r w:rsidR="00A767F5">
        <w:fldChar w:fldCharType="begin"/>
      </w:r>
      <w:r w:rsidR="00A767F5">
        <w:instrText xml:space="preserve"> REF _Ref131518627 \n \h </w:instrText>
      </w:r>
      <w:r w:rsidR="00A767F5">
        <w:fldChar w:fldCharType="separate"/>
      </w:r>
      <w:r w:rsidR="000E1725">
        <w:t>1.2.3</w:t>
      </w:r>
      <w:r w:rsidR="00A767F5">
        <w:fldChar w:fldCharType="end"/>
      </w:r>
      <w:r w:rsidR="00A767F5">
        <w:t xml:space="preserve">, there are multiple </w:t>
      </w:r>
      <w:r w:rsidR="000215B4">
        <w:t xml:space="preserve">load-flexible </w:t>
      </w:r>
      <w:r w:rsidR="000D51B8">
        <w:t>resources</w:t>
      </w:r>
      <w:r w:rsidR="00A767F5">
        <w:t xml:space="preserve"> </w:t>
      </w:r>
      <w:r w:rsidR="001233A3">
        <w:t>and</w:t>
      </w:r>
      <w:r w:rsidR="00C2789F">
        <w:t xml:space="preserve"> </w:t>
      </w:r>
      <w:r w:rsidR="007327D2">
        <w:t>limitations</w:t>
      </w:r>
      <w:r w:rsidR="001233A3">
        <w:t xml:space="preserve"> </w:t>
      </w:r>
      <w:r w:rsidR="00056545">
        <w:t xml:space="preserve">that </w:t>
      </w:r>
      <w:r w:rsidR="001233A3">
        <w:t xml:space="preserve">need to be considered in demand side management, </w:t>
      </w:r>
      <w:r w:rsidR="00572B00">
        <w:t>the</w:t>
      </w:r>
      <w:r w:rsidR="00D63384">
        <w:t xml:space="preserve"> current </w:t>
      </w:r>
      <w:r w:rsidR="00C2789F">
        <w:t>hardware development in residential building</w:t>
      </w:r>
      <w:r w:rsidR="00056545">
        <w:t>s</w:t>
      </w:r>
      <w:r w:rsidR="00C2789F">
        <w:t xml:space="preserve"> will briefly </w:t>
      </w:r>
      <w:r w:rsidR="007327D2">
        <w:t>be introduced</w:t>
      </w:r>
      <w:r w:rsidR="00C2789F">
        <w:t xml:space="preserve"> in the rest of this section.</w:t>
      </w:r>
      <w:r w:rsidR="00B24D67">
        <w:t xml:space="preserve"> </w:t>
      </w:r>
    </w:p>
    <w:p w14:paraId="2AF2B8FB" w14:textId="6CB81758" w:rsidR="00603F26" w:rsidRDefault="008A20C3" w:rsidP="00603F26">
      <w:r>
        <w:t xml:space="preserve"> </w:t>
      </w:r>
      <w:r w:rsidR="00BB6532">
        <w:t>In the application of using passive thermal storage</w:t>
      </w:r>
      <w:r w:rsidR="00D15C5B">
        <w:t xml:space="preserve"> in residential </w:t>
      </w:r>
      <w:r w:rsidR="003765D0">
        <w:t>buildings</w:t>
      </w:r>
      <w:r w:rsidR="00603F26">
        <w:t xml:space="preserve">, </w:t>
      </w:r>
      <w:r w:rsidR="0082330A">
        <w:t xml:space="preserve">the role of the thermostat is </w:t>
      </w:r>
      <w:r w:rsidR="00573793">
        <w:t>crucial.</w:t>
      </w:r>
      <w:r w:rsidR="00603F26">
        <w:t xml:space="preserve"> </w:t>
      </w:r>
      <w:r w:rsidR="00573793">
        <w:t xml:space="preserve">It </w:t>
      </w:r>
      <w:r w:rsidR="00C94AB4">
        <w:t>not only</w:t>
      </w:r>
      <w:r w:rsidR="003765D0">
        <w:t xml:space="preserve"> serves as a temperature sensor but also </w:t>
      </w:r>
      <w:r w:rsidR="00573793">
        <w:t xml:space="preserve">provides control to the </w:t>
      </w:r>
      <w:r w:rsidR="003765D0">
        <w:t xml:space="preserve">HVAC system </w:t>
      </w:r>
      <w:r w:rsidR="00573793">
        <w:t>based</w:t>
      </w:r>
      <w:r w:rsidR="003765D0">
        <w:t xml:space="preserve"> on user-defined setpoints</w:t>
      </w:r>
      <w:r w:rsidR="00603F26">
        <w:t xml:space="preserve">, </w:t>
      </w:r>
      <w:r w:rsidR="003E656A">
        <w:t>thereby contributing significantly</w:t>
      </w:r>
      <w:r w:rsidR="003765D0">
        <w:t xml:space="preserve"> </w:t>
      </w:r>
      <w:r w:rsidR="003E656A">
        <w:t>to</w:t>
      </w:r>
      <w:r w:rsidR="003765D0">
        <w:t xml:space="preserve"> the energy management</w:t>
      </w:r>
      <w:r w:rsidR="007327D2">
        <w:t xml:space="preserve"> system</w:t>
      </w:r>
      <w:r w:rsidR="00603F26">
        <w:t xml:space="preserve">. </w:t>
      </w:r>
      <w:r w:rsidR="00FC09C1">
        <w:t>The p</w:t>
      </w:r>
      <w:r w:rsidR="00603F26">
        <w:t xml:space="preserve">rogrammable thermostat which allows the user to manually schedule a setpoint </w:t>
      </w:r>
      <w:r w:rsidR="00FC09C1">
        <w:t>at</w:t>
      </w:r>
      <w:r w:rsidR="00603F26">
        <w:t xml:space="preserve"> </w:t>
      </w:r>
      <w:r w:rsidR="00FC09C1">
        <w:t xml:space="preserve">a </w:t>
      </w:r>
      <w:r w:rsidR="00603F26">
        <w:t>different time of the day was developed and applied as early as 1906</w:t>
      </w:r>
      <w:r w:rsidR="005E0A53">
        <w:t xml:space="preserve"> </w:t>
      </w:r>
      <w:r w:rsidR="00603F26">
        <w:lastRenderedPageBreak/>
        <w:fldChar w:fldCharType="begin"/>
      </w:r>
      <w:r w:rsidR="005D48B2">
        <w:instrText xml:space="preserve"> ADDIN ZOTERO_ITEM CSL_CITATION {"citationID":"qsbUSPX4","properties":{"formattedCitation":"[33]","plainCitation":"[33]","noteIndex":0},"citationItems":[{"id":1756,"uris":["http://zotero.org/users/5659608/items/9IL8TRDF"],"itemData":{"id":1756,"type":"article-journal","container-title":"Lawrence Berkeley National Laboratory","title":"Residential thermostats: comfort controls in California Homes","volume":"7","author":[{"family":"Walker","given":"Iain S"},{"family":"Meier","given":"Alan K"}],"issued":{"date-parts":[["2008"]]},"citation-key":"walkerResidentialThermostatsComfort2008"}}],"schema":"https://github.com/citation-style-language/schema/raw/master/csl-citation.json"} </w:instrText>
      </w:r>
      <w:r w:rsidR="00603F26">
        <w:fldChar w:fldCharType="separate"/>
      </w:r>
      <w:r w:rsidR="00EB7B9B" w:rsidRPr="00EB7B9B">
        <w:t>[33]</w:t>
      </w:r>
      <w:r w:rsidR="00603F26">
        <w:fldChar w:fldCharType="end"/>
      </w:r>
      <w:r w:rsidR="00603F26">
        <w:t xml:space="preserve">. Although the programmable thermostat achieves up to 30% energy savings on </w:t>
      </w:r>
      <w:r w:rsidR="00603F26">
        <w:rPr>
          <w:rFonts w:hint="eastAsia"/>
        </w:rPr>
        <w:t>the</w:t>
      </w:r>
      <w:r w:rsidR="00603F26">
        <w:t xml:space="preserve"> HVAC system operation, many users misuse, override, and even abandon the programmable function due to the confusion caused by </w:t>
      </w:r>
      <w:r w:rsidR="00C77D02">
        <w:t>their</w:t>
      </w:r>
      <w:r w:rsidR="00603F26">
        <w:t xml:space="preserve"> </w:t>
      </w:r>
      <w:r w:rsidR="008146E3">
        <w:t>lack</w:t>
      </w:r>
      <w:r w:rsidR="00DA2978">
        <w:t>s</w:t>
      </w:r>
      <w:r w:rsidR="008146E3">
        <w:t xml:space="preserve"> of </w:t>
      </w:r>
      <w:r w:rsidR="00603F26">
        <w:t xml:space="preserve">user-friendliness </w:t>
      </w:r>
      <w:r w:rsidR="00C77D02">
        <w:t xml:space="preserve">interface and flexibility in </w:t>
      </w:r>
      <w:r w:rsidR="00AD1E4E">
        <w:t>schedule feature</w:t>
      </w:r>
      <w:r w:rsidR="00017BBB">
        <w:t xml:space="preserve"> </w:t>
      </w:r>
      <w:r w:rsidR="00603F26">
        <w:fldChar w:fldCharType="begin"/>
      </w:r>
      <w:r w:rsidR="005D48B2">
        <w:instrText xml:space="preserve"> ADDIN ZOTERO_ITEM CSL_CITATION {"citationID":"1lbf76ln","properties":{"formattedCitation":"[34]","plainCitation":"[34]","noteIndex":0},"citationItems":[{"id":1758,"uris":["http://zotero.org/users/5659608/items/66SNVLUQ"],"itemData":{"id":1758,"type":"report","publisher":"Energetics Inc., Washington, DC (United States); Vermont Energy Investment …","title":"Overview of existing and future residential use cases for connected thermostats","author":[{"family":"Rotondo","given":"Julia"},{"family":"Johnson","given":"Robert"},{"family":"Gonzales","given":"Nancy"},{"family":"Waranowski","given":"Alexandra"},{"family":"Badger","given":"Chris"},{"family":"Lange","given":"Nack"},{"family":"Goldman","given":"Ethan"},{"family":"Foster","given":"Rebecca"}],"issued":{"date-parts":[["2016"]]},"citation-key":"rotondoOverviewExistingFuture2016"}}],"schema":"https://github.com/citation-style-language/schema/raw/master/csl-citation.json"} </w:instrText>
      </w:r>
      <w:r w:rsidR="00603F26">
        <w:fldChar w:fldCharType="separate"/>
      </w:r>
      <w:r w:rsidR="00EB7B9B" w:rsidRPr="00EB7B9B">
        <w:t>[34]</w:t>
      </w:r>
      <w:r w:rsidR="00603F26">
        <w:fldChar w:fldCharType="end"/>
      </w:r>
      <w:r w:rsidR="00603F26">
        <w:t xml:space="preserve">. In </w:t>
      </w:r>
      <w:r w:rsidR="00603F26">
        <w:fldChar w:fldCharType="begin"/>
      </w:r>
      <w:r w:rsidR="005D48B2">
        <w:instrText xml:space="preserve"> ADDIN ZOTERO_ITEM CSL_CITATION {"citationID":"0AyfE2hr","properties":{"formattedCitation":"[34]","plainCitation":"[34]","noteIndex":0},"citationItems":[{"id":1758,"uris":["http://zotero.org/users/5659608/items/66SNVLUQ"],"itemData":{"id":1758,"type":"report","publisher":"Energetics Inc., Washington, DC (United States); Vermont Energy Investment …","title":"Overview of existing and future residential use cases for connected thermostats","author":[{"family":"Rotondo","given":"Julia"},{"family":"Johnson","given":"Robert"},{"family":"Gonzales","given":"Nancy"},{"family":"Waranowski","given":"Alexandra"},{"family":"Badger","given":"Chris"},{"family":"Lange","given":"Nack"},{"family":"Goldman","given":"Ethan"},{"family":"Foster","given":"Rebecca"}],"issued":{"date-parts":[["2016"]]},"citation-key":"rotondoOverviewExistingFuture2016"}}],"schema":"https://github.com/citation-style-language/schema/raw/master/csl-citation.json"} </w:instrText>
      </w:r>
      <w:r w:rsidR="00603F26">
        <w:fldChar w:fldCharType="separate"/>
      </w:r>
      <w:r w:rsidR="00EB7B9B" w:rsidRPr="00EB7B9B">
        <w:t>[34]</w:t>
      </w:r>
      <w:r w:rsidR="00603F26">
        <w:fldChar w:fldCharType="end"/>
      </w:r>
      <w:r w:rsidR="00603F26">
        <w:t xml:space="preserve">, the authors </w:t>
      </w:r>
      <w:r w:rsidR="00F35832">
        <w:t>emphasized</w:t>
      </w:r>
      <w:r w:rsidR="00603F26">
        <w:t xml:space="preserve"> the </w:t>
      </w:r>
      <w:r w:rsidR="00F35832">
        <w:t>need to develop</w:t>
      </w:r>
      <w:r w:rsidR="00603F26">
        <w:t xml:space="preserve"> connected thermostats (CT</w:t>
      </w:r>
      <w:r w:rsidR="00CF54B7">
        <w:t>s</w:t>
      </w:r>
      <w:r w:rsidR="00603F26">
        <w:t xml:space="preserve">), also called communicating thermostats. The </w:t>
      </w:r>
      <w:r w:rsidR="00CF54B7">
        <w:t>CT</w:t>
      </w:r>
      <w:r w:rsidR="00603F26">
        <w:t xml:space="preserve">s integrate advanced information and communication technologies to better serve the homeowners in the HVAC system control and build a data-rich solution for </w:t>
      </w:r>
      <w:r w:rsidR="003E0086">
        <w:t>future</w:t>
      </w:r>
      <w:r w:rsidR="00603F26">
        <w:t xml:space="preserve"> energy management opportunities. Smart thermostats </w:t>
      </w:r>
      <w:r w:rsidR="00603F26">
        <w:fldChar w:fldCharType="begin"/>
      </w:r>
      <w:r w:rsidR="005D48B2">
        <w:instrText xml:space="preserve"> ADDIN ZOTERO_ITEM CSL_CITATION {"citationID":"a2ike019rd2","properties":{"formattedCitation":"[35,36]","plainCitation":"[35,36]","noteIndex":0},"citationItems":[{"id":1761,"uris":["http://zotero.org/users/5659608/items/62QRVWV8"],"itemData":{"id":1761,"type":"webpage","abstract":"ecobee designs intelligent thermostats, cameras, and sensors that work better together to improve everyday life.","language":"en","title":"Smart Thermostats &amp; Smart Home Devices | ecobee","URL":"https://www.ecobee.com/en-us/","accessed":{"date-parts":[["2023",3,30]]},"citation-key":"SmartThermostatsSmart"}},{"id":1821,"uris":["http://zotero.org/users/5659608/items/5TKIFDLV"],"itemData":{"id":1821,"type":"webpage","title":"Nest Temperature Sensor - Google Store","URL":"https://store.google.com/product/nest_temperature_sensor?hl=en-US&amp;pli=1","accessed":{"date-parts":[["2023",4,7]]},"citation-key":"NestTemperatureSensor"}}],"schema":"https://github.com/citation-style-language/schema/raw/master/csl-citation.json"} </w:instrText>
      </w:r>
      <w:r w:rsidR="00603F26">
        <w:fldChar w:fldCharType="separate"/>
      </w:r>
      <w:r w:rsidR="00EB7B9B" w:rsidRPr="00EB7B9B">
        <w:t>[35,36]</w:t>
      </w:r>
      <w:r w:rsidR="00603F26">
        <w:fldChar w:fldCharType="end"/>
      </w:r>
      <w:r w:rsidR="00603F26">
        <w:t xml:space="preserve"> emerged in recent years </w:t>
      </w:r>
      <w:r w:rsidR="00F66441">
        <w:t>and are</w:t>
      </w:r>
      <w:r w:rsidR="00603F26">
        <w:t xml:space="preserve"> a prime example of CT.</w:t>
      </w:r>
      <w:r w:rsidR="007327D2">
        <w:t xml:space="preserve"> </w:t>
      </w:r>
      <w:r w:rsidR="00201B23">
        <w:t xml:space="preserve">Another technological innovation </w:t>
      </w:r>
      <w:r w:rsidR="004A33B0">
        <w:t>in</w:t>
      </w:r>
      <w:r w:rsidR="00201B23">
        <w:t xml:space="preserve"> smart thermostats </w:t>
      </w:r>
      <w:r w:rsidR="00F66441">
        <w:t>is</w:t>
      </w:r>
      <w:r w:rsidR="00381526">
        <w:t xml:space="preserve"> </w:t>
      </w:r>
      <w:r w:rsidR="00F66441">
        <w:t xml:space="preserve">the </w:t>
      </w:r>
      <w:r w:rsidR="004A33B0">
        <w:t>use</w:t>
      </w:r>
      <w:r w:rsidR="00381526">
        <w:t xml:space="preserve"> of node sensors</w:t>
      </w:r>
      <w:r w:rsidR="00BD3592">
        <w:t xml:space="preserve"> </w:t>
      </w:r>
      <w:r w:rsidR="00381526">
        <w:fldChar w:fldCharType="begin"/>
      </w:r>
      <w:r w:rsidR="005D48B2">
        <w:instrText xml:space="preserve"> ADDIN ZOTERO_ITEM CSL_CITATION {"citationID":"a25nbchorhe","properties":{"formattedCitation":"[35,36]","plainCitation":"[35,36]","noteIndex":0},"citationItems":[{"id":1761,"uris":["http://zotero.org/users/5659608/items/62QRVWV8"],"itemData":{"id":1761,"type":"webpage","abstract":"ecobee designs intelligent thermostats, cameras, and sensors that work better together to improve everyday life.","language":"en","title":"Smart Thermostats &amp; Smart Home Devices | ecobee","URL":"https://www.ecobee.com/en-us/","accessed":{"date-parts":[["2023",3,30]]},"citation-key":"SmartThermostatsSmart"}},{"id":1821,"uris":["http://zotero.org/users/5659608/items/5TKIFDLV"],"itemData":{"id":1821,"type":"webpage","title":"Nest Temperature Sensor - Google Store","URL":"https://store.google.com/product/nest_temperature_sensor?hl=en-US&amp;pli=1","accessed":{"date-parts":[["2023",4,7]]},"citation-key":"NestTemperatureSensor"}}],"schema":"https://github.com/citation-style-language/schema/raw/master/csl-citation.json"} </w:instrText>
      </w:r>
      <w:r w:rsidR="00381526">
        <w:fldChar w:fldCharType="separate"/>
      </w:r>
      <w:r w:rsidR="00EB7B9B" w:rsidRPr="00EB7B9B">
        <w:t>[35,36]</w:t>
      </w:r>
      <w:r w:rsidR="00381526">
        <w:fldChar w:fldCharType="end"/>
      </w:r>
      <w:r w:rsidR="00381526">
        <w:t>.</w:t>
      </w:r>
      <w:r w:rsidR="00BD3592">
        <w:t xml:space="preserve"> </w:t>
      </w:r>
      <w:r w:rsidR="003D129B">
        <w:t xml:space="preserve">The </w:t>
      </w:r>
      <w:r w:rsidR="001C0B1E">
        <w:t xml:space="preserve">primary </w:t>
      </w:r>
      <w:r w:rsidR="003D129B">
        <w:t>intention of developing the node sensors is to enhance the user’s thermal comfort: manufacturer</w:t>
      </w:r>
      <w:r w:rsidR="0099265D">
        <w:t>s</w:t>
      </w:r>
      <w:r w:rsidR="003D129B">
        <w:t xml:space="preserve"> </w:t>
      </w:r>
      <w:r w:rsidR="00ED572A">
        <w:t>want</w:t>
      </w:r>
      <w:r w:rsidR="001C5E34">
        <w:t xml:space="preserve"> the exact temperature setpoint </w:t>
      </w:r>
      <w:r w:rsidR="00675423">
        <w:t>to be</w:t>
      </w:r>
      <w:r w:rsidR="001C5E34">
        <w:t xml:space="preserve"> maintained at </w:t>
      </w:r>
      <w:r w:rsidR="00433245">
        <w:t>a</w:t>
      </w:r>
      <w:r w:rsidR="001C5E34">
        <w:t xml:space="preserve"> </w:t>
      </w:r>
      <w:r w:rsidR="00675423">
        <w:t>certain</w:t>
      </w:r>
      <w:r w:rsidR="001C5E34">
        <w:t xml:space="preserve"> room</w:t>
      </w:r>
      <w:r w:rsidR="00A41D9F">
        <w:t xml:space="preserve"> when it is</w:t>
      </w:r>
      <w:r w:rsidR="001C5E34">
        <w:t xml:space="preserve"> </w:t>
      </w:r>
      <w:r w:rsidR="007100D4">
        <w:t xml:space="preserve">detected </w:t>
      </w:r>
      <w:r w:rsidR="001C5E34">
        <w:t>occupied</w:t>
      </w:r>
      <w:r w:rsidR="00675423">
        <w:t xml:space="preserve">. </w:t>
      </w:r>
      <w:r w:rsidR="00870B09">
        <w:t xml:space="preserve">Therefore, such node sensors </w:t>
      </w:r>
      <w:r w:rsidR="001C5D8F">
        <w:t>usually</w:t>
      </w:r>
      <w:r w:rsidR="00870B09">
        <w:t xml:space="preserve"> include </w:t>
      </w:r>
      <w:r w:rsidR="00EC37A3">
        <w:t>both</w:t>
      </w:r>
      <w:r w:rsidR="00870B09">
        <w:t xml:space="preserve"> occupancy sensor</w:t>
      </w:r>
      <w:r w:rsidR="00F66441">
        <w:t>s</w:t>
      </w:r>
      <w:r w:rsidR="003C726A">
        <w:t xml:space="preserve"> (to detect if a specific room is occupied)</w:t>
      </w:r>
      <w:r w:rsidR="00870B09">
        <w:t xml:space="preserve"> and temperature sensor</w:t>
      </w:r>
      <w:r w:rsidR="00F66441">
        <w:t>s</w:t>
      </w:r>
      <w:r w:rsidR="003C726A">
        <w:t xml:space="preserve"> (to sense the temperature inside specific room)</w:t>
      </w:r>
      <w:r w:rsidR="00EC37A3">
        <w:t xml:space="preserve">. </w:t>
      </w:r>
      <w:r w:rsidR="00870B09">
        <w:t>However,</w:t>
      </w:r>
      <w:r w:rsidR="00A41D9F">
        <w:t xml:space="preserve"> different </w:t>
      </w:r>
      <w:r w:rsidR="00F66441">
        <w:t>in</w:t>
      </w:r>
      <w:r w:rsidR="00A41D9F">
        <w:t xml:space="preserve"> the commercial building, there </w:t>
      </w:r>
      <w:r w:rsidR="00433245">
        <w:t>are</w:t>
      </w:r>
      <w:r w:rsidR="00A41D9F">
        <w:t xml:space="preserve"> n</w:t>
      </w:r>
      <w:r w:rsidR="005845D2">
        <w:t>o t</w:t>
      </w:r>
      <w:r w:rsidR="00A41D9F">
        <w:t>erminal box</w:t>
      </w:r>
      <w:r w:rsidR="005845D2">
        <w:t>es</w:t>
      </w:r>
      <w:r w:rsidR="00A41D9F">
        <w:t xml:space="preserve"> to control</w:t>
      </w:r>
      <w:r w:rsidR="005845D2">
        <w:t xml:space="preserve"> </w:t>
      </w:r>
      <w:r w:rsidR="00C77694">
        <w:t>the</w:t>
      </w:r>
      <w:r w:rsidR="005820D0">
        <w:t xml:space="preserve"> amount</w:t>
      </w:r>
      <w:r w:rsidR="00C77694">
        <w:t xml:space="preserve"> of</w:t>
      </w:r>
      <w:r w:rsidR="005845D2">
        <w:t xml:space="preserve"> cooled or heated air</w:t>
      </w:r>
      <w:r w:rsidR="00433245">
        <w:t xml:space="preserve"> delivered in each zone</w:t>
      </w:r>
      <w:r w:rsidR="001C5D8F">
        <w:t xml:space="preserve"> (room)</w:t>
      </w:r>
      <w:r w:rsidR="00433245">
        <w:t xml:space="preserve"> in residential buildings. </w:t>
      </w:r>
      <w:r w:rsidR="005820D0">
        <w:t>Using</w:t>
      </w:r>
      <w:r w:rsidR="007932E7">
        <w:t xml:space="preserve"> the node sensor to maintain the temperature in one room</w:t>
      </w:r>
      <w:r w:rsidR="00640AFF">
        <w:t xml:space="preserve"> may </w:t>
      </w:r>
      <w:r w:rsidR="0001634C">
        <w:t>lead to</w:t>
      </w:r>
      <w:r w:rsidR="00640AFF">
        <w:t xml:space="preserve"> thermal comfort loss in other rooms, or </w:t>
      </w:r>
      <w:r w:rsidR="003E7D94">
        <w:t>an</w:t>
      </w:r>
      <w:r w:rsidR="00640AFF">
        <w:t xml:space="preserve"> overall energy waste.</w:t>
      </w:r>
      <w:r w:rsidR="00D9086D">
        <w:t xml:space="preserve"> </w:t>
      </w:r>
      <w:r w:rsidR="00640AFF">
        <w:t xml:space="preserve">Besides, due to </w:t>
      </w:r>
      <w:r w:rsidR="002F6DF4">
        <w:t xml:space="preserve">the concerns regarding the technology and information </w:t>
      </w:r>
      <w:r w:rsidR="00E273E6">
        <w:t>security,</w:t>
      </w:r>
      <w:r w:rsidR="00640AFF">
        <w:t xml:space="preserve"> the occupancy sensor</w:t>
      </w:r>
      <w:r w:rsidR="004B7A18">
        <w:t xml:space="preserve"> inside the thermostat</w:t>
      </w:r>
      <w:r w:rsidR="00640AFF">
        <w:t xml:space="preserve"> has no head count feature</w:t>
      </w:r>
      <w:r w:rsidR="002F6DF4">
        <w:t xml:space="preserve"> yet, </w:t>
      </w:r>
      <w:r w:rsidR="003E7D94">
        <w:t>making it</w:t>
      </w:r>
      <w:r w:rsidR="00E273E6">
        <w:t xml:space="preserve"> </w:t>
      </w:r>
      <w:r w:rsidR="003E7D94">
        <w:t>difficult</w:t>
      </w:r>
      <w:r w:rsidR="00E273E6">
        <w:t xml:space="preserve"> </w:t>
      </w:r>
      <w:r w:rsidR="00C407DF">
        <w:t>to</w:t>
      </w:r>
      <w:r w:rsidR="00E273E6">
        <w:t xml:space="preserve"> further </w:t>
      </w:r>
      <w:r w:rsidR="003E7D94">
        <w:t xml:space="preserve">improve thermal </w:t>
      </w:r>
      <w:r w:rsidR="00E273E6">
        <w:t xml:space="preserve">comfort. </w:t>
      </w:r>
    </w:p>
    <w:p w14:paraId="53539262" w14:textId="17AA0578" w:rsidR="0018154B" w:rsidRDefault="001469DD" w:rsidP="00603F26">
      <w:r>
        <w:t>Although</w:t>
      </w:r>
      <w:r w:rsidR="0018154B">
        <w:t xml:space="preserve"> not spreading as rapidly as smart thermostats,</w:t>
      </w:r>
      <w:r>
        <w:t xml:space="preserve"> one of the most common active </w:t>
      </w:r>
      <w:r>
        <w:lastRenderedPageBreak/>
        <w:t>thermal storage,</w:t>
      </w:r>
      <w:r w:rsidR="0018154B">
        <w:t xml:space="preserve"> smart water heaters</w:t>
      </w:r>
      <w:r>
        <w:softHyphen/>
        <w:t>—</w:t>
      </w:r>
      <w:r w:rsidR="0018154B">
        <w:t xml:space="preserve">particularly those water heaters that </w:t>
      </w:r>
      <w:r w:rsidR="00847C1A">
        <w:t>can interact</w:t>
      </w:r>
      <w:r w:rsidR="0018154B">
        <w:t xml:space="preserve"> with the grid</w:t>
      </w:r>
      <w:r>
        <w:softHyphen/>
        <w:t>—</w:t>
      </w:r>
      <w:r w:rsidR="0018154B">
        <w:t>are starting to appear. For example, water heaters equipped with CT-2045 protocol, which refers to a physical socket add-on for appliances, are starting to emerge</w:t>
      </w:r>
      <w:r w:rsidR="007D7001">
        <w:t xml:space="preserve"> and</w:t>
      </w:r>
      <w:r w:rsidR="0018154B">
        <w:t xml:space="preserve"> are being heavily promoted in Washington, Oregon</w:t>
      </w:r>
      <w:r w:rsidR="00FC09C1">
        <w:t>,</w:t>
      </w:r>
      <w:r w:rsidR="0018154B">
        <w:t xml:space="preserve"> and California </w:t>
      </w:r>
      <w:r w:rsidR="0018154B">
        <w:fldChar w:fldCharType="begin"/>
      </w:r>
      <w:r w:rsidR="005D48B2">
        <w:instrText xml:space="preserve"> ADDIN ZOTERO_ITEM CSL_CITATION {"citationID":"q8a9na4h","properties":{"formattedCitation":"[37]","plainCitation":"[37]","noteIndex":0},"citationItems":[{"id":1763,"uris":["http://zotero.org/users/5659608/items/VV59QGBF"],"itemData":{"id":1763,"type":"article-journal","container-title":"Current Sustainable/Renewable Energy Reports","note":"publisher: Springer","page":"107–113","title":"Increasing the number of installed residential heat pump water heaters in the USA through improved technology and utility programs","volume":"8","author":[{"family":"Sparn","given":"Bethany"},{"family":"Maguire","given":"Jeff"}],"issued":{"date-parts":[["2021"]]},"citation-key":"sparnIncreasingNumberInstalled2021"}}],"schema":"https://github.com/citation-style-language/schema/raw/master/csl-citation.json"} </w:instrText>
      </w:r>
      <w:r w:rsidR="0018154B">
        <w:fldChar w:fldCharType="separate"/>
      </w:r>
      <w:r w:rsidR="00EB7B9B" w:rsidRPr="00EB7B9B">
        <w:t>[37]</w:t>
      </w:r>
      <w:r w:rsidR="0018154B">
        <w:fldChar w:fldCharType="end"/>
      </w:r>
      <w:r w:rsidR="0018154B">
        <w:t>.</w:t>
      </w:r>
      <w:r w:rsidR="00282256">
        <w:rPr>
          <w:rFonts w:hint="eastAsia"/>
        </w:rPr>
        <w:t xml:space="preserve"> </w:t>
      </w:r>
      <w:r w:rsidR="005856BB">
        <w:t>With</w:t>
      </w:r>
      <w:r w:rsidR="00282256">
        <w:t xml:space="preserve"> CT-2045, the </w:t>
      </w:r>
      <w:r w:rsidR="005856BB">
        <w:t>user can directly change the setpoint of the water heater</w:t>
      </w:r>
      <w:r w:rsidR="00BC7D40">
        <w:t xml:space="preserve">. </w:t>
      </w:r>
      <w:r w:rsidR="005F352D">
        <w:t xml:space="preserve">Moreover, water usage can directly influence a home’s energy consumption, particularly when hot water is used. However, current “smart” capability primarily focus on detecting water leakage </w:t>
      </w:r>
      <w:r w:rsidR="005F352D">
        <w:fldChar w:fldCharType="begin"/>
      </w:r>
      <w:r w:rsidR="005D48B2">
        <w:instrText xml:space="preserve"> ADDIN ZOTERO_ITEM CSL_CITATION {"citationID":"a1754k925bh","properties":{"formattedCitation":"[38]","plainCitation":"[38]","noteIndex":0},"citationItems":[{"id":1822,"uris":["http://zotero.org/users/5659608/items/6UA36LA7"],"itemData":{"id":1822,"type":"webpage","abstract":"Take control of your water usage with the Flume 2 Smart Home Water Monitor. Save money on your water bill and detect water leaks fast. Installs in minutes.","container-title":"Flume","language":"en-US","title":"Monitor Your Water Use | Stop Leaks Fast | Flume 2 Smart Water Monitor","URL":"https://flumewater.com/product/","accessed":{"date-parts":[["2023",4,7]]},"citation-key":"MonitorYourWater"}}],"schema":"https://github.com/citation-style-language/schema/raw/master/csl-citation.json"} </w:instrText>
      </w:r>
      <w:r w:rsidR="005F352D">
        <w:fldChar w:fldCharType="separate"/>
      </w:r>
      <w:r w:rsidR="005F352D" w:rsidRPr="00EB7B9B">
        <w:t>[38]</w:t>
      </w:r>
      <w:r w:rsidR="005F352D">
        <w:fldChar w:fldCharType="end"/>
      </w:r>
      <w:r w:rsidR="005F352D">
        <w:t>, with only a few focus on</w:t>
      </w:r>
      <w:r w:rsidR="00A42257">
        <w:t xml:space="preserve"> implementing functionality to learn water usage patterns.</w:t>
      </w:r>
      <w:r w:rsidR="00A6477E">
        <w:t xml:space="preserve"> </w:t>
      </w:r>
    </w:p>
    <w:p w14:paraId="493DD195" w14:textId="2BB71C78" w:rsidR="001A2F1C" w:rsidRDefault="00456E7A" w:rsidP="00E83F0D">
      <w:r>
        <w:t xml:space="preserve">Although </w:t>
      </w:r>
      <w:r w:rsidR="0093162E">
        <w:t>it is relatively straightforward for users to adjust non-thermal appliances (</w:t>
      </w:r>
      <w:r w:rsidR="0025209B">
        <w:t xml:space="preserve">the appliances that are not thermostatically controlled), such as manually postponing the use time of a dishwasher, there are two primary limitations to this approach. First, manual operations cannot be promptly response to grid signals. Second, </w:t>
      </w:r>
      <w:r w:rsidR="0063050D">
        <w:t xml:space="preserve">manual operation may only </w:t>
      </w:r>
      <w:r w:rsidR="00E83F0D">
        <w:t>allow</w:t>
      </w:r>
      <w:r w:rsidR="0063050D">
        <w:t xml:space="preserve"> for simple start/stop operation, rather than </w:t>
      </w:r>
      <w:r w:rsidR="00E83F0D">
        <w:t>optimal</w:t>
      </w:r>
      <w:r w:rsidR="0063050D">
        <w:t xml:space="preserve"> control. As such, an </w:t>
      </w:r>
      <w:r w:rsidR="000C17A0">
        <w:t xml:space="preserve">optimal </w:t>
      </w:r>
      <w:r w:rsidR="0063050D">
        <w:t xml:space="preserve">intelligent control </w:t>
      </w:r>
      <w:r w:rsidR="000C17A0">
        <w:t>through energy management system still holds great potential</w:t>
      </w:r>
      <w:r w:rsidR="00C730A1">
        <w:t xml:space="preserve"> on demand management</w:t>
      </w:r>
      <w:r w:rsidR="000C17A0">
        <w:t xml:space="preserve">. On the other hand, the smart </w:t>
      </w:r>
      <w:r w:rsidR="001424CF">
        <w:t>features</w:t>
      </w:r>
      <w:r w:rsidR="000C17A0">
        <w:t xml:space="preserve"> in current smart appliances mainly reply on the </w:t>
      </w:r>
      <w:r w:rsidR="00E83F0D">
        <w:t xml:space="preserve">monitor rather than control. Given the unique functionalities and cycles of each non-thermal appliances, optimal energy management may require more sophisticated technologies, which leave more room on the development of advanced communication and control protocols. </w:t>
      </w:r>
    </w:p>
    <w:p w14:paraId="2298D80E" w14:textId="2941B9AF" w:rsidR="003B4889" w:rsidRDefault="00746A93" w:rsidP="003B4889">
      <w:r>
        <w:t>Distributed energy resources, such as photovoltaic panels (PV), are being</w:t>
      </w:r>
      <w:r w:rsidR="00960687">
        <w:t xml:space="preserve"> increasingly</w:t>
      </w:r>
      <w:r>
        <w:t xml:space="preserve"> installed in residential buildings. </w:t>
      </w:r>
      <w:r w:rsidR="0097582B">
        <w:rPr>
          <w:rFonts w:hint="eastAsia"/>
        </w:rPr>
        <w:t>Due</w:t>
      </w:r>
      <w:r w:rsidR="0097582B">
        <w:t xml:space="preserve"> to its environmental impact, many states provide policy </w:t>
      </w:r>
      <w:r w:rsidR="0097582B">
        <w:lastRenderedPageBreak/>
        <w:t xml:space="preserve">support, such as net </w:t>
      </w:r>
      <w:r w:rsidR="004237A7">
        <w:t>metering</w:t>
      </w:r>
      <w:r w:rsidR="008B4E2D">
        <w:t xml:space="preserve"> </w:t>
      </w:r>
      <w:r w:rsidR="004237A7">
        <w:fldChar w:fldCharType="begin"/>
      </w:r>
      <w:r w:rsidR="005D48B2">
        <w:instrText xml:space="preserve"> ADDIN ZOTERO_ITEM CSL_CITATION {"citationID":"a2kaccvrfsr","properties":{"formattedCitation":"[39]","plainCitation":"[39]","noteIndex":0},"citationItems":[{"id":1855,"uris":["http://zotero.org/users/5659608/items/4ATSSI3F"],"itemData":{"id":1855,"type":"report","publisher":"National Renewable Energy Lab.(NREL), Golden, CO (United States)","title":"Strategic sequencing for state distributed PV policies: A quantitative analysis of policy impacts and interactions","author":[{"family":"Doris","given":"E"},{"family":"Krasko","given":"VA"}],"issued":{"date-parts":[["2012"]]},"citation-key":"dorisStrategicSequencingState2012"}}],"schema":"https://github.com/citation-style-language/schema/raw/master/csl-citation.json"} </w:instrText>
      </w:r>
      <w:r w:rsidR="004237A7">
        <w:fldChar w:fldCharType="separate"/>
      </w:r>
      <w:r w:rsidR="00B10A4D" w:rsidRPr="00B10A4D">
        <w:rPr>
          <w:kern w:val="0"/>
          <w:szCs w:val="24"/>
        </w:rPr>
        <w:t>[39]</w:t>
      </w:r>
      <w:r w:rsidR="004237A7">
        <w:fldChar w:fldCharType="end"/>
      </w:r>
      <w:r w:rsidR="0097582B">
        <w:t xml:space="preserve">. </w:t>
      </w:r>
      <w:r w:rsidR="003B4889">
        <w:t xml:space="preserve">A recent national lab report shows the PV system’s cost in </w:t>
      </w:r>
      <w:r w:rsidR="00F66441">
        <w:t xml:space="preserve">the </w:t>
      </w:r>
      <w:r w:rsidR="003B4889">
        <w:t>residential building has dropped from $7.53</w:t>
      </w:r>
      <m:oMath>
        <m:r>
          <m:rPr>
            <m:lit/>
            <m:sty m:val="p"/>
          </m:rPr>
          <w:rPr>
            <w:rFonts w:ascii="Cambria Math" w:hAnsi="Cambria Math"/>
          </w:rPr>
          <m:t>/</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DC</m:t>
            </m:r>
          </m:sub>
        </m:sSub>
      </m:oMath>
      <w:r w:rsidR="003B4889">
        <w:rPr>
          <w:rFonts w:hint="eastAsia"/>
        </w:rPr>
        <w:t xml:space="preserve"> </w:t>
      </w:r>
      <w:r w:rsidR="003B4889">
        <w:t>in 2010 to $2.71</w:t>
      </w:r>
      <m:oMath>
        <m:r>
          <m:rPr>
            <m:lit/>
            <m:sty m:val="p"/>
          </m:rPr>
          <w:rPr>
            <w:rFonts w:ascii="Cambria Math" w:hAnsi="Cambria Math"/>
          </w:rPr>
          <m:t>/</m:t>
        </m:r>
        <m:sSub>
          <m:sSubPr>
            <m:ctrlPr>
              <w:rPr>
                <w:rFonts w:ascii="Cambria Math" w:hAnsi="Cambria Math"/>
                <w:iCs/>
              </w:rPr>
            </m:ctrlPr>
          </m:sSubPr>
          <m:e>
            <m:r>
              <m:rPr>
                <m:sty m:val="p"/>
              </m:rPr>
              <w:rPr>
                <w:rFonts w:ascii="Cambria Math" w:hAnsi="Cambria Math" w:cs="Cambria Math"/>
              </w:rPr>
              <m:t>W</m:t>
            </m:r>
          </m:e>
          <m:sub>
            <m:r>
              <m:rPr>
                <m:sty m:val="p"/>
              </m:rPr>
              <w:rPr>
                <w:rFonts w:ascii="Cambria Math" w:hAnsi="Cambria Math" w:cs="Cambria Math"/>
              </w:rPr>
              <m:t>DC</m:t>
            </m:r>
          </m:sub>
        </m:sSub>
      </m:oMath>
      <w:r w:rsidR="003B4889">
        <w:t xml:space="preserve"> in 2020 </w:t>
      </w:r>
      <w:r w:rsidR="003B4889">
        <w:fldChar w:fldCharType="begin"/>
      </w:r>
      <w:r w:rsidR="005D48B2">
        <w:instrText xml:space="preserve"> ADDIN ZOTERO_ITEM CSL_CITATION {"citationID":"ibM9Rtci","properties":{"formattedCitation":"[40]","plainCitation":"[40]","noteIndex":0},"citationItems":[{"id":1567,"uris":["http://zotero.org/users/5659608/items/6GKUCIRY"],"itemData":{"id":1567,"type":"report","note":"Citation Key: feldman2021us","publisher":"National Renewable Energy Lab.(NREL), Golden, CO (United States)","title":"US solar photovoltaic system and energy storage cost benchmark (Q1 2020)","author":[{"family":"Feldman","given":"David"},{"family":"Ramasamy","given":"Vignesh"},{"family":"Fu","given":"Ran"},{"family":"Ramdas","given":"Ashwin"},{"family":"Desai","given":"Jal"},{"family":"Margolis","given":"Robert"}],"issued":{"date-parts":[["2021"]]},"citation-key":"feldman2021us"}}],"schema":"https://github.com/citation-style-language/schema/raw/master/csl-citation.json"} </w:instrText>
      </w:r>
      <w:r w:rsidR="003B4889">
        <w:fldChar w:fldCharType="separate"/>
      </w:r>
      <w:r w:rsidR="00B10A4D" w:rsidRPr="00B10A4D">
        <w:t>[40]</w:t>
      </w:r>
      <w:r w:rsidR="003B4889">
        <w:fldChar w:fldCharType="end"/>
      </w:r>
      <w:r w:rsidR="003B4889">
        <w:t xml:space="preserve">. </w:t>
      </w:r>
      <w:r w:rsidR="003B4889">
        <w:rPr>
          <w:rFonts w:hint="eastAsia"/>
        </w:rPr>
        <w:t>The</w:t>
      </w:r>
      <w:r w:rsidR="003B4889">
        <w:t xml:space="preserve"> major </w:t>
      </w:r>
      <w:r w:rsidR="00133468">
        <w:t xml:space="preserve">price </w:t>
      </w:r>
      <w:r w:rsidR="003B4889">
        <w:t xml:space="preserve">drop </w:t>
      </w:r>
      <w:r w:rsidR="00F66441">
        <w:t>in</w:t>
      </w:r>
      <w:r w:rsidR="003B4889">
        <w:t xml:space="preserve"> the PV system comes from the hardware cost, but the authors also mentioned that the improvement of module efficiency </w:t>
      </w:r>
      <w:r w:rsidR="00A92486">
        <w:t>reduces</w:t>
      </w:r>
      <w:r w:rsidR="003B4889">
        <w:t xml:space="preserve"> the number of modules required in a single house, which helps to reduce the installation and labor cost</w:t>
      </w:r>
      <w:r w:rsidR="00F66441">
        <w:t>s</w:t>
      </w:r>
      <w:r w:rsidR="003B4889">
        <w:t>.</w:t>
      </w:r>
      <w:r w:rsidR="008F7166">
        <w:t xml:space="preserve"> </w:t>
      </w:r>
    </w:p>
    <w:p w14:paraId="60184C89" w14:textId="574F91B0" w:rsidR="00AA6CEF" w:rsidRDefault="00D40E48" w:rsidP="003B4889">
      <w:r>
        <w:t>Several manufacturers ha</w:t>
      </w:r>
      <w:r w:rsidR="00F66441">
        <w:t>ve</w:t>
      </w:r>
      <w:r>
        <w:t xml:space="preserve"> developed the batteries system that </w:t>
      </w:r>
      <w:r w:rsidR="00F66441">
        <w:t xml:space="preserve">is </w:t>
      </w:r>
      <w:r>
        <w:t xml:space="preserve">connected </w:t>
      </w:r>
      <w:r w:rsidR="00981E85">
        <w:rPr>
          <w:rFonts w:hint="eastAsia"/>
        </w:rPr>
        <w:t>to</w:t>
      </w:r>
      <w:r w:rsidR="00981E85">
        <w:t xml:space="preserve"> </w:t>
      </w:r>
      <w:r w:rsidR="00981E85">
        <w:rPr>
          <w:rFonts w:hint="eastAsia"/>
        </w:rPr>
        <w:t>PV</w:t>
      </w:r>
      <w:r>
        <w:t xml:space="preserve"> for residential buildings</w:t>
      </w:r>
      <w:r w:rsidR="00147BBA">
        <w:t xml:space="preserve"> </w:t>
      </w:r>
      <w:r>
        <w:fldChar w:fldCharType="begin"/>
      </w:r>
      <w:r w:rsidR="005D48B2">
        <w:instrText xml:space="preserve"> ADDIN ZOTERO_ITEM CSL_CITATION {"citationID":"a1uol2ufdp2","properties":{"formattedCitation":"[41\\uc0\\u8211{}43]","plainCitation":"[41–43]","noteIndex":0},"citationItems":[{"id":1825,"uris":["http://zotero.org/users/5659608/items/PU9XLU8R"],"itemData":{"id":1825,"type":"webpage","abstract":"Powerwall is a home battery designed to store energy from solar or the grid, so you can use it anytime you want—at night or during an outage.","container-title":"Tesla","language":"en","title":"Powerwall","URL":"https://www.tesla.com/powerwall","accessed":{"date-parts":[["2023",4,7]]},"citation-key":"Powerwall"}},{"id":1826,"uris":["http://zotero.org/users/5659608/items/U5M5HRGM"],"itemData":{"id":1826,"type":"webpage","abstract":"website","language":"en-US","title":"Powering your home, your business, your world.","URL":"https://www.generac.com","author":[{"family":"Inc","given":"Generac Power Systems"}],"accessed":{"date-parts":[["2023",4,7]]},"citation-key":"incPoweringYourHome"}},{"id":1828,"uris":["http://zotero.org/users/5659608/items/N7VN7KHU"],"itemData":{"id":1828,"type":"webpage","abstract":"Enphase IQ Battery 10T is comprised of three base IQ Battery 3T storage units, has a total usable energy capacity of 10.08 kWh.","language":"en","title":"Encharge 10, all-in-one solar battery for your solar energy storage needs | Enphase Storage","URL":"https://enphase.com/store/storage/iq-battery-10t","accessed":{"date-parts":[["2023",4,7]]},"citation-key":"Encharge10Allinone"}}],"schema":"https://github.com/citation-style-language/schema/raw/master/csl-citation.json"} </w:instrText>
      </w:r>
      <w:r>
        <w:fldChar w:fldCharType="separate"/>
      </w:r>
      <w:r w:rsidR="00B10A4D" w:rsidRPr="00B10A4D">
        <w:rPr>
          <w:kern w:val="0"/>
          <w:szCs w:val="24"/>
        </w:rPr>
        <w:t>[41–43]</w:t>
      </w:r>
      <w:r>
        <w:fldChar w:fldCharType="end"/>
      </w:r>
      <w:r>
        <w:t>.</w:t>
      </w:r>
      <w:r w:rsidR="009D7903">
        <w:t xml:space="preserve"> </w:t>
      </w:r>
      <w:r w:rsidR="00536EE6">
        <w:t>Compar</w:t>
      </w:r>
      <w:r w:rsidR="00864F36">
        <w:t>ed</w:t>
      </w:r>
      <w:r w:rsidR="00536EE6">
        <w:t xml:space="preserve"> with</w:t>
      </w:r>
      <w:r w:rsidR="00864F36">
        <w:t xml:space="preserve"> the </w:t>
      </w:r>
      <w:r w:rsidR="00536EE6">
        <w:t>lead-acid battery,</w:t>
      </w:r>
      <w:r w:rsidR="00864F36">
        <w:t xml:space="preserve"> the</w:t>
      </w:r>
      <w:r w:rsidR="00536EE6">
        <w:t xml:space="preserve"> sodium sulp</w:t>
      </w:r>
      <w:r w:rsidR="00866FA3">
        <w:t>hu</w:t>
      </w:r>
      <w:r w:rsidR="00536EE6">
        <w:t>r battery</w:t>
      </w:r>
      <w:r w:rsidR="00864F36">
        <w:t>,</w:t>
      </w:r>
      <w:r w:rsidR="00536EE6">
        <w:t xml:space="preserve"> and </w:t>
      </w:r>
      <w:r w:rsidR="00864F36">
        <w:t xml:space="preserve">the </w:t>
      </w:r>
      <w:r w:rsidR="00536EE6">
        <w:t>vanadium redox battery</w:t>
      </w:r>
      <w:r w:rsidR="00E81934">
        <w:t xml:space="preserve">, it is reported that lithium-ion (Li-ion) batteries </w:t>
      </w:r>
      <w:r w:rsidR="00F66441">
        <w:t>are</w:t>
      </w:r>
      <w:r w:rsidR="00E81934">
        <w:t xml:space="preserve"> the most </w:t>
      </w:r>
      <w:r w:rsidR="003B74FE">
        <w:t>promising solution for smart home appliances</w:t>
      </w:r>
      <w:r w:rsidR="00017BBB">
        <w:t xml:space="preserve"> </w:t>
      </w:r>
      <w:r w:rsidR="002F3D97">
        <w:fldChar w:fldCharType="begin"/>
      </w:r>
      <w:r w:rsidR="005D48B2">
        <w:instrText xml:space="preserve"> ADDIN ZOTERO_ITEM CSL_CITATION {"citationID":"a2k20g8c86h","properties":{"formattedCitation":"[22]","plainCitation":"[22]","noteIndex":0},"citationItems":[{"id":1634,"uris":["http://zotero.org/users/5659608/items/3PHPJUMD"],"itemData":{"id":1634,"type":"article-journal","abstract":"Integration of solar photovoltaic (PV) and battery storage systems is an upward trend for residential sector to achieve major targets like minimizing the electricity bill, grid dependency, emission and so forth. In recent years, there has been a rapid deployment of PV and battery installation in residential sector. In this regard, optimal planning of PV-battery systems is a critical issue for the designers, consumers, and network operators due to high number of parameters that can affect the optimization problem. This paper aims to present a comprehensive and critical review on the effective parameters in optimal planning process of solar PV and battery storage system for grid-connected residential sector. The key parameters in process of optimal planning for PV-battery system are recognized and explained. These parameters are economic and technical data, objective functions, energy management systems, design constraints, optimization algorithms, and electricity pricing programs. A timely review on the state-of-the-art studies in PV-battery optimal planning is presented. The challenges, trends and latest developments in the topic are discussed. At the end, scopes for future studies are developed. It is found that new guidelines should be provided for the customers based on various electricity rates and demand response programs. Also, several design considerations like grid dependency and resiliency need further investigation in the optimal planning of PV-battery systems.","container-title":"Renewable and Sustainable Energy Reviews","DOI":"10.1016/j.rser.2021.111763","ISSN":"1364-0321","journalAbbreviation":"Renewable and Sustainable Energy Reviews","language":"en","page":"111763","source":"ScienceDirect","title":"Optimal planning of solar photovoltaic and battery storage systems for grid-connected residential sector: Review, challenges and new perspectives","title-short":"Optimal planning of solar photovoltaic and battery storage systems for grid-connected residential sector","volume":"153","author":[{"family":"Khezri","given":"Rahmat"},{"family":"Mahmoudi","given":"Amin"},{"family":"Aki","given":"Hirohisa"}],"issued":{"date-parts":[["2022",1,1]]},"citation-key":"khezriOptimalPlanningSolar2022"}}],"schema":"https://github.com/citation-style-language/schema/raw/master/csl-citation.json"} </w:instrText>
      </w:r>
      <w:r w:rsidR="002F3D97">
        <w:fldChar w:fldCharType="separate"/>
      </w:r>
      <w:r w:rsidR="00EB7B9B" w:rsidRPr="00EB7B9B">
        <w:t>[22]</w:t>
      </w:r>
      <w:r w:rsidR="002F3D97">
        <w:fldChar w:fldCharType="end"/>
      </w:r>
      <w:r w:rsidR="003B74FE">
        <w:t xml:space="preserve">, and by </w:t>
      </w:r>
      <w:r w:rsidR="00C36067">
        <w:t>taking trade-off between</w:t>
      </w:r>
      <w:r w:rsidR="003B74FE">
        <w:t xml:space="preserve"> </w:t>
      </w:r>
      <w:r w:rsidR="00C36067">
        <w:t>energy and power density, charging and discharging rates</w:t>
      </w:r>
      <w:r w:rsidR="00D5502B">
        <w:t>, security</w:t>
      </w:r>
      <w:r w:rsidR="002512D5">
        <w:t>, lifecycle</w:t>
      </w:r>
      <w:r w:rsidR="00C36067">
        <w:t>, and the cost</w:t>
      </w:r>
      <w:r w:rsidR="005067FA">
        <w:t xml:space="preserve">, the </w:t>
      </w:r>
      <w:r w:rsidR="00CF43A5">
        <w:t>lithium-iron phosphates (LFP/C) are the most popular choice</w:t>
      </w:r>
      <w:r w:rsidR="00017BBB">
        <w:t xml:space="preserve"> </w:t>
      </w:r>
      <w:r w:rsidR="00A439C8">
        <w:fldChar w:fldCharType="begin"/>
      </w:r>
      <w:r w:rsidR="005D48B2">
        <w:instrText xml:space="preserve"> ADDIN ZOTERO_ITEM CSL_CITATION {"citationID":"ao2cl91ia9","properties":{"formattedCitation":"[44,45]","plainCitation":"[44,45]","noteIndex":0},"citationItems":[{"id":1831,"uris":["http://zotero.org/users/5659608/items/Q78HS9SF"],"itemData":{"id":1831,"type":"article-journal","abstract":"Multi-scale and multi-domain mathematical models capable of modelling main electrochemical reactions, side reactions and heat generation can reduce the time and cost of lithium-ion battery development and deployment, since these processes decisively influence performance, durability and safety of batteries. Experimental evidences clearly indicate the importance of the interplay between electric and thermal boundary conditions, cell design and applied materials, side reactions as well as safety implications of batteries, which are not yet captured to a sufficient level by simulations models. As an answer to this challenge, the paper presents an advanced multi-scale battery modelling framework that can be seamlessly integrated into multi-domain models. The key hypothesis is that nanoscopic transport phenomena and resulting heat generation decisively influence the entire chain of mechanisms that can lead to the outbreak of the thermal runaway. This is confirmed by developing a multi-scale battery modelling framework that is based on the continuous modelling approach featuring more consistent virtual representation of the electrode topology and incorporating the coupled chain of models for heat generations and side reactions. As a result, the battery modelling framework intuitively yet insightfully elucidates the entire chain of phenomena from electric and thermal boundary conditions, over cell design and properties of applied materials to solid electrolyte interphase growth, its decomposition and subsequent side reactions at the anode, cathode and the electrolyte that lead to the thermal runaway. One of key results comprises multi-level main and side reaction driven heat transfer cross-talk between the anode and the cathode. Therefore, the presented advanced multi-scale battery modelling framework represents a contribution to the advanced virtual development of batteries thereby contributing to tailoring battery design to a specific application.","container-title":"Energy Conversion and Management","DOI":"10.1016/j.enconman.2021.114036","ISSN":"0196-8904","journalAbbreviation":"Energy Conversion and Management","language":"en","page":"114036","source":"ScienceDirect","title":"Multi-scale modelling of Lithium-ion batteries: From transport phenomena to the outbreak of thermal runaway","title-short":"Multi-scale modelling of Lithium-ion batteries","volume":"236","author":[{"family":"Katrašnik","given":"Tomaž"},{"family":"Mele","given":"Igor"},{"family":"Zelič","given":"Klemen"}],"issued":{"date-parts":[["2021",5,15]]},"citation-key":"katrasnikMultiscaleModellingLithiumion2021"}},{"id":1823,"uris":["http://zotero.org/users/5659608/items/R4J7YXKH"],"itemData":{"id":1823,"type":"article-journal","abstract":"Battery storage in solar residential applications has the potential to improve system flexibility under high renewable energy penetration. A better understanding of the dynamic operational conditions of batteries is of high importance for the technical and economic feasibility of the associated system. This study evaluates key parameters for the proper battery management design, control, and optimization of a battery system integrated into a grid-connected, solar-powered building. Three different battery modelling scenarios are proposed in terms of battery ageing and lifetimes, internal states, and control strategies. Each proposed scenario consists of a set of specific methods for the estimation of battery voltage-current characteristics, capacity degradation, remaining lifetime, states of charge, states of health, and states of power. A criteria-based operational strategy linked to a nondominated sorting genetic algorithm (NSGA_II) is constructed for the simulation and multiobjective optimization of the system. The self-sufficiency ratio and life-cycle cost of a battery are considered the technical and economic goals, which are influenced by the capacity degradation and achievable lifetime of the battery. Moreover, the annual battery degradation cost and self-consumption ratio are calculated over the project lifetime. The comparison between the techno-economic optimization results obtained under three battery modelling scenarios indicate that a more realistic design and a superior techno-economic assessment are obtained under Model 3, which is able to simulate battery degradation considering all ageing influence parameters under real operational conditions. In comparison with Model 3, Model 1 which neglects the battery degradation, techno-economically leads an overly optimistic result and also Model 2, which was based on linear capacity degradation regardless of the observed dynamic operational conditions, leads an excessively pessimistic result, implying that applying several simplifying assumptions for a battery operation simulation in a real-life application greatly affects the resulting battery state of charge, state of power, and state of health estimations, leading to an improper battery management system and consequently to the misestimation of techno-economic objective functions. The results prove that the real design and techno-economic assessment of a battery in a solar-powered application highly depend on battery operations in which the seasonal photovoltaic (PV) power production affects the rates of calendric and cyclic battery degradation.","container-title":"Applied Energy","DOI":"10.1016/j.apenergy.2022.119166","ISSN":"0306-2619","journalAbbreviation":"Applied Energy","language":"en","page":"119166","source":"ScienceDirect","title":"Techno-economic assessment of battery storage integrated into a grid-connected and solar-powered residential building under different battery ageing models","volume":"318","author":[{"family":"Shabani","given":"Masoume"},{"family":"Wallin","given":"Fredrik"},{"family":"Dahlquist","given":"Erik"},{"family":"Yan","given":"Jinyue"}],"issued":{"date-parts":[["2022",7,15]]},"citation-key":"shabaniTechnoeconomicAssessmentBattery2022"}}],"schema":"https://github.com/citation-style-language/schema/raw/master/csl-citation.json"} </w:instrText>
      </w:r>
      <w:r w:rsidR="00A439C8">
        <w:fldChar w:fldCharType="separate"/>
      </w:r>
      <w:r w:rsidR="00B10A4D" w:rsidRPr="00B10A4D">
        <w:t>[44,45]</w:t>
      </w:r>
      <w:r w:rsidR="00A439C8">
        <w:fldChar w:fldCharType="end"/>
      </w:r>
      <w:r w:rsidR="00CF43A5">
        <w:t xml:space="preserve">. </w:t>
      </w:r>
      <w:r w:rsidR="00D10764">
        <w:t>However,</w:t>
      </w:r>
      <w:r w:rsidR="0049025E">
        <w:t xml:space="preserve"> electricity storage is still </w:t>
      </w:r>
      <w:r w:rsidR="00E27CE1">
        <w:t>an emerging</w:t>
      </w:r>
      <w:r w:rsidR="005D247C">
        <w:t xml:space="preserve"> area, and </w:t>
      </w:r>
      <w:r w:rsidR="00864F36">
        <w:t>a</w:t>
      </w:r>
      <w:r w:rsidR="005D247C">
        <w:t xml:space="preserve"> battery management </w:t>
      </w:r>
      <w:r w:rsidR="00E27CE1">
        <w:t xml:space="preserve">system is </w:t>
      </w:r>
      <w:r w:rsidR="00175C9E">
        <w:t>still needed</w:t>
      </w:r>
      <w:r w:rsidR="00E27CE1">
        <w:t xml:space="preserve">. </w:t>
      </w:r>
      <w:r w:rsidR="0019495F">
        <w:t>Despite the proven benefits of</w:t>
      </w:r>
      <w:r w:rsidR="00DB1723">
        <w:t xml:space="preserve"> battery energy storage, </w:t>
      </w:r>
      <w:r w:rsidR="00605429">
        <w:t>most</w:t>
      </w:r>
      <w:r w:rsidR="00E27CE1">
        <w:t xml:space="preserve"> batteries are still served as energy backups</w:t>
      </w:r>
      <w:r w:rsidR="006F4F7E">
        <w:t xml:space="preserve"> in residential buildings</w:t>
      </w:r>
      <w:r w:rsidR="0019495F">
        <w:t xml:space="preserve"> rather than </w:t>
      </w:r>
      <w:r w:rsidR="00557CCD">
        <w:t xml:space="preserve">using them </w:t>
      </w:r>
      <w:r w:rsidR="00605429">
        <w:t xml:space="preserve">to support daily activities. </w:t>
      </w:r>
    </w:p>
    <w:p w14:paraId="645C39AB" w14:textId="58E4494B" w:rsidR="00C22D0F" w:rsidRDefault="00C22D0F" w:rsidP="000B3A87">
      <w:pPr>
        <w:pStyle w:val="Heading4"/>
      </w:pPr>
      <w:bookmarkStart w:id="55" w:name="_Toc132122446"/>
      <w:bookmarkStart w:id="56" w:name="_Toc132122570"/>
      <w:bookmarkStart w:id="57" w:name="_Toc141991671"/>
      <w:r w:rsidRPr="00603F26">
        <w:rPr>
          <w:rFonts w:hint="eastAsia"/>
        </w:rPr>
        <w:t>T</w:t>
      </w:r>
      <w:r w:rsidRPr="00603F26">
        <w:t>echnology barriers</w:t>
      </w:r>
      <w:r>
        <w:t xml:space="preserve">: </w:t>
      </w:r>
      <w:r w:rsidR="004D54FD">
        <w:t>s</w:t>
      </w:r>
      <w:r>
        <w:t>oftware</w:t>
      </w:r>
      <w:bookmarkEnd w:id="55"/>
      <w:bookmarkEnd w:id="56"/>
      <w:bookmarkEnd w:id="57"/>
    </w:p>
    <w:p w14:paraId="18442AD7" w14:textId="34EAC0AE" w:rsidR="00C22D0F" w:rsidRDefault="00772C22" w:rsidP="00B61648">
      <w:r>
        <w:t xml:space="preserve">As </w:t>
      </w:r>
      <w:r w:rsidR="00356A24">
        <w:t>DR</w:t>
      </w:r>
      <w:r w:rsidR="00A4469F">
        <w:t xml:space="preserve"> </w:t>
      </w:r>
      <w:r w:rsidR="00A4469F">
        <w:rPr>
          <w:rFonts w:hint="eastAsia"/>
        </w:rPr>
        <w:t>introduces</w:t>
      </w:r>
      <w:r>
        <w:rPr>
          <w:rFonts w:hint="eastAsia"/>
        </w:rPr>
        <w:t xml:space="preserve"> </w:t>
      </w:r>
      <w:r>
        <w:t>increase</w:t>
      </w:r>
      <w:r w:rsidR="00A4469F">
        <w:rPr>
          <w:rFonts w:hint="eastAsia"/>
        </w:rPr>
        <w:t>d</w:t>
      </w:r>
      <w:r>
        <w:t xml:space="preserve"> operation</w:t>
      </w:r>
      <w:r w:rsidR="00A4469F">
        <w:t>al</w:t>
      </w:r>
      <w:r>
        <w:t xml:space="preserve"> complexity in </w:t>
      </w:r>
      <w:r w:rsidR="00107F10">
        <w:t>coordina</w:t>
      </w:r>
      <w:r w:rsidR="00551D61">
        <w:t>tion</w:t>
      </w:r>
      <w:r w:rsidR="00107F10">
        <w:t xml:space="preserve"> and management </w:t>
      </w:r>
      <w:r w:rsidR="00551D61">
        <w:t xml:space="preserve">of </w:t>
      </w:r>
      <w:r w:rsidR="00107F10">
        <w:t xml:space="preserve">all the relevant devices in </w:t>
      </w:r>
      <w:r>
        <w:t>residential buildings</w:t>
      </w:r>
      <w:r w:rsidR="00B85A05">
        <w:t>—a task usually</w:t>
      </w:r>
      <w:r w:rsidR="00E0204A">
        <w:t xml:space="preserve"> </w:t>
      </w:r>
      <w:r w:rsidR="00107F10">
        <w:t>beyond homeowner’s</w:t>
      </w:r>
      <w:r w:rsidR="009B66B0">
        <w:t xml:space="preserve">—the use of </w:t>
      </w:r>
      <w:r w:rsidR="00D16AEF">
        <w:t>algorithms that are embed</w:t>
      </w:r>
      <w:r w:rsidR="00551D61">
        <w:t>ded</w:t>
      </w:r>
      <w:r w:rsidR="00D16AEF">
        <w:t xml:space="preserve"> with expert-knowledge ha</w:t>
      </w:r>
      <w:r w:rsidR="00551D61">
        <w:t>s</w:t>
      </w:r>
      <w:r w:rsidR="00D16AEF">
        <w:t xml:space="preserve"> become necessary</w:t>
      </w:r>
      <w:r w:rsidR="00E0204A">
        <w:t>.</w:t>
      </w:r>
      <w:r w:rsidR="003F2EC9">
        <w:t xml:space="preserve"> </w:t>
      </w:r>
      <w:r w:rsidR="00D967A3">
        <w:t>A noticeable technical</w:t>
      </w:r>
      <w:r w:rsidR="003F2EC9">
        <w:t xml:space="preserve"> barrier </w:t>
      </w:r>
      <w:r w:rsidR="00043E9A">
        <w:t>highlighted</w:t>
      </w:r>
      <w:r w:rsidR="003F2EC9">
        <w:t xml:space="preserve"> in </w:t>
      </w:r>
      <w:r w:rsidR="003F2EC9">
        <w:fldChar w:fldCharType="begin"/>
      </w:r>
      <w:r w:rsidR="005D48B2">
        <w:instrText xml:space="preserve"> ADDIN ZOTERO_ITEM CSL_CITATION {"citationID":"a13eu562mt6","properties":{"formattedCitation":"[31]","plainCitation":"[31]","noteIndex":0},"citationItems":[{"id":1786,"uris":["http://zotero.org/users/5659608/items/FGAFT3BA"],"itemData":{"id":1786,"type":"article-journal","container-title":"Smart Grids and Their Communication Systems","note":"publisher: Springer","page":"255–279","title":"Demand response from residential consumers: potentials, barriers, and solutions","author":[{"family":"Safdarian","given":"Amir"},{"family":"Fotuhi-Firuzabad","given":"Mahmud"},{"family":"Lehtonen","given":"Matti"}],"issued":{"date-parts":[["2019"]]},"citation-key":"safdarianDemandResponseResidential2019"}}],"schema":"https://github.com/citation-style-language/schema/raw/master/csl-citation.json"} </w:instrText>
      </w:r>
      <w:r w:rsidR="003F2EC9">
        <w:fldChar w:fldCharType="separate"/>
      </w:r>
      <w:r w:rsidR="003F2EC9" w:rsidRPr="00EB7B9B">
        <w:t>[31]</w:t>
      </w:r>
      <w:r w:rsidR="003F2EC9">
        <w:fldChar w:fldCharType="end"/>
      </w:r>
      <w:r w:rsidR="003F2EC9">
        <w:t xml:space="preserve"> is the difficulties for small residential consumers to check price or load modification signals and have a timely</w:t>
      </w:r>
      <w:r w:rsidR="0061004A">
        <w:t xml:space="preserve"> and optimal</w:t>
      </w:r>
      <w:r w:rsidR="003F2EC9">
        <w:t xml:space="preserve"> response</w:t>
      </w:r>
      <w:r w:rsidR="00D967A3">
        <w:t>.</w:t>
      </w:r>
      <w:r w:rsidR="00E0204A">
        <w:t xml:space="preserve"> </w:t>
      </w:r>
      <w:r w:rsidR="00BC745D">
        <w:t xml:space="preserve">In general, one </w:t>
      </w:r>
      <w:r w:rsidR="00BC745D">
        <w:lastRenderedPageBreak/>
        <w:t xml:space="preserve">solution to overcome the challenge operation </w:t>
      </w:r>
      <w:r w:rsidR="00F8177B">
        <w:t>could be a development of</w:t>
      </w:r>
      <w:r w:rsidR="00BC745D">
        <w:t xml:space="preserve"> a</w:t>
      </w:r>
      <w:r w:rsidR="009A5697">
        <w:t xml:space="preserve"> building management system</w:t>
      </w:r>
      <w:r w:rsidR="00834995">
        <w:t xml:space="preserve"> (BMS)</w:t>
      </w:r>
      <w:r w:rsidR="00E05417">
        <w:t xml:space="preserve"> </w:t>
      </w:r>
      <w:r w:rsidR="00971599">
        <w:t>is</w:t>
      </w:r>
      <w:r w:rsidR="009A5697">
        <w:t xml:space="preserve"> a </w:t>
      </w:r>
      <w:r w:rsidR="00030212">
        <w:t xml:space="preserve">centralized </w:t>
      </w:r>
      <w:r w:rsidR="009A5697">
        <w:t xml:space="preserve">software </w:t>
      </w:r>
      <w:r w:rsidR="00030212">
        <w:t>platform</w:t>
      </w:r>
      <w:r w:rsidR="009A5697">
        <w:t xml:space="preserve"> that </w:t>
      </w:r>
      <w:r w:rsidR="00934BAF">
        <w:t>monitors</w:t>
      </w:r>
      <w:r w:rsidR="009A5697">
        <w:t xml:space="preserve">, </w:t>
      </w:r>
      <w:r w:rsidR="00BD4B48">
        <w:t>regulate</w:t>
      </w:r>
      <w:r w:rsidR="00864F36">
        <w:t>s</w:t>
      </w:r>
      <w:r w:rsidR="00FC09C1">
        <w:t>,</w:t>
      </w:r>
      <w:r w:rsidR="007B1BDA">
        <w:t xml:space="preserve"> and </w:t>
      </w:r>
      <w:r w:rsidR="009860C4">
        <w:t>controls electrical</w:t>
      </w:r>
      <w:r w:rsidR="00BD4B48">
        <w:t xml:space="preserve"> and mechanical equipment to </w:t>
      </w:r>
      <w:r w:rsidR="00971599">
        <w:t>reduce cost, save energy, or improve comfort</w:t>
      </w:r>
      <w:r w:rsidR="007B1BDA">
        <w:t xml:space="preserve"> in buildings</w:t>
      </w:r>
      <w:r w:rsidR="00190AB2">
        <w:t xml:space="preserve"> </w:t>
      </w:r>
      <w:r w:rsidR="009860C4">
        <w:fldChar w:fldCharType="begin"/>
      </w:r>
      <w:r w:rsidR="005D48B2">
        <w:instrText xml:space="preserve"> ADDIN ZOTERO_ITEM CSL_CITATION {"citationID":"a28ok3993hj","properties":{"formattedCitation":"[46]","plainCitation":"[46]","noteIndex":0},"citationItems":[{"id":1842,"uris":["http://zotero.org/users/5659608/items/IVKGNL2G"],"itemData":{"id":1842,"type":"article-journal","container-title":"IEEE Internet of Things Journal","issue":"1","note":"Citation Key: minoli2017iot\npublisher: IEEE","page":"269–283","title":"IoT considerations, requirements, and architectures for smart buildings—Energy optimization and next-generation building management systems","volume":"4","author":[{"family":"Minoli","given":"Daniel"},{"family":"Sohraby","given":"Kazem"},{"family":"Occhiogrosso","given":"Benedict"}],"issued":{"date-parts":[["2017"]]},"citation-key":"minoli2017iot"}}],"schema":"https://github.com/citation-style-language/schema/raw/master/csl-citation.json"} </w:instrText>
      </w:r>
      <w:r w:rsidR="009860C4">
        <w:fldChar w:fldCharType="separate"/>
      </w:r>
      <w:r w:rsidR="00B10A4D" w:rsidRPr="00B10A4D">
        <w:t>[46]</w:t>
      </w:r>
      <w:r w:rsidR="009860C4">
        <w:fldChar w:fldCharType="end"/>
      </w:r>
      <w:r w:rsidR="00BD4B48">
        <w:t xml:space="preserve">. </w:t>
      </w:r>
      <w:r w:rsidR="003273FA">
        <w:t>Different from</w:t>
      </w:r>
      <w:r w:rsidR="007215EE">
        <w:t xml:space="preserve"> the commercial building, wh</w:t>
      </w:r>
      <w:r w:rsidR="00FC09C1">
        <w:t>ich</w:t>
      </w:r>
      <w:r w:rsidR="007215EE">
        <w:t xml:space="preserve"> has </w:t>
      </w:r>
      <w:r w:rsidR="00FC09C1">
        <w:t xml:space="preserve">a </w:t>
      </w:r>
      <w:r w:rsidR="005017A8">
        <w:t xml:space="preserve">relatively mature BMS, </w:t>
      </w:r>
      <w:r w:rsidR="009C5D73">
        <w:t>residential buildings rarely have</w:t>
      </w:r>
      <w:r w:rsidR="00FC09C1" w:rsidDel="009C5D73">
        <w:t xml:space="preserve"> </w:t>
      </w:r>
      <w:r w:rsidR="009C5D73">
        <w:t>a</w:t>
      </w:r>
      <w:r w:rsidR="00362DCE">
        <w:t>n</w:t>
      </w:r>
      <w:r w:rsidR="005017A8">
        <w:t xml:space="preserve"> </w:t>
      </w:r>
      <w:r w:rsidR="00590390">
        <w:t>energy management framework</w:t>
      </w:r>
      <w:r w:rsidR="005017A8">
        <w:t xml:space="preserve"> </w:t>
      </w:r>
      <w:r w:rsidR="009C5D73">
        <w:t>in place</w:t>
      </w:r>
      <w:r w:rsidR="005017A8">
        <w:t xml:space="preserve">. </w:t>
      </w:r>
      <w:r w:rsidR="00A0228A">
        <w:t>F</w:t>
      </w:r>
      <w:r w:rsidR="00C005F6">
        <w:t>rom</w:t>
      </w:r>
      <w:r w:rsidR="003A31B2">
        <w:t xml:space="preserve"> </w:t>
      </w:r>
      <w:r w:rsidR="00FC09C1">
        <w:t>the</w:t>
      </w:r>
      <w:r w:rsidR="003A31B2">
        <w:t xml:space="preserve"> software </w:t>
      </w:r>
      <w:r w:rsidR="00C005F6">
        <w:t>perspective</w:t>
      </w:r>
      <w:r w:rsidR="003A31B2">
        <w:t>, some</w:t>
      </w:r>
      <w:r w:rsidR="00316E85">
        <w:t xml:space="preserve"> open-source</w:t>
      </w:r>
      <w:r w:rsidR="003A31B2">
        <w:t xml:space="preserve"> </w:t>
      </w:r>
      <w:r w:rsidR="000F6312">
        <w:t xml:space="preserve">home </w:t>
      </w:r>
      <w:r w:rsidR="00C31690">
        <w:t>BMS</w:t>
      </w:r>
      <w:r w:rsidR="003A31B2">
        <w:t xml:space="preserve"> such as “Home Assistant” and “</w:t>
      </w:r>
      <w:r w:rsidR="00316E85">
        <w:t xml:space="preserve">openHAB” are promising solutions, which support third-party applications, cloud services, and </w:t>
      </w:r>
      <w:r w:rsidR="005B188C">
        <w:t>data visualization</w:t>
      </w:r>
      <w:r w:rsidR="0008769D">
        <w:t>.</w:t>
      </w:r>
      <w:r w:rsidR="00444E09">
        <w:t xml:space="preserve"> However, those </w:t>
      </w:r>
      <w:r w:rsidR="00C31690">
        <w:t>BMSs</w:t>
      </w:r>
      <w:r w:rsidR="00444E09">
        <w:t xml:space="preserve"> do not support </w:t>
      </w:r>
      <w:r w:rsidR="00944A82">
        <w:t xml:space="preserve">advanced optimal control yet. </w:t>
      </w:r>
    </w:p>
    <w:p w14:paraId="0C4EE1EC" w14:textId="352E6D17" w:rsidR="001A2F1C" w:rsidRPr="003B4889" w:rsidRDefault="003B4889" w:rsidP="003B4889">
      <w:r>
        <w:rPr>
          <w:rFonts w:hint="eastAsia"/>
        </w:rPr>
        <w:t>I</w:t>
      </w:r>
      <w:r>
        <w:t>n summary, many developments effort have already started in</w:t>
      </w:r>
      <w:r w:rsidR="006471A2">
        <w:t xml:space="preserve"> hardware development</w:t>
      </w:r>
      <w:r>
        <w:t xml:space="preserve">, such as smart meters, CTA-2045 protocols, </w:t>
      </w:r>
      <w:r w:rsidR="003F1264">
        <w:t xml:space="preserve">low-cost </w:t>
      </w:r>
      <w:r>
        <w:t xml:space="preserve">distributed energy sources, </w:t>
      </w:r>
      <w:r w:rsidR="008314AF">
        <w:t xml:space="preserve">and </w:t>
      </w:r>
      <w:r w:rsidR="003F1264">
        <w:t>reliable</w:t>
      </w:r>
      <w:r w:rsidR="008314AF">
        <w:t xml:space="preserve"> battery systems, </w:t>
      </w:r>
      <w:r>
        <w:t xml:space="preserve">for </w:t>
      </w:r>
      <w:r w:rsidR="00FC5714">
        <w:t xml:space="preserve">establishing </w:t>
      </w:r>
      <w:r>
        <w:t>interacti</w:t>
      </w:r>
      <w:r w:rsidR="00C005F6">
        <w:t>on</w:t>
      </w:r>
      <w:r w:rsidR="00FC5714">
        <w:t>s</w:t>
      </w:r>
      <w:r>
        <w:t xml:space="preserve"> </w:t>
      </w:r>
      <w:r w:rsidR="00FC5714">
        <w:t xml:space="preserve">between </w:t>
      </w:r>
      <w:r>
        <w:t xml:space="preserve">the user and the </w:t>
      </w:r>
      <w:r w:rsidR="00C2789F">
        <w:t>grid</w:t>
      </w:r>
      <w:r>
        <w:t>.</w:t>
      </w:r>
      <w:r w:rsidR="00E0096D">
        <w:t xml:space="preserve"> </w:t>
      </w:r>
      <w:r w:rsidR="00A41E05">
        <w:t>Although some limitations</w:t>
      </w:r>
      <w:r w:rsidR="00E456D1">
        <w:t xml:space="preserve"> still </w:t>
      </w:r>
      <w:r w:rsidR="00E0096D">
        <w:t>exist, the</w:t>
      </w:r>
      <w:r>
        <w:t xml:space="preserve"> progres</w:t>
      </w:r>
      <w:r w:rsidR="004D0119">
        <w:t>s</w:t>
      </w:r>
      <w:r>
        <w:t xml:space="preserve"> on</w:t>
      </w:r>
      <w:r w:rsidR="00E0096D">
        <w:t xml:space="preserve"> hardware</w:t>
      </w:r>
      <w:r>
        <w:t xml:space="preserve"> </w:t>
      </w:r>
      <w:r w:rsidR="007A43B5">
        <w:t>offers</w:t>
      </w:r>
      <w:r>
        <w:t xml:space="preserve"> more opportunities for improving the demand side adjustment. </w:t>
      </w:r>
      <w:r w:rsidR="00BD40B3">
        <w:t xml:space="preserve">Although </w:t>
      </w:r>
      <w:r w:rsidR="008446D1">
        <w:t xml:space="preserve">many open-source </w:t>
      </w:r>
      <w:r w:rsidR="00361D5D">
        <w:t>BMS</w:t>
      </w:r>
      <w:r w:rsidR="00852FF6">
        <w:t>s have</w:t>
      </w:r>
      <w:r w:rsidR="008446D1">
        <w:t xml:space="preserve"> been developed for home energy </w:t>
      </w:r>
      <w:r w:rsidR="00852FF6">
        <w:t>management</w:t>
      </w:r>
      <w:r w:rsidR="008446D1">
        <w:t xml:space="preserve">, they have not </w:t>
      </w:r>
      <w:r w:rsidR="00C005F6">
        <w:t xml:space="preserve">been </w:t>
      </w:r>
      <w:r w:rsidR="008446D1">
        <w:t xml:space="preserve">involved in </w:t>
      </w:r>
      <w:r w:rsidR="00852FF6">
        <w:t xml:space="preserve">real-time advanced control. </w:t>
      </w:r>
    </w:p>
    <w:p w14:paraId="2C0A873B" w14:textId="70CD0088" w:rsidR="00603F26" w:rsidRPr="00603F26" w:rsidRDefault="00153147" w:rsidP="000B3A87">
      <w:pPr>
        <w:pStyle w:val="Heading4"/>
      </w:pPr>
      <w:bookmarkStart w:id="58" w:name="_Toc132122447"/>
      <w:bookmarkStart w:id="59" w:name="_Toc132122571"/>
      <w:bookmarkStart w:id="60" w:name="_Toc141991672"/>
      <w:r>
        <w:t>Economic and social</w:t>
      </w:r>
      <w:r w:rsidR="003E0086">
        <w:t xml:space="preserve"> barriers</w:t>
      </w:r>
      <w:bookmarkEnd w:id="58"/>
      <w:bookmarkEnd w:id="59"/>
      <w:bookmarkEnd w:id="60"/>
    </w:p>
    <w:p w14:paraId="390EBF3F" w14:textId="40700AB9" w:rsidR="00530C24" w:rsidRDefault="008D3817" w:rsidP="00E472F1">
      <w:r>
        <w:t xml:space="preserve">Other deployment </w:t>
      </w:r>
      <w:r w:rsidR="00F02138">
        <w:t>barriers</w:t>
      </w:r>
      <w:r>
        <w:t xml:space="preserve"> for </w:t>
      </w:r>
      <w:r w:rsidR="00F37468">
        <w:t>DRPs</w:t>
      </w:r>
      <w:r>
        <w:t xml:space="preserve"> can be classified as economic and social factors. </w:t>
      </w:r>
      <w:r w:rsidR="00100952">
        <w:t>The economic factor</w:t>
      </w:r>
      <w:r w:rsidR="00B52190">
        <w:t xml:space="preserve"> (i.e., financial barrier),</w:t>
      </w:r>
      <w:r w:rsidR="00100952">
        <w:t xml:space="preserve"> associate</w:t>
      </w:r>
      <w:r w:rsidR="00E05B22">
        <w:t>d</w:t>
      </w:r>
      <w:r w:rsidR="00100952">
        <w:t xml:space="preserve"> with the cost or benefits </w:t>
      </w:r>
      <w:r w:rsidR="00AE0DDC">
        <w:t xml:space="preserve">that </w:t>
      </w:r>
      <w:r w:rsidR="00100952">
        <w:t xml:space="preserve">the </w:t>
      </w:r>
      <w:r w:rsidR="00F37468">
        <w:t>DRP</w:t>
      </w:r>
      <w:r w:rsidR="00100952">
        <w:t xml:space="preserve"> can </w:t>
      </w:r>
      <w:r w:rsidR="00AE0DDC">
        <w:t xml:space="preserve">bring </w:t>
      </w:r>
      <w:r w:rsidR="00685BB3">
        <w:t>to homeowner</w:t>
      </w:r>
      <w:r w:rsidR="00AE0DDC">
        <w:t>s</w:t>
      </w:r>
      <w:r w:rsidR="00685BB3">
        <w:t xml:space="preserve"> or other stakeholders</w:t>
      </w:r>
      <w:r w:rsidR="000631E5">
        <w:rPr>
          <w:rFonts w:hint="eastAsia"/>
        </w:rPr>
        <w:t>,</w:t>
      </w:r>
      <w:r w:rsidR="007B5283">
        <w:t xml:space="preserve"> is </w:t>
      </w:r>
      <w:r w:rsidR="00587504">
        <w:t xml:space="preserve">the most important </w:t>
      </w:r>
      <w:r w:rsidR="007B5283">
        <w:t>factor since it is</w:t>
      </w:r>
      <w:r w:rsidR="00100952">
        <w:t xml:space="preserve"> </w:t>
      </w:r>
      <w:r w:rsidR="00FB09C3">
        <w:t xml:space="preserve">the </w:t>
      </w:r>
      <w:r w:rsidR="003D7647">
        <w:t>key motiva</w:t>
      </w:r>
      <w:r w:rsidR="000D33F3">
        <w:t>tion</w:t>
      </w:r>
      <w:r w:rsidR="003D7647">
        <w:t xml:space="preserve"> for users to adopt </w:t>
      </w:r>
      <w:r w:rsidR="00C005F6">
        <w:t xml:space="preserve">the </w:t>
      </w:r>
      <w:r w:rsidR="00F37468">
        <w:t>DRP</w:t>
      </w:r>
      <w:r w:rsidR="003D7647">
        <w:t>.</w:t>
      </w:r>
      <w:r w:rsidR="0042570F">
        <w:t xml:space="preserve"> </w:t>
      </w:r>
      <w:r w:rsidR="00CF2F24">
        <w:rPr>
          <w:rFonts w:hint="eastAsia"/>
        </w:rPr>
        <w:t>There</w:t>
      </w:r>
      <w:r w:rsidR="00CF2F24">
        <w:t xml:space="preserve"> are various forms of financial barriers</w:t>
      </w:r>
      <w:r w:rsidR="007B5283">
        <w:t>:</w:t>
      </w:r>
      <w:r w:rsidR="008E0B71">
        <w:t xml:space="preserve"> </w:t>
      </w:r>
      <w:r w:rsidR="007B5283">
        <w:t>some</w:t>
      </w:r>
      <w:r w:rsidR="00C005F6">
        <w:t xml:space="preserve"> </w:t>
      </w:r>
      <w:r w:rsidR="008E0B71">
        <w:t>user</w:t>
      </w:r>
      <w:r w:rsidR="007B5283">
        <w:t>s</w:t>
      </w:r>
      <w:r w:rsidR="00036771">
        <w:t xml:space="preserve"> are </w:t>
      </w:r>
      <w:r w:rsidR="001B6692">
        <w:t xml:space="preserve">informed of the </w:t>
      </w:r>
      <w:r w:rsidR="00D4084C">
        <w:t xml:space="preserve">time-varying </w:t>
      </w:r>
      <w:r w:rsidR="001B6692">
        <w:t>price, but</w:t>
      </w:r>
      <w:r w:rsidR="00036771">
        <w:t xml:space="preserve"> not</w:t>
      </w:r>
      <w:r w:rsidR="008E0B71">
        <w:t xml:space="preserve"> directly informed </w:t>
      </w:r>
      <w:r w:rsidR="00C005F6">
        <w:t xml:space="preserve">of </w:t>
      </w:r>
      <w:r w:rsidR="008E0B71">
        <w:t>the cost reduction</w:t>
      </w:r>
      <w:r w:rsidR="003031DC">
        <w:t xml:space="preserve"> </w:t>
      </w:r>
      <w:r w:rsidR="00BC1606">
        <w:fldChar w:fldCharType="begin"/>
      </w:r>
      <w:r w:rsidR="005D48B2">
        <w:instrText xml:space="preserve"> ADDIN ZOTERO_ITEM CSL_CITATION {"citationID":"a23uu3gqqg","properties":{"formattedCitation":"[29,31]","plainCitation":"[29,31]","noteIndex":0},"citationItems":[{"id":1776,"uris":["http://zotero.org/users/5659608/items/NJGKBU8T"],"itemData":{"id":1776,"type":"article-journal","abstract":"Demand response is increasing in popularity and many utilities are developing demand response programs. However, there exists many challenges to the deployment of demand response. One of the main barriers to widespread rollout is the uncertainty surrounding the value of demand response. In this regard, there is a real and pressing need to evaluate demand response if its full potential is to be realized. This paper presents a comprehensive review of the literature and identifies some of the key barriers to the deployment and the challenges to the evaluation of demand response and provides some recommendations on evaluation methodologies.","container-title":"Applied Energy","DOI":"10.1016/j.apenergy.2015.04.083","ISSN":"0306-2619","journalAbbreviation":"Applied Energy","language":"en","page":"1-10","source":"ScienceDirect","title":"Challenges and barriers to demand response deployment and evaluation","volume":"152","author":[{"family":"Nolan","given":"Sheila"},{"family":"O’Malley","given":"Mark"}],"issued":{"date-parts":[["2015",8,15]]},"citation-key":"nolanChallengesBarriersDemand2015"}},{"id":1786,"uris":["http://zotero.org/users/5659608/items/FGAFT3BA"],"itemData":{"id":1786,"type":"article-journal","container-title":"Smart Grids and Their Communication Systems","note":"publisher: Springer","page":"255–279","title":"Demand response from residential consumers: potentials, barriers, and solutions","author":[{"family":"Safdarian","given":"Amir"},{"family":"Fotuhi-Firuzabad","given":"Mahmud"},{"family":"Lehtonen","given":"Matti"}],"issued":{"date-parts":[["2019"]]},"citation-key":"safdarianDemandResponseResidential2019"}}],"schema":"https://github.com/citation-style-language/schema/raw/master/csl-citation.json"} </w:instrText>
      </w:r>
      <w:r w:rsidR="00BC1606">
        <w:fldChar w:fldCharType="separate"/>
      </w:r>
      <w:r w:rsidR="00EB7B9B" w:rsidRPr="00EB7B9B">
        <w:t>[29,31]</w:t>
      </w:r>
      <w:r w:rsidR="00BC1606">
        <w:fldChar w:fldCharType="end"/>
      </w:r>
      <w:r w:rsidR="001B6692">
        <w:t>;</w:t>
      </w:r>
      <w:r w:rsidR="003E6B53">
        <w:t xml:space="preserve"> </w:t>
      </w:r>
      <w:r w:rsidR="001B6692">
        <w:lastRenderedPageBreak/>
        <w:t>some users</w:t>
      </w:r>
      <w:r w:rsidR="008E0B71">
        <w:t xml:space="preserve"> concern about hidden </w:t>
      </w:r>
      <w:r w:rsidR="00822288">
        <w:t>fees</w:t>
      </w:r>
      <w:r w:rsidR="003031DC">
        <w:t xml:space="preserve"> </w:t>
      </w:r>
      <w:r w:rsidR="001B6692">
        <w:t>after enroll</w:t>
      </w:r>
      <w:r w:rsidR="009C2BFC">
        <w:t>ing in</w:t>
      </w:r>
      <w:r w:rsidR="001B6692">
        <w:t xml:space="preserve"> </w:t>
      </w:r>
      <w:r w:rsidR="00F37468">
        <w:t>DRPs</w:t>
      </w:r>
      <w:r w:rsidR="000A57B6">
        <w:t xml:space="preserve"> </w:t>
      </w:r>
      <w:r w:rsidR="00534493">
        <w:fldChar w:fldCharType="begin"/>
      </w:r>
      <w:r w:rsidR="005D48B2">
        <w:instrText xml:space="preserve"> ADDIN ZOTERO_ITEM CSL_CITATION {"citationID":"a2e9m0a413s","properties":{"formattedCitation":"[28,32]","plainCitation":"[28,32]","noteIndex":0},"citationItems":[{"id":1782,"uris":["http://zotero.org/users/5659608/items/CLT7UHJQ"],"itemData":{"id":1782,"type":"article-journal","abstract":"Electricity demand response refers to consumer actions that change the utility load profile in a way that reduces costs or improves grid security. The focus of demand response has mainly been on the commercial and big industrial sectors because of the large demand reduction that they can offer to the utility grid operators. Utilities are showing increasing interest in residential demand response (RDR). RDR can be treated as an energy resource which can be assessed and commercially developed, however, there are still some issues that remain to be addressed for RDR to be successful. These include price unresponsiveness of some residential consumers, equity issues and high cost of the metering infrastructure. The aim of this paper is to investigate and present some of the challenges in achieving effective voluntary demand reduction based on a review of residential demand response literature as well as the general residential energy use behaviour literature. The authors propose the use of a hybrid engineering approach using social psychology and economic behaviour models to overcome these challenges and realize the benefits of supply security and cost management.","container-title":"Renewable and Sustainable Energy Reviews","DOI":"10.1016/j.rser.2013.04.006","ISSN":"1364-0321","journalAbbreviation":"Renewable and Sustainable Energy Reviews","language":"en","page":"71-77","source":"ScienceDirect","title":"Residential peak electricity demand response—Highlights of some behavioural issues","volume":"25","author":[{"family":"Gyamfi","given":"Samuel"},{"family":"Krumdieck","given":"Susan"},{"family":"Urmee","given":"Tania"}],"issued":{"date-parts":[["2013",9,1]]},"citation-key":"gyamfiResidentialPeakElectricity2013"}},{"id":1774,"uris":["http://zotero.org/users/5659608/items/ZX7XZ56W"],"itemData":{"id":1774,"type":"article-journal","abstract":"Demand response is increasingly attracting policy attention. It involves changing electricity demand at different times based on grid conditions, which could help to integrate variable renewable generation and new electric loads associated with decarbonisation. Residential consumers could offer a substantial new source of demand-side flexibility. However, while there is considerable evidence that at least some residential users engage with at least some forms of demand response, there is also considerable variation in user engagement. Better understanding this variation could help to predict demand response potential, and to engage and protect consumers participating in demand response. Based on a systematic review of international demand response trials, programmes and surveys, we identify motivations for participation, and barriers and enablers to engagement including familiarity and trust, perceived risk and control, complexity and effort, and consumer characteristics and routines. We then discuss how these factors relate to the features of different demand response products and services. While the complexity of the evidence makes it difficult to draw unequivocal conclusions, the findings of this review could contribute to guide early efforts to deploy residential demand response more widely.","container-title":"Energy Policy","DOI":"10.1016/j.enpol.2019.111221","ISSN":"0301-4215","journalAbbreviation":"Energy Policy","language":"en","page":"111221","source":"ScienceDirect","title":"A systematic review of motivations, enablers and barriers for consumer engagement with residential demand response","volume":"138","author":[{"family":"Parrish","given":"Bryony"},{"family":"Heptonstall","given":"Phil"},{"family":"Gross","given":"Rob"},{"family":"Sovacool","given":"Benjamin K."}],"issued":{"date-parts":[["2020",3,1]]},"citation-key":"parrishSystematicReviewMotivations2020"}}],"schema":"https://github.com/citation-style-language/schema/raw/master/csl-citation.json"} </w:instrText>
      </w:r>
      <w:r w:rsidR="00534493">
        <w:fldChar w:fldCharType="separate"/>
      </w:r>
      <w:r w:rsidR="00EB7B9B" w:rsidRPr="00EB7B9B">
        <w:t>[28,32]</w:t>
      </w:r>
      <w:r w:rsidR="00534493">
        <w:fldChar w:fldCharType="end"/>
      </w:r>
      <w:r w:rsidR="00554DFD">
        <w:t xml:space="preserve">. </w:t>
      </w:r>
      <w:r w:rsidR="00145448">
        <w:t>To make cost saving</w:t>
      </w:r>
      <w:r w:rsidR="00DC2274">
        <w:t>s</w:t>
      </w:r>
      <w:r w:rsidR="00145448">
        <w:t xml:space="preserve"> clearer to those users, and </w:t>
      </w:r>
      <w:r w:rsidR="00C41ACF">
        <w:t>eliminate</w:t>
      </w:r>
      <w:r w:rsidR="00DC2274">
        <w:t xml:space="preserve"> their worr</w:t>
      </w:r>
      <w:r w:rsidR="0000108B">
        <w:t>ies</w:t>
      </w:r>
      <w:r w:rsidR="00DC2274">
        <w:t xml:space="preserve"> about hidden fees, </w:t>
      </w:r>
      <w:r w:rsidR="00F6372C">
        <w:t>i</w:t>
      </w:r>
      <w:r w:rsidR="003031DC">
        <w:t xml:space="preserve">n </w:t>
      </w:r>
      <w:r w:rsidR="00C52528">
        <w:fldChar w:fldCharType="begin"/>
      </w:r>
      <w:r w:rsidR="005D48B2">
        <w:instrText xml:space="preserve"> ADDIN ZOTERO_ITEM CSL_CITATION {"citationID":"a2lrrmdun4j","properties":{"formattedCitation":"[32]","plainCitation":"[32]","noteIndex":0},"citationItems":[{"id":1774,"uris":["http://zotero.org/users/5659608/items/ZX7XZ56W"],"itemData":{"id":1774,"type":"article-journal","abstract":"Demand response is increasingly attracting policy attention. It involves changing electricity demand at different times based on grid conditions, which could help to integrate variable renewable generation and new electric loads associated with decarbonisation. Residential consumers could offer a substantial new source of demand-side flexibility. However, while there is considerable evidence that at least some residential users engage with at least some forms of demand response, there is also considerable variation in user engagement. Better understanding this variation could help to predict demand response potential, and to engage and protect consumers participating in demand response. Based on a systematic review of international demand response trials, programmes and surveys, we identify motivations for participation, and barriers and enablers to engagement including familiarity and trust, perceived risk and control, complexity and effort, and consumer characteristics and routines. We then discuss how these factors relate to the features of different demand response products and services. While the complexity of the evidence makes it difficult to draw unequivocal conclusions, the findings of this review could contribute to guide early efforts to deploy residential demand response more widely.","container-title":"Energy Policy","DOI":"10.1016/j.enpol.2019.111221","ISSN":"0301-4215","journalAbbreviation":"Energy Policy","language":"en","page":"111221","source":"ScienceDirect","title":"A systematic review of motivations, enablers and barriers for consumer engagement with residential demand response","volume":"138","author":[{"family":"Parrish","given":"Bryony"},{"family":"Heptonstall","given":"Phil"},{"family":"Gross","given":"Rob"},{"family":"Sovacool","given":"Benjamin K."}],"issued":{"date-parts":[["2020",3,1]]},"citation-key":"parrishSystematicReviewMotivations2020"}}],"schema":"https://github.com/citation-style-language/schema/raw/master/csl-citation.json"} </w:instrText>
      </w:r>
      <w:r w:rsidR="00C52528">
        <w:fldChar w:fldCharType="separate"/>
      </w:r>
      <w:r w:rsidR="00EB7B9B" w:rsidRPr="00EB7B9B">
        <w:t>[32]</w:t>
      </w:r>
      <w:r w:rsidR="00C52528">
        <w:fldChar w:fldCharType="end"/>
      </w:r>
      <w:r w:rsidR="003031DC">
        <w:t xml:space="preserve">, the authors proposed a </w:t>
      </w:r>
      <w:r w:rsidR="004E4902">
        <w:t xml:space="preserve">saving calculator </w:t>
      </w:r>
      <w:r w:rsidR="003031DC">
        <w:t xml:space="preserve">for users </w:t>
      </w:r>
      <w:r w:rsidR="000D06AD">
        <w:t xml:space="preserve">in </w:t>
      </w:r>
      <w:r w:rsidR="00F37468">
        <w:t>DRP</w:t>
      </w:r>
      <w:r w:rsidR="00911538">
        <w:t>.</w:t>
      </w:r>
      <w:r w:rsidR="007B1195">
        <w:t xml:space="preserve"> However, in </w:t>
      </w:r>
      <w:r w:rsidR="00C52528">
        <w:fldChar w:fldCharType="begin"/>
      </w:r>
      <w:r w:rsidR="005D48B2">
        <w:instrText xml:space="preserve"> ADDIN ZOTERO_ITEM CSL_CITATION {"citationID":"a1b4l6tqcaj","properties":{"formattedCitation":"[29]","plainCitation":"[29]","noteIndex":0},"citationItems":[{"id":1776,"uris":["http://zotero.org/users/5659608/items/NJGKBU8T"],"itemData":{"id":1776,"type":"article-journal","abstract":"Demand response is increasing in popularity and many utilities are developing demand response programs. However, there exists many challenges to the deployment of demand response. One of the main barriers to widespread rollout is the uncertainty surrounding the value of demand response. In this regard, there is a real and pressing need to evaluate demand response if its full potential is to be realized. This paper presents a comprehensive review of the literature and identifies some of the key barriers to the deployment and the challenges to the evaluation of demand response and provides some recommendations on evaluation methodologies.","container-title":"Applied Energy","DOI":"10.1016/j.apenergy.2015.04.083","ISSN":"0306-2619","journalAbbreviation":"Applied Energy","language":"en","page":"1-10","source":"ScienceDirect","title":"Challenges and barriers to demand response deployment and evaluation","volume":"152","author":[{"family":"Nolan","given":"Sheila"},{"family":"O’Malley","given":"Mark"}],"issued":{"date-parts":[["2015",8,15]]},"citation-key":"nolanChallengesBarriersDemand2015"}}],"schema":"https://github.com/citation-style-language/schema/raw/master/csl-citation.json"} </w:instrText>
      </w:r>
      <w:r w:rsidR="00C52528">
        <w:fldChar w:fldCharType="separate"/>
      </w:r>
      <w:r w:rsidR="00EB7B9B" w:rsidRPr="00EB7B9B">
        <w:t>[29]</w:t>
      </w:r>
      <w:r w:rsidR="00C52528">
        <w:fldChar w:fldCharType="end"/>
      </w:r>
      <w:r w:rsidR="007B1195">
        <w:t xml:space="preserve">, the authors mentioned </w:t>
      </w:r>
      <w:r w:rsidR="008D08A5">
        <w:t xml:space="preserve">that </w:t>
      </w:r>
      <w:r w:rsidR="007B1195">
        <w:t xml:space="preserve">such calculation </w:t>
      </w:r>
      <w:r w:rsidR="00EC4032">
        <w:t xml:space="preserve">could be </w:t>
      </w:r>
      <w:r w:rsidR="00D3013C">
        <w:t>challenging</w:t>
      </w:r>
      <w:r w:rsidR="004E4902">
        <w:t>, since the baseline</w:t>
      </w:r>
      <w:r w:rsidR="00C167B7">
        <w:t xml:space="preserve">, </w:t>
      </w:r>
      <w:r w:rsidR="005E5383">
        <w:t xml:space="preserve">i.e., the consumption by a customer in the absence of a demand response event, is based on </w:t>
      </w:r>
      <w:r w:rsidR="008D08A5">
        <w:t xml:space="preserve">an </w:t>
      </w:r>
      <w:r w:rsidR="005E5383">
        <w:t>estimation</w:t>
      </w:r>
      <w:r w:rsidR="00C52528">
        <w:t>.</w:t>
      </w:r>
      <w:r w:rsidR="00A11E45">
        <w:t xml:space="preserve"> </w:t>
      </w:r>
      <w:r w:rsidR="00B32EFE">
        <w:t>I</w:t>
      </w:r>
      <w:r w:rsidR="0088448C">
        <w:t>n addition to the difficulty of estimating the baseline cost</w:t>
      </w:r>
      <w:r w:rsidR="002A4AC1">
        <w:t>,</w:t>
      </w:r>
      <w:r w:rsidR="0088448C">
        <w:t xml:space="preserve"> it is also</w:t>
      </w:r>
      <w:r w:rsidR="002A4AC1">
        <w:t xml:space="preserve"> </w:t>
      </w:r>
      <w:r w:rsidR="00142A7B">
        <w:t>difficulty for the other stakeholders</w:t>
      </w:r>
      <w:r w:rsidR="00C664EA">
        <w:t>, who may</w:t>
      </w:r>
      <w:r w:rsidR="00D7602D">
        <w:t xml:space="preserve"> have an impact on program implementation or further development,</w:t>
      </w:r>
      <w:r w:rsidR="00142A7B">
        <w:t xml:space="preserve"> to </w:t>
      </w:r>
      <w:r w:rsidR="000C75E1">
        <w:t xml:space="preserve">accurately calculate the specific benefits they can gain from the </w:t>
      </w:r>
      <w:r w:rsidR="00F37468">
        <w:t>DRP</w:t>
      </w:r>
      <w:r w:rsidR="000C75E1">
        <w:t xml:space="preserve"> </w:t>
      </w:r>
      <w:r w:rsidR="00A3211D">
        <w:fldChar w:fldCharType="begin"/>
      </w:r>
      <w:r w:rsidR="005D48B2">
        <w:instrText xml:space="preserve"> ADDIN ZOTERO_ITEM CSL_CITATION {"citationID":"av6cip2sg2","properties":{"formattedCitation":"[30]","plainCitation":"[30]","noteIndex":0},"citationItems":[{"id":1779,"uris":["http://zotero.org/users/5659608/items/TN9JWAPH"],"itemData":{"id":1779,"type":"article-journal","abstract":"Demand for flexibility in electricity systems and the transition to the Smart Grid is increasing opportunities for demand response (DR). However, there are many barriers which prevent the full potential of DR being realised. Unlocking of this potential, through identification of DR enablers, can be aided through systematic classification and analysis of DR barriers. To this end, while previous works mostly focused on individual aspects, this paper develops a comprehensive ‘socio-techno-economic’ review, classification and analysis of DR barriers and enablers in a Smart Grid context. This provides an intellectual framework which may be used to underpin further work on the study and integration of DR. DR barriers are classified as either fundamental (i.e., relating to intrinsic human nature/essential enabling technology) or secondary (i.e., relating to anthropogenic institutions/or system feedbacks). Fundamental barriers are defined as economic, social or technological, whilst secondary barriers relate to political regulatory aspects, design of markets, physical (electrical network) issues, or to general understanding of DR. Subsequently, associated enablers for the defined barriers are suggested. Consideration of technical and commercial/social aspects for both power system and information and communication technology (the “internet of things”) domains provides a foundational contribution to improve understanding of DR within the Smart Grid paradigm. Finally, the complexity resulting from connections between various barriers, enablers and the energy system generally, and the existence of the signature characteristics of complex systems is acknowledged and implications discussed.","container-title":"Renewable and Sustainable Energy Reviews","DOI":"10.1016/j.rser.2017.01.043","ISSN":"1364-0321","journalAbbreviation":"Renewable and Sustainable Energy Reviews","language":"en","page":"57-72","source":"ScienceDirect","title":"Review and classification of barriers and enablers of demand response in the smart grid","volume":"72","author":[{"family":"Good","given":"Nicholas"},{"family":"Ellis","given":"Keith A."},{"family":"Mancarella","given":"Pierluigi"}],"issued":{"date-parts":[["2017",5,1]]},"citation-key":"goodReviewClassificationBarriers2017"}}],"schema":"https://github.com/citation-style-language/schema/raw/master/csl-citation.json"} </w:instrText>
      </w:r>
      <w:r w:rsidR="00A3211D">
        <w:fldChar w:fldCharType="separate"/>
      </w:r>
      <w:r w:rsidR="00A3211D" w:rsidRPr="003606D6">
        <w:rPr>
          <w:kern w:val="0"/>
          <w:szCs w:val="24"/>
        </w:rPr>
        <w:t>[30]</w:t>
      </w:r>
      <w:r w:rsidR="00A3211D">
        <w:fldChar w:fldCharType="end"/>
      </w:r>
      <w:r w:rsidR="002A4AC1">
        <w:t>.</w:t>
      </w:r>
      <w:r w:rsidR="00A3211D">
        <w:t xml:space="preserve"> </w:t>
      </w:r>
      <w:r w:rsidR="00B32EFE">
        <w:t>Therefore,</w:t>
      </w:r>
      <w:r w:rsidR="00A3211D">
        <w:t xml:space="preserve"> </w:t>
      </w:r>
      <w:r w:rsidR="00B32EFE">
        <w:t xml:space="preserve">the lack of </w:t>
      </w:r>
      <w:r w:rsidR="008167BC">
        <w:t>clear</w:t>
      </w:r>
      <w:r w:rsidR="00B32EFE">
        <w:t xml:space="preserve"> </w:t>
      </w:r>
      <w:r w:rsidR="00541004">
        <w:t>understanding of the</w:t>
      </w:r>
      <w:r w:rsidR="00827419">
        <w:t xml:space="preserve"> cost saving by homeowners and the</w:t>
      </w:r>
      <w:r w:rsidR="00541004">
        <w:t xml:space="preserve"> </w:t>
      </w:r>
      <w:r w:rsidR="003B76A4">
        <w:t>benefits</w:t>
      </w:r>
      <w:r w:rsidR="00A3211D">
        <w:t xml:space="preserve"> </w:t>
      </w:r>
      <w:r w:rsidR="00541004">
        <w:t>by</w:t>
      </w:r>
      <w:r w:rsidR="00FB680D">
        <w:t xml:space="preserve"> these stakeholders may</w:t>
      </w:r>
      <w:r w:rsidR="00A3211D">
        <w:t xml:space="preserve"> </w:t>
      </w:r>
      <w:r w:rsidR="00DD6E58">
        <w:t>have negative impact on</w:t>
      </w:r>
      <w:r w:rsidR="00A3211D">
        <w:t xml:space="preserve"> the </w:t>
      </w:r>
      <w:r w:rsidR="00306BAF">
        <w:t xml:space="preserve">short-term feasibility and </w:t>
      </w:r>
      <w:r w:rsidR="00A3211D">
        <w:t xml:space="preserve">long-term sustainability of </w:t>
      </w:r>
      <w:r w:rsidR="00F37468">
        <w:t>DRPs</w:t>
      </w:r>
      <w:r w:rsidR="00A3211D">
        <w:t>.</w:t>
      </w:r>
    </w:p>
    <w:p w14:paraId="29E7F757" w14:textId="3BF1D064" w:rsidR="002047B3" w:rsidRDefault="002563C3" w:rsidP="00E472F1">
      <w:r>
        <w:t>S</w:t>
      </w:r>
      <w:r w:rsidR="00A002B3">
        <w:t>ocial factor</w:t>
      </w:r>
      <w:r w:rsidR="005A176A">
        <w:t xml:space="preserve"> is</w:t>
      </w:r>
      <w:r w:rsidR="00A002B3">
        <w:t xml:space="preserve"> mainly</w:t>
      </w:r>
      <w:r w:rsidR="00E82C88">
        <w:t xml:space="preserve"> related</w:t>
      </w:r>
      <w:r w:rsidR="00A002B3">
        <w:t xml:space="preserve"> </w:t>
      </w:r>
      <w:r w:rsidR="00E82C88">
        <w:t>to</w:t>
      </w:r>
      <w:r w:rsidR="00A002B3">
        <w:t xml:space="preserve"> the human </w:t>
      </w:r>
      <w:r w:rsidR="00E82C88">
        <w:t xml:space="preserve">responses </w:t>
      </w:r>
      <w:r w:rsidR="00A002B3">
        <w:t>and inter</w:t>
      </w:r>
      <w:r w:rsidR="0089217C">
        <w:t>action</w:t>
      </w:r>
      <w:r w:rsidR="00E82C88">
        <w:t>s</w:t>
      </w:r>
      <w:r w:rsidR="0089217C">
        <w:t xml:space="preserve"> with the </w:t>
      </w:r>
      <w:r w:rsidR="00F37468">
        <w:t>DRPs</w:t>
      </w:r>
      <w:r w:rsidR="0089217C">
        <w:t>, and</w:t>
      </w:r>
      <w:r w:rsidR="00E82C88">
        <w:t xml:space="preserve"> </w:t>
      </w:r>
      <w:r w:rsidR="005A176A">
        <w:t xml:space="preserve">is </w:t>
      </w:r>
      <w:r w:rsidR="00E82C88">
        <w:t>of great significance</w:t>
      </w:r>
      <w:r w:rsidR="00F652B6">
        <w:t xml:space="preserve"> </w:t>
      </w:r>
      <w:r w:rsidR="00E82C88">
        <w:t>sinc</w:t>
      </w:r>
      <w:r w:rsidR="00C9184D">
        <w:t>e</w:t>
      </w:r>
      <w:r w:rsidR="0089217C">
        <w:t xml:space="preserve"> </w:t>
      </w:r>
      <w:r w:rsidR="005A176A">
        <w:t xml:space="preserve">the </w:t>
      </w:r>
      <w:r w:rsidR="00615C04">
        <w:t>operation</w:t>
      </w:r>
      <w:r w:rsidR="00C9184D">
        <w:t>s</w:t>
      </w:r>
      <w:r w:rsidR="005A176A">
        <w:t xml:space="preserve"> of </w:t>
      </w:r>
      <w:r w:rsidR="00F32117">
        <w:t>appliances</w:t>
      </w:r>
      <w:r w:rsidR="00615C04">
        <w:t xml:space="preserve"> (demand side operation</w:t>
      </w:r>
      <w:r w:rsidR="00C9184D">
        <w:t>s</w:t>
      </w:r>
      <w:r w:rsidR="00615C04">
        <w:t xml:space="preserve">) </w:t>
      </w:r>
      <w:r w:rsidR="00E62DC2">
        <w:t xml:space="preserve">rely </w:t>
      </w:r>
      <w:r w:rsidR="005A176A">
        <w:t xml:space="preserve">solely </w:t>
      </w:r>
      <w:r w:rsidR="00E62DC2">
        <w:t xml:space="preserve">on the </w:t>
      </w:r>
      <w:r w:rsidR="00615C04">
        <w:t>user’s intention</w:t>
      </w:r>
      <w:r w:rsidR="00E62DC2">
        <w:t xml:space="preserve"> </w:t>
      </w:r>
      <w:r w:rsidR="00E62DC2">
        <w:fldChar w:fldCharType="begin"/>
      </w:r>
      <w:r w:rsidR="005D48B2">
        <w:instrText xml:space="preserve"> ADDIN ZOTERO_ITEM CSL_CITATION {"citationID":"a1u0gk5fj71","properties":{"formattedCitation":"[28,29,32]","plainCitation":"[28,29,32]","noteIndex":0},"citationItems":[{"id":1782,"uris":["http://zotero.org/users/5659608/items/CLT7UHJQ"],"itemData":{"id":1782,"type":"article-journal","abstract":"Electricity demand response refers to consumer actions that change the utility load profile in a way that reduces costs or improves grid security. The focus of demand response has mainly been on the commercial and big industrial sectors because of the large demand reduction that they can offer to the utility grid operators. Utilities are showing increasing interest in residential demand response (RDR). RDR can be treated as an energy resource which can be assessed and commercially developed, however, there are still some issues that remain to be addressed for RDR to be successful. These include price unresponsiveness of some residential consumers, equity issues and high cost of the metering infrastructure. The aim of this paper is to investigate and present some of the challenges in achieving effective voluntary demand reduction based on a review of residential demand response literature as well as the general residential energy use behaviour literature. The authors propose the use of a hybrid engineering approach using social psychology and economic behaviour models to overcome these challenges and realize the benefits of supply security and cost management.","container-title":"Renewable and Sustainable Energy Reviews","DOI":"10.1016/j.rser.2013.04.006","ISSN":"1364-0321","journalAbbreviation":"Renewable and Sustainable Energy Reviews","language":"en","page":"71-77","source":"ScienceDirect","title":"Residential peak electricity demand response—Highlights of some behavioural issues","volume":"25","author":[{"family":"Gyamfi","given":"Samuel"},{"family":"Krumdieck","given":"Susan"},{"family":"Urmee","given":"Tania"}],"issued":{"date-parts":[["2013",9,1]]},"citation-key":"gyamfiResidentialPeakElectricity2013"}},{"id":1776,"uris":["http://zotero.org/users/5659608/items/NJGKBU8T"],"itemData":{"id":1776,"type":"article-journal","abstract":"Demand response is increasing in popularity and many utilities are developing demand response programs. However, there exists many challenges to the deployment of demand response. One of the main barriers to widespread rollout is the uncertainty surrounding the value of demand response. In this regard, there is a real and pressing need to evaluate demand response if its full potential is to be realized. This paper presents a comprehensive review of the literature and identifies some of the key barriers to the deployment and the challenges to the evaluation of demand response and provides some recommendations on evaluation methodologies.","container-title":"Applied Energy","DOI":"10.1016/j.apenergy.2015.04.083","ISSN":"0306-2619","journalAbbreviation":"Applied Energy","language":"en","page":"1-10","source":"ScienceDirect","title":"Challenges and barriers to demand response deployment and evaluation","volume":"152","author":[{"family":"Nolan","given":"Sheila"},{"family":"O’Malley","given":"Mark"}],"issued":{"date-parts":[["2015",8,15]]},"citation-key":"nolanChallengesBarriersDemand2015"}},{"id":1774,"uris":["http://zotero.org/users/5659608/items/ZX7XZ56W"],"itemData":{"id":1774,"type":"article-journal","abstract":"Demand response is increasingly attracting policy attention. It involves changing electricity demand at different times based on grid conditions, which could help to integrate variable renewable generation and new electric loads associated with decarbonisation. Residential consumers could offer a substantial new source of demand-side flexibility. However, while there is considerable evidence that at least some residential users engage with at least some forms of demand response, there is also considerable variation in user engagement. Better understanding this variation could help to predict demand response potential, and to engage and protect consumers participating in demand response. Based on a systematic review of international demand response trials, programmes and surveys, we identify motivations for participation, and barriers and enablers to engagement including familiarity and trust, perceived risk and control, complexity and effort, and consumer characteristics and routines. We then discuss how these factors relate to the features of different demand response products and services. While the complexity of the evidence makes it difficult to draw unequivocal conclusions, the findings of this review could contribute to guide early efforts to deploy residential demand response more widely.","container-title":"Energy Policy","DOI":"10.1016/j.enpol.2019.111221","ISSN":"0301-4215","journalAbbreviation":"Energy Policy","language":"en","page":"111221","source":"ScienceDirect","title":"A systematic review of motivations, enablers and barriers for consumer engagement with residential demand response","volume":"138","author":[{"family":"Parrish","given":"Bryony"},{"family":"Heptonstall","given":"Phil"},{"family":"Gross","given":"Rob"},{"family":"Sovacool","given":"Benjamin K."}],"issued":{"date-parts":[["2020",3,1]]},"citation-key":"parrishSystematicReviewMotivations2020"}}],"schema":"https://github.com/citation-style-language/schema/raw/master/csl-citation.json"} </w:instrText>
      </w:r>
      <w:r w:rsidR="00E62DC2">
        <w:fldChar w:fldCharType="separate"/>
      </w:r>
      <w:r w:rsidR="00E62DC2" w:rsidRPr="00EB7B9B">
        <w:t>[28,29,32]</w:t>
      </w:r>
      <w:r w:rsidR="00E62DC2">
        <w:fldChar w:fldCharType="end"/>
      </w:r>
      <w:r w:rsidR="002F2D6F">
        <w:t>.</w:t>
      </w:r>
      <w:r w:rsidR="005C6E83">
        <w:t xml:space="preserve"> </w:t>
      </w:r>
      <w:r w:rsidR="00280732">
        <w:t xml:space="preserve">Studies </w:t>
      </w:r>
      <w:r w:rsidR="00DA4BE2">
        <w:fldChar w:fldCharType="begin"/>
      </w:r>
      <w:r w:rsidR="005D48B2">
        <w:instrText xml:space="preserve"> ADDIN ZOTERO_ITEM CSL_CITATION {"citationID":"a1dfmd47vv8","properties":{"formattedCitation":"[29,31,32,47]","plainCitation":"[29,31,32,47]","noteIndex":0},"citationItems":[{"id":1776,"uris":["http://zotero.org/users/5659608/items/NJGKBU8T"],"itemData":{"id":1776,"type":"article-journal","abstract":"Demand response is increasing in popularity and many utilities are developing demand response programs. However, there exists many challenges to the deployment of demand response. One of the main barriers to widespread rollout is the uncertainty surrounding the value of demand response. In this regard, there is a real and pressing need to evaluate demand response if its full potential is to be realized. This paper presents a comprehensive review of the literature and identifies some of the key barriers to the deployment and the challenges to the evaluation of demand response and provides some recommendations on evaluation methodologies.","container-title":"Applied Energy","DOI":"10.1016/j.apenergy.2015.04.083","ISSN":"0306-2619","journalAbbreviation":"Applied Energy","language":"en","page":"1-10","source":"ScienceDirect","title":"Challenges and barriers to demand response deployment and evaluation","volume":"152","author":[{"family":"Nolan","given":"Sheila"},{"family":"O’Malley","given":"Mark"}],"issued":{"date-parts":[["2015",8,15]]},"citation-key":"nolanChallengesBarriersDemand2015"}},{"id":1790,"uris":["http://zotero.org/users/5659608/items/KJY767M6"],"itemData":{"id":1790,"type":"article-journal","container-title":"Customer-Led Network Revolution","note":"Citation Key: bird2015developing","title":"Developing the smarter grid: the role of domestic and small and medium enterprise customers","author":[{"family":"Bird","given":"Jon"}],"issued":{"date-parts":[["2015"]]},"citation-key":"bird2015developing"}},{"id":1786,"uris":["http://zotero.org/users/5659608/items/FGAFT3BA"],"itemData":{"id":1786,"type":"article-journal","container-title":"Smart Grids and Their Communication Systems","note":"publisher: Springer","page":"255–279","title":"Demand response from residential consumers: potentials, barriers, and solutions","author":[{"family":"Safdarian","given":"Amir"},{"family":"Fotuhi-Firuzabad","given":"Mahmud"},{"family":"Lehtonen","given":"Matti"}],"issued":{"date-parts":[["2019"]]},"citation-key":"safdarianDemandResponseResidential2019"}},{"id":1774,"uris":["http://zotero.org/users/5659608/items/ZX7XZ56W"],"itemData":{"id":1774,"type":"article-journal","abstract":"Demand response is increasingly attracting policy attention. It involves changing electricity demand at different times based on grid conditions, which could help to integrate variable renewable generation and new electric loads associated with decarbonisation. Residential consumers could offer a substantial new source of demand-side flexibility. However, while there is considerable evidence that at least some residential users engage with at least some forms of demand response, there is also considerable variation in user engagement. Better understanding this variation could help to predict demand response potential, and to engage and protect consumers participating in demand response. Based on a systematic review of international demand response trials, programmes and surveys, we identify motivations for participation, and barriers and enablers to engagement including familiarity and trust, perceived risk and control, complexity and effort, and consumer characteristics and routines. We then discuss how these factors relate to the features of different demand response products and services. While the complexity of the evidence makes it difficult to draw unequivocal conclusions, the findings of this review could contribute to guide early efforts to deploy residential demand response more widely.","container-title":"Energy Policy","DOI":"10.1016/j.enpol.2019.111221","ISSN":"0301-4215","journalAbbreviation":"Energy Policy","language":"en","page":"111221","source":"ScienceDirect","title":"A systematic review of motivations, enablers and barriers for consumer engagement with residential demand response","volume":"138","author":[{"family":"Parrish","given":"Bryony"},{"family":"Heptonstall","given":"Phil"},{"family":"Gross","given":"Rob"},{"family":"Sovacool","given":"Benjamin K."}],"issued":{"date-parts":[["2020",3,1]]},"citation-key":"parrishSystematicReviewMotivations2020"}}],"schema":"https://github.com/citation-style-language/schema/raw/master/csl-citation.json"} </w:instrText>
      </w:r>
      <w:r w:rsidR="00DA4BE2">
        <w:fldChar w:fldCharType="separate"/>
      </w:r>
      <w:r w:rsidR="00E75D0B" w:rsidRPr="00E75D0B">
        <w:rPr>
          <w:kern w:val="0"/>
          <w:szCs w:val="24"/>
        </w:rPr>
        <w:t>[29,31,32,47]</w:t>
      </w:r>
      <w:r w:rsidR="00DA4BE2">
        <w:fldChar w:fldCharType="end"/>
      </w:r>
      <w:r w:rsidR="00280732">
        <w:t xml:space="preserve"> indicate </w:t>
      </w:r>
      <w:r w:rsidR="003A6D21">
        <w:t>that</w:t>
      </w:r>
      <w:r w:rsidR="0072429C">
        <w:t xml:space="preserve"> the complexity on </w:t>
      </w:r>
      <w:r w:rsidR="00F37468">
        <w:t>DRPs</w:t>
      </w:r>
      <w:r w:rsidR="0072429C">
        <w:t>,</w:t>
      </w:r>
      <w:r w:rsidR="00280732">
        <w:t xml:space="preserve"> whether due to the </w:t>
      </w:r>
      <w:r w:rsidR="00C77302">
        <w:t xml:space="preserve">complicated of devices or operation, can be overwhelming or </w:t>
      </w:r>
      <w:r w:rsidR="00022C20">
        <w:t>inconvenient</w:t>
      </w:r>
      <w:r w:rsidR="00C77302">
        <w:t xml:space="preserve"> for users, thereby providing a strong </w:t>
      </w:r>
      <w:r w:rsidR="00022C20">
        <w:t>barriers for users to participate in DRPs</w:t>
      </w:r>
      <w:r w:rsidR="005E6B2D">
        <w:t xml:space="preserve">. </w:t>
      </w:r>
      <w:r w:rsidR="003A6D21">
        <w:t xml:space="preserve">Moreover, </w:t>
      </w:r>
      <w:r w:rsidR="00AD2F42">
        <w:t xml:space="preserve">in </w:t>
      </w:r>
      <w:r w:rsidR="00AD2F42">
        <w:fldChar w:fldCharType="begin"/>
      </w:r>
      <w:r w:rsidR="005D48B2">
        <w:instrText xml:space="preserve"> ADDIN ZOTERO_ITEM CSL_CITATION {"citationID":"a2krsbtp0mu","properties":{"formattedCitation":"[28,48]","plainCitation":"[28,48]","noteIndex":0},"citationItems":[{"id":1782,"uris":["http://zotero.org/users/5659608/items/CLT7UHJQ"],"itemData":{"id":1782,"type":"article-journal","abstract":"Electricity demand response refers to consumer actions that change the utility load profile in a way that reduces costs or improves grid security. The focus of demand response has mainly been on the commercial and big industrial sectors because of the large demand reduction that they can offer to the utility grid operators. Utilities are showing increasing interest in residential demand response (RDR). RDR can be treated as an energy resource which can be assessed and commercially developed, however, there are still some issues that remain to be addressed for RDR to be successful. These include price unresponsiveness of some residential consumers, equity issues and high cost of the metering infrastructure. The aim of this paper is to investigate and present some of the challenges in achieving effective voluntary demand reduction based on a review of residential demand response literature as well as the general residential energy use behaviour literature. The authors propose the use of a hybrid engineering approach using social psychology and economic behaviour models to overcome these challenges and realize the benefits of supply security and cost management.","container-title":"Renewable and Sustainable Energy Reviews","DOI":"10.1016/j.rser.2013.04.006","ISSN":"1364-0321","journalAbbreviation":"Renewable and Sustainable Energy Reviews","language":"en","page":"71-77","source":"ScienceDirect","title":"Residential peak electricity demand response—Highlights of some behavioural issues","volume":"25","author":[{"family":"Gyamfi","given":"Samuel"},{"family":"Krumdieck","given":"Susan"},{"family":"Urmee","given":"Tania"}],"issued":{"date-parts":[["2013",9,1]]},"citation-key":"gyamfiResidentialPeakElectricity2013"}},{"id":1795,"uris":["http://zotero.org/users/5659608/items/PTDQYU28"],"itemData":{"id":1795,"type":"article-journal","container-title":"Applied Energy","note":"Citation Key: nilsson2014effects\npublisher: Elsevier","page":"17–23","title":"Effects of continuous feedback on households’ electricity consumption: Potentials and barriers","volume":"122","author":[{"family":"Nilsson","given":"Andreas"},{"family":"Bergstad","given":"Cecilia Jakobsson"},{"family":"Thuvander","given":"Liane"},{"family":"Andersson","given":"David"},{"family":"Andersson","given":"Kristin"},{"family":"Meiling","given":"Pär"}],"issued":{"date-parts":[["2014"]]},"citation-key":"nilsson2014effects"}}],"schema":"https://github.com/citation-style-language/schema/raw/master/csl-citation.json"} </w:instrText>
      </w:r>
      <w:r w:rsidR="00AD2F42">
        <w:fldChar w:fldCharType="separate"/>
      </w:r>
      <w:r w:rsidR="008F1487" w:rsidRPr="008F1487">
        <w:t>[28,48]</w:t>
      </w:r>
      <w:r w:rsidR="00AD2F42">
        <w:fldChar w:fldCharType="end"/>
      </w:r>
      <w:r w:rsidR="00AD2F42">
        <w:t xml:space="preserve">, the authors </w:t>
      </w:r>
      <w:r w:rsidR="00540D5C">
        <w:t xml:space="preserve">suggests </w:t>
      </w:r>
      <w:r w:rsidR="00AD2F42">
        <w:t xml:space="preserve">that </w:t>
      </w:r>
      <w:r w:rsidR="0036223B">
        <w:t>the</w:t>
      </w:r>
      <w:r w:rsidR="00AD2F42">
        <w:t xml:space="preserve"> bounded rationality </w:t>
      </w:r>
      <w:r w:rsidR="00AD2F42">
        <w:fldChar w:fldCharType="begin"/>
      </w:r>
      <w:r w:rsidR="005D48B2">
        <w:instrText xml:space="preserve"> ADDIN ZOTERO_ITEM CSL_CITATION {"citationID":"a14grd068o9","properties":{"formattedCitation":"[49]","plainCitation":"[49]","noteIndex":0},"citationItems":[{"id":1797,"uris":["http://zotero.org/users/5659608/items/CABQPWIH"],"itemData":{"id":1797,"type":"article-journal","container-title":"Journal of Business","note":"Citation Key: simon1986rationality\npublisher: JSTOR","page":"S209–S224","title":"Rationality in psychology and economics","author":[{"family":"Simon","given":"Herbert A"}],"issued":{"date-parts":[["1986"]]},"citation-key":"simon1986rationality"}}],"schema":"https://github.com/citation-style-language/schema/raw/master/csl-citation.json"} </w:instrText>
      </w:r>
      <w:r w:rsidR="00AD2F42">
        <w:fldChar w:fldCharType="separate"/>
      </w:r>
      <w:r w:rsidR="008F1487" w:rsidRPr="008F1487">
        <w:t>[49]</w:t>
      </w:r>
      <w:r w:rsidR="00AD2F42">
        <w:fldChar w:fldCharType="end"/>
      </w:r>
      <w:r w:rsidR="0036223B">
        <w:t>, where users cannot always make rational decision,</w:t>
      </w:r>
      <w:r w:rsidR="00AD2F42">
        <w:t xml:space="preserve"> </w:t>
      </w:r>
      <w:r w:rsidR="00285662">
        <w:t xml:space="preserve">is another social factor </w:t>
      </w:r>
      <w:r w:rsidR="008F7345">
        <w:t>may decrease the</w:t>
      </w:r>
      <w:r w:rsidR="00AD2F42">
        <w:t xml:space="preserve"> effectiveness of </w:t>
      </w:r>
      <w:r w:rsidR="00F37468">
        <w:rPr>
          <w:rFonts w:hint="eastAsia"/>
        </w:rPr>
        <w:t>DRPs</w:t>
      </w:r>
      <w:r w:rsidR="00AD2F42">
        <w:t xml:space="preserve">. </w:t>
      </w:r>
      <w:r w:rsidR="00411BD1">
        <w:t xml:space="preserve">This issue is particularly evident </w:t>
      </w:r>
      <w:r w:rsidR="000D28FD">
        <w:t>in user’s unwilling to change their consumption routine</w:t>
      </w:r>
      <w:r w:rsidR="00516613">
        <w:t xml:space="preserve">, </w:t>
      </w:r>
      <w:r w:rsidR="00C56A11">
        <w:t xml:space="preserve">such as </w:t>
      </w:r>
      <w:r w:rsidR="00F275F1">
        <w:t>charging</w:t>
      </w:r>
      <w:r w:rsidR="006A3516">
        <w:t xml:space="preserve"> </w:t>
      </w:r>
      <w:r w:rsidR="00C56A11">
        <w:t>electric vehicles</w:t>
      </w:r>
      <w:r w:rsidR="00235474">
        <w:t xml:space="preserve"> </w:t>
      </w:r>
      <w:r w:rsidR="00F275F1">
        <w:t xml:space="preserve">at night time </w:t>
      </w:r>
      <w:r w:rsidR="00735368">
        <w:t>or</w:t>
      </w:r>
      <w:r w:rsidR="00C56A11">
        <w:t xml:space="preserve"> </w:t>
      </w:r>
      <w:r w:rsidR="00735368">
        <w:t xml:space="preserve">using </w:t>
      </w:r>
      <w:r w:rsidR="006A3516">
        <w:t xml:space="preserve">a </w:t>
      </w:r>
      <w:r w:rsidR="00735368">
        <w:t xml:space="preserve">dishwasher </w:t>
      </w:r>
      <w:r w:rsidR="00F275F1">
        <w:t xml:space="preserve">after dinner </w:t>
      </w:r>
      <w:r w:rsidR="009F0C18">
        <w:fldChar w:fldCharType="begin"/>
      </w:r>
      <w:r w:rsidR="005D48B2">
        <w:instrText xml:space="preserve"> ADDIN ZOTERO_ITEM CSL_CITATION {"citationID":"a1h1bf9g5uc","properties":{"formattedCitation":"[50]","plainCitation":"[50]","noteIndex":0},"citationItems":[{"id":1793,"uris":["http://zotero.org/users/5659608/items/DJJRQH3Z"],"itemData":{"id":1793,"type":"article-journal","container-title":"Energy Research &amp; Social Science","note":"Citation Key: friis2016challenge\npublisher: Elsevier","page":"124–133","title":"The challenge of time shifting energy demand practices: Insights from Denmark","volume":"19","author":[{"family":"Friis","given":"Freja"},{"family":"Christensen","given":"Toke Haunstrup"}],"issued":{"date-parts":[["2016"]]},"citation-key":"friis2016challenge"}}],"schema":"https://github.com/citation-style-language/schema/raw/master/csl-citation.json"} </w:instrText>
      </w:r>
      <w:r w:rsidR="009F0C18">
        <w:fldChar w:fldCharType="separate"/>
      </w:r>
      <w:r w:rsidR="008F1487" w:rsidRPr="008F1487">
        <w:t>[50]</w:t>
      </w:r>
      <w:r w:rsidR="009F0C18">
        <w:fldChar w:fldCharType="end"/>
      </w:r>
      <w:r w:rsidR="00CB46F3">
        <w:t xml:space="preserve">. </w:t>
      </w:r>
      <w:r w:rsidR="000009C4">
        <w:t xml:space="preserve">Therefore, ensuring respects to user’s time preference and simplify the complexity of DRPs are the </w:t>
      </w:r>
      <w:r w:rsidR="000009C4">
        <w:lastRenderedPageBreak/>
        <w:t xml:space="preserve">important considerations for the successful deployment of demand side management. </w:t>
      </w:r>
    </w:p>
    <w:p w14:paraId="61D17B4A" w14:textId="1AFD5F5C" w:rsidR="009B5CD9" w:rsidRDefault="00FF1878" w:rsidP="00F028F0">
      <w:pPr>
        <w:pStyle w:val="Heading2"/>
      </w:pPr>
      <w:bookmarkStart w:id="61" w:name="_Toc126326776"/>
      <w:bookmarkStart w:id="62" w:name="_Toc126327450"/>
      <w:bookmarkStart w:id="63" w:name="_Toc126327563"/>
      <w:bookmarkStart w:id="64" w:name="_Toc132122448"/>
      <w:bookmarkStart w:id="65" w:name="_Toc132122572"/>
      <w:bookmarkStart w:id="66" w:name="_Toc141991673"/>
      <w:r w:rsidRPr="00FF1878">
        <w:t>Research Problem</w:t>
      </w:r>
      <w:bookmarkEnd w:id="61"/>
      <w:bookmarkEnd w:id="62"/>
      <w:bookmarkEnd w:id="63"/>
      <w:bookmarkEnd w:id="64"/>
      <w:bookmarkEnd w:id="65"/>
      <w:bookmarkEnd w:id="66"/>
    </w:p>
    <w:p w14:paraId="1CB513D0" w14:textId="3EF6BA97" w:rsidR="005D5251" w:rsidRPr="00FC699A" w:rsidRDefault="00537644" w:rsidP="000B3A87">
      <w:pPr>
        <w:rPr>
          <w:i/>
          <w:iCs/>
        </w:rPr>
      </w:pPr>
      <w:bookmarkStart w:id="67" w:name="_Toc126326779"/>
      <w:bookmarkStart w:id="68" w:name="_Toc126327453"/>
      <w:bookmarkStart w:id="69" w:name="_Toc126327566"/>
      <w:bookmarkStart w:id="70" w:name="_Toc126326777"/>
      <w:bookmarkStart w:id="71" w:name="_Toc126327451"/>
      <w:bookmarkStart w:id="72" w:name="_Toc126327564"/>
      <w:r>
        <w:t>R</w:t>
      </w:r>
      <w:r w:rsidR="0091694D">
        <w:t xml:space="preserve">esidential buildings have a large potential on providing </w:t>
      </w:r>
      <w:r w:rsidR="00751AE0">
        <w:t xml:space="preserve">grid-service by </w:t>
      </w:r>
      <w:r w:rsidR="0091694D">
        <w:t>load shifting</w:t>
      </w:r>
      <w:r w:rsidR="00F9397F">
        <w:t xml:space="preserve"> and </w:t>
      </w:r>
      <w:r w:rsidR="0091694D">
        <w:t xml:space="preserve">load generation flexibility under </w:t>
      </w:r>
      <w:r w:rsidR="00F9397F">
        <w:t>Demand Response Programs (</w:t>
      </w:r>
      <w:r w:rsidR="00F37468">
        <w:t>DRPs</w:t>
      </w:r>
      <w:r w:rsidR="00F9397F">
        <w:t>)</w:t>
      </w:r>
      <w:r w:rsidR="0091694D">
        <w:t xml:space="preserve"> </w:t>
      </w:r>
      <w:r w:rsidR="00247DB9">
        <w:t xml:space="preserve">through </w:t>
      </w:r>
      <w:r w:rsidR="0091694D">
        <w:t>proper energy management.</w:t>
      </w:r>
      <w:r w:rsidR="00834392">
        <w:t xml:space="preserve"> </w:t>
      </w:r>
      <w:r w:rsidR="00180871">
        <w:t>Although significant progress has been made in hardware development</w:t>
      </w:r>
      <w:r w:rsidR="002D2EAF">
        <w:t xml:space="preserve">, resulting in </w:t>
      </w:r>
      <w:r w:rsidR="00D67978">
        <w:t>smart</w:t>
      </w:r>
      <w:r w:rsidR="00240151">
        <w:t xml:space="preserve"> devices</w:t>
      </w:r>
      <w:r w:rsidR="00D67978">
        <w:t xml:space="preserve"> (including IoT devices)</w:t>
      </w:r>
      <w:r w:rsidR="00240151">
        <w:t xml:space="preserve"> are</w:t>
      </w:r>
      <w:r w:rsidR="00A21A52">
        <w:t xml:space="preserve"> available</w:t>
      </w:r>
      <w:r w:rsidR="00EC74AD">
        <w:t xml:space="preserve"> and affordable</w:t>
      </w:r>
      <w:r w:rsidR="00A21A52">
        <w:t xml:space="preserve"> in </w:t>
      </w:r>
      <w:r w:rsidR="000A5EEC">
        <w:t>residential buildings</w:t>
      </w:r>
      <w:r w:rsidR="00146798">
        <w:t xml:space="preserve">, </w:t>
      </w:r>
      <w:r w:rsidR="003A24E3">
        <w:t>enables more control opportunities</w:t>
      </w:r>
      <w:r w:rsidR="00146798">
        <w:t>.</w:t>
      </w:r>
      <w:r w:rsidR="00CD17CA">
        <w:t xml:space="preserve"> </w:t>
      </w:r>
      <w:r w:rsidR="00CD17CA">
        <w:rPr>
          <w:rFonts w:hint="eastAsia"/>
        </w:rPr>
        <w:t>However</w:t>
      </w:r>
      <w:r w:rsidR="00CD17CA">
        <w:t xml:space="preserve">, the </w:t>
      </w:r>
      <w:r w:rsidR="006D42EA">
        <w:t xml:space="preserve">advanced control for </w:t>
      </w:r>
      <w:r w:rsidR="00CD17CA">
        <w:t>residential building home energy management is still in its early stage</w:t>
      </w:r>
      <w:r w:rsidR="00060BB8">
        <w:t xml:space="preserve">. </w:t>
      </w:r>
      <w:r w:rsidR="000F2628">
        <w:rPr>
          <w:i/>
          <w:iCs/>
        </w:rPr>
        <w:fldChar w:fldCharType="begin"/>
      </w:r>
      <w:r w:rsidR="000F2628">
        <w:rPr>
          <w:i/>
          <w:iCs/>
        </w:rPr>
        <w:instrText xml:space="preserve"> REF _Ref131792479 \h </w:instrText>
      </w:r>
      <w:r w:rsidR="000F2628">
        <w:rPr>
          <w:i/>
          <w:iCs/>
        </w:rPr>
      </w:r>
      <w:r w:rsidR="000F2628">
        <w:rPr>
          <w:i/>
          <w:iCs/>
        </w:rPr>
        <w:fldChar w:fldCharType="separate"/>
      </w:r>
      <w:r w:rsidR="000E1725">
        <w:t xml:space="preserve">Figure </w:t>
      </w:r>
      <w:r w:rsidR="000E1725">
        <w:rPr>
          <w:noProof/>
        </w:rPr>
        <w:t>1</w:t>
      </w:r>
      <w:r w:rsidR="000E1725">
        <w:t>.</w:t>
      </w:r>
      <w:r w:rsidR="000E1725">
        <w:rPr>
          <w:noProof/>
        </w:rPr>
        <w:t>4</w:t>
      </w:r>
      <w:r w:rsidR="000F2628">
        <w:rPr>
          <w:i/>
          <w:iCs/>
        </w:rPr>
        <w:fldChar w:fldCharType="end"/>
      </w:r>
      <w:r w:rsidR="000F2628">
        <w:rPr>
          <w:i/>
          <w:iCs/>
        </w:rPr>
        <w:t xml:space="preserve"> </w:t>
      </w:r>
      <w:r w:rsidR="000F2628">
        <w:t xml:space="preserve">summarizes the </w:t>
      </w:r>
      <w:r w:rsidR="000215B4">
        <w:t xml:space="preserve">load-flexible </w:t>
      </w:r>
      <w:r w:rsidR="006E4968">
        <w:t>resources</w:t>
      </w:r>
      <w:r w:rsidR="000F2628">
        <w:t xml:space="preserve"> in </w:t>
      </w:r>
      <w:r w:rsidR="00AE7FA7">
        <w:t>a</w:t>
      </w:r>
      <w:r w:rsidR="000F2628">
        <w:t xml:space="preserve"> residential building</w:t>
      </w:r>
      <w:r w:rsidR="003A24E3">
        <w:t xml:space="preserve">, highlighting </w:t>
      </w:r>
      <w:r w:rsidR="006C0E4D">
        <w:t xml:space="preserve">that </w:t>
      </w:r>
      <w:r w:rsidR="00530032">
        <w:t xml:space="preserve">different appliances have </w:t>
      </w:r>
      <w:r w:rsidR="00BB0FB0">
        <w:t>unique</w:t>
      </w:r>
      <w:r w:rsidR="00530032">
        <w:t xml:space="preserve"> operational characteristics</w:t>
      </w:r>
      <w:r w:rsidR="006C0E4D">
        <w:t>.</w:t>
      </w:r>
      <w:r w:rsidR="00530032">
        <w:t xml:space="preserve"> </w:t>
      </w:r>
      <w:r w:rsidR="006C0E4D">
        <w:t>These</w:t>
      </w:r>
      <w:r w:rsidR="00530032">
        <w:t xml:space="preserve"> distinctions, along with the current technological limitations, must be appropriately considered</w:t>
      </w:r>
      <w:r w:rsidR="006C0E4D">
        <w:t xml:space="preserve"> in the demand side management</w:t>
      </w:r>
      <w:r w:rsidR="00530032">
        <w:t xml:space="preserve">. </w:t>
      </w:r>
      <w:r w:rsidR="00CB6B0B">
        <w:t>In addition</w:t>
      </w:r>
      <w:r w:rsidR="00530032">
        <w:t xml:space="preserve">, </w:t>
      </w:r>
      <w:r w:rsidR="00BB0FB0">
        <w:t xml:space="preserve">beyond the technical barriers, economic and social factors also </w:t>
      </w:r>
      <w:r w:rsidR="008363BD">
        <w:t>play</w:t>
      </w:r>
      <w:r w:rsidR="00BB0FB0">
        <w:t xml:space="preserve"> an important role</w:t>
      </w:r>
      <w:r w:rsidR="00F23281">
        <w:t xml:space="preserve"> in </w:t>
      </w:r>
      <w:r w:rsidR="007D0651">
        <w:t xml:space="preserve">improving the demand response efficiency. In summary, </w:t>
      </w:r>
      <w:r w:rsidR="000548F6" w:rsidRPr="00737D50">
        <w:rPr>
          <w:i/>
          <w:iCs/>
        </w:rPr>
        <w:t>the</w:t>
      </w:r>
      <w:r w:rsidR="007D0651" w:rsidRPr="00737D50">
        <w:rPr>
          <w:i/>
          <w:iCs/>
        </w:rPr>
        <w:t xml:space="preserve"> knowledge gap is a lack of </w:t>
      </w:r>
      <w:r w:rsidR="007D0651">
        <w:rPr>
          <w:i/>
          <w:iCs/>
        </w:rPr>
        <w:t>a systematic framework to establish a grid-interactive</w:t>
      </w:r>
      <w:r w:rsidR="007D0651" w:rsidRPr="00737D50">
        <w:rPr>
          <w:i/>
          <w:iCs/>
        </w:rPr>
        <w:t xml:space="preserve"> </w:t>
      </w:r>
      <w:r w:rsidR="007D0651">
        <w:rPr>
          <w:i/>
          <w:iCs/>
        </w:rPr>
        <w:t xml:space="preserve">home automated </w:t>
      </w:r>
      <w:r w:rsidR="00590390">
        <w:rPr>
          <w:i/>
          <w:iCs/>
        </w:rPr>
        <w:t>energy management framework</w:t>
      </w:r>
      <w:r w:rsidR="007D0651" w:rsidRPr="00737D50">
        <w:rPr>
          <w:i/>
          <w:iCs/>
        </w:rPr>
        <w:t xml:space="preserve"> </w:t>
      </w:r>
      <w:r w:rsidR="007D0651">
        <w:rPr>
          <w:i/>
          <w:iCs/>
        </w:rPr>
        <w:t>that can enable advanced optimal control and</w:t>
      </w:r>
      <w:r w:rsidR="007D0651" w:rsidRPr="00737D50">
        <w:rPr>
          <w:i/>
          <w:iCs/>
        </w:rPr>
        <w:t xml:space="preserve"> </w:t>
      </w:r>
      <w:r w:rsidR="007D0651">
        <w:rPr>
          <w:i/>
          <w:iCs/>
        </w:rPr>
        <w:t>coordination among</w:t>
      </w:r>
      <w:r w:rsidR="007D0651" w:rsidRPr="00737D50">
        <w:rPr>
          <w:i/>
          <w:iCs/>
        </w:rPr>
        <w:t xml:space="preserve"> </w:t>
      </w:r>
      <w:r w:rsidR="007D0651">
        <w:rPr>
          <w:i/>
          <w:iCs/>
        </w:rPr>
        <w:t xml:space="preserve">multiple </w:t>
      </w:r>
      <w:r w:rsidR="007D0651" w:rsidRPr="00737D50">
        <w:rPr>
          <w:i/>
          <w:iCs/>
        </w:rPr>
        <w:t>flexible resources</w:t>
      </w:r>
      <w:r w:rsidR="007D0651">
        <w:rPr>
          <w:i/>
          <w:iCs/>
        </w:rPr>
        <w:t>, provide more insights to different stakeholders, and be applicable for different residential buildings,</w:t>
      </w:r>
      <w:r w:rsidR="007D0651" w:rsidRPr="00632CFB">
        <w:rPr>
          <w:i/>
          <w:iCs/>
        </w:rPr>
        <w:t xml:space="preserve"> </w:t>
      </w:r>
      <w:r w:rsidR="007D0651">
        <w:rPr>
          <w:i/>
          <w:iCs/>
        </w:rPr>
        <w:t>under DRPs</w:t>
      </w:r>
      <w:r w:rsidR="007D0651" w:rsidRPr="00737D50">
        <w:rPr>
          <w:i/>
          <w:iCs/>
        </w:rPr>
        <w:t>.</w:t>
      </w:r>
      <w:r w:rsidR="00570AF5">
        <w:rPr>
          <w:i/>
          <w:iCs/>
        </w:rPr>
        <w:t xml:space="preserve"> </w:t>
      </w:r>
      <w:r w:rsidR="00246E15">
        <w:t>More importantly</w:t>
      </w:r>
      <w:r w:rsidR="007B467A">
        <w:t>,</w:t>
      </w:r>
      <w:r w:rsidR="00717A97">
        <w:t xml:space="preserve"> the HVAC system, which dominates energy usage in residential buildings due to</w:t>
      </w:r>
      <w:r w:rsidR="007B467A">
        <w:t xml:space="preserve"> space cooling and heating</w:t>
      </w:r>
      <w:r w:rsidR="00717A97">
        <w:t xml:space="preserve">, </w:t>
      </w:r>
      <w:r w:rsidR="00570AF5">
        <w:t>is particularly complex</w:t>
      </w:r>
      <w:r w:rsidR="007B467A">
        <w:t xml:space="preserve">. </w:t>
      </w:r>
      <w:r w:rsidR="00A17CDB" w:rsidRPr="00FC699A">
        <w:rPr>
          <w:i/>
          <w:iCs/>
        </w:rPr>
        <w:t>Developing a fram</w:t>
      </w:r>
      <w:r w:rsidR="0062759F" w:rsidRPr="00FC699A">
        <w:rPr>
          <w:i/>
          <w:iCs/>
        </w:rPr>
        <w:t xml:space="preserve">ework </w:t>
      </w:r>
      <w:r w:rsidR="00640A86" w:rsidRPr="00FC699A">
        <w:rPr>
          <w:i/>
          <w:iCs/>
        </w:rPr>
        <w:t>to conduct the</w:t>
      </w:r>
      <w:r w:rsidR="00EA41E2">
        <w:rPr>
          <w:i/>
          <w:iCs/>
        </w:rPr>
        <w:t xml:space="preserve"> user-</w:t>
      </w:r>
      <w:r w:rsidR="009C0C84">
        <w:rPr>
          <w:i/>
          <w:iCs/>
        </w:rPr>
        <w:t>driven</w:t>
      </w:r>
      <w:r w:rsidR="00640A86" w:rsidRPr="00FC699A">
        <w:rPr>
          <w:i/>
          <w:iCs/>
        </w:rPr>
        <w:t xml:space="preserve"> optimal precooling or preheating</w:t>
      </w:r>
      <w:r w:rsidR="00F84D93" w:rsidRPr="00640A86">
        <w:rPr>
          <w:i/>
          <w:iCs/>
        </w:rPr>
        <w:t xml:space="preserve"> </w:t>
      </w:r>
      <w:r w:rsidR="00640A86">
        <w:rPr>
          <w:i/>
          <w:iCs/>
        </w:rPr>
        <w:t xml:space="preserve">and overcome the deployment barrier of the HVAC system </w:t>
      </w:r>
      <w:r w:rsidR="00FC72E5" w:rsidRPr="00640A86">
        <w:rPr>
          <w:i/>
          <w:iCs/>
        </w:rPr>
        <w:t>is</w:t>
      </w:r>
      <w:r w:rsidR="00F84D93" w:rsidRPr="00640A86">
        <w:rPr>
          <w:i/>
          <w:iCs/>
        </w:rPr>
        <w:t xml:space="preserve"> </w:t>
      </w:r>
      <w:r w:rsidR="00431AA4">
        <w:rPr>
          <w:i/>
          <w:iCs/>
        </w:rPr>
        <w:t>one of the main challenge</w:t>
      </w:r>
      <w:r w:rsidR="00C7462C">
        <w:rPr>
          <w:i/>
          <w:iCs/>
        </w:rPr>
        <w:t>s</w:t>
      </w:r>
      <w:r w:rsidR="00431AA4" w:rsidRPr="00640A86">
        <w:rPr>
          <w:i/>
          <w:iCs/>
        </w:rPr>
        <w:t xml:space="preserve"> </w:t>
      </w:r>
      <w:r w:rsidR="00F84D93" w:rsidRPr="00640A86">
        <w:rPr>
          <w:i/>
          <w:iCs/>
        </w:rPr>
        <w:t xml:space="preserve">of this </w:t>
      </w:r>
      <w:r w:rsidR="002938B4">
        <w:rPr>
          <w:i/>
          <w:iCs/>
        </w:rPr>
        <w:t xml:space="preserve">home </w:t>
      </w:r>
      <w:r w:rsidR="00590390">
        <w:rPr>
          <w:i/>
          <w:iCs/>
        </w:rPr>
        <w:t xml:space="preserve">energy </w:t>
      </w:r>
      <w:r w:rsidR="00590390">
        <w:rPr>
          <w:i/>
          <w:iCs/>
        </w:rPr>
        <w:lastRenderedPageBreak/>
        <w:t>management framework</w:t>
      </w:r>
      <w:r w:rsidR="004E5BBB" w:rsidRPr="00640A86">
        <w:rPr>
          <w:i/>
          <w:iCs/>
        </w:rPr>
        <w:t>.</w:t>
      </w:r>
      <w:r w:rsidR="00F84D93" w:rsidRPr="00FC699A">
        <w:rPr>
          <w:i/>
          <w:iCs/>
        </w:rPr>
        <w:t xml:space="preserve"> </w:t>
      </w:r>
    </w:p>
    <w:p w14:paraId="3D31CACD" w14:textId="77777777" w:rsidR="00AA7A65" w:rsidRDefault="00DF63AE" w:rsidP="009C7EA8">
      <w:pPr>
        <w:ind w:firstLine="0"/>
        <w:jc w:val="center"/>
      </w:pPr>
      <w:r>
        <w:rPr>
          <w:noProof/>
        </w:rPr>
        <w:drawing>
          <wp:inline distT="0" distB="0" distL="0" distR="0" wp14:anchorId="5E9D5758" wp14:editId="4A2FA286">
            <wp:extent cx="5373511" cy="340709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22">
                      <a:extLst>
                        <a:ext uri="{28A0092B-C50C-407E-A947-70E740481C1C}">
                          <a14:useLocalDpi xmlns:a14="http://schemas.microsoft.com/office/drawing/2010/main" val="0"/>
                        </a:ext>
                      </a:extLst>
                    </a:blip>
                    <a:srcRect r="6633"/>
                    <a:stretch/>
                  </pic:blipFill>
                  <pic:spPr bwMode="auto">
                    <a:xfrm>
                      <a:off x="0" y="0"/>
                      <a:ext cx="5379642" cy="3410979"/>
                    </a:xfrm>
                    <a:prstGeom prst="rect">
                      <a:avLst/>
                    </a:prstGeom>
                    <a:ln>
                      <a:noFill/>
                    </a:ln>
                    <a:extLst>
                      <a:ext uri="{53640926-AAD7-44D8-BBD7-CCE9431645EC}">
                        <a14:shadowObscured xmlns:a14="http://schemas.microsoft.com/office/drawing/2010/main"/>
                      </a:ext>
                    </a:extLst>
                  </pic:spPr>
                </pic:pic>
              </a:graphicData>
            </a:graphic>
          </wp:inline>
        </w:drawing>
      </w:r>
    </w:p>
    <w:p w14:paraId="02827A6A" w14:textId="127A92AC" w:rsidR="00DF63AE" w:rsidRPr="00737D50" w:rsidRDefault="00AA7A65" w:rsidP="00FC699A">
      <w:pPr>
        <w:pStyle w:val="13FigureCaption"/>
        <w:rPr>
          <w:i/>
          <w:iCs/>
        </w:rPr>
      </w:pPr>
      <w:bookmarkStart w:id="73" w:name="_Ref131792479"/>
      <w:bookmarkStart w:id="74" w:name="_Toc141349907"/>
      <w:r>
        <w:t xml:space="preserve">Figure </w:t>
      </w:r>
      <w:fldSimple w:instr=" STYLEREF 1 \s ">
        <w:r w:rsidR="000E1725">
          <w:rPr>
            <w:noProof/>
          </w:rPr>
          <w:t>1</w:t>
        </w:r>
      </w:fldSimple>
      <w:r w:rsidR="005445E0">
        <w:t>.</w:t>
      </w:r>
      <w:fldSimple w:instr=" SEQ Figure \* ARABIC \s 1 ">
        <w:r w:rsidR="000E1725">
          <w:rPr>
            <w:noProof/>
          </w:rPr>
          <w:t>4</w:t>
        </w:r>
      </w:fldSimple>
      <w:bookmarkEnd w:id="73"/>
      <w:r>
        <w:t xml:space="preserve"> </w:t>
      </w:r>
      <w:r w:rsidR="000215B4">
        <w:t xml:space="preserve">Load-flexible </w:t>
      </w:r>
      <w:r w:rsidR="00830971">
        <w:t>resources</w:t>
      </w:r>
      <w:r>
        <w:t>, technologies, and their deployment limitations in residential buildings</w:t>
      </w:r>
      <w:bookmarkEnd w:id="74"/>
    </w:p>
    <w:p w14:paraId="03552977" w14:textId="02F7F0E9" w:rsidR="008F2FAF" w:rsidRDefault="005F1308" w:rsidP="000B3A87">
      <w:r>
        <w:t>To fill these research gap</w:t>
      </w:r>
      <w:r w:rsidR="007E0577">
        <w:t xml:space="preserve">, the following research questions are raised followed by the hypothesis on how to address each question. </w:t>
      </w:r>
    </w:p>
    <w:p w14:paraId="304C8D29" w14:textId="26D99A00" w:rsidR="005A4927" w:rsidRDefault="005A4927" w:rsidP="00B61648">
      <w:pPr>
        <w:pStyle w:val="TableCaption"/>
        <w:ind w:left="962" w:hanging="482"/>
      </w:pPr>
    </w:p>
    <w:p w14:paraId="1605DC60" w14:textId="026096EA" w:rsidR="0038432F" w:rsidRDefault="0038432F" w:rsidP="0069024E">
      <w:pPr>
        <w:pStyle w:val="TableCaption"/>
        <w:ind w:left="962" w:hanging="482"/>
      </w:pPr>
      <w:bookmarkStart w:id="75" w:name="_Toc141343893"/>
      <w:r>
        <w:t xml:space="preserve">Table </w:t>
      </w:r>
      <w:fldSimple w:instr=" STYLEREF 1 \s ">
        <w:r w:rsidR="000E1725">
          <w:rPr>
            <w:noProof/>
          </w:rPr>
          <w:t>1</w:t>
        </w:r>
      </w:fldSimple>
      <w:r w:rsidR="00146A55">
        <w:t>.</w:t>
      </w:r>
      <w:fldSimple w:instr=" SEQ Table \* ARABIC \s 1 ">
        <w:r w:rsidR="000E1725">
          <w:rPr>
            <w:noProof/>
          </w:rPr>
          <w:t>2</w:t>
        </w:r>
      </w:fldSimple>
      <w:r>
        <w:t xml:space="preserve"> Research questions and hypothesis.</w:t>
      </w:r>
      <w:bookmarkEnd w:id="75"/>
      <w:r>
        <w:t xml:space="preserve"> </w:t>
      </w:r>
    </w:p>
    <w:tbl>
      <w:tblPr>
        <w:tblStyle w:val="TableGrid"/>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4140"/>
      </w:tblGrid>
      <w:tr w:rsidR="00F87986" w14:paraId="4266EC24" w14:textId="77777777" w:rsidTr="00A37A50">
        <w:tc>
          <w:tcPr>
            <w:tcW w:w="8995" w:type="dxa"/>
            <w:gridSpan w:val="2"/>
            <w:vAlign w:val="center"/>
          </w:tcPr>
          <w:p w14:paraId="6B1C9401" w14:textId="78B72A5D" w:rsidR="00F87986" w:rsidRPr="00B61648" w:rsidRDefault="00F87986" w:rsidP="00F87986">
            <w:pPr>
              <w:jc w:val="left"/>
              <w:rPr>
                <w:b/>
                <w:bCs/>
              </w:rPr>
            </w:pPr>
            <w:r w:rsidRPr="00B61648">
              <w:rPr>
                <w:b/>
                <w:bCs/>
              </w:rPr>
              <w:t xml:space="preserve">Primary Research Question: </w:t>
            </w:r>
          </w:p>
        </w:tc>
      </w:tr>
      <w:tr w:rsidR="00F87986" w14:paraId="101C9B10" w14:textId="77777777" w:rsidTr="00A37A50">
        <w:tc>
          <w:tcPr>
            <w:tcW w:w="8995" w:type="dxa"/>
            <w:gridSpan w:val="2"/>
            <w:vAlign w:val="center"/>
          </w:tcPr>
          <w:p w14:paraId="21568AEE" w14:textId="00959056" w:rsidR="00F87986" w:rsidRPr="00B61648" w:rsidRDefault="00F87986" w:rsidP="00F87986">
            <w:pPr>
              <w:jc w:val="left"/>
              <w:rPr>
                <w:b/>
                <w:bCs/>
              </w:rPr>
            </w:pPr>
            <w:r>
              <w:t>How can residential buildings be transformed into energy-efficient, cost-effective, and grid-interactive systems under a DRP by overcoming hardware, software, and social/economical barriers?</w:t>
            </w:r>
          </w:p>
        </w:tc>
      </w:tr>
      <w:tr w:rsidR="00F87986" w14:paraId="2152E3E3" w14:textId="06EB30C6" w:rsidTr="00A37A50">
        <w:tc>
          <w:tcPr>
            <w:tcW w:w="4855" w:type="dxa"/>
            <w:vAlign w:val="center"/>
          </w:tcPr>
          <w:p w14:paraId="57A99F58" w14:textId="514EE1D2" w:rsidR="00F87986" w:rsidRPr="00B61648" w:rsidRDefault="00F87986" w:rsidP="005823A9">
            <w:pPr>
              <w:jc w:val="left"/>
              <w:rPr>
                <w:b/>
                <w:bCs/>
              </w:rPr>
            </w:pPr>
            <w:r w:rsidRPr="00B61648">
              <w:rPr>
                <w:b/>
                <w:bCs/>
              </w:rPr>
              <w:t>Sub-research Questions</w:t>
            </w:r>
            <w:r>
              <w:rPr>
                <w:b/>
                <w:bCs/>
              </w:rPr>
              <w:t>:</w:t>
            </w:r>
          </w:p>
        </w:tc>
        <w:tc>
          <w:tcPr>
            <w:tcW w:w="4140" w:type="dxa"/>
            <w:vAlign w:val="center"/>
          </w:tcPr>
          <w:p w14:paraId="07BADB9F" w14:textId="0D47E6A6" w:rsidR="00F87986" w:rsidRPr="00B61648" w:rsidRDefault="00F87986" w:rsidP="005823A9">
            <w:pPr>
              <w:jc w:val="left"/>
              <w:rPr>
                <w:b/>
                <w:bCs/>
              </w:rPr>
            </w:pPr>
            <w:r w:rsidRPr="00B61648">
              <w:rPr>
                <w:b/>
                <w:bCs/>
              </w:rPr>
              <w:t>Hypothesis</w:t>
            </w:r>
            <w:r>
              <w:rPr>
                <w:b/>
                <w:bCs/>
              </w:rPr>
              <w:t>:</w:t>
            </w:r>
          </w:p>
        </w:tc>
      </w:tr>
      <w:tr w:rsidR="00F87986" w14:paraId="776EEC58" w14:textId="5B2B99AE" w:rsidTr="00A37A50">
        <w:trPr>
          <w:trHeight w:val="1440"/>
        </w:trPr>
        <w:tc>
          <w:tcPr>
            <w:tcW w:w="4855" w:type="dxa"/>
            <w:vAlign w:val="center"/>
          </w:tcPr>
          <w:p w14:paraId="7E00955C" w14:textId="1C28431D" w:rsidR="00F87986" w:rsidRPr="008D5C06" w:rsidRDefault="00F87986" w:rsidP="005823A9">
            <w:pPr>
              <w:jc w:val="left"/>
            </w:pPr>
            <w:r>
              <w:lastRenderedPageBreak/>
              <w:t>Q1: How can a home energy management system be facilitated in residential buildings in response to grid signals without the need for user’s inputs and knowledge?</w:t>
            </w:r>
            <w:r w:rsidDel="000548F6">
              <w:t xml:space="preserve"> </w:t>
            </w:r>
          </w:p>
        </w:tc>
        <w:tc>
          <w:tcPr>
            <w:tcW w:w="4140" w:type="dxa"/>
            <w:vAlign w:val="center"/>
          </w:tcPr>
          <w:p w14:paraId="32B39BC0" w14:textId="1550D3CB" w:rsidR="00F87986" w:rsidRDefault="00F87986" w:rsidP="005823A9">
            <w:pPr>
              <w:jc w:val="left"/>
            </w:pPr>
            <w:r>
              <w:t xml:space="preserve">H1: The implementation of learning-based model in a home </w:t>
            </w:r>
            <w:r w:rsidR="00590390">
              <w:t>energy management framework</w:t>
            </w:r>
            <w:r>
              <w:t xml:space="preserve"> can facilitate optimal operation of appliances in one and multiple residential buildings without the need for use’s input.</w:t>
            </w:r>
          </w:p>
        </w:tc>
      </w:tr>
      <w:tr w:rsidR="00F87986" w14:paraId="656094A0" w14:textId="493F6367" w:rsidTr="00A37A50">
        <w:trPr>
          <w:trHeight w:val="1440"/>
        </w:trPr>
        <w:tc>
          <w:tcPr>
            <w:tcW w:w="4855" w:type="dxa"/>
            <w:vAlign w:val="center"/>
          </w:tcPr>
          <w:p w14:paraId="2519AF23" w14:textId="5F61B325" w:rsidR="00F87986" w:rsidRPr="008D5C06" w:rsidRDefault="00F87986" w:rsidP="005823A9">
            <w:pPr>
              <w:jc w:val="left"/>
            </w:pPr>
            <w:r>
              <w:t>Q2: Can the feasible solutions for conducting optimal operation such as optimal precooling in a residential building be implemented through smart thermostat?</w:t>
            </w:r>
          </w:p>
        </w:tc>
        <w:tc>
          <w:tcPr>
            <w:tcW w:w="4140" w:type="dxa"/>
            <w:vAlign w:val="center"/>
          </w:tcPr>
          <w:p w14:paraId="1FD545E1" w14:textId="7A7E69B6" w:rsidR="00F87986" w:rsidRDefault="00F87986" w:rsidP="005823A9">
            <w:pPr>
              <w:jc w:val="left"/>
            </w:pPr>
            <w:r>
              <w:t xml:space="preserve">H2: The feasible solutions can be achieved by establishing learning-based models for appliances, implementing practical control based on an optimization framework, and developing remote control capabilities for the energy management planform. </w:t>
            </w:r>
          </w:p>
        </w:tc>
      </w:tr>
      <w:tr w:rsidR="00F87986" w14:paraId="73E9A753" w14:textId="154C8C1A" w:rsidTr="00A37A50">
        <w:trPr>
          <w:trHeight w:val="807"/>
        </w:trPr>
        <w:tc>
          <w:tcPr>
            <w:tcW w:w="4855" w:type="dxa"/>
          </w:tcPr>
          <w:p w14:paraId="422A82D3" w14:textId="41F665E9" w:rsidR="00F87986" w:rsidRPr="008D5C06" w:rsidRDefault="00F87986" w:rsidP="00F87986">
            <w:r>
              <w:rPr>
                <w:rFonts w:hint="eastAsia"/>
              </w:rPr>
              <w:t>Q</w:t>
            </w:r>
            <w:r>
              <w:t>3: What are the key factors that impact the cost saving and demand flexibility of optimal precooling control under DRPs?</w:t>
            </w:r>
          </w:p>
        </w:tc>
        <w:tc>
          <w:tcPr>
            <w:tcW w:w="4140" w:type="dxa"/>
          </w:tcPr>
          <w:p w14:paraId="34A76B42" w14:textId="3811C4FC" w:rsidR="00F87986" w:rsidRDefault="00F87986" w:rsidP="00F87986">
            <w:r>
              <w:t xml:space="preserve">H3: Numerous factors can influence the cost-saving and demand flexibility, therefore, to identify these key impact factors, both simulation study which allowed for controlled variables, and field test study which provide may provide insights into aspects difficult to </w:t>
            </w:r>
            <w:r>
              <w:lastRenderedPageBreak/>
              <w:t xml:space="preserve">model in simulation are required. </w:t>
            </w:r>
          </w:p>
        </w:tc>
      </w:tr>
      <w:tr w:rsidR="00F87986" w14:paraId="5D828C65" w14:textId="75DA7A0D" w:rsidTr="00A37A50">
        <w:trPr>
          <w:trHeight w:val="807"/>
        </w:trPr>
        <w:tc>
          <w:tcPr>
            <w:tcW w:w="4855" w:type="dxa"/>
          </w:tcPr>
          <w:p w14:paraId="406428EB" w14:textId="5FBA4357" w:rsidR="00F87986" w:rsidRDefault="00F87986" w:rsidP="00F87986">
            <w:r>
              <w:rPr>
                <w:rFonts w:hint="eastAsia"/>
              </w:rPr>
              <w:lastRenderedPageBreak/>
              <w:t>Q</w:t>
            </w:r>
            <w:r>
              <w:t xml:space="preserve">4: How can a home </w:t>
            </w:r>
            <w:r w:rsidR="00590390">
              <w:t>energy management framework</w:t>
            </w:r>
            <w:r>
              <w:t xml:space="preserve"> be designed to incorporate user thermal comfort preference and appliance use time preference when optimally coordinating multiple appliances in residential buildings under DRPs? </w:t>
            </w:r>
          </w:p>
        </w:tc>
        <w:tc>
          <w:tcPr>
            <w:tcW w:w="4140" w:type="dxa"/>
          </w:tcPr>
          <w:p w14:paraId="598930C5" w14:textId="38FBE4BF" w:rsidR="00F87986" w:rsidRDefault="00F87986" w:rsidP="00F87986">
            <w:r>
              <w:t xml:space="preserve">H4: To incorporate user preference in the home </w:t>
            </w:r>
            <w:r w:rsidR="00590390">
              <w:t>energy management framework</w:t>
            </w:r>
            <w:r>
              <w:t xml:space="preserve">, user thermal comfort and appliance usage time can be designed through understanding and learning user behavior patterns and applying multi-objective optimization framework.  </w:t>
            </w:r>
          </w:p>
        </w:tc>
      </w:tr>
      <w:tr w:rsidR="00F87986" w14:paraId="21AD386D" w14:textId="2468499E" w:rsidTr="00A37A50">
        <w:trPr>
          <w:trHeight w:val="807"/>
        </w:trPr>
        <w:tc>
          <w:tcPr>
            <w:tcW w:w="4855" w:type="dxa"/>
          </w:tcPr>
          <w:p w14:paraId="53A951A0" w14:textId="2D9B760C" w:rsidR="00F87986" w:rsidRDefault="00F87986" w:rsidP="00F87986">
            <w:r>
              <w:t>Q5: What are the proper methods to quantify the energy flexibility potential of appliances in residential buildings that provide insights to different stakeholders such as homeowners and energy providers under DRPs?</w:t>
            </w:r>
          </w:p>
        </w:tc>
        <w:tc>
          <w:tcPr>
            <w:tcW w:w="4140" w:type="dxa"/>
          </w:tcPr>
          <w:p w14:paraId="4FDD0113" w14:textId="0C9E36FF" w:rsidR="00F87986" w:rsidRDefault="00F87986" w:rsidP="00F87986">
            <w:r>
              <w:t>H5: The energy flexibility potential in residential buildings can be effectively quantified using different key performance indices tailored for</w:t>
            </w:r>
            <w:r w:rsidR="00EE61BF">
              <w:t xml:space="preserve"> the unique interests and needs of</w:t>
            </w:r>
            <w:r>
              <w:t xml:space="preserve"> different stakeholders, </w:t>
            </w:r>
            <w:r w:rsidR="00D27F1D">
              <w:t>and a single index might not adequately capture the</w:t>
            </w:r>
            <w:r w:rsidR="001C7901">
              <w:t xml:space="preserve"> benefits to all stakeholders</w:t>
            </w:r>
            <w:r>
              <w:t xml:space="preserve">. </w:t>
            </w:r>
          </w:p>
        </w:tc>
      </w:tr>
    </w:tbl>
    <w:p w14:paraId="516C4957" w14:textId="6010FFAA" w:rsidR="002D787D" w:rsidRDefault="002D787D" w:rsidP="000B3A87">
      <w:r>
        <w:t xml:space="preserve">Based on current research and technology development, </w:t>
      </w:r>
      <w:r w:rsidR="00070129">
        <w:t xml:space="preserve">the </w:t>
      </w:r>
      <w:r>
        <w:t>following knowledge gap has found:</w:t>
      </w:r>
    </w:p>
    <w:p w14:paraId="510DD36B" w14:textId="2A6DAEED" w:rsidR="00A71246" w:rsidRDefault="00A71246" w:rsidP="000B3A87">
      <w:pPr>
        <w:pStyle w:val="ListParagraph"/>
        <w:numPr>
          <w:ilvl w:val="0"/>
          <w:numId w:val="43"/>
        </w:numPr>
        <w:ind w:firstLineChars="0"/>
      </w:pPr>
      <w:r>
        <w:t xml:space="preserve">Lack of an effective software platform that can </w:t>
      </w:r>
      <w:r w:rsidR="00BF0AC8">
        <w:t>enable advance control and</w:t>
      </w:r>
      <w:r>
        <w:t xml:space="preserve"> operate </w:t>
      </w:r>
      <w:r w:rsidR="00CD061B">
        <w:t>with minimal user input</w:t>
      </w:r>
      <w:r>
        <w:t>.</w:t>
      </w:r>
    </w:p>
    <w:p w14:paraId="6A35D802" w14:textId="4CDC7B6F" w:rsidR="00A71246" w:rsidRDefault="00A71246" w:rsidP="000B3A87">
      <w:pPr>
        <w:pStyle w:val="ListParagraph"/>
        <w:numPr>
          <w:ilvl w:val="0"/>
          <w:numId w:val="43"/>
        </w:numPr>
        <w:ind w:firstLineChars="0"/>
      </w:pPr>
      <w:r>
        <w:lastRenderedPageBreak/>
        <w:t xml:space="preserve">Lack of </w:t>
      </w:r>
      <w:r w:rsidR="00963EB5">
        <w:t>low-cost hardware that does not require significant retrofits</w:t>
      </w:r>
      <w:r w:rsidR="00581BA3">
        <w:t xml:space="preserve"> to conduct the advance control</w:t>
      </w:r>
      <w:r w:rsidR="00963EB5">
        <w:t>.</w:t>
      </w:r>
    </w:p>
    <w:p w14:paraId="24215811" w14:textId="60E44491" w:rsidR="002D787D" w:rsidRDefault="002D787D" w:rsidP="000B3A87">
      <w:pPr>
        <w:pStyle w:val="ListParagraph"/>
        <w:numPr>
          <w:ilvl w:val="0"/>
          <w:numId w:val="43"/>
        </w:numPr>
        <w:ind w:firstLineChars="0"/>
      </w:pPr>
      <w:r>
        <w:t xml:space="preserve">Lack of field demonstration of MPC-based optimal precooling in multiple residential buildings under </w:t>
      </w:r>
      <w:r w:rsidR="00F37468">
        <w:rPr>
          <w:rFonts w:hint="eastAsia"/>
        </w:rPr>
        <w:t>DRPs</w:t>
      </w:r>
      <w:r>
        <w:t xml:space="preserve">. </w:t>
      </w:r>
    </w:p>
    <w:p w14:paraId="2E3C58EC" w14:textId="77777777" w:rsidR="002D787D" w:rsidRDefault="002D787D" w:rsidP="000B3A87">
      <w:pPr>
        <w:pStyle w:val="ListParagraph"/>
        <w:numPr>
          <w:ilvl w:val="0"/>
          <w:numId w:val="43"/>
        </w:numPr>
        <w:ind w:firstLineChars="0"/>
      </w:pPr>
      <w:r>
        <w:t xml:space="preserve">No impact analysis for MPC-based optimal precooling based on filed test results. </w:t>
      </w:r>
    </w:p>
    <w:p w14:paraId="1FB07176" w14:textId="681104FA" w:rsidR="009A409D" w:rsidRPr="00034870" w:rsidRDefault="00A31568" w:rsidP="00115CBB">
      <w:pPr>
        <w:pStyle w:val="ListParagraph"/>
        <w:numPr>
          <w:ilvl w:val="0"/>
          <w:numId w:val="43"/>
        </w:numPr>
        <w:ind w:firstLineChars="0"/>
      </w:pPr>
      <w:r w:rsidRPr="00034870">
        <w:t xml:space="preserve">Lack of </w:t>
      </w:r>
      <w:r>
        <w:t>systematic algorithm to</w:t>
      </w:r>
      <w:r w:rsidR="00A61329">
        <w:t xml:space="preserve"> incorporate both user thermal comfort and appliance use time comfort when optimal coordinate multiple appliances under DRPs. </w:t>
      </w:r>
    </w:p>
    <w:p w14:paraId="5906B07D" w14:textId="77777777" w:rsidR="00A72F18" w:rsidRDefault="00A72F18" w:rsidP="00A72F18">
      <w:pPr>
        <w:pStyle w:val="ListParagraph"/>
        <w:numPr>
          <w:ilvl w:val="0"/>
          <w:numId w:val="43"/>
        </w:numPr>
        <w:ind w:firstLineChars="0"/>
      </w:pPr>
      <w:r>
        <w:t xml:space="preserve">Lack of quantification metric to evaluate the advance control performance that can provide valuable information to various stakeholders involved in demand response programs. </w:t>
      </w:r>
    </w:p>
    <w:p w14:paraId="7FB2C7AE" w14:textId="5F6315DF" w:rsidR="00083915" w:rsidRDefault="00F97D2F" w:rsidP="00034870">
      <w:r>
        <w:t xml:space="preserve">Build upon previous discussion, the research hypothesis </w:t>
      </w:r>
      <w:r w:rsidR="00451B44">
        <w:t>for each</w:t>
      </w:r>
      <w:r w:rsidR="002B3694">
        <w:t xml:space="preserve"> research questions are in the following</w:t>
      </w:r>
      <w:r w:rsidR="00331EA6">
        <w:t xml:space="preserve">. </w:t>
      </w:r>
      <w:r w:rsidR="002B24F4">
        <w:rPr>
          <w:i/>
          <w:iCs/>
        </w:rPr>
        <w:t xml:space="preserve">The </w:t>
      </w:r>
      <w:r w:rsidR="00146A55">
        <w:rPr>
          <w:i/>
          <w:iCs/>
        </w:rPr>
        <w:t xml:space="preserve">primary </w:t>
      </w:r>
      <w:r w:rsidR="002B24F4">
        <w:rPr>
          <w:i/>
          <w:iCs/>
        </w:rPr>
        <w:t xml:space="preserve">research hypothesis in this study is that such a home </w:t>
      </w:r>
      <w:r w:rsidR="00590390">
        <w:rPr>
          <w:i/>
          <w:iCs/>
        </w:rPr>
        <w:t>energy management framework</w:t>
      </w:r>
      <w:r w:rsidR="002B24F4">
        <w:rPr>
          <w:i/>
          <w:iCs/>
        </w:rPr>
        <w:t xml:space="preserve"> can be achieved by using the proposed framework including model development, control implementation, and post-analysis procedure in this dissertation to produce actionable instruction for home appliances control and to provide contextualized insights to different stakeholders</w:t>
      </w:r>
      <w:r w:rsidR="001C7901">
        <w:rPr>
          <w:i/>
          <w:iCs/>
        </w:rPr>
        <w:t>.</w:t>
      </w:r>
    </w:p>
    <w:p w14:paraId="334DEDBB" w14:textId="554ECB87" w:rsidR="007F2DD9" w:rsidRPr="00034870" w:rsidRDefault="00AB0A78" w:rsidP="00AB0A78">
      <w:pPr>
        <w:pStyle w:val="Heading2"/>
        <w:rPr>
          <w:rFonts w:eastAsia="Times New Roman"/>
        </w:rPr>
      </w:pPr>
      <w:bookmarkStart w:id="76" w:name="_Toc132122450"/>
      <w:bookmarkStart w:id="77" w:name="_Toc132122574"/>
      <w:bookmarkStart w:id="78" w:name="_Toc141991674"/>
      <w:bookmarkEnd w:id="67"/>
      <w:bookmarkEnd w:id="68"/>
      <w:bookmarkEnd w:id="69"/>
      <w:bookmarkEnd w:id="70"/>
      <w:bookmarkEnd w:id="71"/>
      <w:bookmarkEnd w:id="72"/>
      <w:r>
        <w:t>Dissertation Outline</w:t>
      </w:r>
      <w:bookmarkEnd w:id="76"/>
      <w:bookmarkEnd w:id="77"/>
      <w:bookmarkEnd w:id="78"/>
      <w:r w:rsidR="00843350">
        <w:t xml:space="preserve"> </w:t>
      </w:r>
    </w:p>
    <w:p w14:paraId="1CF33D77" w14:textId="41CEF4FB" w:rsidR="000B3313" w:rsidRDefault="00B9139A" w:rsidP="00DD6D54">
      <w:r>
        <w:t xml:space="preserve">It is evident from the above discussion that there is a </w:t>
      </w:r>
      <w:r w:rsidR="0089279E">
        <w:t>need</w:t>
      </w:r>
      <w:r>
        <w:t xml:space="preserve"> for a home energy management framework that is </w:t>
      </w:r>
      <w:r w:rsidR="0089279E">
        <w:t>adaptable</w:t>
      </w:r>
      <w:r>
        <w:t xml:space="preserve"> to residential buildings, </w:t>
      </w:r>
      <w:r w:rsidR="0089279E">
        <w:t>respects</w:t>
      </w:r>
      <w:r>
        <w:t xml:space="preserve"> users’ thermal comfort and time-</w:t>
      </w:r>
      <w:r>
        <w:lastRenderedPageBreak/>
        <w:t>use preferences, provides differentiated performance indices for various stakeholders, and carry out in-depth impact analysis.</w:t>
      </w:r>
      <w:r w:rsidR="0089279E">
        <w:t xml:space="preserve"> This integrated framework forms the central theme of this study. </w:t>
      </w:r>
    </w:p>
    <w:p w14:paraId="5B183960" w14:textId="2668D088" w:rsidR="00A02BC7" w:rsidRDefault="00A02BC7" w:rsidP="00DD6D54">
      <w:r>
        <w:t>The dissertation is divided into six chapters.</w:t>
      </w:r>
    </w:p>
    <w:p w14:paraId="47AC9C8F" w14:textId="381B1C18" w:rsidR="00A02BC7" w:rsidRDefault="00A02BC7" w:rsidP="00034870">
      <w:pPr>
        <w:pStyle w:val="ListParagraph"/>
        <w:numPr>
          <w:ilvl w:val="0"/>
          <w:numId w:val="48"/>
        </w:numPr>
        <w:ind w:firstLineChars="0"/>
      </w:pPr>
      <w:r>
        <w:t>Chapter 1 provide an introduction and gap analysis of this study.</w:t>
      </w:r>
    </w:p>
    <w:p w14:paraId="605FAE70" w14:textId="693B936B" w:rsidR="00A02BC7" w:rsidRDefault="00A02BC7" w:rsidP="00034870">
      <w:pPr>
        <w:pStyle w:val="ListParagraph"/>
        <w:numPr>
          <w:ilvl w:val="0"/>
          <w:numId w:val="48"/>
        </w:numPr>
        <w:ind w:firstLineChars="0"/>
      </w:pPr>
      <w:r>
        <w:t>Chapter 2 describe the literature review.</w:t>
      </w:r>
    </w:p>
    <w:p w14:paraId="749E7657" w14:textId="3AF6270E" w:rsidR="00A02BC7" w:rsidRDefault="00A02BC7" w:rsidP="00034870">
      <w:pPr>
        <w:pStyle w:val="ListParagraph"/>
        <w:numPr>
          <w:ilvl w:val="0"/>
          <w:numId w:val="48"/>
        </w:numPr>
        <w:ind w:firstLineChars="0"/>
      </w:pPr>
      <w:r>
        <w:t xml:space="preserve">Chapter 3 describes the development of different models for the HVAC system, water heater system and the PV power generation. </w:t>
      </w:r>
    </w:p>
    <w:p w14:paraId="7FF2603A" w14:textId="07DBD50F" w:rsidR="00A02BC7" w:rsidRDefault="00A02BC7" w:rsidP="00034870">
      <w:pPr>
        <w:pStyle w:val="ListParagraph"/>
        <w:numPr>
          <w:ilvl w:val="0"/>
          <w:numId w:val="48"/>
        </w:numPr>
        <w:ind w:firstLineChars="0"/>
      </w:pPr>
      <w:r>
        <w:t xml:space="preserve">Chapter 4 is presenting the field study and simulation study of the MPC-based precooling in residential buildings and the impact analysis results. </w:t>
      </w:r>
    </w:p>
    <w:p w14:paraId="73AD93F8" w14:textId="5CFFDA15" w:rsidR="00A02BC7" w:rsidRDefault="00A02BC7" w:rsidP="00034870">
      <w:pPr>
        <w:pStyle w:val="ListParagraph"/>
        <w:numPr>
          <w:ilvl w:val="0"/>
          <w:numId w:val="48"/>
        </w:numPr>
        <w:ind w:firstLineChars="0"/>
      </w:pPr>
      <w:r>
        <w:t xml:space="preserve">Chapter 5 describes the development of a home energy management multi-objective framework incorporating user preferences. </w:t>
      </w:r>
    </w:p>
    <w:p w14:paraId="6FA61429" w14:textId="24529EC4" w:rsidR="00A02BC7" w:rsidRPr="00044603" w:rsidRDefault="00A02BC7" w:rsidP="00034870">
      <w:pPr>
        <w:pStyle w:val="ListParagraph"/>
        <w:numPr>
          <w:ilvl w:val="0"/>
          <w:numId w:val="48"/>
        </w:numPr>
        <w:ind w:firstLineChars="0"/>
      </w:pPr>
      <w:r>
        <w:t xml:space="preserve">Chapter 6 includes conclusions and future work. </w:t>
      </w:r>
    </w:p>
    <w:p w14:paraId="1F0302A6" w14:textId="42DAA77C" w:rsidR="00044603" w:rsidRDefault="00044603" w:rsidP="000B3A87">
      <w:pPr>
        <w:rPr>
          <w:sz w:val="28"/>
          <w:szCs w:val="32"/>
        </w:rPr>
      </w:pPr>
      <w:r>
        <w:br w:type="page"/>
      </w:r>
    </w:p>
    <w:p w14:paraId="4BD72951" w14:textId="24B69B9B" w:rsidR="006F0A51" w:rsidRDefault="00030B76" w:rsidP="00030B76">
      <w:pPr>
        <w:pStyle w:val="Heading1"/>
      </w:pPr>
      <w:bookmarkStart w:id="79" w:name="_Toc132122451"/>
      <w:bookmarkStart w:id="80" w:name="_Toc132122575"/>
      <w:bookmarkStart w:id="81" w:name="_Toc141991675"/>
      <w:r>
        <w:lastRenderedPageBreak/>
        <w:t>In-depth Literature Review</w:t>
      </w:r>
      <w:bookmarkEnd w:id="79"/>
      <w:bookmarkEnd w:id="80"/>
      <w:bookmarkEnd w:id="81"/>
    </w:p>
    <w:p w14:paraId="6B4FEA34" w14:textId="61508DC8" w:rsidR="00030B76" w:rsidRPr="00A27918" w:rsidRDefault="00EA3BEE">
      <w:pPr>
        <w:pStyle w:val="Heading2"/>
      </w:pPr>
      <w:bookmarkStart w:id="82" w:name="_Toc132122452"/>
      <w:bookmarkStart w:id="83" w:name="_Toc132122576"/>
      <w:bookmarkStart w:id="84" w:name="_Toc141991676"/>
      <w:r>
        <w:t>Optimal Control of the HVAC System</w:t>
      </w:r>
      <w:bookmarkEnd w:id="82"/>
      <w:bookmarkEnd w:id="83"/>
      <w:bookmarkEnd w:id="84"/>
    </w:p>
    <w:p w14:paraId="3896F310" w14:textId="1BA79B78" w:rsidR="00E55EF6" w:rsidRDefault="00E55EF6" w:rsidP="00E55EF6">
      <w:r>
        <w:rPr>
          <w:rFonts w:hint="eastAsia"/>
        </w:rPr>
        <w:t>T</w:t>
      </w:r>
      <w:r>
        <w:t xml:space="preserve">he HVAC system operation is one of the most important topic in demand side energy manage, this is because the spacing cooling and heating dominated the energy consumption in household </w:t>
      </w:r>
      <w:r>
        <w:fldChar w:fldCharType="begin"/>
      </w:r>
      <w:r w:rsidR="005D48B2">
        <w:instrText xml:space="preserve"> ADDIN ZOTERO_ITEM CSL_CITATION {"citationID":"aog1gg0193","properties":{"formattedCitation":"[8,15]","plainCitation":"[8,15]","noteIndex":0},"citationItems":[{"id":245,"uris":["http://zotero.org/users/5659608/items/QT9V7SJI"],"itemData":{"id":245,"type":"webpage","title":"Residential Energy Consumption Survey (RECS) - Data - U.S. Energy Information Administration (EIA)","URL":"https://www.eia.gov/consumption/residential/data/2015/","accessed":{"date-parts":[["2021",2,18]]},"citation-key":"ResidentialEnergyConsumption"}},{"id":1803,"uris":["http://zotero.org/users/5659608/items/79WWT9KG"],"itemData":{"id":1803,"type":"webpage","title":"Use of electricity - U.S. Energy Information Administration (EIA)","URL":"https://www.eia.gov/energyexplained/electricity/use-of-electricity.php","accessed":{"date-parts":[["2023",4,4]]},"citation-key":"UseElectricityEnergy"}}],"schema":"https://github.com/citation-style-language/schema/raw/master/csl-citation.json"} </w:instrText>
      </w:r>
      <w:r>
        <w:fldChar w:fldCharType="separate"/>
      </w:r>
      <w:r w:rsidR="00EB7B9B" w:rsidRPr="00EB7B9B">
        <w:t>[8,15]</w:t>
      </w:r>
      <w:r>
        <w:fldChar w:fldCharType="end"/>
      </w:r>
      <w:r>
        <w:t xml:space="preserve">, the rising market of smart thermostat </w:t>
      </w:r>
      <w:r>
        <w:fldChar w:fldCharType="begin"/>
      </w:r>
      <w:r w:rsidR="005D48B2">
        <w:instrText xml:space="preserve"> ADDIN ZOTERO_ITEM CSL_CITATION {"citationID":"a23db0b6s34","properties":{"formattedCitation":"[9]","plainCitation":"[9]","noteIndex":0},"citationItems":[{"id":1726,"uris":["http://zotero.org/users/5659608/items/EDDN8H54"],"itemData":{"id":1726,"type":"webpage","abstract":"Federal Energy Regulatory Commission staff issues the Assessment of Demand Response and Advanced Metering report annually in accordance with section 1252(e)(3) of the Energy Policy Act of 2005. The information presented in the report is based on publicly available data that is used to estimate demand response potential in the retail and wholesale markets. The report also discusses state and federal updates to advanced metering infrastructure and demand response.","language":"en","title":"Reports on Demand Response and Advanced Metering | Federal Energy Regulatory Commission","URL":"https://www.ferc.gov/power-sales-and-markets/demand-response/reports-demand-response-and-advanced-metering","accessed":{"date-parts":[["2023",3,23]]},"citation-key":"ReportsDemandResponse"}}],"schema":"https://github.com/citation-style-language/schema/raw/master/csl-citation.json"} </w:instrText>
      </w:r>
      <w:r>
        <w:fldChar w:fldCharType="separate"/>
      </w:r>
      <w:r w:rsidRPr="000B5F7E">
        <w:rPr>
          <w:kern w:val="0"/>
          <w:szCs w:val="24"/>
        </w:rPr>
        <w:t>[9]</w:t>
      </w:r>
      <w:r>
        <w:fldChar w:fldCharType="end"/>
      </w:r>
      <w:r>
        <w:t xml:space="preserve">, and the complexity of the HVAC system itself. A report which studies the response of representative 1300 California households to the price signal indicated that the household with spacing heating and air conditioners, responded most </w:t>
      </w:r>
      <w:r>
        <w:fldChar w:fldCharType="begin"/>
      </w:r>
      <w:r w:rsidR="005D48B2">
        <w:instrText xml:space="preserve"> ADDIN ZOTERO_ITEM CSL_CITATION {"citationID":"al06olj7c3","properties":{"formattedCitation":"[26]","plainCitation":"[26]","noteIndex":0},"citationItems":[{"id":1805,"uris":["http://zotero.org/users/5659608/items/AQZLL69J"],"itemData":{"id":1805,"type":"article-journal","abstract":"Recent efforts to restructure electricity markets have renewed interest in assessing how consumers respond to price changes. This paper develops a model for evaluating the effects of alternative tariff designs on electricity use. The model concurrently addresses several interrelated difficulties posed by nonlinear pricing, heterogeneity in consumer price sensitivity, and consumption aggregation over appliances and time. We estimate the model using extensive data for a representative sample of 1300 California households. The results imply a strikingly skewed distribution of household electricity price elasticities in the population, with a small fraction of households accounting for most aggregate demand response. We then estimate the aggregate and distributional consequences of recent tariff structure changes in California, the consumption effects of which have been the subject of considerable debate.","container-title":"The Review of Economic Studies","DOI":"10.1111/0034-6527.00354","ISSN":"0034-6527","issue":"3","journalAbbreviation":"The Review of Economic Studies","page":"853-883","source":"Silverchair","title":"Household Electricity Demand, Revisited","volume":"72","author":[{"family":"Reiss","given":"Peter C."},{"family":"White","given":"Matthew W."}],"issued":{"date-parts":[["2005",7,1]]},"citation-key":"reissHouseholdElectricityDemand2005"}}],"schema":"https://github.com/citation-style-language/schema/raw/master/csl-citation.json"} </w:instrText>
      </w:r>
      <w:r>
        <w:fldChar w:fldCharType="separate"/>
      </w:r>
      <w:r w:rsidR="00EB7B9B" w:rsidRPr="00EB7B9B">
        <w:t>[26]</w:t>
      </w:r>
      <w:r>
        <w:fldChar w:fldCharType="end"/>
      </w:r>
      <w:r>
        <w:t xml:space="preserve">. </w:t>
      </w:r>
    </w:p>
    <w:p w14:paraId="633CAA96" w14:textId="53B8253F" w:rsidR="00E55EF6" w:rsidRDefault="00E55EF6" w:rsidP="00CF5BD7">
      <w:pPr>
        <w:pStyle w:val="Heading3"/>
      </w:pPr>
      <w:bookmarkStart w:id="85" w:name="_Toc132122453"/>
      <w:bookmarkStart w:id="86" w:name="_Toc132122577"/>
      <w:bookmarkStart w:id="87" w:name="_Toc141991677"/>
      <w:r>
        <w:rPr>
          <w:rFonts w:hint="eastAsia"/>
        </w:rPr>
        <w:t>HVAC</w:t>
      </w:r>
      <w:r>
        <w:t xml:space="preserve"> precooling strategy and control methods</w:t>
      </w:r>
      <w:bookmarkEnd w:id="85"/>
      <w:bookmarkEnd w:id="86"/>
      <w:bookmarkEnd w:id="87"/>
    </w:p>
    <w:p w14:paraId="29693953" w14:textId="318D1604" w:rsidR="00E55EF6" w:rsidRDefault="00E55EF6" w:rsidP="00E55EF6">
      <w:r>
        <w:t>As mentioned in</w:t>
      </w:r>
      <w:r>
        <w:rPr>
          <w:rFonts w:hint="eastAsia"/>
        </w:rPr>
        <w:t xml:space="preserve"> </w:t>
      </w:r>
      <w:r>
        <w:t xml:space="preserve">Section </w:t>
      </w:r>
      <w:r>
        <w:fldChar w:fldCharType="begin"/>
      </w:r>
      <w:r>
        <w:rPr>
          <w:szCs w:val="24"/>
        </w:rPr>
        <w:instrText xml:space="preserve"> REF _Ref131518627 \n \h </w:instrText>
      </w:r>
      <w:r>
        <w:fldChar w:fldCharType="separate"/>
      </w:r>
      <w:r w:rsidR="000E1725">
        <w:rPr>
          <w:szCs w:val="24"/>
        </w:rPr>
        <w:t>1.2.3</w:t>
      </w:r>
      <w:r>
        <w:fldChar w:fldCharType="end"/>
      </w:r>
      <w:r>
        <w:t>, adjusting HVAC operation based on price signal, in the most of case refers to the precooling or preheating strategy, which</w:t>
      </w:r>
      <w:r w:rsidRPr="002E24CE">
        <w:t xml:space="preserve"> </w:t>
      </w:r>
      <w:r>
        <w:t>take advantage of building’s own thermal mass, (also called passive thermal storage),</w:t>
      </w:r>
      <w:r w:rsidRPr="00A27918">
        <w:t xml:space="preserve"> has also been shown an effective strategy for building </w:t>
      </w:r>
      <w:r>
        <w:t>load shifting</w:t>
      </w:r>
      <w:r w:rsidRPr="00A27918">
        <w:t xml:space="preserve"> </w:t>
      </w:r>
      <w:r w:rsidRPr="00A27918">
        <w:fldChar w:fldCharType="begin"/>
      </w:r>
      <w:r w:rsidR="005D48B2">
        <w:instrText xml:space="preserve"> ADDIN ZOTERO_ITEM CSL_CITATION {"citationID":"qQAI8psF","properties":{"formattedCitation":"[51\\uc0\\u8211{}55]","plainCitation":"[51–55]","noteIndex":0},"citationItems":[{"id":1314,"uris":["http://zotero.org/users/5659608/items/F68G9A2C"],"itemData":{"id":1314,"type":"article-journal","abstract":"A building cooling control strategy was developed and tested for a 1.4 million square foot (130,000 square meter) office building located in Hoffman Estates, IL. The goal of the control strategy was to utilize building thermal mass to limit the peak cooling load for continued building operation in the event of the loss of one of the four central chiller units. The algorithm was first developed and evaluated through simulation and then evaluated through tests on two identical buildings. The east building utilized the existing building control strategy while the west building used the precooling strategy developed for this project. Consistent with simulation predictions, the precooling control strategy successfully limited the peak load to 75% of the cooling capacity for the west building, while the east building operated at 100% of capacity.","container-title":"ASHRAE transactions","language":"en","page":"463-469","source":"Zotero","title":"Application of Building Precooling to Reduce Peak Cooling Requirements","volume":"103.1","author":[{"family":"Keeney","given":"Kevin R"},{"family":"Braun","given":"James E"}],"issued":{"date-parts":[["1997"]]},"citation-key":"keeneyApplicationBuildingPrecooling1997"}},{"id":1375,"uris":["http://zotero.org/users/5659608/items/SLBI6ATX"],"itemData":{"id":1375,"type":"article-journal","abstract":"This study aims to investigate the effect of demand response (DR) actions on energy consumption and energy cost with two alternative heat generation systems in a detached house in a cold climate. The heat generation systems are a ground source heat pump coupled with a two-storage tank system (GSHP heating system) and a water-based electric heating system coupled with a similar storage tank system (storing electric heating system). Four rule-based DR control algorithms were applied and studied for two alternative heat generation systems. Two rule-based DR control algorithms from previous study were applied and investigated for these heat generation systems based on real-time hourly electricity price and future hourly electricity prices based on the blocking-maximum subarray method. Two new rule-based DR control algorithms based on future hourly electricity prices were developed and investigated for these heat generation systems based on the sliding-maximum subarray method and moving average method. This research was implemented with the validated dynamic building simulation tool IDA ICE. The obtained results show that the maximum annual savings in the heating energy and cost take place using the rule-based DR control algorithm based on the sliding-maximum subarray method. As well, these savings are about 10% and 15%, respectively, for the GSHP heating system; and about 1% and 8%, respectively, for the storing electric heating system.","container-title":"Applied Energy","DOI":"10.1016/j.apenergy.2017.10.088","ISSN":"0306-2619","journalAbbreviation":"Applied Energy","language":"en","page":"167-179","source":"ScienceDirect","title":"Comparison of four rule-based demand response control algorithms in an electrically and heat pump-heated residential building","volume":"209","author":[{"family":"Alimohammadisagvand","given":"Behrang"},{"family":"Jokisalo","given":"Juha"},{"family":"Sirén","given":"Kai"}],"issued":{"date-parts":[["2018",1,1]]},"citation-key":"alimohammadisagvandComparisonFourRulebased2018"}},{"id":792,"uris":["http://zotero.org/users/5659608/items/N5SZFPAK"],"itemData":{"id":792,"type":"article-journal","abstract":"To lower buildings’ signiﬁcant energy consumption and high impacts on environmental sustainability, recent years have witnessed rapidly growing interests in efﬁcient HVAC precooling control and optimization. However, due to the complex analytical modeling of building thermal transfer, rigorous mathematical optimization for HVAC precooling is highly challenging. As a result, progress on HVAC precooling optimization remains limited in the literature. Our main contribution is that we overcome the aforementioned challenge and propose an accurate and tractable HVAC precooling optimization framework. The main results of this paper are three-fold: i) We develop an RC-network-based analytical model for multi-zone HVAC precooling to minimize both total energy costs and peak load demand; ii) We show that the HVAC procooling optimization problem based on the proposed RC network model admits a convex approximation, which enables an efﬁcient optimization algorithm design; and iii) Based on the convex approximation insight and by exploiting special problem structures, we develop an efﬁcient distributed algorithm to solve the HVAC precooling optimization problem. Further, we conduct extensive simulation studies to verify the performance of our proposed mathematical model and algorithms. Our numerical results indicate that compared with the ﬁve existing HVAC control strategies, the proposed algorithm consistently outperforms existing state-of-the-art approaches.","container-title":"IEEE Transactions on Sustainable Computing","DOI":"10.1109/TSUSC.2019.2943491","ISSN":"2377-3782, 2377-3790","journalAbbreviation":"IEEE Trans. Sustain. Comput.","language":"en","page":"1-1","source":"DOI.org (Crossref)","title":"An RC-Network Approach for HVAC Precooling Optimization in Buildings","author":[{"family":"Shi","given":"Hongsen"},{"family":"Liu","given":"Jia"},{"family":"Chen","given":"Qian"}],"issued":{"date-parts":[["2019"]]},"citation-key":"shiRCNetworkApproachHVAC2019"}},{"id":1317,"uris":["http://zotero.org/users/5659608/items/DU9P4KQG"],"itemData":{"id":1317,"type":"article-journal","abstract":"Precooling is a recognized technique for reducing cooling energy in buildings during peak hours by shifting load to off-peak hours. This technique is particularly effective in buildings with high thermal mass, because of their large thermal energy storage capacity, and in commercial buildings due to their variable electricity pricing based on time-of-use rates. Precooling in residential buildings has been a matter of limited interest in the past because of their low thermal mass and typically uniform electricity pricing rate. While previous studies on precooling primarily focused on cost savings, an important aspect of precooling is the thermal load modulation, which could be very effective in managing peak demand in lightweight residential buildings integrated with thermal energy storage systems. In this study, we examine different precooling strategies to manage the heat gains in lightweight building walls integrated with phase-change materials. We create nine different precooling profiles by controlling the interior temperature, and then evaluate the influence of the precooling profiles on four key building energy performance parameters: total heat gain, peak heat gain, maximum heat gain during peak hours, and time at which peak occurs. To thoroughly understand the fundamental physics, we first consider hypothetical climates and obtain the optimal precooling strategy required to achieve maximum peak shedding and shifting while minimizing the total heat gains. We then extend the model to Baltimore, Maryland, and estimate the benefits of the optimized precooling strategy under real conditions. The optimal precooling strategy proposed in this study can shift the peak heat gain by up to 14 h, thereby reducing the heat gain during peak period by up to 95%, at the expense of 23% increase in the total heat gains.","container-title":"Applied Thermal Engineering","DOI":"10.1016/j.applthermaleng.2020.115870","ISSN":"1359-4311","journalAbbreviation":"Applied Thermal Engineering","language":"en","page":"115870","source":"ScienceDirect","title":"Modulating thermal load through lightweight residential building walls using thermal energy storage and controlled precooling strategy","volume":"180","author":[{"family":"Kishore","given":"Ravi Anant"},{"family":"Bianchi","given":"Marcus V. A."},{"family":"Booten","given":"Chuck"},{"family":"Vidal","given":"Judith"},{"family":"Jackson","given":"Roderick"}],"issued":{"date-parts":[["2020",11,5]]},"citation-key":"kishoreModulatingThermalLoad2020"}},{"id":1334,"uris":["http://zotero.org/users/5659608/items/PU62B7J2"],"itemData":{"id":1334,"type":"article-journal","abstract":"To reduce peak demand and/or energy cost for residential buildings, optimal precooling strategies are becoming important as an alternative to rule-based precooling strategies that are intuitive but may not be optimal. Since precooling optimization is heavily dependent on a variety of factors such as the home thermal properties, HVAC system, weather, thermal comfort criteria, and utility rate structure, the individual and collective impact of these factors on precooling performance needs to be analyzed. In addition, since the indoor air temperature is affected by heat transfer to and from the interior wall surface, performance analysis in view of the interior wall surface temperature is also essential. Therefore, in this paper, an optimal precooling strategy that accounts for the aforementioned factors and utilizes a second-order thermal network model, is proposed. With this strategy, the HVAC on/off control signal that minimizes 24-hour energy cost while maintaining thermal comfort, is determined. Through extensive simulations, it is found that the proposed optimal precooling strategy is able to adapt to changing conditions and that having a sufficiently low interior wall surface temperature during precooling is critical for avoiding expensive on-peak operation. The reason for the latter is that such a temperature indicates that enough “cooling energy” has been stored. It is also found that weather has the most dominant impact on the precooling performance, followed by home thermal condition, with the rated cooling capacity and utility rate structure having the least impact.","container-title":"Applied Energy","DOI":"10.1016/j.apenergy.2022.119574","ISSN":"0306-2619","journalAbbreviation":"Applied Energy","language":"en","page":"119574","source":"ScienceDirect","title":"Analysis of precooling optimization for residential buildings","volume":"323","author":[{"family":"Wang","given":"Junke"},{"family":"Tang","given":"Choon Yik"},{"family":"Song","given":"Li"}],"issued":{"date-parts":[["2022",10,1]]},"citation-key":"wangAnalysisPrecoolingOptimization2022"}}],"schema":"https://github.com/citation-style-language/schema/raw/master/csl-citation.json"} </w:instrText>
      </w:r>
      <w:r w:rsidRPr="00A27918">
        <w:fldChar w:fldCharType="separate"/>
      </w:r>
      <w:r w:rsidR="00B10A4D" w:rsidRPr="00B10A4D">
        <w:rPr>
          <w:kern w:val="0"/>
          <w:szCs w:val="24"/>
        </w:rPr>
        <w:t>[51–55]</w:t>
      </w:r>
      <w:r w:rsidRPr="00A27918">
        <w:fldChar w:fldCharType="end"/>
      </w:r>
      <w:r w:rsidRPr="00A27918">
        <w:t>.</w:t>
      </w:r>
      <w:r>
        <w:t xml:space="preserve"> I</w:t>
      </w:r>
      <w:r w:rsidRPr="00A27918">
        <w:t xml:space="preserve">n </w:t>
      </w:r>
      <w:r>
        <w:t xml:space="preserve">a </w:t>
      </w:r>
      <w:r w:rsidRPr="00A27918">
        <w:t xml:space="preserve">precooling strategy, </w:t>
      </w:r>
      <w:r>
        <w:t>an</w:t>
      </w:r>
      <w:r w:rsidRPr="00A27918">
        <w:t xml:space="preserve"> AC </w:t>
      </w:r>
      <w:r>
        <w:t>over</w:t>
      </w:r>
      <w:r w:rsidRPr="00A27918">
        <w:t>cools space during off-peak hours</w:t>
      </w:r>
      <w:r>
        <w:t xml:space="preserve"> to </w:t>
      </w:r>
      <w:r w:rsidRPr="00A27918">
        <w:t xml:space="preserve">avoid expensive operation during on-peak hours </w:t>
      </w:r>
      <w:r>
        <w:t>because the</w:t>
      </w:r>
      <w:r w:rsidRPr="00A27918">
        <w:t xml:space="preserve"> building </w:t>
      </w:r>
      <w:r>
        <w:t>structure</w:t>
      </w:r>
      <w:r w:rsidRPr="00A27918">
        <w:t xml:space="preserve"> serves as passive thermal storage to prevent indoor air increase rapidly. </w:t>
      </w:r>
      <w:r>
        <w:fldChar w:fldCharType="begin"/>
      </w:r>
      <w:r>
        <w:rPr>
          <w:szCs w:val="24"/>
        </w:rPr>
        <w:instrText xml:space="preserve"> REF _Ref131518158 \h </w:instrText>
      </w:r>
      <w:r>
        <w:fldChar w:fldCharType="separate"/>
      </w:r>
      <w:r w:rsidR="000E1725">
        <w:t xml:space="preserve">Figure </w:t>
      </w:r>
      <w:r w:rsidR="000E1725">
        <w:rPr>
          <w:noProof/>
        </w:rPr>
        <w:t>2</w:t>
      </w:r>
      <w:r w:rsidR="000E1725">
        <w:t>.</w:t>
      </w:r>
      <w:r w:rsidR="000E1725">
        <w:rPr>
          <w:noProof/>
        </w:rPr>
        <w:t>1</w:t>
      </w:r>
      <w:r>
        <w:fldChar w:fldCharType="end"/>
      </w:r>
      <w:r>
        <w:t xml:space="preserve"> demonstrates two precooling strategy examples under </w:t>
      </w:r>
      <w:r w:rsidR="00F37468">
        <w:rPr>
          <w:rFonts w:hint="eastAsia"/>
        </w:rPr>
        <w:t>DRPs</w:t>
      </w:r>
      <w:r>
        <w:t xml:space="preserve">. It can be seen from the figure, although the two strategies choose lower setpoints before the on-peak hours, the timing to precool and the specific setpoint choice are different.  </w:t>
      </w:r>
    </w:p>
    <w:p w14:paraId="44C8F028" w14:textId="77777777" w:rsidR="00E55EF6" w:rsidRDefault="00E55EF6" w:rsidP="000B3A87">
      <w:r>
        <w:rPr>
          <w:noProof/>
        </w:rPr>
        <w:lastRenderedPageBreak/>
        <w:drawing>
          <wp:inline distT="0" distB="0" distL="0" distR="0" wp14:anchorId="7567457B" wp14:editId="15E17E17">
            <wp:extent cx="5194338" cy="2576223"/>
            <wp:effectExtent l="0" t="0" r="6350" b="0"/>
            <wp:docPr id="7" name="Picture 7" descr="图表&#10;&#10;描述已自动生成">
              <a:extLst xmlns:a="http://schemas.openxmlformats.org/drawingml/2006/main">
                <a:ext uri="{FF2B5EF4-FFF2-40B4-BE49-F238E27FC236}">
                  <a16:creationId xmlns:a16="http://schemas.microsoft.com/office/drawing/2014/main" id="{D4323FC0-2EBB-466E-8EED-2AE066E606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图表&#10;&#10;描述已自动生成">
                      <a:extLst>
                        <a:ext uri="{FF2B5EF4-FFF2-40B4-BE49-F238E27FC236}">
                          <a16:creationId xmlns:a16="http://schemas.microsoft.com/office/drawing/2014/main" id="{D4323FC0-2EBB-466E-8EED-2AE066E606DF}"/>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96967" cy="2577527"/>
                    </a:xfrm>
                    <a:prstGeom prst="rect">
                      <a:avLst/>
                    </a:prstGeom>
                  </pic:spPr>
                </pic:pic>
              </a:graphicData>
            </a:graphic>
          </wp:inline>
        </w:drawing>
      </w:r>
    </w:p>
    <w:p w14:paraId="6BB2018D" w14:textId="10022907" w:rsidR="00E55EF6" w:rsidRDefault="00E55EF6" w:rsidP="00E55EF6">
      <w:pPr>
        <w:pStyle w:val="13FigureCaption"/>
        <w:rPr>
          <w:szCs w:val="24"/>
        </w:rPr>
      </w:pPr>
      <w:bookmarkStart w:id="88" w:name="_Ref131518158"/>
      <w:bookmarkStart w:id="89" w:name="_Toc141349908"/>
      <w:r>
        <w:t xml:space="preserve">Figure </w:t>
      </w:r>
      <w:fldSimple w:instr=" STYLEREF 1 \s ">
        <w:r w:rsidR="000E1725">
          <w:rPr>
            <w:noProof/>
          </w:rPr>
          <w:t>2</w:t>
        </w:r>
      </w:fldSimple>
      <w:r w:rsidR="005445E0">
        <w:t>.</w:t>
      </w:r>
      <w:fldSimple w:instr=" SEQ Figure \* ARABIC \s 1 ">
        <w:r w:rsidR="000E1725">
          <w:rPr>
            <w:noProof/>
          </w:rPr>
          <w:t>1</w:t>
        </w:r>
      </w:fldSimple>
      <w:bookmarkEnd w:id="88"/>
      <w:r>
        <w:t xml:space="preserve"> Two precooling strategies under </w:t>
      </w:r>
      <w:r w:rsidR="00F37468">
        <w:t>DRPs</w:t>
      </w:r>
      <w:bookmarkEnd w:id="89"/>
    </w:p>
    <w:p w14:paraId="26F261F4" w14:textId="58E9FAFE" w:rsidR="00E55EF6" w:rsidRDefault="00E55EF6" w:rsidP="00E55EF6">
      <w:r w:rsidRPr="00A27918">
        <w:t xml:space="preserve">Previous literature has </w:t>
      </w:r>
      <w:r>
        <w:t>introduced</w:t>
      </w:r>
      <w:r w:rsidRPr="00A27918">
        <w:t xml:space="preserve"> </w:t>
      </w:r>
      <w:r>
        <w:t xml:space="preserve">many control methods for implementing </w:t>
      </w:r>
      <w:r w:rsidRPr="00A27918">
        <w:t>precooling strategies</w:t>
      </w:r>
      <w:r>
        <w:t xml:space="preserve">, including </w:t>
      </w:r>
      <w:r w:rsidRPr="00A27918">
        <w:t xml:space="preserve">rule-based </w:t>
      </w:r>
      <w:r>
        <w:t xml:space="preserve">precooling </w:t>
      </w:r>
      <w:r w:rsidRPr="00A27918">
        <w:t xml:space="preserve">control </w:t>
      </w:r>
      <w:r w:rsidRPr="00A27918">
        <w:fldChar w:fldCharType="begin"/>
      </w:r>
      <w:r w:rsidR="005D48B2">
        <w:instrText xml:space="preserve"> ADDIN ZOTERO_ITEM CSL_CITATION {"citationID":"QOnKuD23","properties":{"formattedCitation":"[51,52,54]","plainCitation":"[51,52,54]","noteIndex":0},"citationItems":[{"id":1314,"uris":["http://zotero.org/users/5659608/items/F68G9A2C"],"itemData":{"id":1314,"type":"article-journal","abstract":"A building cooling control strategy was developed and tested for a 1.4 million square foot (130,000 square meter) office building located in Hoffman Estates, IL. The goal of the control strategy was to utilize building thermal mass to limit the peak cooling load for continued building operation in the event of the loss of one of the four central chiller units. The algorithm was first developed and evaluated through simulation and then evaluated through tests on two identical buildings. The east building utilized the existing building control strategy while the west building used the precooling strategy developed for this project. Consistent with simulation predictions, the precooling control strategy successfully limited the peak load to 75% of the cooling capacity for the west building, while the east building operated at 100% of capacity.","container-title":"ASHRAE transactions","language":"en","page":"463-469","source":"Zotero","title":"Application of Building Precooling to Reduce Peak Cooling Requirements","volume":"103.1","author":[{"family":"Keeney","given":"Kevin R"},{"family":"Braun","given":"James E"}],"issued":{"date-parts":[["1997"]]},"citation-key":"keeneyApplicationBuildingPrecooling1997"}},{"id":1375,"uris":["http://zotero.org/users/5659608/items/SLBI6ATX"],"itemData":{"id":1375,"type":"article-journal","abstract":"This study aims to investigate the effect of demand response (DR) actions on energy consumption and energy cost with two alternative heat generation systems in a detached house in a cold climate. The heat generation systems are a ground source heat pump coupled with a two-storage tank system (GSHP heating system) and a water-based electric heating system coupled with a similar storage tank system (storing electric heating system). Four rule-based DR control algorithms were applied and studied for two alternative heat generation systems. Two rule-based DR control algorithms from previous study were applied and investigated for these heat generation systems based on real-time hourly electricity price and future hourly electricity prices based on the blocking-maximum subarray method. Two new rule-based DR control algorithms based on future hourly electricity prices were developed and investigated for these heat generation systems based on the sliding-maximum subarray method and moving average method. This research was implemented with the validated dynamic building simulation tool IDA ICE. The obtained results show that the maximum annual savings in the heating energy and cost take place using the rule-based DR control algorithm based on the sliding-maximum subarray method. As well, these savings are about 10% and 15%, respectively, for the GSHP heating system; and about 1% and 8%, respectively, for the storing electric heating system.","container-title":"Applied Energy","DOI":"10.1016/j.apenergy.2017.10.088","ISSN":"0306-2619","journalAbbreviation":"Applied Energy","language":"en","page":"167-179","source":"ScienceDirect","title":"Comparison of four rule-based demand response control algorithms in an electrically and heat pump-heated residential building","volume":"209","author":[{"family":"Alimohammadisagvand","given":"Behrang"},{"family":"Jokisalo","given":"Juha"},{"family":"Sirén","given":"Kai"}],"issued":{"date-parts":[["2018",1,1]]},"citation-key":"alimohammadisagvandComparisonFourRulebased2018"}},{"id":1317,"uris":["http://zotero.org/users/5659608/items/DU9P4KQG"],"itemData":{"id":1317,"type":"article-journal","abstract":"Precooling is a recognized technique for reducing cooling energy in buildings during peak hours by shifting load to off-peak hours. This technique is particularly effective in buildings with high thermal mass, because of their large thermal energy storage capacity, and in commercial buildings due to their variable electricity pricing based on time-of-use rates. Precooling in residential buildings has been a matter of limited interest in the past because of their low thermal mass and typically uniform electricity pricing rate. While previous studies on precooling primarily focused on cost savings, an important aspect of precooling is the thermal load modulation, which could be very effective in managing peak demand in lightweight residential buildings integrated with thermal energy storage systems. In this study, we examine different precooling strategies to manage the heat gains in lightweight building walls integrated with phase-change materials. We create nine different precooling profiles by controlling the interior temperature, and then evaluate the influence of the precooling profiles on four key building energy performance parameters: total heat gain, peak heat gain, maximum heat gain during peak hours, and time at which peak occurs. To thoroughly understand the fundamental physics, we first consider hypothetical climates and obtain the optimal precooling strategy required to achieve maximum peak shedding and shifting while minimizing the total heat gains. We then extend the model to Baltimore, Maryland, and estimate the benefits of the optimized precooling strategy under real conditions. The optimal precooling strategy proposed in this study can shift the peak heat gain by up to 14 h, thereby reducing the heat gain during peak period by up to 95%, at the expense of 23% increase in the total heat gains.","container-title":"Applied Thermal Engineering","DOI":"10.1016/j.applthermaleng.2020.115870","ISSN":"1359-4311","journalAbbreviation":"Applied Thermal Engineering","language":"en","page":"115870","source":"ScienceDirect","title":"Modulating thermal load through lightweight residential building walls using thermal energy storage and controlled precooling strategy","volume":"180","author":[{"family":"Kishore","given":"Ravi Anant"},{"family":"Bianchi","given":"Marcus V. A."},{"family":"Booten","given":"Chuck"},{"family":"Vidal","given":"Judith"},{"family":"Jackson","given":"Roderick"}],"issued":{"date-parts":[["2020",11,5]]},"citation-key":"kishoreModulatingThermalLoad2020"}}],"schema":"https://github.com/citation-style-language/schema/raw/master/csl-citation.json"} </w:instrText>
      </w:r>
      <w:r w:rsidRPr="00A27918">
        <w:fldChar w:fldCharType="separate"/>
      </w:r>
      <w:r w:rsidR="00B10A4D" w:rsidRPr="00B10A4D">
        <w:t>[51,52,54]</w:t>
      </w:r>
      <w:r w:rsidRPr="00A27918">
        <w:fldChar w:fldCharType="end"/>
      </w:r>
      <w:r>
        <w:t>,</w:t>
      </w:r>
      <w:r w:rsidRPr="00A27918">
        <w:t xml:space="preserve"> optimization </w:t>
      </w:r>
      <w:r>
        <w:t xml:space="preserve">pre-cooling </w:t>
      </w:r>
      <w:r w:rsidRPr="00A27918">
        <w:t xml:space="preserve">control without feedback </w:t>
      </w:r>
      <w:r w:rsidRPr="00A27918">
        <w:fldChar w:fldCharType="begin"/>
      </w:r>
      <w:r w:rsidR="005D48B2">
        <w:instrText xml:space="preserve"> ADDIN ZOTERO_ITEM CSL_CITATION {"citationID":"NVzQnrXT","properties":{"formattedCitation":"[53,55,56]","plainCitation":"[53,55,56]","noteIndex":0},"citationItems":[{"id":792,"uris":["http://zotero.org/users/5659608/items/N5SZFPAK"],"itemData":{"id":792,"type":"article-journal","abstract":"To lower buildings’ signiﬁcant energy consumption and high impacts on environmental sustainability, recent years have witnessed rapidly growing interests in efﬁcient HVAC precooling control and optimization. However, due to the complex analytical modeling of building thermal transfer, rigorous mathematical optimization for HVAC precooling is highly challenging. As a result, progress on HVAC precooling optimization remains limited in the literature. Our main contribution is that we overcome the aforementioned challenge and propose an accurate and tractable HVAC precooling optimization framework. The main results of this paper are three-fold: i) We develop an RC-network-based analytical model for multi-zone HVAC precooling to minimize both total energy costs and peak load demand; ii) We show that the HVAC procooling optimization problem based on the proposed RC network model admits a convex approximation, which enables an efﬁcient optimization algorithm design; and iii) Based on the convex approximation insight and by exploiting special problem structures, we develop an efﬁcient distributed algorithm to solve the HVAC precooling optimization problem. Further, we conduct extensive simulation studies to verify the performance of our proposed mathematical model and algorithms. Our numerical results indicate that compared with the ﬁve existing HVAC control strategies, the proposed algorithm consistently outperforms existing state-of-the-art approaches.","container-title":"IEEE Transactions on Sustainable Computing","DOI":"10.1109/TSUSC.2019.2943491","ISSN":"2377-3782, 2377-3790","journalAbbreviation":"IEEE Trans. Sustain. Comput.","language":"en","page":"1-1","source":"DOI.org (Crossref)","title":"An RC-Network Approach for HVAC Precooling Optimization in Buildings","author":[{"family":"Shi","given":"Hongsen"},{"family":"Liu","given":"Jia"},{"family":"Chen","given":"Qian"}],"issued":{"date-parts":[["2019"]]},"citation-key":"shiRCNetworkApproachHVAC2019"}},{"id":1334,"uris":["http://zotero.org/users/5659608/items/PU62B7J2"],"itemData":{"id":1334,"type":"article-journal","abstract":"To reduce peak demand and/or energy cost for residential buildings, optimal precooling strategies are becoming important as an alternative to rule-based precooling strategies that are intuitive but may not be optimal. Since precooling optimization is heavily dependent on a variety of factors such as the home thermal properties, HVAC system, weather, thermal comfort criteria, and utility rate structure, the individual and collective impact of these factors on precooling performance needs to be analyzed. In addition, since the indoor air temperature is affected by heat transfer to and from the interior wall surface, performance analysis in view of the interior wall surface temperature is also essential. Therefore, in this paper, an optimal precooling strategy that accounts for the aforementioned factors and utilizes a second-order thermal network model, is proposed. With this strategy, the HVAC on/off control signal that minimizes 24-hour energy cost while maintaining thermal comfort, is determined. Through extensive simulations, it is found that the proposed optimal precooling strategy is able to adapt to changing conditions and that having a sufficiently low interior wall surface temperature during precooling is critical for avoiding expensive on-peak operation. The reason for the latter is that such a temperature indicates that enough “cooling energy” has been stored. It is also found that weather has the most dominant impact on the precooling performance, followed by home thermal condition, with the rated cooling capacity and utility rate structure having the least impact.","container-title":"Applied Energy","DOI":"10.1016/j.apenergy.2022.119574","ISSN":"0306-2619","journalAbbreviation":"Applied Energy","language":"en","page":"119574","source":"ScienceDirect","title":"Analysis of precooling optimization for residential buildings","volume":"323","author":[{"family":"Wang","given":"Junke"},{"family":"Tang","given":"Choon Yik"},{"family":"Song","given":"Li"}],"issued":{"date-parts":[["2022",10,1]]},"citation-key":"wangAnalysisPrecoolingOptimization2022"}},{"id":1336,"uris":["http://zotero.org/users/5659608/items/C86U9LWU"],"itemData":{"id":1336,"type":"article-journal","abstract":"This article will discuss and simulate a demand management algorithm in a building with a battery energy storage system (BESS) and heating ventilation air conditioning (HVAC) scheduling using the model predictive control (MPC). Behind-the-meter energy storage system is used for modifying the load shape and minimizing the demand charge of a building. The thermal mass of the building can also be utilized to store the heat/cool energy and HVAC is scheduled to minimize power consumption during peak times. Initially, this article works with optimizing BESS using MPC and compares the results with those of regular optimization. Later HVAC is modeled mathematically to be able to use in optimization. Finally, this article will co-optimize the battery and HVAC schedule minimizing the annual electricity bill without causing thermal discomfort to the residents of the building. The platform has been simulated on a sample building modeled in EnergyPlus.","container-title":"IEEE Transactions on Industry Applications","DOI":"10.1109/TIA.2019.2938481","ISSN":"1939-9367","issue":"6","note":"event-title: IEEE Transactions on Industry Applications","page":"7008-7014","source":"IEEE Xplore","title":"Combined HVAC and Battery Scheduling for Demand Response in a Building","volume":"55","author":[{"family":"Vedullapalli","given":"Divya Tejaswini"},{"family":"Hadidi","given":"Ramtin"},{"family":"Schroeder","given":"Bill"}],"issued":{"date-parts":[["2019",11]]},"citation-key":"vedullapalliCombinedHVACBattery2019"}}],"schema":"https://github.com/citation-style-language/schema/raw/master/csl-citation.json"} </w:instrText>
      </w:r>
      <w:r w:rsidRPr="00A27918">
        <w:fldChar w:fldCharType="separate"/>
      </w:r>
      <w:r w:rsidR="00B10A4D" w:rsidRPr="00B10A4D">
        <w:t>[53,55,56]</w:t>
      </w:r>
      <w:r w:rsidRPr="00A27918">
        <w:fldChar w:fldCharType="end"/>
      </w:r>
      <w:r w:rsidRPr="00A27918">
        <w:t>, reinforcement learning</w:t>
      </w:r>
      <w:r>
        <w:t xml:space="preserve"> control</w:t>
      </w:r>
      <w:r w:rsidRPr="00A27918">
        <w:t xml:space="preserve"> </w:t>
      </w:r>
      <w:r w:rsidRPr="00A27918">
        <w:fldChar w:fldCharType="begin"/>
      </w:r>
      <w:r w:rsidR="005D48B2">
        <w:instrText xml:space="preserve"> ADDIN ZOTERO_ITEM CSL_CITATION {"citationID":"a1oc7uscr09","properties":{"formattedCitation":"[57,58]","plainCitation":"[57,58]","noteIndex":0},"citationItems":[{"id":1651,"uris":["http://zotero.org/users/5659608/items/9TK8NCYU"],"itemData":{"id":1651,"type":"article-journal","abstract":"Energy efficiency remains a significant topic in the control of building heating, ventilation, and air-conditioning (HVAC) systems, and diverse set of control strategies have been developed to optimize performance, including recently emerging techniques of deep reinforcement learning (DRL). While most existing works have focused on minimizing energy consumption, the generalization to energy cost minimization under time-varying electricity price profiles and demand charges has rarely been studied. Under these utility structures, significant cost savings can be achieved by pre-cooling buildings in the early morning when electricity is cheaper, thereby reducing expensive afternoon consumption and lowering peak demand. However, correctly identifying these savings requires planning horizons of one day or more. To tackle this problem, we develop Deep Q-Network (DQN) with an action processor, defining the environment as a Partially Observable Markov Decision Process (POMDP) with a reward function consisting of energy cost (time-of-use and peak demand charges) and a discomfort penalty, which is an extension of most reward functions used in existing DRL works in this area. Moreover, we develop a reward shaping technique to overcome the issue of reward sparsity caused by the demand charge. Through a single-zone building simulation platform, we demonstrate that the customized DQN outperforms the baseline rule-based policy, saving close to 6% of total cost with demand charges, while close to 8% without demand charges.","container-title":"Energy and Buildings","DOI":"10.1016/j.enbuild.2021.110833","ISSN":"0378-7788","journalAbbreviation":"Energy and Buildings","language":"en","page":"110833","source":"ScienceDirect","title":"Building HVAC control with reinforcement learning for reduction of energy cost and demand charge","volume":"239","author":[{"family":"Jiang","given":"Zhanhong"},{"family":"Risbeck","given":"Michael J."},{"family":"Ramamurti","given":"Vish"},{"family":"Murugesan","given":"Sugumar"},{"family":"Amores","given":"Jaume"},{"family":"Zhang","given":"Chenlu"},{"family":"Lee","given":"Young M."},{"family":"Drees","given":"Kirk H."}],"issued":{"date-parts":[["2021",5,15]]},"citation-key":"jiangBuildingHVACControl2021"}},{"id":1810,"uris":["http://zotero.org/users/5659608/items/Y5T6WQS3"],"itemData":{"id":1810,"type":"article-journal","abstract":"Training and validating algorithms in a simulation testbed can accelerate research and applications of optimal control of residential loads to improve energy flexibility and grid resilience. We developed an open-source simulation environment, AlphaBuilding ResCommunity, that can be used to train and validate algorithms to control a single thermostatically controlled load (TCL) or coordinate a group of TCLs. We used reduced-order models to simulate the thermodynamics of TCLs, and the parameter values were determined from the connected smart thermostat data of real households. The environment was built upon the standardized OpenAI Gym interface. Ancillary functions, such as retrieving the parameters and weather forecasts, are provided to facilitate control strategies that require predictive information. Compared with existing efforts, AlphaBuilding ResCommunity has three advantages: (1) more realistic model settings because the parameter values are identified from actual household operating data, and modelling and measurement uncertainty are considered; (2) passive thermal storage control; and (3) ease of use due to a simple software dependency and standardized interface. We demonstrated the applications of the environment by implementing a Kalman Filter and Model Predictive Control on a single TCL and a Priority-Stack-Based Control and Alternating Direction Method of Multipliers to coordinate multiple TCLs for load tracking.","container-title":"Advances in Applied Energy","DOI":"10.1016/j.adapen.2021.100061","ISSN":"2666-7924","journalAbbreviation":"Advances in Applied Energy","language":"en","page":"100061","source":"ScienceDirect","title":"AlphaBuilding ResCommunity: A multi-agent virtual testbed for community-level load coordination","title-short":"AlphaBuilding ResCommunity","volume":"4","author":[{"family":"Wang","given":"Zhe"},{"family":"Chen","given":"Bingqing"},{"family":"Li","given":"Han"},{"family":"Hong","given":"Tianzhen"}],"issued":{"date-parts":[["2021",11,19]]},"citation-key":"wangAlphaBuildingResCommunityMultiagent2021"}}],"schema":"https://github.com/citation-style-language/schema/raw/master/csl-citation.json"} </w:instrText>
      </w:r>
      <w:r w:rsidRPr="00A27918">
        <w:fldChar w:fldCharType="separate"/>
      </w:r>
      <w:r w:rsidR="00B10A4D" w:rsidRPr="00B10A4D">
        <w:t>[57,58]</w:t>
      </w:r>
      <w:r w:rsidRPr="00A27918">
        <w:fldChar w:fldCharType="end"/>
      </w:r>
      <w:r>
        <w:t xml:space="preserve">, and </w:t>
      </w:r>
      <w:r w:rsidRPr="00A27918">
        <w:t xml:space="preserve">model predictive control </w:t>
      </w:r>
      <w:r>
        <w:t xml:space="preserve">(MPC)-based optimal precooling control </w:t>
      </w:r>
      <w:r>
        <w:fldChar w:fldCharType="begin"/>
      </w:r>
      <w:r w:rsidR="005D48B2">
        <w:instrText xml:space="preserve"> ADDIN ZOTERO_ITEM CSL_CITATION {"citationID":"kMw377Lp","properties":{"formattedCitation":"[59\\uc0\\u8211{}66]","plainCitation":"[59–66]","noteIndex":0},"citationItems":[{"id":1408,"uris":["http://zotero.org/users/5659608/items/VFJBAFUR"],"itemData":{"id":1408,"type":"article-journal","abstract":"Heating, ventilation and air conditioning for residential and commercial buildings requires a substantial share of electric energy, and ultimately drives summer peak demand in the United States. Variable electric rates are becoming more common in the residential market, as utilities try to encourage users to shift their energy demand. Model predictive controls, one method of reducing energy usage, employ an optimization model to minimize peak demand, energy usage, or electricity costs. This paper details the development of a co-simulation framework to rapidly model and simulate building energy use and optimize cooling setpoint controls. The framework integrates commercially available software to: (i) simulate all energy interactions between the building, internal gains, outdoor environment, and heating and cooling systems via a building energy simulation program (EnergyPlus), (ii) algebraically formulate an optimization problem (with AMPL) using a black-box, reduced-order model for rapid calculations, (iii) employ Simulink as the environment that links calls to EnergyPlus and AMPL, and (iv) solve the optimization model (with CPLEX) to minimize electricity costs and user discomfort. Variable electric time-of-use rates are analyzed in the context of total cooling electricity costs, thermal comfort of users, and peak demand shedding. The framework uses a model predictive control formulation capable of reducing cooling electricity costs by up to 30%; however, cost savings and peak demand shedding are highly dependent on the time-of-use electricity rate schedule.","container-title":"Applied Energy","DOI":"10.1016/j.apenergy.2019.01.241","ISSN":"0306-2619","journalAbbreviation":"Applied Energy","language":"en","page":"1346-1357","source":"ScienceDirect","title":"A modeling framework for optimization-based control of a residential building thermostat for time-of-use pricing","volume":"242","author":[{"family":"Tabares-Velasco","given":"Paulo Cesar"},{"family":"Speake","given":"Andrew"},{"family":"Harris","given":"Maxwell"},{"family":"Newman","given":"Alexandra"},{"family":"Vincent","given":"Tyrone"},{"family":"Lanahan","given":"Michael"}],"issued":{"date-parts":[["2019",5,15]]},"citation-key":"tabares-velascoModelingFrameworkOptimizationbased2019"}},{"id":1330,"uris":["http://zotero.org/users/5659608/items/Z8HTLJA8"],"itemData":{"id":1330,"type":"article-journal","abstract":"Model Predictive Control (MPC) is an advanced process control method that has attracted much attention in building heating, ventilation, and air conditioning (HVAC) systems. This paper analyzes the optimal precooling performance in residential buildings using MPC with two different comfort indices, namely, temperature and predicted mean vote (PMV). It first formulates, for each comfort index, an optimization problem that accounts for different factors, such as weather, home thermal condition, prediction horizon, time-of use (TOU) utility rate, and rated cooling capacity. The problem is then solved, resulting in an MPC strategy that determines the HVAC on/off control signal and minimizes energy cost over a receding time horizon while maintaining thermal comfort. The energy performance difference between temperature-based and PMV-based MPC strategies is subsequently investigated, especially in light of the interior wall surface temperature and under different combinations of the factors. Extensive simulation results demonstrated that the proposed MPC strategies are adaptive and their performances depend primarily on weather, home thermal condition, and prediction horizon, while the impact of TOU utility rate and rated cooling capacity is relatively small. Because the PMV-based MPC strategy can take advantage of the lower interior wall surface temperature due to precooling, it resulted in 8–45% cost savings for the scenarios investigated and an average increase of 0.042–0.113 in the absolute value of the PMV index compared to the temperature-based MPC strategy.","container-title":"Building and Environment","DOI":"10.1016/j.buildenv.2022.109952","ISSN":"0360-1323","journalAbbreviation":"Building and Environment","language":"en","page":"109952","source":"ScienceDirect","title":"Analysis of predicted mean vote-based model predictive control for residential HVAC systems","volume":"229","author":[{"family":"Wang","given":"Junke"},{"family":"Jiang","given":"Yilin"},{"family":"Tang","given":"Choon Yik"},{"family":"Song","given":"Li"}],"issued":{"date-parts":[["2023",2,1]]},"citation-key":"wangAnalysisPredictedMean2023a"}},{"id":1664,"uris":["http://zotero.org/users/5659608/items/3R9VM4UL"],"itemData":{"id":1664,"type":"article-journal","abstract":"Residential heating, ventilation and air conditioning (HVAC) systems usually employ on/off controllers to regulate the temperature. Generally, there is no supervisory controller which can use the weather forecast and electricity time of use (TOU) price information to reduce the overall operating cost of the equipment. Lack of a supervisory controller results in higher operating costs of the HVAC system. In this paper, a model predictive control (MPC) based supervisory controller is designed to shift the heating and cooling load of a house to off-peak hours. Supervisory MPC generates the temperature set-points trajectory for on/off controllers. The approach was verified through extensive experiments in an experimental archetype house. By employing the supervisory controller with variable set-points 16% cost savings were obtained when compared to the fixed zone temperature set-points at 25°C. More significant savings of about 50% were seen when MPC-based centralized controller was compared with the fixed zone temperature set-points of 24°C.","container-title":"Energy and Buildings","DOI":"10.1016/j.enbuild.2017.08.060","ISSN":"0378-7788","journalAbbreviation":"Energy and Buildings","language":"en","page":"268-282","source":"ScienceDirect","title":"Supervisory model predictive controller (MPC) for residential HVAC systems: Implementation and experimentation on archetype sustainable house in Toronto","title-short":"Supervisory model predictive controller (MPC) for residential HVAC systems","volume":"154","author":[{"family":"Afram","given":"Abdul"},{"family":"Janabi-Sharifi","given":"Farrokh"}],"issued":{"date-parts":[["2017",11,1]]},"citation-key":"aframSupervisoryModelPredictive2017"}},{"id":1404,"uris":["http://zotero.org/users/5659608/items/KCCEHVDG"],"itemData":{"id":1404,"type":"article-journal","abstract":"Controlling residential thermal loads and thermal energy storage is a viable tactic to engage end-users in demand response programs (DRPs). This paper focuses on the development of an optimal real-time thermal energy management system (TEMS) for smart homes to respond to DRP for peak-load shifting. The proposed TEMS combines two model predictive controllers to manage two thermal energy storage systems, a water storage tank (WST) and the building thermal mass, to schedule residential heat pump loads to off-peak periods. The intention is to manage the operation of a ground source heat pump (GSHP) to produce the desired amount of thermal energy by controlling the volume and temperature of the stored water in the WST while optimizing the operation of the heat distributors to control indoor temperature. The primary contributions are the development of a new control strategy for GSHPs coupled with WST based on building identification to minimize total energy consumption and cost. This paper also proposes a real-time indoor dynamic temperature set-point strategy based on real-time pricing tariffs for enhancing peak-load shifting of heat pump loads with an acceptable variation in thermal comfort. Simulation and experimental results demonstrate that the proposed TEMS has significant potential for real-time peak-load shifting.","container-title":"IEEE Transactions on Smart Grid","DOI":"10.1109/TSG.2018.2887232","ISSN":"1949-3061","issue":"5","note":"event-title: IEEE Transactions on Smart Grid","page":"5587-5599","source":"IEEE Xplore","title":"Optimal Real-Time Residential Thermal Energy Management for Peak-Load Shifting With Experimental Verification","volume":"10","author":[{"family":"Baniasadi","given":"Ali"},{"family":"Habibi","given":"Daryoush"},{"family":"Bass","given":"Octavian"},{"family":"Masoum","given":"Mohammad A. S."}],"issued":{"date-parts":[["2019",9]]},"citation-key":"baniasadiOptimalRealTimeResidential2019"}},{"id":1414,"uris":["http://zotero.org/users/5659608/items/UKUCY9N2"],"itemData":{"id":1414,"type":"article-journal","abstract":"Future building energy management systems will have to be capable of adapting to variation in the rate of production of energy from renewable sources. Controllers employing a model predictive control (MPC) framework can optimise and schedule energy usage based on the availability of renewably generated energy. In this paper, an MPC using artificial neural networks (ANNs) was implemented in a residential building. The ANN-MPC was successfully tested and demonstrated good performance predicting the building's energy consumption. The controller was then modified to function as an economic MPC (EMPC) to optimise demand flexibility (i.e., the ability to adapt energy demands to fluctuations in supply). The operational costs of energy usage were associated with this demand flexibility, which was represented by three flexibility indicators: flexibility factor, supply cover factor, and load cover factor. The results from a day-long test showed that these flexibility indicators were maximised (flexibility factor ranged from −0.88 to 0.67, supply cover factor from 0.04 to 0.13, and load cover factor from 0.07 to 0.16) when the EMPC controller's demand flexibility was compared to that of a conventional proportional-integral (PI) controller. The EMPC framework for demand flexibility can be used to regulate on-site energy generation, grid consumption, and grid feed-in and can thus serve as a basis for overall optimisation of the operation of heating systems to achieve greater demand flexibility.","container-title":"Energy","DOI":"10.1016/j.energy.2019.03.171","ISSN":"0360-5442","journalAbbreviation":"Energy","language":"en","page":"365-379","source":"ScienceDirect","title":"Economic model predictive control for demand flexibility of a residential building","volume":"176","author":[{"family":"Finck","given":"Christian"},{"family":"Li","given":"Rongling"},{"family":"Zeiler","given":"Wim"}],"issued":{"date-parts":[["2019",6,1]]},"citation-key":"finckEconomicModelPredictive2019"}},{"id":1467,"uris":["http://zotero.org/users/5659608/items/9FZ3GVUF"],"itemData":{"id":1467,"type":"article-journal","abstract":"In educational buildings, the HVAC system is a major contributor to the total energy use. It is well-known that energy reductions could be achieved by more advanced control strategies for HVAC systems. A model predictive control (MPC) strategy could be a viable solution. Contrary to the standard rule based control (RBC), the predictive control can adjust in the supply air temperature, airflow rate prior to the start of a lecture. This study aims to develop and demonstrate an MPC framework for an all-air system that controls both the room temperature and the CO2-concentrations. To predict these variables two model identification techniques were compared: auto-regressive with exogenous input (ARX-MPC) linear model and a grey-box resistor–capacitor nonlinear model (RC-NMPC). In addition, a cost function that minimized the energy use while guaranteeing thermal comfort and indoor air quality (IAQ) was formulated. This study showed that the ARX-MPC was preferred over the RC-NMPC given its simplicity. As for the model identification, the ARX model was less computationally time-consuming than the grey-box model. Furthermore, the RC-NMPC required more computational time than the ARX-MPC, since the RC-NMPC required a non-linear solver while the ARX-MPC used a linear one. The developed MPC framework was than implemented through BACnet in a real-use educational building to test its actual performance. The energy savings calculated for the implemented MPC strategies with an occupancy based heating set-point were respectively 10%–40% for electric energy use and 21%–55% for thermal energy use.","container-title":"Building and Environment","DOI":"10.1016/j.buildenv.2022.109053","ISSN":"0360-1323","journalAbbreviation":"Building and Environment","language":"en","page":"109053","source":"ScienceDirect","title":"Demonstration of an MPC framework for all-air systems in non-residential buildings","volume":"217","author":[{"family":"Merema","given":"Bart"},{"family":"Saelens","given":"Dirk"},{"family":"Breesch","given":"Hilde"}],"issued":{"date-parts":[["2022",6,1]]},"citation-key":"meremaDemonstrationMPCFramework2022"}},{"id":1399,"uris":["http://zotero.org/users/5659608/items/P6YCVXFL"],"itemData":{"id":1399,"type":"article-journal","abstract":"Model Predictive Control (MPC) is a promising technique to address growing needs for heating, ventilation, and air-conditioning (HVAC) systems to operate more efficiently and with greater flexibility. However, due to a number of factors, including the required implementation expertise, lack of high quality data, and a risk-adverse industry, MPC has yet to gain widespread adoption. While many previous studies have shown the advantages of MPC, few analyzed the implementation effort and associated practical challenges. In addition, previous work has developed an open-source, Modelica-based tool-chain that automatically generates optimal control, parameter estimation, and state estimation problems aimed at facilitating MPC implementation. Therefore, this study demonstrates usage of this tool-chain to implement MPC in a real office building, discusses practical challenges of implementing MPC, and estimates the implementation effort associated with various tasks in order to inform the development of future workflows and serve as an initial benchmark for their impact on reducing implementation effort. This study finds that the implemented MPC saves approximately 40% of HVAC energy over the existing control during a two-month trial period and that tasks related to data collection and controller deployment activities can each require as much effort as model generation.","container-title":"Applied Energy","DOI":"10.1016/j.apenergy.2022.119104","ISSN":"0306-2619","journalAbbreviation":"Applied Energy","language":"en","page":"119104","source":"ScienceDirect","title":"Field demonstration and implementation analysis of model predictive control in an office HVAC system","volume":"318","author":[{"family":"Blum","given":"David"},{"family":"Wang","given":"Zhe"},{"family":"Weyandt","given":"Chris"},{"family":"Kim","given":"Donghun"},{"family":"Wetter","given":"Michael"},{"family":"Hong","given":"Tianzhen"},{"family":"Piette","given":"Mary Ann"}],"issued":{"date-parts":[["2022",7,15]]},"citation-key":"blumFieldDemonstrationImplementation2022"}},{"id":1378,"uris":["http://zotero.org/users/5659608/items/M67L39Y3"],"itemData":{"id":1378,"type":"article-journal","abstract":"It is promising to apply model predictive control (MPC) scheme to demand-controlled ventilation (DCV) for the energy-efficient provision of indoor air quality (IAQ). However, the application of MPC in actual multi-zone DCV systems is challenged by the complexity of the ventilation duct network as well as the difficulty in handling uncertainties in actual systems. To tackle these issues, we proposed a novel robust model predictive control (MPC) strategy for multi-zone DCV systems. First, a data-driven model is established for ventilation duct network to represent relationships between airflow and damper angles. Then, with the above model and zone IAQ dynamics models, a two-layer tube-based MPC scheme is designed to efficiently handle uncertainties in actual systems: the first-layer MPC generates nominal state trajectories based on nominal systems without uncertainties while the second-layer MPC generates control actions to direct states of actual uncertain system to nominal trajectories. With the proposed strategy, the optimal trajectories of damper angles and fan pressure can be determined to minimize energy consumption while maintaining satisfying IAQ in the presence of uncertainties. Experimental results show that, in the presence of uncertainties, the proposed strategy can reduce IAQ cost by 10% and energy consumption by 14% compared with the strategy adopting conventional feedback control scheme. When compared with the baseline strategy without optimization, the proposed strategy can reduce IAQ cost by 38% and energy consumption by 30%. In addition, the proposed strategy can provide flexible trade-off between energy-efficiency and robustness against uncertainties based on designers’ interest.","container-title":"Applied Energy","DOI":"10.1016/j.apenergy.2021.118297","ISSN":"0306-2619","journalAbbreviation":"Applied Energy","language":"en","page":"118297","source":"ScienceDirect","title":"Tube-based robust model predictive control of multi-zone demand-controlled ventilation systems for energy saving and indoor air quality","volume":"307","author":[{"family":"Li","given":"Bingxu"},{"family":"Wu","given":"Bingjie"},{"family":"Peng","given":"Yelun"},{"family":"Cai","given":"Wenjian"}],"issued":{"date-parts":[["2022",2,1]]},"citation-key":"liTubebasedRobustModel2022"}}],"schema":"https://github.com/citation-style-language/schema/raw/master/csl-citation.json"} </w:instrText>
      </w:r>
      <w:r>
        <w:fldChar w:fldCharType="separate"/>
      </w:r>
      <w:r w:rsidR="00B10A4D" w:rsidRPr="00B10A4D">
        <w:rPr>
          <w:kern w:val="0"/>
          <w:szCs w:val="24"/>
        </w:rPr>
        <w:t>[59–66]</w:t>
      </w:r>
      <w:r>
        <w:fldChar w:fldCharType="end"/>
      </w:r>
      <w:r w:rsidRPr="00A27918">
        <w:t xml:space="preserve">. </w:t>
      </w:r>
      <w:r>
        <w:t xml:space="preserve">In rule-based control, the control signals are based on the pre-defined rule. Other than typical examples of precooling signals shown in </w:t>
      </w:r>
      <w:r>
        <w:fldChar w:fldCharType="begin"/>
      </w:r>
      <w:r>
        <w:rPr>
          <w:szCs w:val="24"/>
        </w:rPr>
        <w:instrText xml:space="preserve"> REF _Ref131518158 \h </w:instrText>
      </w:r>
      <w:r>
        <w:fldChar w:fldCharType="separate"/>
      </w:r>
      <w:r w:rsidR="000E1725">
        <w:t xml:space="preserve">Figure </w:t>
      </w:r>
      <w:r w:rsidR="000E1725">
        <w:rPr>
          <w:noProof/>
        </w:rPr>
        <w:t>2</w:t>
      </w:r>
      <w:r w:rsidR="000E1725">
        <w:t>.</w:t>
      </w:r>
      <w:r w:rsidR="000E1725">
        <w:rPr>
          <w:noProof/>
        </w:rPr>
        <w:t>1</w:t>
      </w:r>
      <w:r>
        <w:fldChar w:fldCharType="end"/>
      </w:r>
      <w:r>
        <w:t xml:space="preserve">, the pre-defined rule can be flexible in precooling strategies in terms of setpoints and precooling time </w:t>
      </w:r>
      <w:r>
        <w:fldChar w:fldCharType="begin"/>
      </w:r>
      <w:r w:rsidR="005D48B2">
        <w:instrText xml:space="preserve"> ADDIN ZOTERO_ITEM CSL_CITATION {"citationID":"auo0o4loa5","properties":{"formattedCitation":"[54]","plainCitation":"[54]","noteIndex":0},"citationItems":[{"id":1317,"uris":["http://zotero.org/users/5659608/items/DU9P4KQG"],"itemData":{"id":1317,"type":"article-journal","abstract":"Precooling is a recognized technique for reducing cooling energy in buildings during peak hours by shifting load to off-peak hours. This technique is particularly effective in buildings with high thermal mass, because of their large thermal energy storage capacity, and in commercial buildings due to their variable electricity pricing based on time-of-use rates. Precooling in residential buildings has been a matter of limited interest in the past because of their low thermal mass and typically uniform electricity pricing rate. While previous studies on precooling primarily focused on cost savings, an important aspect of precooling is the thermal load modulation, which could be very effective in managing peak demand in lightweight residential buildings integrated with thermal energy storage systems. In this study, we examine different precooling strategies to manage the heat gains in lightweight building walls integrated with phase-change materials. We create nine different precooling profiles by controlling the interior temperature, and then evaluate the influence of the precooling profiles on four key building energy performance parameters: total heat gain, peak heat gain, maximum heat gain during peak hours, and time at which peak occurs. To thoroughly understand the fundamental physics, we first consider hypothetical climates and obtain the optimal precooling strategy required to achieve maximum peak shedding and shifting while minimizing the total heat gains. We then extend the model to Baltimore, Maryland, and estimate the benefits of the optimized precooling strategy under real conditions. The optimal precooling strategy proposed in this study can shift the peak heat gain by up to 14 h, thereby reducing the heat gain during peak period by up to 95%, at the expense of 23% increase in the total heat gains.","container-title":"Applied Thermal Engineering","DOI":"10.1016/j.applthermaleng.2020.115870","ISSN":"1359-4311","journalAbbreviation":"Applied Thermal Engineering","language":"en","page":"115870","source":"ScienceDirect","title":"Modulating thermal load through lightweight residential building walls using thermal energy storage and controlled precooling strategy","volume":"180","author":[{"family":"Kishore","given":"Ravi Anant"},{"family":"Bianchi","given":"Marcus V. A."},{"family":"Booten","given":"Chuck"},{"family":"Vidal","given":"Judith"},{"family":"Jackson","given":"Roderick"}],"issued":{"date-parts":[["2020",11,5]]},"citation-key":"kishoreModulatingThermalLoad2020"}}],"schema":"https://github.com/citation-style-language/schema/raw/master/csl-citation.json"} </w:instrText>
      </w:r>
      <w:r>
        <w:fldChar w:fldCharType="separate"/>
      </w:r>
      <w:r w:rsidR="00B10A4D" w:rsidRPr="00B10A4D">
        <w:t>[54]</w:t>
      </w:r>
      <w:r>
        <w:fldChar w:fldCharType="end"/>
      </w:r>
      <w:r>
        <w:t>.</w:t>
      </w:r>
      <w:r>
        <w:rPr>
          <w:rFonts w:hint="eastAsia"/>
        </w:rPr>
        <w:t xml:space="preserve"> </w:t>
      </w:r>
      <w:r>
        <w:t xml:space="preserve">The optimization precooling control without feedback means the control signal of the HVAC system is obtained by solving the predictive model and the optimization problem in one shot. In general, the solution to the optimization problem decided the optimal time to start the cooling or heating process of the HVAC. Notice that, most of the optimization solutions for the precooling studies in residential buildings are the on/off signals for the HVAC system, but in some literature, such as </w:t>
      </w:r>
      <w:r>
        <w:fldChar w:fldCharType="begin"/>
      </w:r>
      <w:r w:rsidR="005D48B2">
        <w:instrText xml:space="preserve"> ADDIN ZOTERO_ITEM CSL_CITATION {"citationID":"a1ls0llmdb9","properties":{"formattedCitation":"[53]","plainCitation":"[53]","noteIndex":0},"citationItems":[{"id":792,"uris":["http://zotero.org/users/5659608/items/N5SZFPAK"],"itemData":{"id":792,"type":"article-journal","abstract":"To lower buildings’ signiﬁcant energy consumption and high impacts on environmental sustainability, recent years have witnessed rapidly growing interests in efﬁcient HVAC precooling control and optimization. However, due to the complex analytical modeling of building thermal transfer, rigorous mathematical optimization for HVAC precooling is highly challenging. As a result, progress on HVAC precooling optimization remains limited in the literature. Our main contribution is that we overcome the aforementioned challenge and propose an accurate and tractable HVAC precooling optimization framework. The main results of this paper are three-fold: i) We develop an RC-network-based analytical model for multi-zone HVAC precooling to minimize both total energy costs and peak load demand; ii) We show that the HVAC procooling optimization problem based on the proposed RC network model admits a convex approximation, which enables an efﬁcient optimization algorithm design; and iii) Based on the convex approximation insight and by exploiting special problem structures, we develop an efﬁcient distributed algorithm to solve the HVAC precooling optimization problem. Further, we conduct extensive simulation studies to verify the performance of our proposed mathematical model and algorithms. Our numerical results indicate that compared with the ﬁve existing HVAC control strategies, the proposed algorithm consistently outperforms existing state-of-the-art approaches.","container-title":"IEEE Transactions on Sustainable Computing","DOI":"10.1109/TSUSC.2019.2943491","ISSN":"2377-3782, 2377-3790","journalAbbreviation":"IEEE Trans. Sustain. Comput.","language":"en","page":"1-1","source":"DOI.org (Crossref)","title":"An RC-Network Approach for HVAC Precooling Optimization in Buildings","author":[{"family":"Shi","given":"Hongsen"},{"family":"Liu","given":"Jia"},{"family":"Chen","given":"Qian"}],"issued":{"date-parts":[["2019"]]},"citation-key":"shiRCNetworkApproachHVAC2019"}}],"schema":"https://github.com/citation-style-language/schema/raw/master/csl-citation.json"} </w:instrText>
      </w:r>
      <w:r>
        <w:fldChar w:fldCharType="separate"/>
      </w:r>
      <w:r w:rsidR="00B10A4D" w:rsidRPr="00B10A4D">
        <w:t>[53]</w:t>
      </w:r>
      <w:r>
        <w:fldChar w:fldCharType="end"/>
      </w:r>
      <w:r>
        <w:rPr>
          <w:lang w:eastAsia="zh-TW"/>
        </w:rPr>
        <w:t xml:space="preserve">, the solution is the setpoint </w:t>
      </w:r>
      <w:r>
        <w:rPr>
          <w:lang w:eastAsia="zh-TW"/>
        </w:rPr>
        <w:lastRenderedPageBreak/>
        <w:t>of the AC which is achieved by using the linear approximation of the relationship between the thermal mass characteristics and setpoint. The reinforcement learning is a type of machine learning control strategy where the agent are iteratively train to make sequential decisions in given environment to maximize the cumulative rewards</w:t>
      </w:r>
      <w:r w:rsidR="00E02B57">
        <w:rPr>
          <w:lang w:eastAsia="zh-TW"/>
        </w:rPr>
        <w:t xml:space="preserve"> </w:t>
      </w:r>
      <w:r>
        <w:rPr>
          <w:lang w:eastAsia="zh-TW"/>
        </w:rPr>
        <w:fldChar w:fldCharType="begin"/>
      </w:r>
      <w:r w:rsidR="005D48B2">
        <w:rPr>
          <w:lang w:eastAsia="zh-TW"/>
        </w:rPr>
        <w:instrText xml:space="preserve"> ADDIN ZOTERO_ITEM CSL_CITATION {"citationID":"a2f3dicjmvo","properties":{"formattedCitation":"[67]","plainCitation":"[67]","noteIndex":0},"citationItems":[{"id":1814,"uris":["http://zotero.org/users/5659608/items/YYAUPZCY"],"itemData":{"id":1814,"type":"book","note":"Citation Key: sutton2018reinforcement","publisher":"MIT press","title":"Reinforcement learning: An introduction","author":[{"family":"Sutton","given":"Richard S"},{"family":"Barto","given":"Andrew G"}],"issued":{"date-parts":[["2018"]]},"citation-key":"sutton2018reinforcement"}}],"schema":"https://github.com/citation-style-language/schema/raw/master/csl-citation.json"} </w:instrText>
      </w:r>
      <w:r>
        <w:rPr>
          <w:lang w:eastAsia="zh-TW"/>
        </w:rPr>
        <w:fldChar w:fldCharType="separate"/>
      </w:r>
      <w:r w:rsidR="00B10A4D" w:rsidRPr="00B10A4D">
        <w:t>[67]</w:t>
      </w:r>
      <w:r>
        <w:rPr>
          <w:lang w:eastAsia="zh-TW"/>
        </w:rPr>
        <w:fldChar w:fldCharType="end"/>
      </w:r>
      <w:r>
        <w:rPr>
          <w:lang w:eastAsia="zh-TW"/>
        </w:rPr>
        <w:t>. In the precooling application, the reinforcement learning agent interact with current environments such as indoor air temperature, humidity, occupancy, system status, take sequential actions such as on/off signals or setpoint choices over time, and maximize the cumulative rewards based on cost saving or other objectives</w:t>
      </w:r>
      <w:r w:rsidR="00675C37">
        <w:rPr>
          <w:lang w:eastAsia="zh-TW"/>
        </w:rPr>
        <w:t xml:space="preserve"> </w:t>
      </w:r>
      <w:r>
        <w:rPr>
          <w:lang w:eastAsia="zh-TW"/>
        </w:rPr>
        <w:fldChar w:fldCharType="begin"/>
      </w:r>
      <w:r w:rsidR="005D48B2">
        <w:rPr>
          <w:lang w:eastAsia="zh-TW"/>
        </w:rPr>
        <w:instrText xml:space="preserve"> ADDIN ZOTERO_ITEM CSL_CITATION {"citationID":"a23hag3riji","properties":{"formattedCitation":"[57,58]","plainCitation":"[57,58]","noteIndex":0},"citationItems":[{"id":1651,"uris":["http://zotero.org/users/5659608/items/9TK8NCYU"],"itemData":{"id":1651,"type":"article-journal","abstract":"Energy efficiency remains a significant topic in the control of building heating, ventilation, and air-conditioning (HVAC) systems, and diverse set of control strategies have been developed to optimize performance, including recently emerging techniques of deep reinforcement learning (DRL). While most existing works have focused on minimizing energy consumption, the generalization to energy cost minimization under time-varying electricity price profiles and demand charges has rarely been studied. Under these utility structures, significant cost savings can be achieved by pre-cooling buildings in the early morning when electricity is cheaper, thereby reducing expensive afternoon consumption and lowering peak demand. However, correctly identifying these savings requires planning horizons of one day or more. To tackle this problem, we develop Deep Q-Network (DQN) with an action processor, defining the environment as a Partially Observable Markov Decision Process (POMDP) with a reward function consisting of energy cost (time-of-use and peak demand charges) and a discomfort penalty, which is an extension of most reward functions used in existing DRL works in this area. Moreover, we develop a reward shaping technique to overcome the issue of reward sparsity caused by the demand charge. Through a single-zone building simulation platform, we demonstrate that the customized DQN outperforms the baseline rule-based policy, saving close to 6% of total cost with demand charges, while close to 8% without demand charges.","container-title":"Energy and Buildings","DOI":"10.1016/j.enbuild.2021.110833","ISSN":"0378-7788","journalAbbreviation":"Energy and Buildings","language":"en","page":"110833","source":"ScienceDirect","title":"Building HVAC control with reinforcement learning for reduction of energy cost and demand charge","volume":"239","author":[{"family":"Jiang","given":"Zhanhong"},{"family":"Risbeck","given":"Michael J."},{"family":"Ramamurti","given":"Vish"},{"family":"Murugesan","given":"Sugumar"},{"family":"Amores","given":"Jaume"},{"family":"Zhang","given":"Chenlu"},{"family":"Lee","given":"Young M."},{"family":"Drees","given":"Kirk H."}],"issued":{"date-parts":[["2021",5,15]]},"citation-key":"jiangBuildingHVACControl2021"}},{"id":1810,"uris":["http://zotero.org/users/5659608/items/Y5T6WQS3"],"itemData":{"id":1810,"type":"article-journal","abstract":"Training and validating algorithms in a simulation testbed can accelerate research and applications of optimal control of residential loads to improve energy flexibility and grid resilience. We developed an open-source simulation environment, AlphaBuilding ResCommunity, that can be used to train and validate algorithms to control a single thermostatically controlled load (TCL) or coordinate a group of TCLs. We used reduced-order models to simulate the thermodynamics of TCLs, and the parameter values were determined from the connected smart thermostat data of real households. The environment was built upon the standardized OpenAI Gym interface. Ancillary functions, such as retrieving the parameters and weather forecasts, are provided to facilitate control strategies that require predictive information. Compared with existing efforts, AlphaBuilding ResCommunity has three advantages: (1) more realistic model settings because the parameter values are identified from actual household operating data, and modelling and measurement uncertainty are considered; (2) passive thermal storage control; and (3) ease of use due to a simple software dependency and standardized interface. We demonstrated the applications of the environment by implementing a Kalman Filter and Model Predictive Control on a single TCL and a Priority-Stack-Based Control and Alternating Direction Method of Multipliers to coordinate multiple TCLs for load tracking.","container-title":"Advances in Applied Energy","DOI":"10.1016/j.adapen.2021.100061","ISSN":"2666-7924","journalAbbreviation":"Advances in Applied Energy","language":"en","page":"100061","source":"ScienceDirect","title":"AlphaBuilding ResCommunity: A multi-agent virtual testbed for community-level load coordination","title-short":"AlphaBuilding ResCommunity","volume":"4","author":[{"family":"Wang","given":"Zhe"},{"family":"Chen","given":"Bingqing"},{"family":"Li","given":"Han"},{"family":"Hong","given":"Tianzhen"}],"issued":{"date-parts":[["2021",11,19]]},"citation-key":"wangAlphaBuildingResCommunityMultiagent2021"}}],"schema":"https://github.com/citation-style-language/schema/raw/master/csl-citation.json"} </w:instrText>
      </w:r>
      <w:r>
        <w:rPr>
          <w:lang w:eastAsia="zh-TW"/>
        </w:rPr>
        <w:fldChar w:fldCharType="separate"/>
      </w:r>
      <w:r w:rsidR="00B10A4D" w:rsidRPr="00B10A4D">
        <w:t>[57,58]</w:t>
      </w:r>
      <w:r>
        <w:rPr>
          <w:lang w:eastAsia="zh-TW"/>
        </w:rPr>
        <w:fldChar w:fldCharType="end"/>
      </w:r>
      <w:r>
        <w:rPr>
          <w:lang w:eastAsia="zh-TW"/>
        </w:rPr>
        <w:t xml:space="preserve">. The MPC control, whose concepts is shown in </w:t>
      </w:r>
      <w:r>
        <w:rPr>
          <w:lang w:eastAsia="zh-TW"/>
        </w:rPr>
        <w:fldChar w:fldCharType="begin"/>
      </w:r>
      <w:r>
        <w:rPr>
          <w:szCs w:val="24"/>
          <w:lang w:eastAsia="zh-TW"/>
        </w:rPr>
        <w:instrText xml:space="preserve"> REF _Ref131528667 \h </w:instrText>
      </w:r>
      <w:r>
        <w:rPr>
          <w:lang w:eastAsia="zh-TW"/>
        </w:rPr>
      </w:r>
      <w:r>
        <w:rPr>
          <w:lang w:eastAsia="zh-TW"/>
        </w:rPr>
        <w:fldChar w:fldCharType="separate"/>
      </w:r>
      <w:r w:rsidR="000E1725">
        <w:t xml:space="preserve">Figure </w:t>
      </w:r>
      <w:r w:rsidR="000E1725">
        <w:rPr>
          <w:noProof/>
        </w:rPr>
        <w:t>2</w:t>
      </w:r>
      <w:r w:rsidR="000E1725">
        <w:t>.</w:t>
      </w:r>
      <w:r w:rsidR="000E1725">
        <w:rPr>
          <w:noProof/>
        </w:rPr>
        <w:t>2</w:t>
      </w:r>
      <w:r>
        <w:rPr>
          <w:lang w:eastAsia="zh-TW"/>
        </w:rPr>
        <w:fldChar w:fldCharType="end"/>
      </w:r>
      <w:r>
        <w:rPr>
          <w:lang w:eastAsia="zh-TW"/>
        </w:rPr>
        <w:t xml:space="preserve">, is based on the optimization control but in iterative way. </w:t>
      </w:r>
      <w:r>
        <w:t>The MPC predicts future outputs of a system over a</w:t>
      </w:r>
      <w:r w:rsidRPr="00174623">
        <w:rPr>
          <w:i/>
          <w:iCs/>
        </w:rPr>
        <w:t xml:space="preserve"> finite </w:t>
      </w:r>
      <w:r>
        <w:rPr>
          <w:i/>
          <w:iCs/>
        </w:rPr>
        <w:t xml:space="preserve">receding </w:t>
      </w:r>
      <w:r w:rsidRPr="00174623">
        <w:rPr>
          <w:i/>
          <w:iCs/>
        </w:rPr>
        <w:t xml:space="preserve">prediction horizon </w:t>
      </w:r>
      <w:r>
        <w:t xml:space="preserve">through a system model, determines control signals through optimization over a </w:t>
      </w:r>
      <w:r w:rsidRPr="00174623">
        <w:rPr>
          <w:i/>
          <w:iCs/>
        </w:rPr>
        <w:t>control</w:t>
      </w:r>
      <w:r w:rsidRPr="00F96C6A">
        <w:t xml:space="preserve"> </w:t>
      </w:r>
      <w:r w:rsidRPr="00174623">
        <w:rPr>
          <w:i/>
          <w:iCs/>
        </w:rPr>
        <w:t>horizon</w:t>
      </w:r>
      <w:r>
        <w:rPr>
          <w:i/>
          <w:iCs/>
        </w:rPr>
        <w:t xml:space="preserve"> based on</w:t>
      </w:r>
      <w:r>
        <w:t xml:space="preserve"> the predictions, time-variant inputs, and system feedback, and repeats the predication and optimization for every iteration </w:t>
      </w:r>
      <w:r>
        <w:fldChar w:fldCharType="begin"/>
      </w:r>
      <w:r w:rsidR="005D48B2">
        <w:instrText xml:space="preserve"> ADDIN ZOTERO_ITEM CSL_CITATION {"citationID":"nwbwn869","properties":{"formattedCitation":"[68,69]","plainCitation":"[68,69]","noteIndex":0},"citationItems":[{"id":1662,"uris":["http://zotero.org/users/5659608/items/Q8BE9DBW"],"itemData":{"id":1662,"type":"book","publisher":"Cambridge University Press","title":"Predictive control for linear and hybrid systems","author":[{"family":"Borrelli","given":"Francesco"},{"family":"Bemporad","given":"Alberto"},{"family":"Morari","given":"Manfred"}],"issued":{"date-parts":[["2017"]]},"citation-key":"borrelliPredictiveControlLinear2017"}},{"id":1663,"uris":["http://zotero.org/users/5659608/items/X8RSJSLF"],"itemData":{"id":1663,"type":"book","abstract":"From power plants to sugar refining, model predictive control (MPC) schemes have established themselves as the preferred control strategies for a wide variety of processes. The second edition of Model Predictive Control provides a thorough introduction to theoretical and practical aspects of the most commonly used MPC strategies. It bridges the gap between the powerful but often abstract techniques of control researchers and the more empirical approach of practitioners. Model Predictive Control demonstrates that a powerful technique does not always require complex control algorithms. The text features material on the following subjects: general MPC elements and algorithms; commercial MPC schemes; generalized predictive control multivariable, robust, constrained nonlinear and hybrid MPC; fast methods for MPC implementation; applications. All of the material is thoroughly updated for the second edition with the chapters on nonlinear MPC, MPC and hybrid systems and MPC implementation being entirely new. Many new exercises and examples have also have also been added throughout and MATLAB® programs to aid in their solution can be downloaded from extras.springer.com. The text is an excellent aid for graduate and advanced undergraduate students and will also be of use to researchers and industrial practitioners wishing to keep abreast of a fast-moving field.","collection-title":"Advanced Textbooks in Control and Signal Processing","edition":"2nd ed. 2007..","ISBN":"0-85729-398-2","language":"eng","title":"Model Predictive Control by Eduardo F. Camacho, Carlos Bordons Alba.","author":[{"family":"Camacho","given":"Eduardo F"}],"issued":{"date-parts":[["2007"]]},"citation-key":"camachoModelPredictiveControl2007"}}],"schema":"https://github.com/citation-style-language/schema/raw/master/csl-citation.json"} </w:instrText>
      </w:r>
      <w:r>
        <w:fldChar w:fldCharType="separate"/>
      </w:r>
      <w:r w:rsidR="00B10A4D" w:rsidRPr="00B10A4D">
        <w:t>[68,69]</w:t>
      </w:r>
      <w:r>
        <w:fldChar w:fldCharType="end"/>
      </w:r>
      <w:r>
        <w:t>.</w:t>
      </w:r>
    </w:p>
    <w:p w14:paraId="3BA49E7D" w14:textId="77777777" w:rsidR="00E55EF6" w:rsidRDefault="00E55EF6" w:rsidP="00BF7919">
      <w:pPr>
        <w:jc w:val="center"/>
      </w:pPr>
      <w:r>
        <w:rPr>
          <w:noProof/>
        </w:rPr>
        <w:drawing>
          <wp:inline distT="0" distB="0" distL="0" distR="0" wp14:anchorId="06AEFC52" wp14:editId="02127F9A">
            <wp:extent cx="4779986" cy="2303780"/>
            <wp:effectExtent l="0" t="0" r="1905" b="1270"/>
            <wp:docPr id="8" name="Picture 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imeline&#10;&#10;Description automatically generated"/>
                    <pic:cNvPicPr/>
                  </pic:nvPicPr>
                  <pic:blipFill rotWithShape="1">
                    <a:blip r:embed="rId24" cstate="print">
                      <a:extLst>
                        <a:ext uri="{28A0092B-C50C-407E-A947-70E740481C1C}">
                          <a14:useLocalDpi xmlns:a14="http://schemas.microsoft.com/office/drawing/2010/main" val="0"/>
                        </a:ext>
                      </a:extLst>
                    </a:blip>
                    <a:srcRect l="6965"/>
                    <a:stretch/>
                  </pic:blipFill>
                  <pic:spPr bwMode="auto">
                    <a:xfrm>
                      <a:off x="0" y="0"/>
                      <a:ext cx="4781050" cy="2304293"/>
                    </a:xfrm>
                    <a:prstGeom prst="rect">
                      <a:avLst/>
                    </a:prstGeom>
                    <a:ln>
                      <a:noFill/>
                    </a:ln>
                    <a:extLst>
                      <a:ext uri="{53640926-AAD7-44D8-BBD7-CCE9431645EC}">
                        <a14:shadowObscured xmlns:a14="http://schemas.microsoft.com/office/drawing/2010/main"/>
                      </a:ext>
                    </a:extLst>
                  </pic:spPr>
                </pic:pic>
              </a:graphicData>
            </a:graphic>
          </wp:inline>
        </w:drawing>
      </w:r>
    </w:p>
    <w:p w14:paraId="3560FAE0" w14:textId="71CC9D19" w:rsidR="00E55EF6" w:rsidRDefault="00E55EF6" w:rsidP="00E55EF6">
      <w:pPr>
        <w:pStyle w:val="13FigureCaption"/>
        <w:rPr>
          <w:szCs w:val="24"/>
        </w:rPr>
      </w:pPr>
      <w:bookmarkStart w:id="90" w:name="_Ref131528667"/>
      <w:bookmarkStart w:id="91" w:name="_Toc141349909"/>
      <w:r>
        <w:t xml:space="preserve">Figure </w:t>
      </w:r>
      <w:fldSimple w:instr=" STYLEREF 1 \s ">
        <w:r w:rsidR="000E1725">
          <w:rPr>
            <w:noProof/>
          </w:rPr>
          <w:t>2</w:t>
        </w:r>
      </w:fldSimple>
      <w:r w:rsidR="005445E0">
        <w:t>.</w:t>
      </w:r>
      <w:fldSimple w:instr=" SEQ Figure \* ARABIC \s 1 ">
        <w:r w:rsidR="000E1725">
          <w:rPr>
            <w:noProof/>
          </w:rPr>
          <w:t>2</w:t>
        </w:r>
      </w:fldSimple>
      <w:bookmarkEnd w:id="90"/>
      <w:r>
        <w:t xml:space="preserve"> Prediction horizon, control horizon and timestep for MPC</w:t>
      </w:r>
      <w:bookmarkEnd w:id="91"/>
      <w:r>
        <w:t xml:space="preserve"> </w:t>
      </w:r>
    </w:p>
    <w:p w14:paraId="64853891" w14:textId="7EE2B115" w:rsidR="00E55EF6" w:rsidRPr="00AB685D" w:rsidRDefault="00E55EF6" w:rsidP="00E55EF6">
      <w:r>
        <w:rPr>
          <w:lang w:eastAsia="zh-TW"/>
        </w:rPr>
        <w:t>The rule-based control and optimization control without feedback cannot incorporate</w:t>
      </w:r>
      <w:r w:rsidRPr="00A27918">
        <w:rPr>
          <w:lang w:eastAsia="zh-TW"/>
        </w:rPr>
        <w:t xml:space="preserve"> </w:t>
      </w:r>
      <w:r w:rsidRPr="00A27918">
        <w:rPr>
          <w:lang w:eastAsia="zh-TW"/>
        </w:rPr>
        <w:lastRenderedPageBreak/>
        <w:t>complicated</w:t>
      </w:r>
      <w:r>
        <w:rPr>
          <w:lang w:eastAsia="zh-TW"/>
        </w:rPr>
        <w:t>, uncertain</w:t>
      </w:r>
      <w:r w:rsidRPr="00A27918">
        <w:rPr>
          <w:lang w:eastAsia="zh-TW"/>
        </w:rPr>
        <w:t xml:space="preserve"> dynamic</w:t>
      </w:r>
      <w:r>
        <w:rPr>
          <w:lang w:eastAsia="zh-TW"/>
        </w:rPr>
        <w:t>,</w:t>
      </w:r>
      <w:r w:rsidRPr="00A27918">
        <w:rPr>
          <w:lang w:eastAsia="zh-TW"/>
        </w:rPr>
        <w:t xml:space="preserve"> and time-varying</w:t>
      </w:r>
      <w:r>
        <w:rPr>
          <w:lang w:eastAsia="zh-TW"/>
        </w:rPr>
        <w:t xml:space="preserve"> </w:t>
      </w:r>
      <w:r w:rsidRPr="00A27918">
        <w:rPr>
          <w:lang w:eastAsia="zh-TW"/>
        </w:rPr>
        <w:t>disturbance</w:t>
      </w:r>
      <w:r>
        <w:rPr>
          <w:lang w:eastAsia="zh-TW"/>
        </w:rPr>
        <w:t>s</w:t>
      </w:r>
      <w:r w:rsidRPr="00A27918">
        <w:rPr>
          <w:lang w:eastAsia="zh-TW"/>
        </w:rPr>
        <w:t xml:space="preserve"> in the HVAC system</w:t>
      </w:r>
      <w:r>
        <w:rPr>
          <w:lang w:eastAsia="zh-TW"/>
        </w:rPr>
        <w:t xml:space="preserve"> into decision-making. Furthermore, reinforcement learning requires a large number of training scenarios to make optimal decisions </w:t>
      </w:r>
      <w:r>
        <w:fldChar w:fldCharType="begin"/>
      </w:r>
      <w:r w:rsidR="005D48B2">
        <w:rPr>
          <w:lang w:eastAsia="zh-TW"/>
        </w:rPr>
        <w:instrText xml:space="preserve"> ADDIN ZOTERO_ITEM CSL_CITATION {"citationID":"2ou5fF9X","properties":{"formattedCitation":"[70]","plainCitation":"[70]","noteIndex":0},"citationItems":[{"id":1381,"uris":["http://zotero.org/users/5659608/items/NPCTC8E8"],"itemData":{"id":1381,"type":"article-journal","abstract":"The advent of smart thermostats with real-time sensing raises the question of how to preemptively control heating, ventilation, and air conditioning (HVAC) systems to minimize energy usage while maintaining occupant comfort. To this end, we empirically compare a standard reactive deadband control to two new smart thermostat HVAC control methods: (1) a model-free reinforcement learning (RL) approach and (2) a novel model predictive control (MPC) method, whose solution is optimal with respect to its data-driven linear model. We evaluated the controls with 500 unique energy models of houses located in the United States. The models were modified to facilitate the short-term performance simulation required for residential HVAC systems. Overall, we found the MPC controller offers three distinct advantages over the RL and deadband methods: (1) MPC had the lowest average cost (defined as a custom weighted combination of runtime and comfort) of the evaluated controllers; (2) the MPC control’s linear model was able to reliably extrapolate from the sparse sample of training observations, thus enabling it to adapt quickly to recent data; and (3) in contrast to RL methods, MPC did not subject the houses or occupants to the discomfort of system exploration.","container-title":"Energy and Buildings","DOI":"10.1016/j.enbuild.2021.111201","ISSN":"0378-7788","journalAbbreviation":"Energy and Buildings","language":"en","page":"111201","source":"ScienceDirect","title":"Development and evaluation of data-driven controls for residential smart thermostats","volume":"249","author":[{"family":"Huchuk","given":"Brent"},{"family":"Sanner","given":"Scott"},{"family":"O’Brien","given":"William"}],"issued":{"date-parts":[["2021",10,15]]},"citation-key":"huchukDevelopmentEvaluationDatadriven2021"}}],"schema":"https://github.com/citation-style-language/schema/raw/master/csl-citation.json"} </w:instrText>
      </w:r>
      <w:r>
        <w:fldChar w:fldCharType="separate"/>
      </w:r>
      <w:r w:rsidR="00B10A4D" w:rsidRPr="00B10A4D">
        <w:t>[70]</w:t>
      </w:r>
      <w:r>
        <w:fldChar w:fldCharType="end"/>
      </w:r>
      <w:r>
        <w:t xml:space="preserve">. </w:t>
      </w:r>
      <w:r w:rsidRPr="00A27918">
        <w:t>MPC ha</w:t>
      </w:r>
      <w:r>
        <w:t>s</w:t>
      </w:r>
      <w:r w:rsidRPr="00A27918">
        <w:t xml:space="preserve"> been proposed to solve many HVAC system control problems already </w:t>
      </w:r>
      <w:r w:rsidRPr="00A27918">
        <w:fldChar w:fldCharType="begin"/>
      </w:r>
      <w:r w:rsidR="005D48B2">
        <w:instrText xml:space="preserve"> ADDIN ZOTERO_ITEM CSL_CITATION {"citationID":"OvaafkIU","properties":{"formattedCitation":"[66,71,72]","plainCitation":"[66,71,72]","noteIndex":0},"citationItems":[{"id":1349,"uris":["http://zotero.org/users/5659608/items/UT2RBCH6"],"itemData":{"id":1349,"type":"article-journal","abstract":"Thermal energy storage (TES) for a cooling plant is a crucial resource for load flexibility. Traditionally, simple, heuristic control approaches, such as the storage priority control which charges TES during the nighttime and discharges during the daytime, have been widely used in practice, and shown reasonable performance in the past benefiting both the grid and the end-users such as buildings and district energy systems. However, the increasing penetration of renewables changes the situation, exposing the grid to a growing duck curve, which encourages the consumption of more energy in the daytime, and volatile renewable generation which requires dynamic planning. The growing pressure of diminishing greenhouse gas emissions also increases the complexity of cooling TES plant operations as different control strategies may apply to optimize operations for energy cost or carbon emissions. This paper presents a model predictive control (MPC), site demonstration and evaluation results of optimal operation of a chiller plant, TES and behind-meter photovoltaics for a campus-level district cooling system. The MPC was formulated as a mixed-integer linear program for better numerical and control properties. Compared with baseline rule-based controls, the MPC results show reductions of the excess PV power by around 25%, of the greenhouse gas emission by 10%, and of peak electricity demand by 10%.","container-title":"Applied Energy","DOI":"10.1016/j.apenergy.2022.119343","ISSN":"0306-2619","journalAbbreviation":"Applied Energy","language":"en","page":"119343","source":"ScienceDirect","title":"Site demonstration and performance evaluation of MPC for a large chiller plant with TES for renewable energy integration and grid decarbonization","volume":"321","author":[{"family":"Kim","given":"Donghun"},{"family":"Wang","given":"Zhe"},{"family":"Brugger","given":"James"},{"family":"Blum","given":"David"},{"family":"Wetter","given":"Michael"},{"family":"Hong","given":"Tianzhen"},{"family":"Piette","given":"Mary Ann"}],"issued":{"date-parts":[["2022",9,1]]},"citation-key":"kimSiteDemonstrationPerformance2022"}},{"id":1378,"uris":["http://zotero.org/users/5659608/items/M67L39Y3"],"itemData":{"id":1378,"type":"article-journal","abstract":"It is promising to apply model predictive control (MPC) scheme to demand-controlled ventilation (DCV) for the energy-efficient provision of indoor air quality (IAQ). However, the application of MPC in actual multi-zone DCV systems is challenged by the complexity of the ventilation duct network as well as the difficulty in handling uncertainties in actual systems. To tackle these issues, we proposed a novel robust model predictive control (MPC) strategy for multi-zone DCV systems. First, a data-driven model is established for ventilation duct network to represent relationships between airflow and damper angles. Then, with the above model and zone IAQ dynamics models, a two-layer tube-based MPC scheme is designed to efficiently handle uncertainties in actual systems: the first-layer MPC generates nominal state trajectories based on nominal systems without uncertainties while the second-layer MPC generates control actions to direct states of actual uncertain system to nominal trajectories. With the proposed strategy, the optimal trajectories of damper angles and fan pressure can be determined to minimize energy consumption while maintaining satisfying IAQ in the presence of uncertainties. Experimental results show that, in the presence of uncertainties, the proposed strategy can reduce IAQ cost by 10% and energy consumption by 14% compared with the strategy adopting conventional feedback control scheme. When compared with the baseline strategy without optimization, the proposed strategy can reduce IAQ cost by 38% and energy consumption by 30%. In addition, the proposed strategy can provide flexible trade-off between energy-efficiency and robustness against uncertainties based on designers’ interest.","container-title":"Applied Energy","DOI":"10.1016/j.apenergy.2021.118297","ISSN":"0306-2619","journalAbbreviation":"Applied Energy","language":"en","page":"118297","source":"ScienceDirect","title":"Tube-based robust model predictive control of multi-zone demand-controlled ventilation systems for energy saving and indoor air quality","volume":"307","author":[{"family":"Li","given":"Bingxu"},{"family":"Wu","given":"Bingjie"},{"family":"Peng","given":"Yelun"},{"family":"Cai","given":"Wenjian"}],"issued":{"date-parts":[["2022",2,1]]},"citation-key":"liTubebasedRobustModel2022"}},{"id":1268,"uris":["http://zotero.org/users/5659608/items/VEHKGBTE"],"itemData":{"id":1268,"type":"article-journal","abstract":"Owing to recent advancements in Internet of Things technologies, data-driven model predictive control (MPC) has received significant research interest as a promising strategy to optimize building operation. As the MPC performance relies on the model prediction accuracy, complex building prediction models have been used in MPC applications, despite their high computational cost for optimization. This study examines whether linear-form prediction models are reliable to support the MPC of residential buildings equipped with single types of heating systems. This study developed linear-form models, namely an autoregressive with exogenous inputs (ARX) for predicting the indoor temperature and threshold-piecewise models for the return and supply water temperatures. The MPC performance on the basis of the linear models was evaluated under varying prediction horizons and weights associated with objective attributes. A case study of a residential unit through the simulated virtual building showed that the proposed models achieved the high goodness-of fit values greater than 0.9. The resulting MPC framework achieved heating energy savings up to approximately 12% relative to a simple on/off thermostat or reduction of comfort violation magnitude less than 0.5 °C. The influences of weight and prediction horizon on MPC performance were also investigated.","container-title":"Energy and Buildings","DOI":"10.1016/j.enbuild.2022.112067","ISSN":"0378-7788","journalAbbreviation":"Energy and Buildings","language":"en","page":"112067","source":"ScienceDirect","title":"Simplified data-driven models for model predictive control of residential buildings","volume":"265","author":[{"family":"Lee","given":"Hyeongseok"},{"family":"Heo","given":"Yeonsook"}],"issued":{"date-parts":[["2022",6,15]]},"citation-key":"leeSimplifiedDatadrivenModels2022"}}],"schema":"https://github.com/citation-style-language/schema/raw/master/csl-citation.json"} </w:instrText>
      </w:r>
      <w:r w:rsidRPr="00A27918">
        <w:fldChar w:fldCharType="separate"/>
      </w:r>
      <w:r w:rsidR="00B10A4D" w:rsidRPr="00B10A4D">
        <w:t>[66,71,72]</w:t>
      </w:r>
      <w:r w:rsidRPr="00A27918">
        <w:fldChar w:fldCharType="end"/>
      </w:r>
      <w:r w:rsidRPr="00A27918">
        <w:t xml:space="preserve">. Compared with PID controller </w:t>
      </w:r>
      <w:r w:rsidRPr="00A27918">
        <w:fldChar w:fldCharType="begin"/>
      </w:r>
      <w:r w:rsidR="005D48B2">
        <w:instrText xml:space="preserve"> ADDIN ZOTERO_ITEM CSL_CITATION {"citationID":"HBoHtEBd","properties":{"formattedCitation":"[73]","plainCitation":"[73]","noteIndex":0},"citationItems":[{"id":1367,"uris":["http://zotero.org/users/5659608/items/KHQFMZ8M"],"itemData":{"id":1367,"type":"article-journal","abstract":"This paper presents a robust model-based predictive control (MPC) strategy for temperature control of an air-conditioning system, which consists of multiple local-loop processes and each process suffers from different dynamics uncertainties or variations. When an appropriate sampling period is chosen to discretise the system for computer control, a state-space discrete model with an uncertainty polytope is developed to describe the mixing uncertainties of these type of systems. The main benefit of the proposed description is that robust model predictive control can be easily used to design a robust controller for such a system while taking account of constraints associated with this system. A linear matrix inequality-based MPC algorithm is employed for control design. Case study was conducted on a dynamic simulation platform of an air-conditioning system, which evaluated the developed strategy in various simulation tests by comparing with the conventional PID control. Results demonstrated that the developed strategy is able to deal with constraints and allows stable and robust control while maintaining acceptable thermal comfort. Although the strategy is illustrated and validated using a constant air volume air-conditioning system, it can be applied to other constraint HVAC processes suffering from similar uncertainties.Practical applications: The main benefit of the developed strategy (including the proposed description and the adopted robust control algorithm) for practical application is that uncertainties and constraints can be dealt with simultaneously in one framework. Constraints in HVAC systems exist due to the application of actuators, for example, the rate limit considered in the paper. Taking account of constraints is useful to prevent unnecessary damages to equipments and maintain the system operating in a safe mode. Most importantly, the control objectives can be achieved in a constraint manner. The consideration of uncertainties, probably due to the changes of operating environment, is useful to release the work of accurate modelling of HVAC processes and online tuning of controllers.","container-title":"Building Services Engineering Research and Technology","DOI":"10.1177/0143624409352420","ISSN":"0143-6244","issue":"1","language":"en","note":"publisher: SAGE Publications Ltd STM","page":"39-55","source":"SAGE Journals","title":"Robust MPC for temperature control of air-conditioning systems concerning on constraints and multitype uncertainties","volume":"31","author":[{"family":"Xu","given":"Xinhua"},{"family":"Wang","given":"Shengwei"},{"family":"Huang","given":"Gongsheng"}],"issued":{"date-parts":[["2010",2,1]]},"citation-key":"xuRobustMPCTemperature2010"}}],"schema":"https://github.com/citation-style-language/schema/raw/master/csl-citation.json"} </w:instrText>
      </w:r>
      <w:r w:rsidRPr="00A27918">
        <w:fldChar w:fldCharType="separate"/>
      </w:r>
      <w:r w:rsidR="00B10A4D" w:rsidRPr="00B10A4D">
        <w:t>[73]</w:t>
      </w:r>
      <w:r w:rsidRPr="00A27918">
        <w:fldChar w:fldCharType="end"/>
      </w:r>
      <w:r w:rsidRPr="00A27918">
        <w:t xml:space="preserve">, rule-based controller </w:t>
      </w:r>
      <w:r w:rsidRPr="00A27918">
        <w:fldChar w:fldCharType="begin"/>
      </w:r>
      <w:r w:rsidR="005D48B2">
        <w:instrText xml:space="preserve"> ADDIN ZOTERO_ITEM CSL_CITATION {"citationID":"hAF0yQeR","properties":{"formattedCitation":"[74]","plainCitation":"[74]","noteIndex":0},"citationItems":[{"id":1369,"uris":["http://zotero.org/users/5659608/items/TY63Y9JB"],"itemData":{"id":1369,"type":"article-journal","abstract":"Model uncertainty is a significant challenge to more widespread use of model predictive controllers (MPC) for optimizing building energy consumption. This paper presents two methodologies to handle model uncertainty for building MPC. First, we propose a modeling framework for online estimation of states and unknown parameters leading to a parameter-adaptive building (PAB) model. Second, we propose a robust model predictive control (RMPC) formulation to make a building controller robust to model uncertainties. The results from these two approaches are compared with those from a nominal MPC and a common building rule based control (RBC). The results are then used to develop a methodology for selecting a controller type (i.e. RMPC, MPC, or RBC) as a function of building model uncertainty. RMPC is found to be the superior controller for the cases with an intermediate level of model uncertainty (30–67%), while the nominal MPC is preferred for the cases with a low level of model uncertainty (0–30%). Further, a common RBC outperforms MPC or RMPC if the model uncertainty goes beyond a certain threshold (e.g. 67%).","container-title":"Energy and Buildings","DOI":"10.1016/j.enbuild.2014.03.057","ISSN":"0378-7788","journalAbbreviation":"Energy and Buildings","language":"en","page":"377-392","source":"ScienceDirect","title":"Handling model uncertainty in model predictive control for energy efficient buildings","volume":"77","author":[{"family":"Maasoumy","given":"M."},{"family":"Razmara","given":"M."},{"family":"Shahbakhti","given":"M."},{"family":"Vincentelli","given":"A. Sangiovanni"}],"issued":{"date-parts":[["2014",7,1]]},"citation-key":"maasoumyHandlingModelUncertainty2014"}}],"schema":"https://github.com/citation-style-language/schema/raw/master/csl-citation.json"} </w:instrText>
      </w:r>
      <w:r w:rsidRPr="00A27918">
        <w:fldChar w:fldCharType="separate"/>
      </w:r>
      <w:r w:rsidR="00B10A4D" w:rsidRPr="00B10A4D">
        <w:t>[74]</w:t>
      </w:r>
      <w:r w:rsidRPr="00A27918">
        <w:fldChar w:fldCharType="end"/>
      </w:r>
      <w:r w:rsidRPr="00A27918">
        <w:t xml:space="preserve">, and reinforcement learning </w:t>
      </w:r>
      <w:r w:rsidRPr="00A27918">
        <w:fldChar w:fldCharType="begin"/>
      </w:r>
      <w:r w:rsidR="005D48B2">
        <w:instrText xml:space="preserve"> ADDIN ZOTERO_ITEM CSL_CITATION {"citationID":"IiaZKJKP","properties":{"formattedCitation":"[70]","plainCitation":"[70]","noteIndex":0},"citationItems":[{"id":1381,"uris":["http://zotero.org/users/5659608/items/NPCTC8E8"],"itemData":{"id":1381,"type":"article-journal","abstract":"The advent of smart thermostats with real-time sensing raises the question of how to preemptively control heating, ventilation, and air conditioning (HVAC) systems to minimize energy usage while maintaining occupant comfort. To this end, we empirically compare a standard reactive deadband control to two new smart thermostat HVAC control methods: (1) a model-free reinforcement learning (RL) approach and (2) a novel model predictive control (MPC) method, whose solution is optimal with respect to its data-driven linear model. We evaluated the controls with 500 unique energy models of houses located in the United States. The models were modified to facilitate the short-term performance simulation required for residential HVAC systems. Overall, we found the MPC controller offers three distinct advantages over the RL and deadband methods: (1) MPC had the lowest average cost (defined as a custom weighted combination of runtime and comfort) of the evaluated controllers; (2) the MPC control’s linear model was able to reliably extrapolate from the sparse sample of training observations, thus enabling it to adapt quickly to recent data; and (3) in contrast to RL methods, MPC did not subject the houses or occupants to the discomfort of system exploration.","container-title":"Energy and Buildings","DOI":"10.1016/j.enbuild.2021.111201","ISSN":"0378-7788","journalAbbreviation":"Energy and Buildings","language":"en","page":"111201","source":"ScienceDirect","title":"Development and evaluation of data-driven controls for residential smart thermostats","volume":"249","author":[{"family":"Huchuk","given":"Brent"},{"family":"Sanner","given":"Scott"},{"family":"O’Brien","given":"William"}],"issued":{"date-parts":[["2021",10,15]]},"citation-key":"huchukDevelopmentEvaluationDatadriven2021"}}],"schema":"https://github.com/citation-style-language/schema/raw/master/csl-citation.json"} </w:instrText>
      </w:r>
      <w:r w:rsidRPr="00A27918">
        <w:fldChar w:fldCharType="separate"/>
      </w:r>
      <w:r w:rsidR="00B10A4D" w:rsidRPr="00B10A4D">
        <w:t>[70]</w:t>
      </w:r>
      <w:r w:rsidRPr="00A27918">
        <w:fldChar w:fldCharType="end"/>
      </w:r>
      <w:r w:rsidRPr="00A27918">
        <w:t>, MPC controller shows</w:t>
      </w:r>
      <w:r>
        <w:t xml:space="preserve"> the more </w:t>
      </w:r>
      <w:r w:rsidRPr="00A27918">
        <w:t>robust and stable operation and meanwhile achiev</w:t>
      </w:r>
      <w:r>
        <w:t>es</w:t>
      </w:r>
      <w:r w:rsidRPr="00A27918">
        <w:t xml:space="preserve"> better </w:t>
      </w:r>
      <w:r>
        <w:t xml:space="preserve">energy and comfort </w:t>
      </w:r>
      <w:r w:rsidRPr="00A27918">
        <w:t xml:space="preserve">performance in the HVAC system applications. </w:t>
      </w:r>
      <w:r>
        <w:t xml:space="preserve">In summary, </w:t>
      </w:r>
      <w:r w:rsidRPr="00A27918">
        <w:t>MPC</w:t>
      </w:r>
      <w:r>
        <w:t xml:space="preserve"> provides a more</w:t>
      </w:r>
      <w:r w:rsidRPr="00A27918">
        <w:t xml:space="preserve"> efficient control solution </w:t>
      </w:r>
      <w:r>
        <w:t>for</w:t>
      </w:r>
      <w:r w:rsidRPr="00A27918">
        <w:t xml:space="preserve"> optimal pre-cooling </w:t>
      </w:r>
      <w:r w:rsidRPr="00A27918">
        <w:fldChar w:fldCharType="begin"/>
      </w:r>
      <w:r w:rsidR="003A084E">
        <w:instrText xml:space="preserve"> ADDIN ZOTERO_ITEM CSL_CITATION {"citationID":"c9h3AzZG","properties":{"formattedCitation":"[75,76]","plainCitation":"[75,76]","noteIndex":0},"citationItems":[{"id":1269,"uris":["http://zotero.org/users/5659608/items/CMKCF583"],"itemData":{"id":1269,"type":"article-journal","container-title":"Building and Environment","DOI":"10.1016/j.buildenv.2013.11.016","ISSN":"03601323","journalAbbreviation":"Building and Environment","language":"en","page":"343-355","source":"DOI.org (Crossref)","title":"Theory and applications of HVAC control systems – A review of model predictive control (MPC)","volume":"72","author":[{"family":"Afram","given":"Abdul"},{"family":"Janabi-Sharifi","given":"Farrokh"}],"issued":{"date-parts":[["2014",2]]},"citation-key":"aframTheoryApplicationsHVAC2014"}},{"id":"qZuNWCV4/zTNrePXX","uris":["http://zotero.org/users/5659608/items/6JFEPU5J"],"itemData":{"id":1347,"type":"article-journal","abstract":"Model predictive control is a form of control in which the current control action is obtained by solving, at each sampling instant, a \"nite horizon open-loop optimal control problem, using the current state of the plant as the initial state; the optimization yields an optimal control sequence and the \"rst control in this sequence is applied to the plant. An important advantage of this type of control is its ability to cope with hard constraints on controls and states. It has, therefore, been widely applied in petro-chemical and related industries where satisfaction of constraints is particularly important because e$ciency demands operating points on or close to the boundary of the set of admissible states and controls. In this review, we focus on model predictive control of constrained systems, both linear and nonlinear and discuss only brie#y model predictive control of unconstrained nonlinear and/or time-varying systems. We concentrate our attention on research dealing with stability and optimality; in these areas the subject has developed, in our opinion, to a stage where it has achieved su$cient maturity to warrant the active interest of researchers in nonlinear control. We distill from an extensive literature essential principles that ensure stability and use these to present a concise characterization of most of the model predictive controllers that have been proposed in the literature. In some cases the \"nite horizon optimal control problem solved on-line is exactly equivalent to the same problem with an in\"nite horizon; in other cases it is equivalent to a modi\"ed in\"nite horizon optimal control problem. In both situations, known advantages of in\"nite horizon optimal control accrue. 2000 Elsevier Science Ltd. All rights reserved.","container-title":"Automatica","language":"en","page":"789–814","source":"Zotero","title":"Constrained model predictive control: Stability and optimality</w:instrText>
      </w:r>
      <w:r w:rsidR="003A084E">
        <w:rPr>
          <w:rFonts w:ascii="Nirmala UI" w:hAnsi="Nirmala UI" w:cs="Nirmala UI"/>
        </w:rPr>
        <w:instrText>ଝ</w:instrText>
      </w:r>
      <w:r w:rsidR="003A084E">
        <w:instrText xml:space="preserve">","volume":"vol. 36","author":[{"family":"Mayne","given":"D Q"},{"family":"Rawlings","given":"J B"},{"family":"Rao","given":"C V"},{"family":"Scokaert","given":"P O M"}],"issued":{"date-parts":[["2000"]]},"citation-key":"mayneConstrainedModelPredictive2000"}}],"schema":"https://github.com/citation-style-language/schema/raw/master/csl-citation.json"} </w:instrText>
      </w:r>
      <w:r w:rsidRPr="00A27918">
        <w:fldChar w:fldCharType="separate"/>
      </w:r>
      <w:r w:rsidR="00B10A4D" w:rsidRPr="00B10A4D">
        <w:t>[75,76]</w:t>
      </w:r>
      <w:r w:rsidRPr="00A27918">
        <w:fldChar w:fldCharType="end"/>
      </w:r>
      <w:r w:rsidRPr="00A27918">
        <w:t xml:space="preserve">. </w:t>
      </w:r>
      <w:r>
        <w:t>However, as the name implies, the predictive model is the core for the MPC control. In building operation, the model used in MPC must be able to capture the thermal dynamics of the building and therefore is often referred to as a thermal model. Therefore, an accurate and efficient thermal model, along with a computationally economical optimization framework, is essential to run MPC for control purposes.</w:t>
      </w:r>
    </w:p>
    <w:p w14:paraId="65D800AB" w14:textId="2CB33BEA" w:rsidR="00E55EF6" w:rsidRDefault="00E55EF6" w:rsidP="00410CB0">
      <w:pPr>
        <w:pStyle w:val="15TableTitle"/>
      </w:pPr>
      <w:bookmarkStart w:id="92" w:name="_Toc141343894"/>
      <w:r>
        <w:t xml:space="preserve">Table </w:t>
      </w:r>
      <w:fldSimple w:instr=" STYLEREF 1 \s ">
        <w:r w:rsidR="000E1725">
          <w:rPr>
            <w:noProof/>
          </w:rPr>
          <w:t>2</w:t>
        </w:r>
      </w:fldSimple>
      <w:r w:rsidR="00146A55">
        <w:t>.</w:t>
      </w:r>
      <w:fldSimple w:instr=" SEQ Table \* ARABIC \s 1 ">
        <w:r w:rsidR="000E1725">
          <w:rPr>
            <w:noProof/>
          </w:rPr>
          <w:t>1</w:t>
        </w:r>
      </w:fldSimple>
      <w:r>
        <w:t xml:space="preserve"> Advantage and disadvantage of major control strategies on implementing precooling</w:t>
      </w:r>
      <w:bookmarkEnd w:id="92"/>
      <w:r>
        <w:t xml:space="preserve"> </w:t>
      </w:r>
    </w:p>
    <w:tbl>
      <w:tblPr>
        <w:tblStyle w:val="TableGrid"/>
        <w:tblW w:w="8995" w:type="dxa"/>
        <w:tblLook w:val="04A0" w:firstRow="1" w:lastRow="0" w:firstColumn="1" w:lastColumn="0" w:noHBand="0" w:noVBand="1"/>
      </w:tblPr>
      <w:tblGrid>
        <w:gridCol w:w="3005"/>
        <w:gridCol w:w="3005"/>
        <w:gridCol w:w="2985"/>
      </w:tblGrid>
      <w:tr w:rsidR="00E55EF6" w14:paraId="4F47D0B9" w14:textId="77777777" w:rsidTr="00AF3671">
        <w:tc>
          <w:tcPr>
            <w:tcW w:w="3005" w:type="dxa"/>
            <w:vAlign w:val="center"/>
          </w:tcPr>
          <w:p w14:paraId="2A9E92D7" w14:textId="77777777" w:rsidR="00E55EF6" w:rsidRPr="00AB685D" w:rsidRDefault="00E55EF6" w:rsidP="005823A9">
            <w:pPr>
              <w:jc w:val="left"/>
            </w:pPr>
            <w:r w:rsidRPr="00AB685D">
              <w:t xml:space="preserve">Precooling </w:t>
            </w:r>
            <w:r w:rsidRPr="00AB685D">
              <w:rPr>
                <w:rFonts w:hint="eastAsia"/>
              </w:rPr>
              <w:t>C</w:t>
            </w:r>
            <w:r w:rsidRPr="00AB685D">
              <w:t xml:space="preserve">ontrol </w:t>
            </w:r>
          </w:p>
        </w:tc>
        <w:tc>
          <w:tcPr>
            <w:tcW w:w="3005" w:type="dxa"/>
            <w:vAlign w:val="center"/>
          </w:tcPr>
          <w:p w14:paraId="2073F91B" w14:textId="77777777" w:rsidR="00E55EF6" w:rsidRPr="00AB685D" w:rsidRDefault="00E55EF6" w:rsidP="005823A9">
            <w:pPr>
              <w:jc w:val="left"/>
            </w:pPr>
            <w:r w:rsidRPr="00AB685D">
              <w:t>Advantages</w:t>
            </w:r>
          </w:p>
        </w:tc>
        <w:tc>
          <w:tcPr>
            <w:tcW w:w="2985" w:type="dxa"/>
            <w:vAlign w:val="center"/>
          </w:tcPr>
          <w:p w14:paraId="1C2840BA" w14:textId="77777777" w:rsidR="00E55EF6" w:rsidRPr="00AB685D" w:rsidRDefault="00E55EF6" w:rsidP="005823A9">
            <w:pPr>
              <w:jc w:val="left"/>
            </w:pPr>
            <w:r w:rsidRPr="00AB685D">
              <w:rPr>
                <w:rFonts w:hint="eastAsia"/>
              </w:rPr>
              <w:t>D</w:t>
            </w:r>
            <w:r w:rsidRPr="00AB685D">
              <w:t>isadvantages</w:t>
            </w:r>
          </w:p>
        </w:tc>
      </w:tr>
      <w:tr w:rsidR="00E55EF6" w14:paraId="014F8986" w14:textId="77777777" w:rsidTr="00AF3671">
        <w:tc>
          <w:tcPr>
            <w:tcW w:w="3005" w:type="dxa"/>
            <w:vAlign w:val="center"/>
          </w:tcPr>
          <w:p w14:paraId="111F290B" w14:textId="77777777" w:rsidR="00E55EF6" w:rsidRDefault="00E55EF6" w:rsidP="005823A9">
            <w:pPr>
              <w:jc w:val="left"/>
            </w:pPr>
            <w:r>
              <w:rPr>
                <w:rFonts w:hint="eastAsia"/>
              </w:rPr>
              <w:t>R</w:t>
            </w:r>
            <w:r>
              <w:t xml:space="preserve">ule-based </w:t>
            </w:r>
          </w:p>
        </w:tc>
        <w:tc>
          <w:tcPr>
            <w:tcW w:w="3005" w:type="dxa"/>
            <w:vAlign w:val="center"/>
          </w:tcPr>
          <w:p w14:paraId="73764AAF" w14:textId="77777777" w:rsidR="00E55EF6" w:rsidRPr="00AD034E" w:rsidRDefault="00E55EF6" w:rsidP="00AD034E">
            <w:pPr>
              <w:pStyle w:val="16TableText"/>
              <w:spacing w:line="480" w:lineRule="auto"/>
              <w:rPr>
                <w:sz w:val="24"/>
                <w:szCs w:val="24"/>
              </w:rPr>
            </w:pPr>
            <w:r w:rsidRPr="00AD034E">
              <w:rPr>
                <w:rFonts w:hint="eastAsia"/>
                <w:sz w:val="24"/>
                <w:szCs w:val="24"/>
              </w:rPr>
              <w:t>S</w:t>
            </w:r>
            <w:r w:rsidRPr="00AD034E">
              <w:rPr>
                <w:sz w:val="24"/>
                <w:szCs w:val="24"/>
              </w:rPr>
              <w:t>imple;</w:t>
            </w:r>
          </w:p>
          <w:p w14:paraId="1C1C048D" w14:textId="77777777" w:rsidR="00E55EF6" w:rsidRPr="00AD034E" w:rsidRDefault="00E55EF6" w:rsidP="00AD034E">
            <w:pPr>
              <w:pStyle w:val="16TableText"/>
              <w:spacing w:line="480" w:lineRule="auto"/>
              <w:rPr>
                <w:sz w:val="24"/>
                <w:szCs w:val="24"/>
              </w:rPr>
            </w:pPr>
            <w:r w:rsidRPr="00AD034E">
              <w:rPr>
                <w:rFonts w:hint="eastAsia"/>
                <w:sz w:val="24"/>
                <w:szCs w:val="24"/>
              </w:rPr>
              <w:t>E</w:t>
            </w:r>
            <w:r w:rsidRPr="00AD034E">
              <w:rPr>
                <w:sz w:val="24"/>
                <w:szCs w:val="24"/>
              </w:rPr>
              <w:t>asy to implement;</w:t>
            </w:r>
          </w:p>
        </w:tc>
        <w:tc>
          <w:tcPr>
            <w:tcW w:w="2985" w:type="dxa"/>
            <w:vAlign w:val="center"/>
          </w:tcPr>
          <w:p w14:paraId="79E75B21" w14:textId="77777777" w:rsidR="00E55EF6" w:rsidRPr="00DF5C84" w:rsidRDefault="00E55EF6" w:rsidP="00AD034E">
            <w:pPr>
              <w:pStyle w:val="16TableText"/>
              <w:spacing w:line="480" w:lineRule="auto"/>
              <w:rPr>
                <w:sz w:val="24"/>
                <w:szCs w:val="24"/>
              </w:rPr>
            </w:pPr>
            <w:r w:rsidRPr="00DF5C84">
              <w:rPr>
                <w:sz w:val="24"/>
                <w:szCs w:val="24"/>
              </w:rPr>
              <w:t>Hard to determine the specific timing and setpoint for precooling;</w:t>
            </w:r>
          </w:p>
          <w:p w14:paraId="3B9FECE3" w14:textId="0E72B5AA" w:rsidR="00E55EF6" w:rsidRDefault="00E55EF6" w:rsidP="00AD034E">
            <w:pPr>
              <w:pStyle w:val="16TableText"/>
              <w:spacing w:line="480" w:lineRule="auto"/>
            </w:pPr>
            <w:r w:rsidRPr="00DF5C84">
              <w:rPr>
                <w:sz w:val="24"/>
                <w:szCs w:val="24"/>
              </w:rPr>
              <w:t>Cannot incorporate with outside disturbance</w:t>
            </w:r>
          </w:p>
        </w:tc>
      </w:tr>
      <w:tr w:rsidR="00E55EF6" w:rsidRPr="00AD034E" w14:paraId="12F251CB" w14:textId="77777777" w:rsidTr="00AF3671">
        <w:tc>
          <w:tcPr>
            <w:tcW w:w="3005" w:type="dxa"/>
            <w:vAlign w:val="center"/>
          </w:tcPr>
          <w:p w14:paraId="635B90FA" w14:textId="77777777" w:rsidR="00E55EF6" w:rsidRDefault="00E55EF6" w:rsidP="005823A9">
            <w:pPr>
              <w:jc w:val="left"/>
            </w:pPr>
            <w:r>
              <w:lastRenderedPageBreak/>
              <w:t>Optimization no feedback</w:t>
            </w:r>
          </w:p>
        </w:tc>
        <w:tc>
          <w:tcPr>
            <w:tcW w:w="3005" w:type="dxa"/>
            <w:vAlign w:val="center"/>
          </w:tcPr>
          <w:p w14:paraId="4AD5A29C" w14:textId="77777777" w:rsidR="00E55EF6" w:rsidRPr="00AD034E" w:rsidRDefault="00E55EF6" w:rsidP="00AD034E">
            <w:pPr>
              <w:pStyle w:val="16TableText"/>
              <w:spacing w:line="480" w:lineRule="auto"/>
              <w:rPr>
                <w:sz w:val="24"/>
                <w:szCs w:val="24"/>
              </w:rPr>
            </w:pPr>
            <w:r w:rsidRPr="00AD034E">
              <w:rPr>
                <w:rFonts w:hint="eastAsia"/>
                <w:sz w:val="24"/>
                <w:szCs w:val="24"/>
              </w:rPr>
              <w:t>O</w:t>
            </w:r>
            <w:r w:rsidRPr="00AD034E">
              <w:rPr>
                <w:sz w:val="24"/>
                <w:szCs w:val="24"/>
              </w:rPr>
              <w:t>ptimal or near optimal solution</w:t>
            </w:r>
          </w:p>
          <w:p w14:paraId="00CC0D2C" w14:textId="77777777" w:rsidR="00E55EF6" w:rsidRPr="00AD034E" w:rsidRDefault="00E55EF6" w:rsidP="00AD034E">
            <w:pPr>
              <w:pStyle w:val="16TableText"/>
              <w:spacing w:line="480" w:lineRule="auto"/>
              <w:rPr>
                <w:sz w:val="24"/>
                <w:szCs w:val="24"/>
              </w:rPr>
            </w:pPr>
          </w:p>
        </w:tc>
        <w:tc>
          <w:tcPr>
            <w:tcW w:w="2985" w:type="dxa"/>
            <w:vAlign w:val="center"/>
          </w:tcPr>
          <w:p w14:paraId="2F2203F0" w14:textId="7302F75F" w:rsidR="00E55EF6" w:rsidRPr="00AD034E" w:rsidRDefault="00E55EF6" w:rsidP="00AD034E">
            <w:pPr>
              <w:pStyle w:val="16TableText"/>
              <w:spacing w:line="480" w:lineRule="auto"/>
              <w:rPr>
                <w:sz w:val="24"/>
                <w:szCs w:val="24"/>
              </w:rPr>
            </w:pPr>
            <w:r w:rsidRPr="00AD034E">
              <w:rPr>
                <w:sz w:val="24"/>
                <w:szCs w:val="24"/>
              </w:rPr>
              <w:t xml:space="preserve">Cannot incorporate with outside </w:t>
            </w:r>
            <w:r w:rsidR="00153147" w:rsidRPr="00AD034E">
              <w:rPr>
                <w:sz w:val="24"/>
                <w:szCs w:val="24"/>
              </w:rPr>
              <w:t>disturbance.</w:t>
            </w:r>
          </w:p>
          <w:p w14:paraId="46FDD572" w14:textId="61AFFF8A" w:rsidR="00E55EF6" w:rsidRPr="00AD034E" w:rsidRDefault="00E55EF6" w:rsidP="00AD034E">
            <w:pPr>
              <w:pStyle w:val="16TableText"/>
              <w:spacing w:line="480" w:lineRule="auto"/>
              <w:rPr>
                <w:sz w:val="24"/>
                <w:szCs w:val="24"/>
              </w:rPr>
            </w:pPr>
            <w:r w:rsidRPr="00AD034E">
              <w:rPr>
                <w:rFonts w:hint="eastAsia"/>
                <w:sz w:val="24"/>
                <w:szCs w:val="24"/>
              </w:rPr>
              <w:t>R</w:t>
            </w:r>
            <w:r w:rsidRPr="00AD034E">
              <w:rPr>
                <w:sz w:val="24"/>
                <w:szCs w:val="24"/>
              </w:rPr>
              <w:t>ely on prediction model;</w:t>
            </w:r>
          </w:p>
        </w:tc>
      </w:tr>
      <w:tr w:rsidR="00E55EF6" w14:paraId="45A5DE1A" w14:textId="77777777" w:rsidTr="00AF3671">
        <w:tc>
          <w:tcPr>
            <w:tcW w:w="3005" w:type="dxa"/>
            <w:vAlign w:val="center"/>
          </w:tcPr>
          <w:p w14:paraId="75388C98" w14:textId="77777777" w:rsidR="00E55EF6" w:rsidRDefault="00E55EF6" w:rsidP="005823A9">
            <w:pPr>
              <w:jc w:val="left"/>
            </w:pPr>
            <w:r>
              <w:rPr>
                <w:rFonts w:hint="eastAsia"/>
              </w:rPr>
              <w:t>R</w:t>
            </w:r>
            <w:r>
              <w:t>einforcement learning</w:t>
            </w:r>
          </w:p>
        </w:tc>
        <w:tc>
          <w:tcPr>
            <w:tcW w:w="3005" w:type="dxa"/>
            <w:vAlign w:val="center"/>
          </w:tcPr>
          <w:p w14:paraId="157697BC" w14:textId="37EB4798" w:rsidR="00E55EF6" w:rsidRPr="00AD034E" w:rsidRDefault="00E55EF6" w:rsidP="00AD034E">
            <w:pPr>
              <w:pStyle w:val="16TableText"/>
              <w:spacing w:line="480" w:lineRule="auto"/>
              <w:rPr>
                <w:sz w:val="24"/>
                <w:szCs w:val="24"/>
              </w:rPr>
            </w:pPr>
            <w:r w:rsidRPr="00AD034E">
              <w:rPr>
                <w:sz w:val="24"/>
                <w:szCs w:val="24"/>
              </w:rPr>
              <w:t>Learning by interaction rather than model or data;</w:t>
            </w:r>
          </w:p>
          <w:p w14:paraId="01A7CC29" w14:textId="77777777" w:rsidR="00E55EF6" w:rsidRPr="00AD034E" w:rsidRDefault="00E55EF6" w:rsidP="00AD034E">
            <w:pPr>
              <w:pStyle w:val="16TableText"/>
              <w:spacing w:line="480" w:lineRule="auto"/>
              <w:rPr>
                <w:sz w:val="24"/>
                <w:szCs w:val="24"/>
              </w:rPr>
            </w:pPr>
            <w:r w:rsidRPr="00AD034E">
              <w:rPr>
                <w:rFonts w:hint="eastAsia"/>
                <w:sz w:val="24"/>
                <w:szCs w:val="24"/>
              </w:rPr>
              <w:t>C</w:t>
            </w:r>
            <w:r w:rsidRPr="00AD034E">
              <w:rPr>
                <w:sz w:val="24"/>
                <w:szCs w:val="24"/>
              </w:rPr>
              <w:t>an explore the complicated solutions;</w:t>
            </w:r>
          </w:p>
        </w:tc>
        <w:tc>
          <w:tcPr>
            <w:tcW w:w="2985" w:type="dxa"/>
            <w:vAlign w:val="center"/>
          </w:tcPr>
          <w:p w14:paraId="1D4FF19A" w14:textId="582672BA" w:rsidR="00E55EF6" w:rsidRPr="00AD034E" w:rsidRDefault="00E55EF6" w:rsidP="00AD034E">
            <w:pPr>
              <w:pStyle w:val="16TableText"/>
              <w:spacing w:line="480" w:lineRule="auto"/>
              <w:rPr>
                <w:sz w:val="24"/>
                <w:szCs w:val="24"/>
              </w:rPr>
            </w:pPr>
            <w:r w:rsidRPr="00AD034E">
              <w:rPr>
                <w:sz w:val="24"/>
                <w:szCs w:val="24"/>
              </w:rPr>
              <w:t>Long time interaction needed to explore the environment;</w:t>
            </w:r>
          </w:p>
          <w:p w14:paraId="1EF456F9" w14:textId="77777777" w:rsidR="00E55EF6" w:rsidRPr="00AD034E" w:rsidRDefault="00E55EF6" w:rsidP="00AD034E">
            <w:pPr>
              <w:pStyle w:val="16TableText"/>
              <w:spacing w:line="480" w:lineRule="auto"/>
              <w:rPr>
                <w:sz w:val="24"/>
                <w:szCs w:val="24"/>
              </w:rPr>
            </w:pPr>
            <w:r w:rsidRPr="00AD034E">
              <w:rPr>
                <w:rFonts w:hint="eastAsia"/>
                <w:sz w:val="24"/>
                <w:szCs w:val="24"/>
              </w:rPr>
              <w:t>R</w:t>
            </w:r>
            <w:r w:rsidRPr="00AD034E">
              <w:rPr>
                <w:sz w:val="24"/>
                <w:szCs w:val="24"/>
              </w:rPr>
              <w:t>etraining needed if environment change</w:t>
            </w:r>
          </w:p>
          <w:p w14:paraId="1EB94C03" w14:textId="560C219C" w:rsidR="00E55EF6" w:rsidRDefault="00E55EF6" w:rsidP="00DF5C84">
            <w:pPr>
              <w:jc w:val="left"/>
            </w:pPr>
          </w:p>
        </w:tc>
      </w:tr>
      <w:tr w:rsidR="00E55EF6" w14:paraId="4F687542" w14:textId="77777777" w:rsidTr="00AF3671">
        <w:tc>
          <w:tcPr>
            <w:tcW w:w="3005" w:type="dxa"/>
            <w:vAlign w:val="center"/>
          </w:tcPr>
          <w:p w14:paraId="074666D3" w14:textId="77777777" w:rsidR="00E55EF6" w:rsidRDefault="00E55EF6" w:rsidP="005823A9">
            <w:pPr>
              <w:jc w:val="left"/>
            </w:pPr>
            <w:r>
              <w:rPr>
                <w:rFonts w:hint="eastAsia"/>
              </w:rPr>
              <w:t>Model</w:t>
            </w:r>
            <w:r>
              <w:t xml:space="preserve"> Predictive Control </w:t>
            </w:r>
          </w:p>
        </w:tc>
        <w:tc>
          <w:tcPr>
            <w:tcW w:w="3005" w:type="dxa"/>
            <w:vAlign w:val="center"/>
          </w:tcPr>
          <w:p w14:paraId="32E36081" w14:textId="77777777" w:rsidR="00E55EF6" w:rsidRPr="00AD034E" w:rsidRDefault="00E55EF6" w:rsidP="00AD034E">
            <w:pPr>
              <w:pStyle w:val="16TableText"/>
              <w:spacing w:line="480" w:lineRule="auto"/>
              <w:rPr>
                <w:sz w:val="24"/>
                <w:szCs w:val="24"/>
              </w:rPr>
            </w:pPr>
            <w:r w:rsidRPr="00AD034E">
              <w:rPr>
                <w:sz w:val="24"/>
                <w:szCs w:val="24"/>
              </w:rPr>
              <w:t>Robust and stable optimal solution;</w:t>
            </w:r>
          </w:p>
          <w:p w14:paraId="57FA0303" w14:textId="77777777" w:rsidR="00E55EF6" w:rsidRPr="00AD034E" w:rsidRDefault="00E55EF6" w:rsidP="00AD034E">
            <w:pPr>
              <w:pStyle w:val="16TableText"/>
              <w:spacing w:line="480" w:lineRule="auto"/>
              <w:rPr>
                <w:sz w:val="24"/>
                <w:szCs w:val="24"/>
              </w:rPr>
            </w:pPr>
            <w:r w:rsidRPr="00AD034E">
              <w:rPr>
                <w:rFonts w:hint="eastAsia"/>
                <w:sz w:val="24"/>
                <w:szCs w:val="24"/>
              </w:rPr>
              <w:t>F</w:t>
            </w:r>
            <w:r w:rsidRPr="00AD034E">
              <w:rPr>
                <w:sz w:val="24"/>
                <w:szCs w:val="24"/>
              </w:rPr>
              <w:t>eedback control;</w:t>
            </w:r>
          </w:p>
        </w:tc>
        <w:tc>
          <w:tcPr>
            <w:tcW w:w="2985" w:type="dxa"/>
            <w:vAlign w:val="center"/>
          </w:tcPr>
          <w:p w14:paraId="2D52753D" w14:textId="77777777" w:rsidR="00E55EF6" w:rsidRPr="00AD034E" w:rsidRDefault="00E55EF6" w:rsidP="00AD034E">
            <w:pPr>
              <w:pStyle w:val="16TableText"/>
              <w:spacing w:line="480" w:lineRule="auto"/>
              <w:rPr>
                <w:sz w:val="24"/>
                <w:szCs w:val="24"/>
              </w:rPr>
            </w:pPr>
            <w:r w:rsidRPr="00AD034E">
              <w:rPr>
                <w:rFonts w:hint="eastAsia"/>
                <w:sz w:val="24"/>
                <w:szCs w:val="24"/>
              </w:rPr>
              <w:t>R</w:t>
            </w:r>
            <w:r w:rsidRPr="00AD034E">
              <w:rPr>
                <w:sz w:val="24"/>
                <w:szCs w:val="24"/>
              </w:rPr>
              <w:t>ely on prediction model;</w:t>
            </w:r>
          </w:p>
        </w:tc>
      </w:tr>
    </w:tbl>
    <w:p w14:paraId="5967CDF9" w14:textId="25DEE28A" w:rsidR="00E55EF6" w:rsidRPr="00A27918" w:rsidRDefault="00EA3BEE" w:rsidP="00CF5BD7">
      <w:pPr>
        <w:pStyle w:val="Heading3"/>
      </w:pPr>
      <w:bookmarkStart w:id="93" w:name="_Toc132122454"/>
      <w:bookmarkStart w:id="94" w:name="_Toc132122578"/>
      <w:bookmarkStart w:id="95" w:name="_Toc141991678"/>
      <w:r>
        <w:t xml:space="preserve">Current </w:t>
      </w:r>
      <w:r w:rsidR="00FD7894">
        <w:rPr>
          <w:rFonts w:hint="eastAsia"/>
        </w:rPr>
        <w:t>M</w:t>
      </w:r>
      <w:r w:rsidR="00FD7894">
        <w:t>PC-based precooling controller issues</w:t>
      </w:r>
      <w:bookmarkEnd w:id="93"/>
      <w:bookmarkEnd w:id="94"/>
      <w:bookmarkEnd w:id="95"/>
    </w:p>
    <w:p w14:paraId="73D8C9B8" w14:textId="17611E41" w:rsidR="00030B76" w:rsidRDefault="00030B76" w:rsidP="000B3A87">
      <w:r>
        <w:t xml:space="preserve">Although an MPC controller can be a promising solution to implement precooling, its implementation and assessment are still difficult. First of all, quantification the effectiveness of the MPC controller is naturally challenging. Due to the fluctuation and non-recurring external disturbance, including the weather conditions, quantifying the pre- and post- implementation of MPC controller is hard. As mentioned in Section </w:t>
      </w:r>
      <w:r>
        <w:fldChar w:fldCharType="begin"/>
      </w:r>
      <w:r>
        <w:instrText xml:space="preserve"> REF _Ref131531705 \n \h </w:instrText>
      </w:r>
      <w:r>
        <w:fldChar w:fldCharType="separate"/>
      </w:r>
      <w:r w:rsidR="000E1725">
        <w:t>1.2.1</w:t>
      </w:r>
      <w:r>
        <w:fldChar w:fldCharType="end"/>
      </w:r>
      <w:r>
        <w:t xml:space="preserve">, when investigating the </w:t>
      </w:r>
      <w:r w:rsidR="00F37468">
        <w:t>DRPs</w:t>
      </w:r>
      <w:r>
        <w:t xml:space="preserve"> benefits, the cost reduction or other benefits are hard to evaluate, due to the hardness of quantify the baseline consumption. It is impossible to repeat the same external disturbance, </w:t>
      </w:r>
      <w:r>
        <w:lastRenderedPageBreak/>
        <w:t xml:space="preserve">especially for the outside weather disturbance, hence it is very difficult to evaluate what would have occurred </w:t>
      </w:r>
      <w:r>
        <w:fldChar w:fldCharType="begin"/>
      </w:r>
      <w:r w:rsidR="005D48B2">
        <w:instrText xml:space="preserve"> ADDIN ZOTERO_ITEM CSL_CITATION {"citationID":"a7t0ul0bf7","properties":{"formattedCitation":"[77]","plainCitation":"[77]","noteIndex":0},"citationItems":[{"id":1816,"uris":["http://zotero.org/users/5659608/items/AACVP5KN"],"itemData":{"id":1816,"type":"report","abstract":"EnerNOC supplies demand response (DR) resources in open \nmarket programs and under bilateral arrangements with \nvertically-integrated utilities throughout North America. \nAs DR investments increase in many regions, baseline \nmethodologies for DR resources become increasingly \nimportant. This white paper provides a discussion of \nEnerNOC’s experience working with different baseline \nmethodologies across North America and puts forth \nEnerNOC’s perspective on best-practices for baseline \ncalculations.","language":"English","publisher":"ENERNOC","title":"The demand response baseline","author":[{"family":"ENERNOC","given":""}],"issued":{"date-parts":[["2009"]]},"citation-key":"enernocDemandResponseBaseline2009"}}],"schema":"https://github.com/citation-style-language/schema/raw/master/csl-citation.json"} </w:instrText>
      </w:r>
      <w:r>
        <w:fldChar w:fldCharType="separate"/>
      </w:r>
      <w:r w:rsidR="00B10A4D" w:rsidRPr="00B10A4D">
        <w:t>[77]</w:t>
      </w:r>
      <w:r>
        <w:fldChar w:fldCharType="end"/>
      </w:r>
      <w:r>
        <w:t xml:space="preserve">. Additionally, </w:t>
      </w:r>
      <w:r>
        <w:rPr>
          <w:rFonts w:hint="eastAsia"/>
        </w:rPr>
        <w:t>although</w:t>
      </w:r>
      <w:r>
        <w:t xml:space="preserve"> retail-level </w:t>
      </w:r>
      <w:r w:rsidR="00F37468">
        <w:t>DRPs</w:t>
      </w:r>
      <w:r>
        <w:t xml:space="preserve"> is entirely depending on demand-side operation, many stakeholders such as homeowners, grid operator, and utility companies, can all benefit from it, which raise the higher standards for MPC precooling result quantification </w:t>
      </w:r>
      <w:r>
        <w:fldChar w:fldCharType="begin"/>
      </w:r>
      <w:r w:rsidR="005D48B2">
        <w:instrText xml:space="preserve"> ADDIN ZOTERO_ITEM CSL_CITATION {"citationID":"a1fsa349ec2","properties":{"formattedCitation":"[78]","plainCitation":"[78]","noteIndex":0},"citationItems":[{"id":1613,"uris":["http://zotero.org/users/5659608/items/BQIXVUHE"],"itemData":{"id":1613,"type":"article-journal","abstract":"Increased flexibility has been identified as a key requirement in future power systems. Much flexibility could be provided by energy vectors other than electricity. In particular heat may be a valuable source of flexibility, as electrification of space and water heating introduces highly flexible resources such as electric heat pumps. However, current methods for assessing aggregated demand side flexibility, particularly from residential buildings, may not be adequate given the variety of different grid services that flexibility may be used to provide to different stakeholders, and considering relevant comfort constraints. On these bases, in this work several metrics, relevant to different stakeholders, are introduced to quantify building-to-grid demand response flexibility from heat pump aggregations. Specific control algorithms for the aggregations are also proposed and tested through a multi-energy residential energy consumption tool. A number of case studies are carried out to demonstrate the value of the proposed metrics and algorithms, especially in relation to flexibility exploitation with long sustain times (e.g., reserve services), which can noticeably affect user comfort. Our results indicate that the payback behaviour of heating units following a demand response event can vary substantially with different types of dwellings. More specifically, the power payback is negligible in dwellings with high thermal inertia, while the power and energy payback can reach 10% and 50%, respectively, in dwellings with low thermal inertia. The benefits from hybrid (electric + gas) heating, which can reduce energy payback and comfort loss, are also demonstrated. For instance, in a cluster of dwellings with low thermal inertia, the energy payback following a DR event is reduced from 50% to 20% and the maximum comfort loss of the participants is decreased from 1.6 °C to 0.5 °C.","container-title":"Applied Energy","DOI":"10.1016/j.apenergy.2018.10.058","ISSN":"0306-2619","journalAbbreviation":"Applied Energy","language":"en","page":"709-723","source":"ScienceDirect","title":"Building-to-grid flexibility: Modelling and assessment metrics for residential demand response from heat pump aggregations","title-short":"Building-to-grid flexibility","volume":"233-234","author":[{"family":"Zhang","given":"Lingxi"},{"family":"Good","given":"Nicholas"},{"family":"Mancarella","given":"Pierluigi"}],"issued":{"date-parts":[["2019",1,1]]},"citation-key":"zhangBuildingtogridFlexibilityModelling2019"}}],"schema":"https://github.com/citation-style-language/schema/raw/master/csl-citation.json"} </w:instrText>
      </w:r>
      <w:r>
        <w:fldChar w:fldCharType="separate"/>
      </w:r>
      <w:r w:rsidR="00B10A4D" w:rsidRPr="00B10A4D">
        <w:t>[78]</w:t>
      </w:r>
      <w:r>
        <w:fldChar w:fldCharType="end"/>
      </w:r>
      <w:r>
        <w:t>. However, majority of studies only evaluate the effectiveness of MPC by using the value of objectives</w:t>
      </w:r>
      <w:r w:rsidR="002B0F32">
        <w:t xml:space="preserve"> </w:t>
      </w:r>
      <w:r>
        <w:t xml:space="preserve">.  </w:t>
      </w:r>
    </w:p>
    <w:p w14:paraId="5EBF895C" w14:textId="70264012" w:rsidR="00030B76" w:rsidRDefault="00030B76" w:rsidP="000B3A87">
      <w:r>
        <w:t xml:space="preserve">The performance of MPC controller can be affected by many different factors, making it even harder to conduct the impact analysis. Many impacts analysis studies of MPC controller are based on simulation studies. In </w:t>
      </w:r>
      <w:r>
        <w:fldChar w:fldCharType="begin"/>
      </w:r>
      <w:r w:rsidR="005D48B2">
        <w:instrText xml:space="preserve"> ADDIN ZOTERO_ITEM CSL_CITATION {"citationID":"vJDf8oTy","properties":{"formattedCitation":"[79]","plainCitation":"[79]","noteIndex":0},"citationItems":[{"id":690,"uris":["http://zotero.org/users/5659608/items/CUWDBFF9"],"itemData":{"id":690,"type":"article-journal","container-title":"Energy and Buildings","DOI":"10.1016/j.enbuild.2020.109951","ISSN":"03787788","language":"English","note":"Citation Key: wangDesignAnalysisOptimal2020","page":"109951","title":"Design and analysis of optimal pre-cooling in residential buildings","volume":"216","author":[{"family":"Wang","given":"Junke"},{"family":"Tang","given":"Choon Yik"},{"family":"Song","given":"Li"}],"issued":{"date-parts":[["2020",6]]},"citation-key":"wangDesignAnalysisOptimal2020"}}],"schema":"https://github.com/citation-style-language/schema/raw/master/csl-citation.json"} </w:instrText>
      </w:r>
      <w:r>
        <w:fldChar w:fldCharType="separate"/>
      </w:r>
      <w:r w:rsidR="00B10A4D" w:rsidRPr="00B10A4D">
        <w:t>[79]</w:t>
      </w:r>
      <w:r>
        <w:fldChar w:fldCharType="end"/>
      </w:r>
      <w:r>
        <w:t xml:space="preserve">, the impacts of </w:t>
      </w:r>
      <w:r w:rsidRPr="004D7F26">
        <w:t>weather condition</w:t>
      </w:r>
      <w:r>
        <w:t>s</w:t>
      </w:r>
      <w:r w:rsidRPr="004D7F26">
        <w:t>, home thermal conditions, prediction horizon, price structure, and rated cooling capacity</w:t>
      </w:r>
      <w:r>
        <w:t xml:space="preserve"> on the MPC controller were investigated using MATLAB simulation by assuming the model had perfect temperature predictions. </w:t>
      </w:r>
      <w:r w:rsidRPr="00A27918">
        <w:t xml:space="preserve">In </w:t>
      </w:r>
      <w:r w:rsidRPr="00A27918">
        <w:fldChar w:fldCharType="begin"/>
      </w:r>
      <w:r w:rsidR="005D48B2">
        <w:instrText xml:space="preserve"> ADDIN ZOTERO_ITEM CSL_CITATION {"citationID":"i3Fi5R6u","properties":{"formattedCitation":"[62]","plainCitation":"[62]","noteIndex":0},"citationItems":[{"id":1404,"uris":["http://zotero.org/users/5659608/items/KCCEHVDG"],"itemData":{"id":1404,"type":"article-journal","abstract":"Controlling residential thermal loads and thermal energy storage is a viable tactic to engage end-users in demand response programs (DRPs). This paper focuses on the development of an optimal real-time thermal energy management system (TEMS) for smart homes to respond to DRP for peak-load shifting. The proposed TEMS combines two model predictive controllers to manage two thermal energy storage systems, a water storage tank (WST) and the building thermal mass, to schedule residential heat pump loads to off-peak periods. The intention is to manage the operation of a ground source heat pump (GSHP) to produce the desired amount of thermal energy by controlling the volume and temperature of the stored water in the WST while optimizing the operation of the heat distributors to control indoor temperature. The primary contributions are the development of a new control strategy for GSHPs coupled with WST based on building identification to minimize total energy consumption and cost. This paper also proposes a real-time indoor dynamic temperature set-point strategy based on real-time pricing tariffs for enhancing peak-load shifting of heat pump loads with an acceptable variation in thermal comfort. Simulation and experimental results demonstrate that the proposed TEMS has significant potential for real-time peak-load shifting.","container-title":"IEEE Transactions on Smart Grid","DOI":"10.1109/TSG.2018.2887232","ISSN":"1949-3061","issue":"5","note":"event-title: IEEE Transactions on Smart Grid","page":"5587-5599","source":"IEEE Xplore","title":"Optimal Real-Time Residential Thermal Energy Management for Peak-Load Shifting With Experimental Verification","volume":"10","author":[{"family":"Baniasadi","given":"Ali"},{"family":"Habibi","given":"Daryoush"},{"family":"Bass","given":"Octavian"},{"family":"Masoum","given":"Mohammad A. S."}],"issued":{"date-parts":[["2019",9]]},"citation-key":"baniasadiOptimalRealTimeResidential2019"}}],"schema":"https://github.com/citation-style-language/schema/raw/master/csl-citation.json"} </w:instrText>
      </w:r>
      <w:r w:rsidRPr="00A27918">
        <w:fldChar w:fldCharType="separate"/>
      </w:r>
      <w:r w:rsidR="00B10A4D" w:rsidRPr="00B10A4D">
        <w:t>[62]</w:t>
      </w:r>
      <w:r w:rsidRPr="00A27918">
        <w:fldChar w:fldCharType="end"/>
      </w:r>
      <w:r>
        <w:t xml:space="preserve">, MATLAB </w:t>
      </w:r>
      <w:r w:rsidRPr="00A27918">
        <w:t xml:space="preserve">simulations were performed </w:t>
      </w:r>
      <w:r>
        <w:t>to investigate the impacts of different TOU structures and tradeoff coefficients between comfort and cost</w:t>
      </w:r>
      <w:r w:rsidRPr="00A27918">
        <w:t>.</w:t>
      </w:r>
      <w:r>
        <w:t xml:space="preserve"> In </w:t>
      </w:r>
      <w:r>
        <w:fldChar w:fldCharType="begin"/>
      </w:r>
      <w:r w:rsidR="005D48B2">
        <w:instrText xml:space="preserve"> ADDIN ZOTERO_ITEM CSL_CITATION {"citationID":"e46U7dQv","properties":{"formattedCitation":"[70]","plainCitation":"[70]","noteIndex":0},"citationItems":[{"id":1381,"uris":["http://zotero.org/users/5659608/items/NPCTC8E8"],"itemData":{"id":1381,"type":"article-journal","abstract":"The advent of smart thermostats with real-time sensing raises the question of how to preemptively control heating, ventilation, and air conditioning (HVAC) systems to minimize energy usage while maintaining occupant comfort. To this end, we empirically compare a standard reactive deadband control to two new smart thermostat HVAC control methods: (1) a model-free reinforcement learning (RL) approach and (2) a novel model predictive control (MPC) method, whose solution is optimal with respect to its data-driven linear model. We evaluated the controls with 500 unique energy models of houses located in the United States. The models were modified to facilitate the short-term performance simulation required for residential HVAC systems. Overall, we found the MPC controller offers three distinct advantages over the RL and deadband methods: (1) MPC had the lowest average cost (defined as a custom weighted combination of runtime and comfort) of the evaluated controllers; (2) the MPC control’s linear model was able to reliably extrapolate from the sparse sample of training observations, thus enabling it to adapt quickly to recent data; and (3) in contrast to RL methods, MPC did not subject the houses or occupants to the discomfort of system exploration.","container-title":"Energy and Buildings","DOI":"10.1016/j.enbuild.2021.111201","ISSN":"0378-7788","journalAbbreviation":"Energy and Buildings","language":"en","page":"111201","source":"ScienceDirect","title":"Development and evaluation of data-driven controls for residential smart thermostats","volume":"249","author":[{"family":"Huchuk","given":"Brent"},{"family":"Sanner","given":"Scott"},{"family":"O’Brien","given":"William"}],"issued":{"date-parts":[["2021",10,15]]},"citation-key":"huchukDevelopmentEvaluationDatadriven2021"}}],"schema":"https://github.com/citation-style-language/schema/raw/master/csl-citation.json"} </w:instrText>
      </w:r>
      <w:r>
        <w:fldChar w:fldCharType="separate"/>
      </w:r>
      <w:r w:rsidR="00B10A4D" w:rsidRPr="00B10A4D">
        <w:t>[70]</w:t>
      </w:r>
      <w:r>
        <w:fldChar w:fldCharType="end"/>
      </w:r>
      <w:r>
        <w:t>, the authors conducted MPC study through co-simulations in EnergyPlus based on 500 buildings and discussed the impact of climate, floor size, and building age on energy saving and thermal comfort. Since MPC controllers require the feedback of the system to make future operation decisions, the impact analyses in the simulation studies used the one provided by</w:t>
      </w:r>
      <w:r w:rsidRPr="00A27918">
        <w:t xml:space="preserve"> virtual testbed</w:t>
      </w:r>
      <w:r>
        <w:t>s</w:t>
      </w:r>
      <w:r w:rsidRPr="006834F0">
        <w:t xml:space="preserve">, such as EnergyPlus </w:t>
      </w:r>
      <w:r w:rsidRPr="006834F0">
        <w:fldChar w:fldCharType="begin"/>
      </w:r>
      <w:r w:rsidR="005D48B2">
        <w:instrText xml:space="preserve"> ADDIN ZOTERO_ITEM CSL_CITATION {"citationID":"eJCm9fjK","properties":{"formattedCitation":"[70]","plainCitation":"[70]","noteIndex":0},"citationItems":[{"id":1381,"uris":["http://zotero.org/users/5659608/items/NPCTC8E8"],"itemData":{"id":1381,"type":"article-journal","abstract":"The advent of smart thermostats with real-time sensing raises the question of how to preemptively control heating, ventilation, and air conditioning (HVAC) systems to minimize energy usage while maintaining occupant comfort. To this end, we empirically compare a standard reactive deadband control to two new smart thermostat HVAC control methods: (1) a model-free reinforcement learning (RL) approach and (2) a novel model predictive control (MPC) method, whose solution is optimal with respect to its data-driven linear model. We evaluated the controls with 500 unique energy models of houses located in the United States. The models were modified to facilitate the short-term performance simulation required for residential HVAC systems. Overall, we found the MPC controller offers three distinct advantages over the RL and deadband methods: (1) MPC had the lowest average cost (defined as a custom weighted combination of runtime and comfort) of the evaluated controllers; (2) the MPC control’s linear model was able to reliably extrapolate from the sparse sample of training observations, thus enabling it to adapt quickly to recent data; and (3) in contrast to RL methods, MPC did not subject the houses or occupants to the discomfort of system exploration.","container-title":"Energy and Buildings","DOI":"10.1016/j.enbuild.2021.111201","ISSN":"0378-7788","journalAbbreviation":"Energy and Buildings","language":"en","page":"111201","source":"ScienceDirect","title":"Development and evaluation of data-driven controls for residential smart thermostats","volume":"249","author":[{"family":"Huchuk","given":"Brent"},{"family":"Sanner","given":"Scott"},{"family":"O’Brien","given":"William"}],"issued":{"date-parts":[["2021",10,15]]},"citation-key":"huchukDevelopmentEvaluationDatadriven2021"}}],"schema":"https://github.com/citation-style-language/schema/raw/master/csl-citation.json"} </w:instrText>
      </w:r>
      <w:r w:rsidRPr="006834F0">
        <w:fldChar w:fldCharType="separate"/>
      </w:r>
      <w:r w:rsidR="00B10A4D" w:rsidRPr="00B10A4D">
        <w:t>[70]</w:t>
      </w:r>
      <w:r w:rsidRPr="006834F0">
        <w:fldChar w:fldCharType="end"/>
      </w:r>
      <w:r w:rsidRPr="006834F0">
        <w:t xml:space="preserve">, or TRNSYS </w:t>
      </w:r>
      <w:r w:rsidRPr="006834F0">
        <w:fldChar w:fldCharType="begin"/>
      </w:r>
      <w:r w:rsidR="005D48B2">
        <w:instrText xml:space="preserve"> ADDIN ZOTERO_ITEM CSL_CITATION {"citationID":"gAFv97XR","properties":{"formattedCitation":"[72]","plainCitation":"[72]","noteIndex":0},"citationItems":[{"id":1268,"uris":["http://zotero.org/users/5659608/items/VEHKGBTE"],"itemData":{"id":1268,"type":"article-journal","abstract":"Owing to recent advancements in Internet of Things technologies, data-driven model predictive control (MPC) has received significant research interest as a promising strategy to optimize building operation. As the MPC performance relies on the model prediction accuracy, complex building prediction models have been used in MPC applications, despite their high computational cost for optimization. This study examines whether linear-form prediction models are reliable to support the MPC of residential buildings equipped with single types of heating systems. This study developed linear-form models, namely an autoregressive with exogenous inputs (ARX) for predicting the indoor temperature and threshold-piecewise models for the return and supply water temperatures. The MPC performance on the basis of the linear models was evaluated under varying prediction horizons and weights associated with objective attributes. A case study of a residential unit through the simulated virtual building showed that the proposed models achieved the high goodness-of fit values greater than 0.9. The resulting MPC framework achieved heating energy savings up to approximately 12% relative to a simple on/off thermostat or reduction of comfort violation magnitude less than 0.5 °C. The influences of weight and prediction horizon on MPC performance were also investigated.","container-title":"Energy and Buildings","DOI":"10.1016/j.enbuild.2022.112067","ISSN":"0378-7788","journalAbbreviation":"Energy and Buildings","language":"en","page":"112067","source":"ScienceDirect","title":"Simplified data-driven models for model predictive control of residential buildings","volume":"265","author":[{"family":"Lee","given":"Hyeongseok"},{"family":"Heo","given":"Yeonsook"}],"issued":{"date-parts":[["2022",6,15]]},"citation-key":"leeSimplifiedDatadrivenModels2022"}}],"schema":"https://github.com/citation-style-language/schema/raw/master/csl-citation.json"} </w:instrText>
      </w:r>
      <w:r w:rsidRPr="006834F0">
        <w:fldChar w:fldCharType="separate"/>
      </w:r>
      <w:r w:rsidR="00B10A4D" w:rsidRPr="00B10A4D">
        <w:t>[72]</w:t>
      </w:r>
      <w:r w:rsidRPr="006834F0">
        <w:fldChar w:fldCharType="end"/>
      </w:r>
      <w:r>
        <w:t xml:space="preserve">, which do not represent real building dynamics precisely. </w:t>
      </w:r>
    </w:p>
    <w:p w14:paraId="75056F73" w14:textId="7BD40B91" w:rsidR="00030B76" w:rsidRDefault="00030B76" w:rsidP="00030B76">
      <w:r>
        <w:t xml:space="preserve">Even though there are a few studies found implemented the MPC precooling controller in </w:t>
      </w:r>
      <w:r>
        <w:lastRenderedPageBreak/>
        <w:t xml:space="preserve">field tests </w:t>
      </w:r>
      <w:r>
        <w:fldChar w:fldCharType="begin"/>
      </w:r>
      <w:r w:rsidR="005D48B2">
        <w:instrText xml:space="preserve"> ADDIN ZOTERO_ITEM CSL_CITATION {"citationID":"NfKZHrkq","properties":{"formattedCitation":"[59,60,80]","plainCitation":"[59,60,80]","noteIndex":0},"citationItems":[{"id":1408,"uris":["http://zotero.org/users/5659608/items/VFJBAFUR"],"itemData":{"id":1408,"type":"article-journal","abstract":"Heating, ventilation and air conditioning for residential and commercial buildings requires a substantial share of electric energy, and ultimately drives summer peak demand in the United States. Variable electric rates are becoming more common in the residential market, as utilities try to encourage users to shift their energy demand. Model predictive controls, one method of reducing energy usage, employ an optimization model to minimize peak demand, energy usage, or electricity costs. This paper details the development of a co-simulation framework to rapidly model and simulate building energy use and optimize cooling setpoint controls. The framework integrates commercially available software to: (i) simulate all energy interactions between the building, internal gains, outdoor environment, and heating and cooling systems via a building energy simulation program (EnergyPlus), (ii) algebraically formulate an optimization problem (with AMPL) using a black-box, reduced-order model for rapid calculations, (iii) employ Simulink as the environment that links calls to EnergyPlus and AMPL, and (iv) solve the optimization model (with CPLEX) to minimize electricity costs and user discomfort. Variable electric time-of-use rates are analyzed in the context of total cooling electricity costs, thermal comfort of users, and peak demand shedding. The framework uses a model predictive control formulation capable of reducing cooling electricity costs by up to 30%; however, cost savings and peak demand shedding are highly dependent on the time-of-use electricity rate schedule.","container-title":"Applied Energy","DOI":"10.1016/j.apenergy.2019.01.241","ISSN":"0306-2619","journalAbbreviation":"Applied Energy","language":"en","page":"1346-1357","source":"ScienceDirect","title":"A modeling framework for optimization-based control of a residential building thermostat for time-of-use pricing","volume":"242","author":[{"family":"Tabares-Velasco","given":"Paulo Cesar"},{"family":"Speake","given":"Andrew"},{"family":"Harris","given":"Maxwell"},{"family":"Newman","given":"Alexandra"},{"family":"Vincent","given":"Tyrone"},{"family":"Lanahan","given":"Michael"}],"issued":{"date-parts":[["2019",5,15]]},"citation-key":"tabares-velascoModelingFrameworkOptimizationbased2019"}},{"id":1330,"uris":["http://zotero.org/users/5659608/items/Z8HTLJA8"],"itemData":{"id":1330,"type":"article-journal","abstract":"Model Predictive Control (MPC) is an advanced process control method that has attracted much attention in building heating, ventilation, and air conditioning (HVAC) systems. This paper analyzes the optimal precooling performance in residential buildings using MPC with two different comfort indices, namely, temperature and predicted mean vote (PMV). It first formulates, for each comfort index, an optimization problem that accounts for different factors, such as weather, home thermal condition, prediction horizon, time-of use (TOU) utility rate, and rated cooling capacity. The problem is then solved, resulting in an MPC strategy that determines the HVAC on/off control signal and minimizes energy cost over a receding time horizon while maintaining thermal comfort. The energy performance difference between temperature-based and PMV-based MPC strategies is subsequently investigated, especially in light of the interior wall surface temperature and under different combinations of the factors. Extensive simulation results demonstrated that the proposed MPC strategies are adaptive and their performances depend primarily on weather, home thermal condition, and prediction horizon, while the impact of TOU utility rate and rated cooling capacity is relatively small. Because the PMV-based MPC strategy can take advantage of the lower interior wall surface temperature due to precooling, it resulted in 8–45% cost savings for the scenarios investigated and an average increase of 0.042–0.113 in the absolute value of the PMV index compared to the temperature-based MPC strategy.","container-title":"Building and Environment","DOI":"10.1016/j.buildenv.2022.109952","ISSN":"0360-1323","journalAbbreviation":"Building and Environment","language":"en","page":"109952","source":"ScienceDirect","title":"Analysis of predicted mean vote-based model predictive control for residential HVAC systems","volume":"229","author":[{"family":"Wang","given":"Junke"},{"family":"Jiang","given":"Yilin"},{"family":"Tang","given":"Choon Yik"},{"family":"Song","given":"Li"}],"issued":{"date-parts":[["2023",2,1]]},"citation-key":"wangAnalysisPredictedMean2023a"}},{"id":1386,"uris":["http://zotero.org/users/5659608/items/ES9AA925"],"itemData":{"id":1386,"type":"article-journal","abstract":"This study investigated the operation cost-saving potential of an underfloor air distribution (UFAD) system by applying model-based predictive control (MPC). Based on the measurements from an actual building, the grey-box building model was constructed using a decentralized approach. The simulation case study was then carried out to quantify the saving potential of the MPC compared to feedback control. For the cooling season, the saving percentage of the MPC exceeded 30%, while those of the intermediate season were reduced by approximately 20%. More savings were achieved when the outdoor air temperature and solar radiation were high. The size of the plenum was not sensitive to the saving rate. The large savings were attributed to precooling that utilizes the cheaper utility cost of the off-peak and higher efficiency of the HVAC plant. This suggests that the larger thermal mass of the under plenum, including the air and still structure (bracket), is suitable for maximizing pre-cooling of the system.","container-title":"Energy and Buildings","DOI":"10.1016/j.enbuild.2022.111898","ISSN":"0378-7788","journalAbbreviation":"Energy and Buildings","language":"en","page":"111898","source":"ScienceDirect","title":"Investigation on pre-cooling potential of UFAD via model-based predictive control","volume":"259","author":[{"family":"Joe","given":"Jaewan"}],"issued":{"date-parts":[["2022",3,15]]},"citation-key":"joeInvestigationPrecoolingPotential2022a"}}],"schema":"https://github.com/citation-style-language/schema/raw/master/csl-citation.json"} </w:instrText>
      </w:r>
      <w:r>
        <w:fldChar w:fldCharType="separate"/>
      </w:r>
      <w:r w:rsidR="00B10A4D" w:rsidRPr="00B10A4D">
        <w:t>[59,60,80]</w:t>
      </w:r>
      <w:r>
        <w:fldChar w:fldCharType="end"/>
      </w:r>
      <w:r>
        <w:t xml:space="preserve">, they have limitations to some </w:t>
      </w:r>
      <w:r w:rsidR="003B0CB9">
        <w:t>extent</w:t>
      </w:r>
      <w:r w:rsidRPr="00A27918">
        <w:t>. A laboratory building mimicking a residential building was</w:t>
      </w:r>
      <w:r>
        <w:t xml:space="preserve"> </w:t>
      </w:r>
      <w:r w:rsidRPr="00A27918">
        <w:t>tested</w:t>
      </w:r>
      <w:r>
        <w:t xml:space="preserve"> to evaluate</w:t>
      </w:r>
      <w:r w:rsidRPr="00A27918">
        <w:t xml:space="preserve"> the load</w:t>
      </w:r>
      <w:r>
        <w:t>-</w:t>
      </w:r>
      <w:r w:rsidRPr="00A27918">
        <w:t>shifting potential with</w:t>
      </w:r>
      <w:r>
        <w:t xml:space="preserve"> a </w:t>
      </w:r>
      <w:r w:rsidRPr="00A27918">
        <w:t xml:space="preserve">geothermal heat pump and water tank </w:t>
      </w:r>
      <w:r w:rsidRPr="00A27918">
        <w:fldChar w:fldCharType="begin"/>
      </w:r>
      <w:r w:rsidR="005D48B2">
        <w:instrText xml:space="preserve"> ADDIN ZOTERO_ITEM CSL_CITATION {"citationID":"8RhBJpsW","properties":{"formattedCitation":"[62]","plainCitation":"[62]","noteIndex":0},"citationItems":[{"id":1404,"uris":["http://zotero.org/users/5659608/items/KCCEHVDG"],"itemData":{"id":1404,"type":"article-journal","abstract":"Controlling residential thermal loads and thermal energy storage is a viable tactic to engage end-users in demand response programs (DRPs). This paper focuses on the development of an optimal real-time thermal energy management system (TEMS) for smart homes to respond to DRP for peak-load shifting. The proposed TEMS combines two model predictive controllers to manage two thermal energy storage systems, a water storage tank (WST) and the building thermal mass, to schedule residential heat pump loads to off-peak periods. The intention is to manage the operation of a ground source heat pump (GSHP) to produce the desired amount of thermal energy by controlling the volume and temperature of the stored water in the WST while optimizing the operation of the heat distributors to control indoor temperature. The primary contributions are the development of a new control strategy for GSHPs coupled with WST based on building identification to minimize total energy consumption and cost. This paper also proposes a real-time indoor dynamic temperature set-point strategy based on real-time pricing tariffs for enhancing peak-load shifting of heat pump loads with an acceptable variation in thermal comfort. Simulation and experimental results demonstrate that the proposed TEMS has significant potential for real-time peak-load shifting.","container-title":"IEEE Transactions on Smart Grid","DOI":"10.1109/TSG.2018.2887232","ISSN":"1949-3061","issue":"5","note":"event-title: IEEE Transactions on Smart Grid","page":"5587-5599","source":"IEEE Xplore","title":"Optimal Real-Time Residential Thermal Energy Management for Peak-Load Shifting With Experimental Verification","volume":"10","author":[{"family":"Baniasadi","given":"Ali"},{"family":"Habibi","given":"Daryoush"},{"family":"Bass","given":"Octavian"},{"family":"Masoum","given":"Mohammad A. S."}],"issued":{"date-parts":[["2019",9]]},"citation-key":"baniasadiOptimalRealTimeResidential2019"}}],"schema":"https://github.com/citation-style-language/schema/raw/master/csl-citation.json"} </w:instrText>
      </w:r>
      <w:r w:rsidRPr="00A27918">
        <w:fldChar w:fldCharType="separate"/>
      </w:r>
      <w:r w:rsidR="00B10A4D" w:rsidRPr="00B10A4D">
        <w:t>[62]</w:t>
      </w:r>
      <w:r w:rsidRPr="00A27918">
        <w:fldChar w:fldCharType="end"/>
      </w:r>
      <w:r>
        <w:t>, where</w:t>
      </w:r>
      <w:r w:rsidRPr="00A27918">
        <w:t xml:space="preserve"> </w:t>
      </w:r>
      <w:r>
        <w:t xml:space="preserve">the MPC controller signal was obtained from simulation and then implemented in the laboratory building. Although the MPC controller did not use actual feedback from the system, it enabled load shifting and saved 25%-35% in electricity cost. </w:t>
      </w:r>
      <w:r w:rsidRPr="00A27918">
        <w:t xml:space="preserve">In </w:t>
      </w:r>
      <w:r w:rsidRPr="00A27918">
        <w:fldChar w:fldCharType="begin"/>
      </w:r>
      <w:r w:rsidR="005D48B2">
        <w:instrText xml:space="preserve"> ADDIN ZOTERO_ITEM CSL_CITATION {"citationID":"Uns9Y5z4","properties":{"formattedCitation":"[63]","plainCitation":"[63]","noteIndex":0},"citationItems":[{"id":1414,"uris":["http://zotero.org/users/5659608/items/UKUCY9N2"],"itemData":{"id":1414,"type":"article-journal","abstract":"Future building energy management systems will have to be capable of adapting to variation in the rate of production of energy from renewable sources. Controllers employing a model predictive control (MPC) framework can optimise and schedule energy usage based on the availability of renewably generated energy. In this paper, an MPC using artificial neural networks (ANNs) was implemented in a residential building. The ANN-MPC was successfully tested and demonstrated good performance predicting the building's energy consumption. The controller was then modified to function as an economic MPC (EMPC) to optimise demand flexibility (i.e., the ability to adapt energy demands to fluctuations in supply). The operational costs of energy usage were associated with this demand flexibility, which was represented by three flexibility indicators: flexibility factor, supply cover factor, and load cover factor. The results from a day-long test showed that these flexibility indicators were maximised (flexibility factor ranged from −0.88 to 0.67, supply cover factor from 0.04 to 0.13, and load cover factor from 0.07 to 0.16) when the EMPC controller's demand flexibility was compared to that of a conventional proportional-integral (PI) controller. The EMPC framework for demand flexibility can be used to regulate on-site energy generation, grid consumption, and grid feed-in and can thus serve as a basis for overall optimisation of the operation of heating systems to achieve greater demand flexibility.","container-title":"Energy","DOI":"10.1016/j.energy.2019.03.171","ISSN":"0360-5442","journalAbbreviation":"Energy","language":"en","page":"365-379","source":"ScienceDirect","title":"Economic model predictive control for demand flexibility of a residential building","volume":"176","author":[{"family":"Finck","given":"Christian"},{"family":"Li","given":"Rongling"},{"family":"Zeiler","given":"Wim"}],"issued":{"date-parts":[["2019",6,1]]},"citation-key":"finckEconomicModelPredictive2019"}}],"schema":"https://github.com/citation-style-language/schema/raw/master/csl-citation.json"} </w:instrText>
      </w:r>
      <w:r w:rsidRPr="00A27918">
        <w:fldChar w:fldCharType="separate"/>
      </w:r>
      <w:r w:rsidR="00B10A4D" w:rsidRPr="00B10A4D">
        <w:t>[63]</w:t>
      </w:r>
      <w:r w:rsidRPr="00A27918">
        <w:fldChar w:fldCharType="end"/>
      </w:r>
      <w:r w:rsidRPr="00A27918">
        <w:t xml:space="preserve">, two different </w:t>
      </w:r>
      <w:r>
        <w:t xml:space="preserve">economic </w:t>
      </w:r>
      <w:r w:rsidRPr="00A27918">
        <w:t>MPCs</w:t>
      </w:r>
      <w:r>
        <w:t>, i.e.</w:t>
      </w:r>
      <w:r w:rsidRPr="004317C3">
        <w:t xml:space="preserve"> </w:t>
      </w:r>
      <w:r>
        <w:t>operation costs were included in the MPC optimization objective function,</w:t>
      </w:r>
      <w:r w:rsidRPr="00A27918">
        <w:t xml:space="preserve"> were implemented </w:t>
      </w:r>
      <w:r>
        <w:t>for</w:t>
      </w:r>
      <w:r w:rsidRPr="00A27918">
        <w:t xml:space="preserve"> heating tests in a residential building,</w:t>
      </w:r>
      <w:r>
        <w:t xml:space="preserve"> where</w:t>
      </w:r>
      <w:r w:rsidRPr="00A27918">
        <w:t xml:space="preserve"> the heat pump and the PV panel</w:t>
      </w:r>
      <w:r>
        <w:t xml:space="preserve"> </w:t>
      </w:r>
      <w:r w:rsidRPr="00A27918">
        <w:t>in the test</w:t>
      </w:r>
      <w:r>
        <w:t>s</w:t>
      </w:r>
      <w:r w:rsidRPr="00A27918">
        <w:t xml:space="preserve"> were installed virtually. </w:t>
      </w:r>
      <w:r>
        <w:t xml:space="preserve">Compared with the simulated rule-based controller, the MPC controllers were proven to obtain </w:t>
      </w:r>
      <w:r w:rsidRPr="00743992">
        <w:t xml:space="preserve">3-7% </w:t>
      </w:r>
      <w:r>
        <w:t xml:space="preserve">cost </w:t>
      </w:r>
      <w:r w:rsidRPr="00743992">
        <w:t>saving</w:t>
      </w:r>
      <w:r>
        <w:t>s and increase energy flexibility</w:t>
      </w:r>
      <w:r w:rsidRPr="00743992">
        <w:t>.</w:t>
      </w:r>
      <w:r>
        <w:t xml:space="preserve"> Although MPC controllers are effective for cost savings and load shifting, the previous studies</w:t>
      </w:r>
      <w:r w:rsidRPr="00A27918">
        <w:t xml:space="preserve"> reported additional sensors or controller</w:t>
      </w:r>
      <w:r>
        <w:t>s</w:t>
      </w:r>
      <w:r w:rsidRPr="00A27918">
        <w:t xml:space="preserve"> </w:t>
      </w:r>
      <w:r>
        <w:t>were needed</w:t>
      </w:r>
      <w:r w:rsidRPr="00A27918">
        <w:t xml:space="preserve">, adding </w:t>
      </w:r>
      <w:r>
        <w:t>additional</w:t>
      </w:r>
      <w:r w:rsidRPr="00A27918">
        <w:t xml:space="preserve"> cost and installation effort. </w:t>
      </w:r>
      <w:r w:rsidRPr="00A27918">
        <w:rPr>
          <w:rFonts w:hint="eastAsia"/>
        </w:rPr>
        <w:t>O</w:t>
      </w:r>
      <w:r w:rsidRPr="00A27918">
        <w:t xml:space="preserve">nly one study </w:t>
      </w:r>
      <w:r>
        <w:t xml:space="preserve">was </w:t>
      </w:r>
      <w:r w:rsidRPr="00A27918">
        <w:t xml:space="preserve">found </w:t>
      </w:r>
      <w:r>
        <w:t>in multiple residential buildings for impact analysis, where an</w:t>
      </w:r>
      <w:r w:rsidRPr="00A27918">
        <w:t xml:space="preserve"> MPC controller </w:t>
      </w:r>
      <w:r>
        <w:t>was implemented for improving heating efficiency</w:t>
      </w:r>
      <w:r w:rsidRPr="00A27918">
        <w:t xml:space="preserve"> </w:t>
      </w:r>
      <w:r w:rsidRPr="00A27918">
        <w:fldChar w:fldCharType="begin"/>
      </w:r>
      <w:r w:rsidR="005D48B2">
        <w:instrText xml:space="preserve"> ADDIN ZOTERO_ITEM CSL_CITATION {"citationID":"evgGnvJS","properties":{"formattedCitation":"[81]","plainCitation":"[81]","noteIndex":0},"citationItems":[{"id":1406,"uris":["http://zotero.org/users/5659608/items/5Q8YXG6A"],"itemData":{"id":1406,"type":"article-journal","abstract":"Conventional weather-compensated heating controllers are often configured to deliver more heating than necessary, resulting in energy losses. Furthermore, they cannot take into account future climate conditions, and yield less than optimal thermal comfort. We have developed a non-invasive add-on module for existing heating controllers that implements an adaptive, model-predictive heating control algorithm. This algorithm helps the heating controller deliver a heating energy just sufficient for maintaining thermal comfort, resulting in energy savings. In this paper we report on the energy savings measured on ten buildings equipped with this device. By monitoring the space heating energy during the 2013–2014 heating season, and by periodically alternating between the new controller and the reference controller, we establish the energy signature of all buildings with both controllers. The comparison of the energy signatures yields the relative energy savings achievable with the new controller. These energy savings are positive for all test sites, with a mean of 28±4% (standard error of the mean).","container-title":"Energy and Buildings","DOI":"10.1016/j.enbuild.2015.04.029","ISSN":"0378-7788","journalAbbreviation":"Energy and Buildings","language":"en","page":"292-302","source":"ScienceDirect","title":"Field tests of an adaptive, model-predictive heating controller for residential buildings","volume":"99","author":[{"family":"Lindelöf","given":"David"},{"family":"Afshari","given":"Hossein"},{"family":"Alisafaee","given":"Mohammad"},{"family":"Biswas","given":"Jayant"},{"family":"Caban","given":"Miroslav"},{"family":"Mocellin","given":"Xavier"},{"family":"Viaene","given":"Jean"}],"issued":{"date-parts":[["2015",7,15]]},"citation-key":"lindelofFieldTestsAdaptive2015"}}],"schema":"https://github.com/citation-style-language/schema/raw/master/csl-citation.json"} </w:instrText>
      </w:r>
      <w:r w:rsidRPr="00A27918">
        <w:fldChar w:fldCharType="separate"/>
      </w:r>
      <w:r w:rsidR="00B10A4D" w:rsidRPr="00B10A4D">
        <w:t>[81]</w:t>
      </w:r>
      <w:r w:rsidRPr="00A27918">
        <w:fldChar w:fldCharType="end"/>
      </w:r>
      <w:r w:rsidRPr="00A27918">
        <w:t xml:space="preserve">. </w:t>
      </w:r>
      <w:r>
        <w:t>T</w:t>
      </w:r>
      <w:r w:rsidRPr="00A27918">
        <w:t xml:space="preserve">he </w:t>
      </w:r>
      <w:r>
        <w:t>authors adopted a</w:t>
      </w:r>
      <w:r w:rsidRPr="00A27918">
        <w:t xml:space="preserve"> neural network </w:t>
      </w:r>
      <w:r>
        <w:t>approach</w:t>
      </w:r>
      <w:r w:rsidRPr="00A27918">
        <w:t xml:space="preserve"> </w:t>
      </w:r>
      <w:r>
        <w:t xml:space="preserve">to construct the thermal model </w:t>
      </w:r>
      <w:r w:rsidRPr="00A27918">
        <w:t>for space heating in ten different residential buildings in Switzerland and Germany</w:t>
      </w:r>
      <w:r>
        <w:t>. In this study, a NiQ system, which includes a controller and a set of sensors, was custom-made and installed in each home to performance the MPC operation. Given the limitation presented by experiments, only t</w:t>
      </w:r>
      <w:r w:rsidRPr="00A27918">
        <w:t xml:space="preserve">he effect of outdoor air </w:t>
      </w:r>
      <w:r>
        <w:t xml:space="preserve">temperature impact </w:t>
      </w:r>
      <w:r w:rsidRPr="00A27918">
        <w:t>on energy reduction</w:t>
      </w:r>
      <w:r>
        <w:t xml:space="preserve"> was investigated by periodically alternating between the MPC controller and reference controller under similar conditions and filtering out abnormal days. About</w:t>
      </w:r>
      <w:r w:rsidRPr="007A4E3A">
        <w:t xml:space="preserve"> 1.8kWh extra daily energy </w:t>
      </w:r>
      <w:r>
        <w:t>was</w:t>
      </w:r>
      <w:r w:rsidRPr="007A4E3A">
        <w:t xml:space="preserve"> </w:t>
      </w:r>
      <w:r>
        <w:t>concluded</w:t>
      </w:r>
      <w:r w:rsidRPr="007A4E3A">
        <w:t xml:space="preserve"> </w:t>
      </w:r>
      <w:r w:rsidRPr="007A4E3A">
        <w:lastRenderedPageBreak/>
        <w:t xml:space="preserve">for each degree </w:t>
      </w:r>
      <w:r>
        <w:t xml:space="preserve">of daily average outdoor air temperature reduction </w:t>
      </w:r>
      <w:r w:rsidRPr="007A4E3A">
        <w:t xml:space="preserve">in </w:t>
      </w:r>
      <w:r>
        <w:t>one</w:t>
      </w:r>
      <w:r w:rsidRPr="007A4E3A">
        <w:t xml:space="preserve"> single-family house in Brugg.</w:t>
      </w:r>
      <w:r>
        <w:t xml:space="preserve"> The impact analysis of MPC-based precooling controllers in residential buildings is limited due to the difficulties of implementing it considering high computational demand of the MPC and lack of advanced control system in residential buildings. </w:t>
      </w:r>
    </w:p>
    <w:p w14:paraId="6C919798" w14:textId="37BF6C8C" w:rsidR="00030B76" w:rsidRDefault="00030B76" w:rsidP="00CF5BD7">
      <w:pPr>
        <w:pStyle w:val="Heading3"/>
      </w:pPr>
      <w:bookmarkStart w:id="96" w:name="_Toc132122455"/>
      <w:bookmarkStart w:id="97" w:name="_Toc132122579"/>
      <w:bookmarkStart w:id="98" w:name="_Toc141991679"/>
      <w:r>
        <w:rPr>
          <w:rFonts w:hint="eastAsia"/>
        </w:rPr>
        <w:t>P</w:t>
      </w:r>
      <w:r>
        <w:t xml:space="preserve">ossible </w:t>
      </w:r>
      <w:r w:rsidR="007A6199">
        <w:t>s</w:t>
      </w:r>
      <w:r w:rsidR="00313BC6">
        <w:t xml:space="preserve">olutions for </w:t>
      </w:r>
      <w:r>
        <w:t>MPC</w:t>
      </w:r>
      <w:r w:rsidR="00313BC6">
        <w:t xml:space="preserve">-based </w:t>
      </w:r>
      <w:r w:rsidR="007A6199">
        <w:t>p</w:t>
      </w:r>
      <w:r w:rsidR="00313BC6">
        <w:t xml:space="preserve">recooling </w:t>
      </w:r>
      <w:r w:rsidR="007A6199">
        <w:t>c</w:t>
      </w:r>
      <w:r w:rsidR="00313BC6">
        <w:t>ontroller</w:t>
      </w:r>
      <w:bookmarkEnd w:id="96"/>
      <w:bookmarkEnd w:id="97"/>
      <w:bookmarkEnd w:id="98"/>
    </w:p>
    <w:p w14:paraId="28719622" w14:textId="74E5F7B3" w:rsidR="00030B76" w:rsidRDefault="00030B76" w:rsidP="00030B76">
      <w:r>
        <w:t xml:space="preserve">Widespread use of the Internet of Things (IoT), including smart thermostats, provides an opportunity for the implementation of advanced control without prohibitive expenses. </w:t>
      </w:r>
      <w:r w:rsidRPr="004B67DA">
        <w:t xml:space="preserve">In </w:t>
      </w:r>
      <w:r w:rsidRPr="004B67DA">
        <w:fldChar w:fldCharType="begin"/>
      </w:r>
      <w:r w:rsidR="005D48B2">
        <w:instrText xml:space="preserve"> ADDIN ZOTERO_ITEM CSL_CITATION {"citationID":"gJBdeAvp","properties":{"formattedCitation":"[82]","plainCitation":"[82]","noteIndex":0},"citationItems":[{"id":1655,"uris":["http://zotero.org/users/5659608/items/2EVIREWU"],"itemData":{"id":1655,"type":"article-journal","abstract":"Although Internet of Things (IoT) brings significant advantages over traditional communication technologies for smart grid and smart home applications, these implementations are still very rare. Relying on a comprehensive literature review, this paper aims to contribute towards narrowing the gap between the existing state-of-the-art smart home applications and the prospect of their integration into an IoT enabled environment. We propose a holistic framework which incorporates different components from IoT architectures/frameworks proposed in the literature, in order to efficiently integrate smart home objects in a cloud-centric IoT based solution. We identify a smart home management model for the proposed framework and the main tasks that should be performed at each level. We additionally discuss practical design challenges with emphasis on data processing, as well as smart home communication protocols and their interoperability. We believe that the holistic framework ascertained in this paper can be used as a solid base for the future developers of Internet of Things based smart home solutions.","container-title":"Journal of Cleaner Production","DOI":"10.1016/j.jclepro.2016.10.006","ISSN":"0959-6526","journalAbbreviation":"Journal of Cleaner Production","language":"en","page":"1454-1464","source":"ScienceDirect","title":"A review of Internet of Things for smart home: Challenges and solutions","title-short":"A review of Internet of Things for smart home","volume":"140","author":[{"family":"Risteska Stojkoska","given":"Biljana L."},{"family":"Trivodaliev","given":"Kire V."}],"issued":{"date-parts":[["2017",1,1]]},"citation-key":"risteskastojkoskaReviewInternetThings2017"}}],"schema":"https://github.com/citation-style-language/schema/raw/master/csl-citation.json"} </w:instrText>
      </w:r>
      <w:r w:rsidRPr="004B67DA">
        <w:fldChar w:fldCharType="separate"/>
      </w:r>
      <w:r w:rsidR="00B10A4D" w:rsidRPr="00B10A4D">
        <w:t>[82]</w:t>
      </w:r>
      <w:r w:rsidRPr="004B67DA">
        <w:fldChar w:fldCharType="end"/>
      </w:r>
      <w:r w:rsidRPr="004B67DA">
        <w:t xml:space="preserve">, the </w:t>
      </w:r>
      <w:r w:rsidRPr="00080CA6">
        <w:t>author</w:t>
      </w:r>
      <w:r>
        <w:t>s</w:t>
      </w:r>
      <w:r w:rsidRPr="00080CA6">
        <w:t xml:space="preserve"> reviewed the application of IoT devices in smart homes and pointed out IoT is </w:t>
      </w:r>
      <w:r>
        <w:t xml:space="preserve">an </w:t>
      </w:r>
      <w:r w:rsidRPr="00080CA6">
        <w:t xml:space="preserve">intelligent solution </w:t>
      </w:r>
      <w:r w:rsidRPr="004B67DA">
        <w:t>for</w:t>
      </w:r>
      <w:r w:rsidRPr="00080CA6">
        <w:t xml:space="preserve"> small residential</w:t>
      </w:r>
      <w:r>
        <w:t>s</w:t>
      </w:r>
      <w:r w:rsidRPr="004B67DA">
        <w:t>.</w:t>
      </w:r>
      <w:r>
        <w:t xml:space="preserve"> Therefore, to investigate the impact of the aforementioned factors on an MPC-based precooling controller, an implementable MPC-based precooling agent</w:t>
      </w:r>
      <w:r w:rsidRPr="00A27918">
        <w:t xml:space="preserve"> </w:t>
      </w:r>
      <w:r>
        <w:t>through the smart thermostat is developed in this study</w:t>
      </w:r>
      <w:r w:rsidRPr="00A27918">
        <w:t>.</w:t>
      </w:r>
      <w:r>
        <w:t xml:space="preserve"> The development of such MPC control agent requires an efficient thermal model and optimization approach. </w:t>
      </w:r>
      <w:r w:rsidRPr="001D6BD8">
        <w:t xml:space="preserve">A grey-box model approach with </w:t>
      </w:r>
      <w:r>
        <w:t xml:space="preserve">an </w:t>
      </w:r>
      <w:r w:rsidRPr="001D6BD8">
        <w:t>efficient parameter identification approach is proposed.</w:t>
      </w:r>
      <w:r>
        <w:t xml:space="preserve"> The gray-box model is formulated using system knowledge and therefore has a greater chance to generate reliable predictions even if the operational condition for prediction is beyond the condition of the training data or the training dataset is limited. In addition, the grey-box model is usually a model based on differential equations with a simpler model structure, which allows the mixed-integer linear programming (MILP) technique </w:t>
      </w:r>
      <w:r>
        <w:fldChar w:fldCharType="begin"/>
      </w:r>
      <w:r w:rsidR="005D48B2">
        <w:instrText xml:space="preserve"> ADDIN ZOTERO_ITEM CSL_CITATION {"citationID":"Sb6o2rkB","properties":{"formattedCitation":"[83]","plainCitation":"[83]","noteIndex":0},"citationItems":[{"id":1727,"uris":["http://zotero.org/users/5659608/items/FBQLZLCF"],"itemData":{"id":1727,"type":"article-journal","container-title":"Siam Review","issue":"1","note":"publisher: SIAM","page":"3–57","title":"Mixed integer linear programming formulation techniques","volume":"57","author":[{"family":"Vielma","given":"Juan Pablo"}],"issued":{"date-parts":[["2015"]]},"citation-key":"vielmaMixedIntegerLinear2015"}}],"schema":"https://github.com/citation-style-language/schema/raw/master/csl-citation.json"} </w:instrText>
      </w:r>
      <w:r>
        <w:fldChar w:fldCharType="separate"/>
      </w:r>
      <w:r w:rsidR="00B10A4D" w:rsidRPr="00B10A4D">
        <w:t>[83]</w:t>
      </w:r>
      <w:r>
        <w:fldChar w:fldCharType="end"/>
      </w:r>
      <w:r>
        <w:t xml:space="preserve"> to solve the optimization without the use of computationally expensive exhaustive optimal search methods. </w:t>
      </w:r>
    </w:p>
    <w:p w14:paraId="28997031" w14:textId="77777777" w:rsidR="00030B76" w:rsidRPr="00670ECE" w:rsidRDefault="00030B76" w:rsidP="00AA6C52">
      <w:r>
        <w:t xml:space="preserve">The complicated quantification of benefits of MPC controller due to the complicated </w:t>
      </w:r>
      <w:r>
        <w:lastRenderedPageBreak/>
        <w:t>environment including the rapid outside weather change</w:t>
      </w:r>
      <w:r w:rsidRPr="00A27918">
        <w:t>s</w:t>
      </w:r>
      <w:r>
        <w:t xml:space="preserve"> and the variation of the stakeholder can be solved by using weather clustering algorithm and multiple key performance indicators (KPIs)</w:t>
      </w:r>
      <w:r w:rsidRPr="00A27918">
        <w:t>.</w:t>
      </w:r>
      <w:r>
        <w:t xml:space="preserve"> The weather condition is a complicated factor due to its inherent variability and higher dimension. Using a single point, such as daily average outdoor air temperature, as a factor affecting AC energy consumption is too simple while using all weather conditions can result in over complex analysis. Weather clustering, which merges similar weather conditions into one variable, is required in the result analysis. Additionally, optimal precooling is sensitive to the time of the day, making many available clustering algorithms focusing on values rather than similar </w:t>
      </w:r>
      <w:r w:rsidRPr="001D6BD8">
        <w:rPr>
          <w:b/>
        </w:rPr>
        <w:t>shapes</w:t>
      </w:r>
      <w:r>
        <w:t xml:space="preserve"> of subsequences of time series data not appropriate. Therefore</w:t>
      </w:r>
      <w:r w:rsidRPr="00A27918">
        <w:t xml:space="preserve">, </w:t>
      </w:r>
      <w:r>
        <w:t>two</w:t>
      </w:r>
      <w:r w:rsidRPr="00A27918">
        <w:t xml:space="preserve"> matrix-profile based algorithms </w:t>
      </w:r>
      <w:r>
        <w:t xml:space="preserve">are modified and combined </w:t>
      </w:r>
      <w:r w:rsidRPr="00A27918">
        <w:t xml:space="preserve">for </w:t>
      </w:r>
      <w:r>
        <w:t xml:space="preserve">multi-dimensional (including temperature, humidity, and solar irradiation) </w:t>
      </w:r>
      <w:r w:rsidRPr="00A27918">
        <w:t xml:space="preserve">weather </w:t>
      </w:r>
      <w:r>
        <w:t xml:space="preserve">pattern </w:t>
      </w:r>
      <w:r w:rsidRPr="00A27918">
        <w:t>clusterin</w:t>
      </w:r>
      <w:r>
        <w:t>g</w:t>
      </w:r>
      <w:r w:rsidRPr="00A27918">
        <w:t>.</w:t>
      </w:r>
      <w:r>
        <w:rPr>
          <w:rFonts w:eastAsia="PMingLiU"/>
        </w:rPr>
        <w:t xml:space="preserve"> </w:t>
      </w:r>
      <w:r>
        <w:t xml:space="preserve">To further investigate which homes or operation conditions provide more energy flexibility with the proposed MPC agent, in addition to the cost reduction, a flexibility factor that quantified the load shifting ability is employed in impact analysis across multiple homes.  </w:t>
      </w:r>
    </w:p>
    <w:p w14:paraId="2171D97A" w14:textId="7367A3EA" w:rsidR="00030B76" w:rsidRPr="00247B99" w:rsidRDefault="00030B76" w:rsidP="00313BC6">
      <w:pPr>
        <w:pStyle w:val="Heading2"/>
      </w:pPr>
      <w:bookmarkStart w:id="99" w:name="_Toc132122456"/>
      <w:bookmarkStart w:id="100" w:name="_Toc132122580"/>
      <w:bookmarkStart w:id="101" w:name="_Toc141991680"/>
      <w:r>
        <w:t>Smart Home Energy Management (</w:t>
      </w:r>
      <w:r w:rsidR="00834B73">
        <w:t>Home-EMS</w:t>
      </w:r>
      <w:r>
        <w:t>) System</w:t>
      </w:r>
      <w:bookmarkEnd w:id="99"/>
      <w:bookmarkEnd w:id="100"/>
      <w:bookmarkEnd w:id="101"/>
    </w:p>
    <w:p w14:paraId="27B0D059" w14:textId="287DE9E8" w:rsidR="00030B76" w:rsidRPr="00320858" w:rsidRDefault="00030B76" w:rsidP="00030B76">
      <w:r w:rsidRPr="00320858">
        <w:t>In a smart home energy management (H</w:t>
      </w:r>
      <w:r w:rsidR="00834B73">
        <w:t>ome-EMS</w:t>
      </w:r>
      <w:r w:rsidRPr="00320858">
        <w:t xml:space="preserve">) system, thermal appliances often account for most of the building’s electricity consumption; additionally, they have a direct impact on human comfort. It is critical to incorporate them into the </w:t>
      </w:r>
      <w:r w:rsidR="00834B73" w:rsidRPr="00320858">
        <w:t>H</w:t>
      </w:r>
      <w:r w:rsidR="00834B73">
        <w:t>ome-EMS</w:t>
      </w:r>
      <w:r w:rsidRPr="00320858">
        <w:t xml:space="preserve">. In </w:t>
      </w:r>
      <w:r w:rsidRPr="00320858">
        <w:fldChar w:fldCharType="begin"/>
      </w:r>
      <w:r w:rsidR="005D48B2">
        <w:instrText xml:space="preserve"> ADDIN ZOTERO_ITEM CSL_CITATION {"citationID":"w7PUz26i","properties":{"formattedCitation":"[84\\uc0\\u8211{}86]","plainCitation":"[84–86]","noteIndex":0},"citationItems":[{"id":767,"uris":["http://zotero.org/users/5659608/items/YEQHVR2P"],"itemData":{"id":767,"type":"article-journal","abstract":"The growing demand for electricity is a challenge for the electricity sector as it not only involves the search for new sources of energy, but also the increase of generation capacity of the existing electrical infrastructure and the need to upgrade the existing grid. Therefore, new ways to reduce the consumption of energy are necessary to be implemented. When comparing an average house with an energy efﬁcient house, it is possible to reduce annual energy bills up to 40%. Homeowners and tenants should consider developing an energy conservation plan in their homes. This is both an ecological and economically rational action. With this goal in mind, the need for the energy optimization arises. However, this has to be made by ensuring a fair level of comfort in the household, which in turn spawns a few control challenges. In this paper, the ON/OFF, proportional-integral-derivative (PID) and Model Predictive Control (MPC) control methods of an air conditioning (AC) of a room are compared. The model of the house of this study has a PV domestic generation. The recorded climacteric data for this case study are for Évora, a pilot Portuguese city in an ongoing demand response (DR) project. Six Time-of-Use (ToU) electricity rates are studied and compared during a whole week of summer, typically with very high temperatures for this period of the year. The overall weekly expense of each studied tariff option is compared for every control method and in the end the optimal solution is reached.","container-title":"Applied Sciences","DOI":"10.3390/app8030408","ISSN":"2076-3417","issue":"3","journalAbbreviation":"Applied Sciences","language":"en","page":"408","source":"DOI.org (Crossref)","title":"Model Predictive Control Home Energy Management and Optimization Strategy with Demand Response","volume":"8","author":[{"family":"Godina","given":"Radu"},{"family":"Rodrigues","given":"Eduardo"},{"family":"Pouresmaeil","given":"Edris"},{"family":"Matias","given":"João"},{"family":"Catal</w:instrText>
      </w:r>
      <w:r w:rsidR="005D48B2">
        <w:rPr>
          <w:rFonts w:hint="eastAsia"/>
        </w:rPr>
        <w:instrText>ã</w:instrText>
      </w:r>
      <w:r w:rsidR="005D48B2">
        <w:instrText xml:space="preserve">o","given":"João"}],"issued":{"date-parts":[["2018",3,9]]},"citation-key":"godinaModelPredictiveControl2018"}},{"id":789,"uris":["http://zotero.org/users/5659608/items/BPNJL9LJ"],"itemData":{"id":789,"type":"article-journal","abstract":"A new model predictive control (MPC) algorithm is used to select optimal air conditioning setpoints for a commercial ofﬁce building, considering variable electricity prices, weather and occupancy. This algorithm, Cost-Comfort Particle Swarm Optimization (CCPSO), is the ﬁrst to combine a realistic, smooth representation of occupants’ willingness to pay for thermal comfort with a bottom-up, nonlinear model of the building and air conditioning system under control. We ﬁnd that using a quadratic preference function for temperature can yield solutions that are both more comfortable and lower-cost than previous work that used a “brick wall” preference function with no preference for further cooling within an allowed temperature band and inﬁnite aversion to going outside the allowed band. Using historical pricing data for a summer month in Chicago, CCPSO provided a 1% reduction in costs vs. a similar “brick-wall” MPC approach with the same comfort and 6–11% reduction in costs vs. other control strategies in the literature. CCPSO can also be used to operate the building with much greater comfort and costs or much lower costs and comfort than the “brick-wall” approach, depending on user preferences. CCPSO also reduced peak-hours demand by 3% vs. the “brick-wall” strategy and 4–14% vs. other strategies. At the same time, the CCPSO strategy increased off-peak energy consumption by 15% or more vs. other control methods. This may be valuable for power systems integrating large amounts of renewable power, which can otherwise become uneconomic due to saturation of demand during off-peak hours.","container-title":"Energies","DOI":"10.3390/en11092373","ISSN":"1996-1073","issue":"9","journalAbbreviation":"Energies","language":"en","page":"2373","source":"DOI.org (Crossref)","title":"Multi-Objective Control of Air Conditioning Improves Cost, Comfort and System Energy Balance","volume":"11","author":[{"family":"Izawa","given":"Andrew"},{"family":"Fripp","given":"Matthias"}],"issued":{"date-parts":[["2018",9,8]]},"citation-key":"izawaMultiObjectiveControlAir2018"}},{"id":779,"uris":["http://zotero.org/users/5659608/items/8HCCPTNS"],"itemData":{"id":779,"type":"article-journal","abstract":"Demand response oﬀers the possibility of altering the proﬁle of power consumption of individual buildings or building districts, i.e., microgrids, for economic return. There is signiﬁcant potential of demand response in enabling ﬂexibility via advanced grid management options, allowing higher renewable energy penetration and eﬃcient exploitation of resources. Demand response and distributed energy resource dynamic management are gradually gaining importance as valuable assets for managing peak loads, grid balance, renewable energy source intermittency, and energy losses. In this paper, the potential for operational optimization of a heating, ventilation, and air conditioning (HVAC) system in a smart near-zero-energy industrial building is investigated with the aid of a genetic algorithm. The analysis involves a validated building energy model, a model of energy cost, and an optimization model for establishing HVAC optimum temperature set points. Optimization aims at establishing the trade-oﬀ between the minimum daily cost of energy and thermal comfort. Predicted mean vote is integrated in the objective function to ensure thermal comfort requirements are met.","container-title":"Energies","DOI":"10.3390/en12112177","ISSN":"1996-1073","issue":"11","journalAbbreviation":"Energies","language":"en","page":"2177","source":"DOI.org (Crossref)","title":"HVAC Optimization Genetic Algorithm for Industrial Near-Zero-Energy Building Demand Response","volume":"12","author":[{"family":"Kampelis","given":"Nikolaos"},{"family":"Sifakis","given":"Nikolaos"},{"family":"Kolokotsa","given":"Dionysia"},{"family":"Gobakis","given":"Konstantinos"},{"family":"Kalaitzakis","given":"Konstantinos"},{"family":"Isidori","given":"Daniela"},{"family":"Cristalli","given":"Cristina"}],"issued":{"date-parts":[["2019",6,7]]},"citation-key":"kampelisHVACOptimizationGenetic2019"}}],"schema":"https://github.com/citation-style-language/schema/raw/master/csl-citation.json"} </w:instrText>
      </w:r>
      <w:r w:rsidRPr="00320858">
        <w:fldChar w:fldCharType="separate"/>
      </w:r>
      <w:r w:rsidR="00B10A4D" w:rsidRPr="00B10A4D">
        <w:rPr>
          <w:kern w:val="0"/>
          <w:szCs w:val="24"/>
        </w:rPr>
        <w:t>[84–86]</w:t>
      </w:r>
      <w:r w:rsidRPr="00320858">
        <w:fldChar w:fldCharType="end"/>
      </w:r>
      <w:r w:rsidRPr="00320858">
        <w:t xml:space="preserve">, the researchers implemented the optimal HVAC operations derived by several control algorithms. Their findings demonstrate that a 9%-20% cost savings under the time of use (TOU) </w:t>
      </w:r>
      <w:r w:rsidRPr="00320858">
        <w:lastRenderedPageBreak/>
        <w:t xml:space="preserve">rate can be realized while maintaining a reasonable room air temperature </w:t>
      </w:r>
      <w:r w:rsidRPr="00320858">
        <w:rPr>
          <w:rFonts w:hint="eastAsia"/>
        </w:rPr>
        <w:t>bound</w:t>
      </w:r>
      <w:r w:rsidRPr="00320858">
        <w:t xml:space="preserve"> when compared to baseline cases.</w:t>
      </w:r>
      <w:bookmarkStart w:id="102" w:name="OLE_LINK3"/>
      <w:bookmarkStart w:id="103" w:name="OLE_LINK4"/>
      <w:r w:rsidRPr="00320858">
        <w:t xml:space="preserve"> However, these studies mainly focused on HVAC systems and ignored consideration of the smart home environment. Integrating thermal and non-thermal appliances is critical for </w:t>
      </w:r>
      <w:r w:rsidR="00834B73" w:rsidRPr="00320858">
        <w:t>H</w:t>
      </w:r>
      <w:r w:rsidR="00834B73">
        <w:t>ome-EMS</w:t>
      </w:r>
      <w:r w:rsidRPr="00320858">
        <w:t xml:space="preserve"> because one appliance's electricity consumption limits the energy consumption of another, and thermal appliances cannot be turned off for </w:t>
      </w:r>
      <w:r w:rsidRPr="00320858">
        <w:rPr>
          <w:rFonts w:hint="eastAsia"/>
        </w:rPr>
        <w:t>a</w:t>
      </w:r>
      <w:r w:rsidRPr="00320858">
        <w:t xml:space="preserve"> long time without compromising thermal comfort. Hence, their interaction should be considered together</w:t>
      </w:r>
      <w:r w:rsidRPr="007B3C8F">
        <w:t xml:space="preserve">. </w:t>
      </w:r>
      <w:r w:rsidRPr="007B3C8F">
        <w:fldChar w:fldCharType="begin"/>
      </w:r>
      <w:r w:rsidR="003A084E">
        <w:instrText xml:space="preserve"> ADDIN ZOTERO_ITEM CSL_CITATION {"citationID":"a1b4retsi1c","properties":{"formattedCitation":"[87\\uc0\\u8211{}89]","plainCitation":"[87–89]","noteIndex":0},"citationItems":[{"id":"qZuNWCV4/U6quUKwL","uris":["http://zotero.org/users/5659608/items/P96CEFZ4"],"itemData":{"id":184,"type":"article-journal","abstract":"Of the total electricity-generating capacity in the United States, 20% is dedicated to meet peak loads. Strategies to mitigate volatility in energy consumption have the potential to reduce the need for this surplus capacity. Here we investigate the potential for residential consumers to lower community-level peak demand through home energy management systems. We focus on the combination of air-conditioning use with the operation of time-shiftable appliances in the southern U.S. A centralized model predictive control (MPC) scheme minimizes peak air-conditioning (A/C) energy use by altering the thermostat set-points in individual homes. We simultaneously schedule the operation of time-shiftable appliances to further reduce the community peak load. The scheduling problem is formulated as a mixed-integer linear program (MILP) aimed at minimizing peak load under constraints that reflect the start times and allowed delays of individual appliances (e.g. dishwashers, washing machines, dryers) in each house. Using sample data collected from residential homes and consumer survey data located in Austin, TX, USA we show that the proposed integrated control and scheduling approach can minimize the peak load for the neighborhood by leveraging the physical differences and individual preferences between houses. On average, our framework is able to reduce the daily peak load for the group of houses by 25.5% (18.2kW) when compared with the load for individually controlled thermostat settings and appliance start times.","container-title":"Energy and Buildings","DOI":"10.1016/j.enbuild.2016.04.003","ISSN":"0378-7788","journalAbbreviation":"Energy and Buildings","language":"en","page":"34-40","source":"ScienceDirect","title":"Integrated HVAC management and optimal scheduling of smart appliances for community peak load reduction","volume":"123","author":[{"family":"Perez","given":"Krystian X."},{"family":"Baldea","given":"Michael"},{"family":"Edgar","given":"Thomas F."}],"issued":{"date-parts":[["2016",7,1]]},"citation-key":"perezIntegratedHVACManagement2016"}},{"id":197,"uris":["http://zotero.org/users/5659608/items/B54GTRJV"],"itemData":{"id":197,"type":"article-journal","abstract":"In this work, an algorithm for the scheduling of household appliances to reduce the energy cost and the peak-power consumption is proposed. The system architecture of a home energy management system (HEMS) is presented to operate the appliances. The dynamics of thermal and non-thermal appliances is represented into state-space model to formulate the scheduling task into a mixed-integer-linear-programming (MILP) optimization problem. Model predictive control (MPC) strategy is used to operate the appliances in real-time. The HEMS schedules the appliances in dynamic manner without any a priori knowledge of the load-consumption pattern. At the same time, the HEMS responds to the real-time electricity market and the external environmental conditions (solar radiation, ambient temperature, etc). Simulation results exhibit the benefits of the proposed HEMS by showing the reduction of up to 70% in electricity cost and up to 57% in peak power consumption.","container-title":"Applied Sciences","DOI":"10.3390/app10051627","journalAbbreviation":"Applied Sciences","page":"1627","source":"ResearchGate","title":"Application of Predictive Control in Scheduling of Domestic Appliances","volume":"10","author":[{"family":"Nagpal","given":"Himanshu"},{"family":"Staino","given":"Andrea"},{"family":"Basu","given":"Biswajit"}],"issued":{"date-parts":[["2020",2,29]]},"citation-key":"nagpalApplicationPredictiveControl2020"}},{"id":179,"uris":["http://zotero.org/users/5659608/items/6Y23FQXI"],"itemData":{"id":179,"type":"article-journal","abstract":"This paper proposes an appliance scheduling scheme for residential building energy management controllers, by taking advantage of the time-varying retail pricing enabled by the two-way communication infrastructure of the smart grid. Finite-horizon scheduling optimization problems are formulated to exploit operational flexibilities of thermal and non-thermal appliances using a model predictive control (MPC) method which incorporates both forecasts and newly updated information. For thermal appliance scheduling, the thermal mass of the building, which serves as thermal storage, is integrated into the optimization problem by modeling the thermodynamics of rooms in a building as constraints. Within the comfort range modeled by the predicted mean vote (PMV) index, thermal appliances are scheduled smartly together with thermal mass storage to hedge against high prices and make use of low-price time periods. For non-thermal appliance scheduling, in which delay and/or power consumption flexibilities are available, operation dependence of inter-appliance and intra-appliance is modeled to further exploit the price variation. Simulation results show that customers have notable energy cost savings on their electricity bills with time-varying pricing. The impact of customers' preferences of appliances usage on energy cost savings is also evaluated.","container-title":"IEEE Transactions on Smart Grid","DOI":"10.1109/TSG.2013.2265239","ISSN":"1949-3061","issue":"3","note":"event-title: IEEE Transactions on Smart Grid","page":"1401-1410","source":"IEEE Xplore","title":"MPC-Based Appliance Scheduling for Residential Building Energy Management Controller","volume":"4","author":[{"family":"Chen","given":"C."},{"family":"Wang","given":"J."},{"family":"Heo","given":"Y."},{"family":"Kishore","given":"S."}],"issued":{"date-parts":[["2013",9]]},"citation-key":"chenMPCBasedApplianceScheduling2013"}}],"schema":"https://github.com/citation-style-language/schema/raw/master/csl-citation.json"} </w:instrText>
      </w:r>
      <w:r w:rsidRPr="007B3C8F">
        <w:fldChar w:fldCharType="separate"/>
      </w:r>
      <w:r w:rsidR="00E909B7" w:rsidRPr="00E909B7">
        <w:rPr>
          <w:kern w:val="0"/>
        </w:rPr>
        <w:t>[87–89]</w:t>
      </w:r>
      <w:r w:rsidRPr="007B3C8F">
        <w:fldChar w:fldCharType="end"/>
      </w:r>
      <w:r w:rsidRPr="00586D0C">
        <w:t xml:space="preserve"> integrated</w:t>
      </w:r>
      <w:r w:rsidRPr="00320858">
        <w:t xml:space="preserve"> the HVAC system with several appliances and considered the dynamic model of HVAC system. </w:t>
      </w:r>
      <w:bookmarkEnd w:id="102"/>
      <w:bookmarkEnd w:id="103"/>
      <w:r w:rsidRPr="00320858">
        <w:t xml:space="preserve">However, the studies cited above did not consider the process of system identification before to using the HVAC model. Unlike washing machines and dryers, the energy consumption of the HVAC system is determined by the house's thermal dynamic, which is influenced by a variety of factors, including the house's thermal characteristics and the outside weather. The system should be identified in advance so that the optimal control algorithm can be automated across different buildings subjected to varying weather conditions. All the studies cited previously do not incorporate photovoltaic and battery storage into the </w:t>
      </w:r>
      <w:r w:rsidR="00834B73" w:rsidRPr="00320858">
        <w:t>H</w:t>
      </w:r>
      <w:r w:rsidR="00834B73">
        <w:t>ome-EMS</w:t>
      </w:r>
      <w:r w:rsidRPr="00320858">
        <w:t>.</w:t>
      </w:r>
    </w:p>
    <w:p w14:paraId="4535B48F" w14:textId="486C7E31" w:rsidR="00030B76" w:rsidRPr="00320858" w:rsidRDefault="00030B76" w:rsidP="00030B76">
      <w:r w:rsidRPr="00320858">
        <w:fldChar w:fldCharType="begin"/>
      </w:r>
      <w:r w:rsidR="003A084E">
        <w:instrText xml:space="preserve"> ADDIN ZOTERO_ITEM CSL_CITATION {"citationID":"jHaRV7H2","properties":{"formattedCitation":"[11]\\uc0\\u8211{}[15]","plainCitation":"[11]–[15]","dontUpdate":true,"noteIndex":0},"citationItems":[{"id":1019,"uris":["http://zotero.org/users/5659608/items/9ZH59P7Z"],"itemData":{"id":1019,"type":"paper-conference","abstract":"The objective of this study is to optimal scheduling of resources and loads in a smart home (SH) including photovoltaic (PV) panel, battery, plug-in electric vehicle (PEV) and electric heater (EH) along with electrical and thermal loads. Advantages of SH with the proposed structure is that all electrical and thermal loads can be met by electric energy and as a result, it decreases additional investment in natural gas infrastructure, balances electricity and natural gas consumption during seasons, reduces air pollution in home environment, and diminishes SH bills. To this end, an energy management system (EMS) is designed using shuffled frog leaping (SFLA) algorithm for load and resource scheduling such that SH daily energy consumption cost is minimum. Performance of the SH in different scenarios are studied, a feasibility study for the SH is conducted and the results are discussed. Simulation results show that SFLA algorithm has higher capability compared to other algorithms in solving optimal energy management problem in the SH, and it has been shown that PEV which will penetrate significantly in future, has a considerable effect on SH costs and should be considered in residential planning studies.","container-title":"2017 Smart Grid Conference (SGC)","DOI":"10.1109/SGC.2017.8308855","event-title":"2017 Smart Grid Conference (SGC)","note":"ISSN: 2572-6927","page":"1-7","source":"IEEE Xplore","title":"Energy management in smart home including PV panel, battery, electric heater with integration of plug-in electric vehicle","author":[{"family":"Lorestani","given":"Alireza"},{"family":"Aghaee","given":"Seyed Saeed"},{"family":"Gharehpetian","given":"Gevork B."},{"family":"Ardehali","given":"Morteza Mohammadi"}],"issued":{"date-parts":[["2017"]]},"citation-key":"lorestaniEnergyManagementSmart2017"}},{"id":1041,"uris":["http://zotero.org/users/5659608/items/MMD69PLZ"],"itemData":{"id":1041,"type":"paper-conference","abstract":"Developing countries like Pakistan are facing a serious shortage of electrical energy due to massive urbanization. Renewable energy resources (RER's) and energy storage system (ESS) can play significant role in solving this problem. In this paper, we have studied the impact of rooftop photovoltaic (PV) and ESS installation on the operational cost of electrical energy usage in smart residential homes. Additionally, concept of home to grid energy exchange (H2G) is also incorporated to study its benefits on energy management. Home Energy management (HEM) problem is modeled with the integration of PV and ESS by considering user preferences and other system constraints. Genetic algorithm (GA) is applied to find out optimal scheduling of appliances. Simulation results show that the proposed method can enhance the performance of the home electricity scheduling, decrease the effect of uncertainty on system and reduce the overall energy cost.","container-title":"2019 International Conference on Electrical, Communication, and Computer Engineering (ICECCE)","DOI":"10.1109/ICECCE47252.2019.8940684","event-title":"2019 International Conference on Electrical, Communication, and Computer Engineering (ICECCE)","page":"1-7","source":"IEEE Xplore","title":"Energy Management in Smart Homes with PV Generation, Energy Storage and Home to Grid Energy Exchange","author":[{"family":"Iqbal","given":"Muhammad Muzaffar"},{"family":"Sajjad","given":"Intisar Ali"},{"family":"Nadeem Khan","given":"Muhammad Faisal"},{"family":"Liaqat","given":"Rehan"},{"family":"Shah","given":"Muhammad Athar"},{"family":"Muqeet","given":"Hafiz Abdul"}],"issued":{"date-parts":[["2019",7]]},"citation-key":"iqbalEnergyManagementSmart2019"}},{"id":1048,"uris":["http://zotero.org/users/5659608/items/RUNYCKG6"],"itemData":{"id":1048,"type":"article-journal","abstract":"At present, with the applying of distributed energy resource (DER) in the demand side, the difficulty of demand-side management (DSM) is increasing. Improving the consumption rate of DER is currently one of the important research contents of the home energy management system (HEMS). How to better coordinate household appliances to participate in the HEMS, so as to improve the situation is the focus of this paper. Due to the development of artificial intelligence and communication technology, we establish a household appliance optimization scheduling system. According to the household electricity-using habits, most household appliances are divided into three categories. Based on this, we propose a HEMS model, which aims to minimize the peak load and electricity cost of a smart home, and achieve single-objective and multi-objective optimization. In order to better implement the research of DER, the solar radiation data of one day in summer in Shanghai is used to compare with different capacities of photovoltaic energy storage system (PESS). Because the variables in the model are mostly binary or decimal integers, it is essentially a mixed integer programming (MIP). Therefore, a simulator has been implemented in the MATLAB software environment to facilitate the solution of proposed HEMS. The results show that the configuration of PESS is beneficial to the optimal scheduling of household appliances. In the single objective optimization, the peak load and electricity cost of scheme 4 is decreased by 61.51% and 71.39% compared with scheme 1, respectively. Besides, Pareto front is the most ideal in multi-objective optimization under scheme 4, and Pareto solutions distribution are more uniform, which can provide more scheduling choices for residential users. In addition, by comparing the different photovoltaic (PV) subsidy policies in 2013 and 2018, it is reasonable for China to gradually realize PV subsidy-free.","container-title":"Energy Reports","DOI":"10.1016/j.egyr.2020.09.001","ISSN":"2352-4847","journalAbbreviation":"Energy Reports","language":"en","page":"2450-2462","source":"ScienceDirect","title":"Home energy management in smart households: Optimal appliance scheduling model with photovoltaic energy storage system","title-short":"Home energy management in smart households","volume":"6","author":[{"family":"Lu","given":"Qing"},{"family":"Zhang","given":"Zhixin"},{"family":"Lü","given":"Shuaikang"}],"issued":{"date-parts":[["2020",11,1]]},"citation-key":"luHomeEnergyManagement2020"}},{"id":801,"uris":["http://zotero.org/users/5659608/items/5ADA2YXH"],"itemData":{"id":801,"type":"article-journal","abstract":"A new methodology, that combine three different Artificial Intelligence techniques, is proposed in this paper to solve the energy demand planning in Smart Homes. Conceived as a multi-objective scheduling problem, the new method is developed to reach the compromise between energy cost and the user comfort. Using an Elitist Non-dominated Sorting Genetic Algorithm II, the concept of demand-side management is applied taking into account electricity price fluctuations over time, priority in the use of equipment, operating cycles and a battery bank. The demand-side management also considers a forecast of a distributed generation for a day ahead, employing the Support Vector Regression technique. Validated by numerical simulations with real data obtained from a smart home, the user comfort levels were determined by the K-means clustering technique. The efficiency of the proposed Artificial Intelligence combination was proved according to a 51.4% cost reduction, when Smart Homes with and without distributed generation and battery bank are compared.","container-title":"Applied Energy","DOI":"10.1016/j.apenergy.2020.116145","ISSN":"03062619","journalAbbreviation":"Applied Energy","language":"en","page":"116145","source":"DOI.org (Crossref)","title":"An Artificial Intelligence based scheduling algorithm for demand-side energy management in Smart Homes","volume":"282","author":[{"family":"Rocha","given":"Helder R.O."},{"family":"Honorato","given":"Icaro H."},{"family":"Fiorotti","given":"Rodrigo"},{"family":"Celeste","given":"Wanderley C."},{"family":"Silvestre","given":"Leonardo J."},{"family":"Silva","given":"Jair A.L."}],"issued":{"date-parts":[["2021",1]]},"citation-key":"rochaArtificialIntelligenceBased2021"}},{"id":"qZuNWCV4/ae8y7GFN","uris":["http://zotero.org/users/5659608/items/3W7AFKQH"],"itemData":{"id":1024,"type":"webpage","language":"en","note":"DOI: 10.1016/j.apenergy.2021.117159","title":"An integrated smart home energy management model based on a pyramid taxonomy for residential houses with photovoltaic-battery systems | Elsevier Enhanced Reader","URL":"https://reader.elsevier.com/reader/sd/pii/S0306261921005936?token=EAA5655C08C11384A0F10759BEDE85DEDA31A651FD1EF99BED411D29A0EAE53929AB18BFD4EC010C2FC1CD267149356E&amp;originRegion=us-east-1&amp;originCreation=20220403023848","author":[{"family":"zheng","given":""}],"accessed":{"date-parts":[["2022",4,2]]},"citation-key":"zhengIntegratedSmartHome"}}],"schema":"https://github.com/citation-style-language/schema/raw/master/csl-citation.json"} </w:instrText>
      </w:r>
      <w:r w:rsidRPr="00320858">
        <w:fldChar w:fldCharType="separate"/>
      </w:r>
      <w:r w:rsidRPr="00320858">
        <w:t>[11]–[15]</w:t>
      </w:r>
      <w:r w:rsidRPr="00320858">
        <w:fldChar w:fldCharType="end"/>
      </w:r>
      <w:r w:rsidRPr="00320858">
        <w:t xml:space="preserve"> included solar panels and a variety of household appliances into their scheduling model. In </w:t>
      </w:r>
      <w:r w:rsidRPr="00320858">
        <w:fldChar w:fldCharType="begin"/>
      </w:r>
      <w:r w:rsidR="005D48B2">
        <w:instrText xml:space="preserve"> ADDIN ZOTERO_ITEM CSL_CITATION {"citationID":"UVFifw9b","properties":{"formattedCitation":"[90]","plainCitation":"[90]","noteIndex":0},"citationItems":[{"id":1019,"uris":["http://zotero.org/users/5659608/items/9ZH59P7Z"],"itemData":{"id":1019,"type":"paper-conference","abstract":"The objective of this study is to optimal scheduling of resources and loads in a smart home (SH) including photovoltaic (PV) panel, battery, plug-in electric vehicle (PEV) and electric heater (EH) along with electrical and thermal loads. Advantages of SH with the proposed structure is that all electrical and thermal loads can be met by electric energy and as a result, it decreases additional investment in natural gas infrastructure, balances electricity and natural gas consumption during seasons, reduces air pollution in home environment, and diminishes SH bills. To this end, an energy management system (EMS) is designed using shuffled frog leaping (SFLA) algorithm for load and resource scheduling such that SH daily energy consumption cost is minimum. Performance of the SH in different scenarios are studied, a feasibility study for the SH is conducted and the results are discussed. Simulation results show that SFLA algorithm has higher capability compared to other algorithms in solving optimal energy management problem in the SH, and it has been shown that PEV which will penetrate significantly in future, has a considerable effect on SH costs and should be considered in residential planning studies.","container-title":"2017 Smart Grid Conference (SGC)","DOI":"10.1109/SGC.2017.8308855","event-title":"2017 Smart Grid Conference (SGC)","note":"ISSN: 2572-6927","page":"1-7","source":"IEEE Xplore","title":"Energy management in smart home including PV panel, battery, electric heater with integration of plug-in electric vehicle","author":[{"family":"Lorestani","given":"Alireza"},{"family":"Aghaee","given":"Seyed Saeed"},{"family":"Gharehpetian","given":"Gevork B."},{"family":"Ardehali","given":"Morteza Mohammadi"}],"issued":{"date-parts":[["2017"]]},"citation-key":"lorestaniEnergyManagementSmart2017"}}],"schema":"https://github.com/citation-style-language/schema/raw/master/csl-citation.json"} </w:instrText>
      </w:r>
      <w:r w:rsidRPr="00320858">
        <w:fldChar w:fldCharType="separate"/>
      </w:r>
      <w:r w:rsidR="00B10A4D" w:rsidRPr="00B10A4D">
        <w:t>[90]</w:t>
      </w:r>
      <w:r w:rsidRPr="00320858">
        <w:fldChar w:fldCharType="end"/>
      </w:r>
      <w:r w:rsidRPr="00320858">
        <w:t xml:space="preserve">, the author evaluated a photovoltaic (PV)-battery system integrated with an electric vehicle (EV) and an electric heater, and addressed the smart house optimization problem using a genetic algorithm (GA) called the shuffling frog jumping method (SFLA). In </w:t>
      </w:r>
      <w:r w:rsidRPr="00320858">
        <w:fldChar w:fldCharType="begin"/>
      </w:r>
      <w:r w:rsidR="005D48B2">
        <w:instrText xml:space="preserve"> ADDIN ZOTERO_ITEM CSL_CITATION {"citationID":"1PVXBazW","properties":{"formattedCitation":"[91]","plainCitation":"[91]","noteIndex":0},"citationItems":[{"id":1041,"uris":["http://zotero.org/users/5659608/items/MMD69PLZ"],"itemData":{"id":1041,"type":"paper-conference","abstract":"Developing countries like Pakistan are facing a serious shortage of electrical energy due to massive urbanization. Renewable energy resources (RER's) and energy storage system (ESS) can play significant role in solving this problem. In this paper, we have studied the impact of rooftop photovoltaic (PV) and ESS installation on the operational cost of electrical energy usage in smart residential homes. Additionally, concept of home to grid energy exchange (H2G) is also incorporated to study its benefits on energy management. Home Energy management (HEM) problem is modeled with the integration of PV and ESS by considering user preferences and other system constraints. Genetic algorithm (GA) is applied to find out optimal scheduling of appliances. Simulation results show that the proposed method can enhance the performance of the home electricity scheduling, decrease the effect of uncertainty on system and reduce the overall energy cost.","container-title":"2019 International Conference on Electrical, Communication, and Computer Engineering (ICECCE)","DOI":"10.1109/ICECCE47252.2019.8940684","event-title":"2019 International Conference on Electrical, Communication, and Computer Engineering (ICECCE)","page":"1-7","source":"IEEE Xplore","title":"Energy Management in Smart Homes with PV Generation, Energy Storage and Home to Grid Energy Exchange","author":[{"family":"Iqbal","given":"Muhammad Muzaffar"},{"family":"Sajjad","given":"Intisar Ali"},{"family":"Nadeem Khan","given":"Muhammad Faisal"},{"family":"Liaqat","given":"Rehan"},{"family":"Shah","given":"Muhammad Athar"},{"family":"Muqeet","given":"Hafiz Abdul"}],"issued":{"date-parts":[["2019",7]]},"citation-key":"iqbalEnergyManagementSmart2019"}}],"schema":"https://github.com/citation-style-language/schema/raw/master/csl-citation.json"} </w:instrText>
      </w:r>
      <w:r w:rsidRPr="00320858">
        <w:fldChar w:fldCharType="separate"/>
      </w:r>
      <w:r w:rsidR="00B10A4D" w:rsidRPr="00B10A4D">
        <w:t>[91]</w:t>
      </w:r>
      <w:r w:rsidRPr="00320858">
        <w:fldChar w:fldCharType="end"/>
      </w:r>
      <w:r w:rsidRPr="00320858">
        <w:t xml:space="preserve">, the researchers classified the load on home appliances into three categories: flexible </w:t>
      </w:r>
      <w:r w:rsidRPr="00320858">
        <w:lastRenderedPageBreak/>
        <w:t xml:space="preserve">interruptible load, flexible uninterruptible load, and rigid load, and used the GA to solve the optimization problem and minimize the utility bill. In </w:t>
      </w:r>
      <w:r w:rsidRPr="00320858">
        <w:fldChar w:fldCharType="begin"/>
      </w:r>
      <w:r w:rsidR="005D48B2">
        <w:instrText xml:space="preserve"> ADDIN ZOTERO_ITEM CSL_CITATION {"citationID":"WJ2nM5D4","properties":{"formattedCitation":"[92]","plainCitation":"[92]","noteIndex":0},"citationItems":[{"id":1048,"uris":["http://zotero.org/users/5659608/items/RUNYCKG6"],"itemData":{"id":1048,"type":"article-journal","abstract":"At present, with the applying of distributed energy resource (DER) in the demand side, the difficulty of demand-side management (DSM) is increasing. Improving the consumption rate of DER is currently one of the important research contents of the home energy management system (HEMS). How to better coordinate household appliances to participate in the HEMS, so as to improve the situation is the focus of this paper. Due to the development of artificial intelligence and communication technology, we establish a household appliance optimization scheduling system. According to the household electricity-using habits, most household appliances are divided into three categories. Based on this, we propose a HEMS model, which aims to minimize the peak load and electricity cost of a smart home, and achieve single-objective and multi-objective optimization. In order to better implement the research of DER, the solar radiation data of one day in summer in Shanghai is used to compare with different capacities of photovoltaic energy storage system (PESS). Because the variables in the model are mostly binary or decimal integers, it is essentially a mixed integer programming (MIP). Therefore, a simulator has been implemented in the MATLAB software environment to facilitate the solution of proposed HEMS. The results show that the configuration of PESS is beneficial to the optimal scheduling of household appliances. In the single objective optimization, the peak load and electricity cost of scheme 4 is decreased by 61.51% and 71.39% compared with scheme 1, respectively. Besides, Pareto front is the most ideal in multi-objective optimization under scheme 4, and Pareto solutions distribution are more uniform, which can provide more scheduling choices for residential users. In addition, by comparing the different photovoltaic (PV) subsidy policies in 2013 and 2018, it is reasonable for China to gradually realize PV subsidy-free.","container-title":"Energy Reports","DOI":"10.1016/j.egyr.2020.09.001","ISSN":"2352-4847","journalAbbreviation":"Energy Reports","language":"en","page":"2450-2462","source":"ScienceDirect","title":"Home energy management in smart households: Optimal appliance scheduling model with photovoltaic energy storage system","title-short":"Home energy management in smart households","volume":"6","author":[{"family":"Lu","given":"Qing"},{"family":"Zhang","given":"Zhixin"},{"family":"Lü","given":"Shuaikang"}],"issued":{"date-parts":[["2020",11,1]]},"citation-key":"luHomeEnergyManagement2020"}}],"schema":"https://github.com/citation-style-language/schema/raw/master/csl-citation.json"} </w:instrText>
      </w:r>
      <w:r w:rsidRPr="00320858">
        <w:fldChar w:fldCharType="separate"/>
      </w:r>
      <w:r w:rsidR="00B10A4D" w:rsidRPr="00B10A4D">
        <w:t>[92]</w:t>
      </w:r>
      <w:r w:rsidRPr="00320858">
        <w:fldChar w:fldCharType="end"/>
      </w:r>
      <w:r w:rsidRPr="00320858">
        <w:t xml:space="preserve">, the optimization problem has two objectives: minimize the peak load, and minimize the utility bill, the problem was solved as MIP by using YALMIP. In </w:t>
      </w:r>
      <w:r w:rsidRPr="00320858">
        <w:fldChar w:fldCharType="begin"/>
      </w:r>
      <w:r w:rsidR="005D48B2">
        <w:instrText xml:space="preserve"> ADDIN ZOTERO_ITEM CSL_CITATION {"citationID":"b7M9g5fi","properties":{"formattedCitation":"[93]","plainCitation":"[93]","noteIndex":0},"citationItems":[{"id":801,"uris":["http://zotero.org/users/5659608/items/5ADA2YXH"],"itemData":{"id":801,"type":"article-journal","abstract":"A new methodology, that combine three different Artificial Intelligence techniques, is proposed in this paper to solve the energy demand planning in Smart Homes. Conceived as a multi-objective scheduling problem, the new method is developed to reach the compromise between energy cost and the user comfort. Using an Elitist Non-dominated Sorting Genetic Algorithm II, the concept of demand-side management is applied taking into account electricity price fluctuations over time, priority in the use of equipment, operating cycles and a battery bank. The demand-side management also considers a forecast of a distributed generation for a day ahead, employing the Support Vector Regression technique. Validated by numerical simulations with real data obtained from a smart home, the user comfort levels were determined by the K-means clustering technique. The efficiency of the proposed Artificial Intelligence combination was proved according to a 51.4% cost reduction, when Smart Homes with and without distributed generation and battery bank are compared.","container-title":"Applied Energy","DOI":"10.1016/j.apenergy.2020.116145","ISSN":"03062619","journalAbbreviation":"Applied Energy","language":"en","page":"116145","source":"DOI.org (Crossref)","title":"An Artificial Intelligence based scheduling algorithm for demand-side energy management in Smart Homes","volume":"282","author":[{"family":"Rocha","given":"Helder R.O."},{"family":"Honorato","given":"Icaro H."},{"family":"Fiorotti","given":"Rodrigo"},{"family":"Celeste","given":"Wanderley C."},{"family":"Silvestre","given":"Leonardo J."},{"family":"Silva","given":"Jair A.L."}],"issued":{"date-parts":[["2021",1]]},"citation-key":"rochaArtificialIntelligenceBased2021"}}],"schema":"https://github.com/citation-style-language/schema/raw/master/csl-citation.json"} </w:instrText>
      </w:r>
      <w:r w:rsidRPr="00320858">
        <w:fldChar w:fldCharType="separate"/>
      </w:r>
      <w:r w:rsidR="00B10A4D" w:rsidRPr="00B10A4D">
        <w:t>[93]</w:t>
      </w:r>
      <w:r w:rsidRPr="00320858">
        <w:fldChar w:fldCharType="end"/>
      </w:r>
      <w:r w:rsidRPr="00320858">
        <w:t xml:space="preserve">, the researchers considered a home energy generation including a solar panel, a wind turbine, and a battery system. The smart home scheduling problem are solved by modified NSGA II in this study. The researchers in </w:t>
      </w:r>
      <w:r w:rsidRPr="00320858">
        <w:fldChar w:fldCharType="begin"/>
      </w:r>
      <w:r w:rsidR="00BE1E4D">
        <w:instrText xml:space="preserve"> ADDIN ZOTERO_ITEM CSL_CITATION {"citationID":"a1oujhh743a","properties":{"formattedCitation":"[95]","plainCitation":"[95]","noteIndex":0},"citationItems":[{"id":1991,"uris":["http://zotero.org/users/5659608/items/C55PGQBV"],"itemData":{"id":1991,"type":"article-journal","abstract":"Smart home energy management (SHEM) with residential photovoltaic (PV)-battery systems is a complicated issue with different facets. An integrated SHEM model covering the essential functions is missing. Meanwhile, residential PV-battery systems' optimal operations with renewable energy exchanges and imperfect forecasts are still open challenges. In this study, the research activities in SHEM are firstly organized by a pyramid with four functional layers: (i) Monitoring; (ii) Analyzing and forecasting; (iii) Scheduling; and (iv) Coordinating, which can serve as a standard pathway for developing SHEM. Second, guided by the pyramid taxonomy, an integrated SHEM model is developed for residential houses with PV-battery systems. Assuming a perfect Monitoring layer, we obtain the probabilistic load/PV forecasts and user preference vectors of shiftable appliances based on historical data. Then, we develop a two-stage stochastic programming model for optimal scheduling of single houses with a grid-connected PV-battery system, incorporating the probabilistic forecasts and user preference vectors. A retail electricity market with day-ahead (DA) and real-time (RT) markets is employed for leveraging imperfect forecasts. Finally, we design a distributed coordinating algorithm - Asynchronous Scheduling and Iterative Pricing for PV power-sharing among multiple prosumers based on the single-house scheduling model. Numerical simulations based on realistic loads and PV generation data validated the two-stage stochastic programming model's economic superiority and the distributed PV power-sharing approach compared with the rule-based dispatching and selfish scheduling strategies. We concluded that 1) the modeling of load/PV forecast uncertainties is valuable than averaging or ignoring them, 2) the two-stage stochastic programming model and the DA-RT retail electricity market are beneficial for utilizing imperfect forecasts, and 3) coordinating multiple prosumers could benefit each household by sharing PV and battery investments for revenue or trading with local small prosumers for cost reductions.","container-title":"Applied Energy","DOI":"10.1016/j.apenergy.2021.117159","ISSN":"0306-2619","journalAbbreviation":"Applied Energy","language":"en","page":"117159","source":"ScienceDirect","title":"An integrated smart home energy management model based on a pyramid taxonomy for residential houses with photovoltaic-battery systems","volume":"298","author":[{"family":"Zheng","given":"Zhuang"},{"family":"Sun","given":"Zhankun"},{"family":"Pan","given":"Jia"},{"family":"Luo","given":"Xiaowei"}],"issued":{"date-parts":[["2021",9,15]]},"citation-key":"zhengIntegratedSmartHome2021"}}],"schema":"https://github.com/citation-style-language/schema/raw/master/csl-citation.json"} </w:instrText>
      </w:r>
      <w:r w:rsidRPr="00320858">
        <w:fldChar w:fldCharType="separate"/>
      </w:r>
      <w:r w:rsidR="00BE1E4D" w:rsidRPr="00BE1E4D">
        <w:rPr>
          <w:kern w:val="0"/>
          <w:szCs w:val="24"/>
        </w:rPr>
        <w:t>[95]</w:t>
      </w:r>
      <w:r w:rsidRPr="00320858">
        <w:fldChar w:fldCharType="end"/>
      </w:r>
      <w:r w:rsidRPr="00320858">
        <w:t xml:space="preserve"> pointed out that the study in </w:t>
      </w:r>
      <w:r w:rsidRPr="00320858">
        <w:fldChar w:fldCharType="begin"/>
      </w:r>
      <w:r w:rsidR="005D48B2">
        <w:instrText xml:space="preserve"> ADDIN ZOTERO_ITEM CSL_CITATION {"citationID":"gf4LolSP","properties":{"formattedCitation":"[93]","plainCitation":"[93]","noteIndex":0},"citationItems":[{"id":801,"uris":["http://zotero.org/users/5659608/items/5ADA2YXH"],"itemData":{"id":801,"type":"article-journal","abstract":"A new methodology, that combine three different Artificial Intelligence techniques, is proposed in this paper to solve the energy demand planning in Smart Homes. Conceived as a multi-objective scheduling problem, the new method is developed to reach the compromise between energy cost and the user comfort. Using an Elitist Non-dominated Sorting Genetic Algorithm II, the concept of demand-side management is applied taking into account electricity price fluctuations over time, priority in the use of equipment, operating cycles and a battery bank. The demand-side management also considers a forecast of a distributed generation for a day ahead, employing the Support Vector Regression technique. Validated by numerical simulations with real data obtained from a smart home, the user comfort levels were determined by the K-means clustering technique. The efficiency of the proposed Artificial Intelligence combination was proved according to a 51.4% cost reduction, when Smart Homes with and without distributed generation and battery bank are compared.","container-title":"Applied Energy","DOI":"10.1016/j.apenergy.2020.116145","ISSN":"03062619","journalAbbreviation":"Applied Energy","language":"en","page":"116145","source":"DOI.org (Crossref)","title":"An Artificial Intelligence based scheduling algorithm for demand-side energy management in Smart Homes","volume":"282","author":[{"family":"Rocha","given":"Helder R.O."},{"family":"Honorato","given":"Icaro H."},{"family":"Fiorotti","given":"Rodrigo"},{"family":"Celeste","given":"Wanderley C."},{"family":"Silvestre","given":"Leonardo J."},{"family":"Silva","given":"Jair A.L."}],"issued":{"date-parts":[["2021",1]]},"citation-key":"rochaArtificialIntelligenceBased2021"}}],"schema":"https://github.com/citation-style-language/schema/raw/master/csl-citation.json"} </w:instrText>
      </w:r>
      <w:r w:rsidRPr="00320858">
        <w:fldChar w:fldCharType="separate"/>
      </w:r>
      <w:r w:rsidR="00B10A4D" w:rsidRPr="00B10A4D">
        <w:t>[93]</w:t>
      </w:r>
      <w:r w:rsidRPr="00320858">
        <w:fldChar w:fldCharType="end"/>
      </w:r>
      <w:r w:rsidRPr="00320858">
        <w:t xml:space="preserve"> did not take into account the uncertainty associated with the load and the coordination of numerous residences. The study considered the multiple houses that share the PV generation. While </w:t>
      </w:r>
      <w:r w:rsidRPr="00320858">
        <w:fldChar w:fldCharType="begin"/>
      </w:r>
      <w:r w:rsidR="003A084E">
        <w:instrText xml:space="preserve"> ADDIN ZOTERO_ITEM CSL_CITATION {"citationID":"TRDdYeUH","properties":{"formattedCitation":"[11]\\uc0\\u8211{}[15]","plainCitation":"[11]–[15]","dontUpdate":true,"noteIndex":0},"citationItems":[{"id":1019,"uris":["http://zotero.org/users/5659608/items/9ZH59P7Z"],"itemData":{"id":1019,"type":"paper-conference","abstract":"The objective of this study is to optimal scheduling of resources and loads in a smart home (SH) including photovoltaic (PV) panel, battery, plug-in electric vehicle (PEV) and electric heater (EH) along with electrical and thermal loads. Advantages of SH with the proposed structure is that all electrical and thermal loads can be met by electric energy and as a result, it decreases additional investment in natural gas infrastructure, balances electricity and natural gas consumption during seasons, reduces air pollution in home environment, and diminishes SH bills. To this end, an energy management system (EMS) is designed using shuffled frog leaping (SFLA) algorithm for load and resource scheduling such that SH daily energy consumption cost is minimum. Performance of the SH in different scenarios are studied, a feasibility study for the SH is conducted and the results are discussed. Simulation results show that SFLA algorithm has higher capability compared to other algorithms in solving optimal energy management problem in the SH, and it has been shown that PEV which will penetrate significantly in future, has a considerable effect on SH costs and should be considered in residential planning studies.","container-title":"2017 Smart Grid Conference (SGC)","DOI":"10.1109/SGC.2017.8308855","event-title":"2017 Smart Grid Conference (SGC)","note":"ISSN: 2572-6927","page":"1-7","source":"IEEE Xplore","title":"Energy management in smart home including PV panel, battery, electric heater with integration of plug-in electric vehicle","author":[{"family":"Lorestani","given":"Alireza"},{"family":"Aghaee","given":"Seyed Saeed"},{"family":"Gharehpetian","given":"Gevork B."},{"family":"Ardehali","given":"Morteza Mohammadi"}],"issued":{"date-parts":[["2017"]]},"citation-key":"lorestaniEnergyManagementSmart2017"}},{"id":1041,"uris":["http://zotero.org/users/5659608/items/MMD69PLZ"],"itemData":{"id":1041,"type":"paper-conference","abstract":"Developing countries like Pakistan are facing a serious shortage of electrical energy due to massive urbanization. Renewable energy resources (RER's) and energy storage system (ESS) can play significant role in solving this problem. In this paper, we have studied the impact of rooftop photovoltaic (PV) and ESS installation on the operational cost of electrical energy usage in smart residential homes. Additionally, concept of home to grid energy exchange (H2G) is also incorporated to study its benefits on energy management. Home Energy management (HEM) problem is modeled with the integration of PV and ESS by considering user preferences and other system constraints. Genetic algorithm (GA) is applied to find out optimal scheduling of appliances. Simulation results show that the proposed method can enhance the performance of the home electricity scheduling, decrease the effect of uncertainty on system and reduce the overall energy cost.","container-title":"2019 International Conference on Electrical, Communication, and Computer Engineering (ICECCE)","DOI":"10.1109/ICECCE47252.2019.8940684","event-title":"2019 International Conference on Electrical, Communication, and Computer Engineering (ICECCE)","page":"1-7","source":"IEEE Xplore","title":"Energy Management in Smart Homes with PV Generation, Energy Storage and Home to Grid Energy Exchange","author":[{"family":"Iqbal","given":"Muhammad Muzaffar"},{"family":"Sajjad","given":"Intisar Ali"},{"family":"Nadeem Khan","given":"Muhammad Faisal"},{"family":"Liaqat","given":"Rehan"},{"family":"Shah","given":"Muhammad Athar"},{"family":"Muqeet","given":"Hafiz Abdul"}],"issued":{"date-parts":[["2019",7]]},"citation-key":"iqbalEnergyManagementSmart2019"}},{"id":1048,"uris":["http://zotero.org/users/5659608/items/RUNYCKG6"],"itemData":{"id":1048,"type":"article-journal","abstract":"At present, with the applying of distributed energy resource (DER) in the demand side, the difficulty of demand-side management (DSM) is increasing. Improving the consumption rate of DER is currently one of the important research contents of the home energy management system (HEMS). How to better coordinate household appliances to participate in the HEMS, so as to improve the situation is the focus of this paper. Due to the development of artificial intelligence and communication technology, we establish a household appliance optimization scheduling system. According to the household electricity-using habits, most household appliances are divided into three categories. Based on this, we propose a HEMS model, which aims to minimize the peak load and electricity cost of a smart home, and achieve single-objective and multi-objective optimization. In order to better implement the research of DER, the solar radiation data of one day in summer in Shanghai is used to compare with different capacities of photovoltaic energy storage system (PESS). Because the variables in the model are mostly binary or decimal integers, it is essentially a mixed integer programming (MIP). Therefore, a simulator has been implemented in the MATLAB software environment to facilitate the solution of proposed HEMS. The results show that the configuration of PESS is beneficial to the optimal scheduling of household appliances. In the single objective optimization, the peak load and electricity cost of scheme 4 is decreased by 61.51% and 71.39% compared with scheme 1, respectively. Besides, Pareto front is the most ideal in multi-objective optimization under scheme 4, and Pareto solutions distribution are more uniform, which can provide more scheduling choices for residential users. In addition, by comparing the different photovoltaic (PV) subsidy policies in 2013 and 2018, it is reasonable for China to gradually realize PV subsidy-free.","container-title":"Energy Reports","DOI":"10.1016/j.egyr.2020.09.001","ISSN":"2352-4847","journalAbbreviation":"Energy Reports","language":"en","page":"2450-2462","source":"ScienceDirect","title":"Home energy management in smart households: Optimal appliance scheduling model with photovoltaic energy storage system","title-short":"Home energy management in smart households","volume":"6","author":[{"family":"Lu","given":"Qing"},{"family":"Zhang","given":"Zhixin"},{"family":"Lü","given":"Shuaikang"}],"issued":{"date-parts":[["2020",11,1]]},"citation-key":"luHomeEnergyManagement2020"}},{"id":801,"uris":["http://zotero.org/users/5659608/items/5ADA2YXH"],"itemData":{"id":801,"type":"article-journal","abstract":"A new methodology, that combine three different Artificial Intelligence techniques, is proposed in this paper to solve the energy demand planning in Smart Homes. Conceived as a multi-objective scheduling problem, the new method is developed to reach the compromise between energy cost and the user comfort. Using an Elitist Non-dominated Sorting Genetic Algorithm II, the concept of demand-side management is applied taking into account electricity price fluctuations over time, priority in the use of equipment, operating cycles and a battery bank. The demand-side management also considers a forecast of a distributed generation for a day ahead, employing the Support Vector Regression technique. Validated by numerical simulations with real data obtained from a smart home, the user comfort levels were determined by the K-means clustering technique. The efficiency of the proposed Artificial Intelligence combination was proved according to a 51.4% cost reduction, when Smart Homes with and without distributed generation and battery bank are compared.","container-title":"Applied Energy","DOI":"10.1016/j.apenergy.2020.116145","ISSN":"03062619","journalAbbreviation":"Applied Energy","language":"en","page":"116145","source":"DOI.org (Crossref)","title":"An Artificial Intelligence based scheduling algorithm for demand-side energy management in Smart Homes","volume":"282","author":[{"family":"Rocha","given":"Helder R.O."},{"family":"Honorato","given":"Icaro H."},{"family":"Fiorotti","given":"Rodrigo"},{"family":"Celeste","given":"Wanderley C."},{"family":"Silvestre","given":"Leonardo J."},{"family":"Silva","given":"Jair A.L."}],"issued":{"date-parts":[["2021",1]]},"citation-key":"rochaArtificialIntelligenceBased2021"}},{"id":"qZuNWCV4/ae8y7GFN","uris":["http://zotero.org/users/5659608/items/3W7AFKQH"],"itemData":{"id":1024,"type":"webpage","language":"en","note":"DOI: 10.1016/j.apenergy.2021.117159","title":"An integrated smart home energy management model based on a pyramid taxonomy for residential houses with photovoltaic-battery systems | Elsevier Enhanced Reader","URL":"https://reader.elsevier.com/reader/sd/pii/S0306261921005936?token=EAA5655C08C11384A0F10759BEDE85DEDA31A651FD1EF99BED411D29A0EAE53929AB18BFD4EC010C2FC1CD267149356E&amp;originRegion=us-east-1&amp;originCreation=20220403023848","author":[{"family":"zheng","given":""}],"accessed":{"date-parts":[["2022",4,2]]},"citation-key":"zhengIntegratedSmartHome"}}],"schema":"https://github.com/citation-style-language/schema/raw/master/csl-citation.json"} </w:instrText>
      </w:r>
      <w:r w:rsidRPr="00320858">
        <w:fldChar w:fldCharType="separate"/>
      </w:r>
      <w:r w:rsidRPr="00320858">
        <w:t>[11]–[15]</w:t>
      </w:r>
      <w:r w:rsidRPr="00320858">
        <w:fldChar w:fldCharType="end"/>
      </w:r>
      <w:r w:rsidRPr="00320858">
        <w:t xml:space="preserve"> could be practical to the SHEM but none of them considered the dynamic of the HVAC system. </w:t>
      </w:r>
      <w:r w:rsidRPr="00320858">
        <w:fldChar w:fldCharType="begin"/>
      </w:r>
      <w:r w:rsidRPr="00320858">
        <w:instrText xml:space="preserve"> REF _Ref101138211 \h  \* MERGEFORMAT </w:instrText>
      </w:r>
      <w:r w:rsidRPr="00320858">
        <w:fldChar w:fldCharType="separate"/>
      </w:r>
      <w:r w:rsidR="000E1725" w:rsidRPr="00320858">
        <w:t xml:space="preserve">Table </w:t>
      </w:r>
      <w:r w:rsidR="000E1725">
        <w:t>2.2</w:t>
      </w:r>
      <w:r w:rsidRPr="00320858">
        <w:fldChar w:fldCharType="end"/>
      </w:r>
      <w:r w:rsidRPr="00320858">
        <w:t xml:space="preserve"> is the summary of the features of the scheduling models for aforementioned studies. The notation "X" indicates that the researcher considered correspondence appliances when conducting their study. We observed from the "Method" columns that, although there is debate about the efficiency of GA in solving these types of optimization problems, some genetic algorithms are still popular, particularly for the GA that involving multiple objectives. Multiple words with different arrows in the "Objective" column indicate that their model incorporates a multi-objective framework. Although the author considered both homeowner’s thermal comfort and the utility bill, in </w:t>
      </w:r>
      <w:r w:rsidRPr="00320858">
        <w:fldChar w:fldCharType="begin"/>
      </w:r>
      <w:r w:rsidR="005D48B2">
        <w:instrText xml:space="preserve"> ADDIN ZOTERO_ITEM CSL_CITATION {"citationID":"N4y7Omh3","properties":{"formattedCitation":"[86]","plainCitation":"[86]","noteIndex":0},"citationItems":[{"id":779,"uris":["http://zotero.org/users/5659608/items/8HCCPTNS"],"itemData":{"id":779,"type":"article-journal","abstract":"Demand response oﬀers the possibility of altering the proﬁle of power consumption of individual buildings or building districts, i.e., microgrids, for economic return. There is signiﬁcant potential of demand response in enabling ﬂexibility via advanced grid management options, allowing higher renewable energy penetration and eﬃcient exploitation of resources. Demand response and distributed energy resource dynamic management are gradually gaining importance as valuable assets for managing peak loads, grid balance, renewable energy source intermittency, and energy losses. In this paper, the potential for operational optimization of a heating, ventilation, and air conditioning (HVAC) system in a smart near-zero-energy industrial building is investigated with the aid of a genetic algorithm. The analysis involves a validated building energy model, a model of energy cost, and an optimization model for establishing HVAC optimum temperature set points. Optimization aims at establishing the trade-oﬀ between the minimum daily cost of energy and thermal comfort. Predicted mean vote is integrated in the objective function to ensure thermal comfort requirements are met.","container-title":"Energies","DOI":"10.3390/en12112177","ISSN":"1996-1073","issue":"11","journalAbbreviation":"Energies","language":"en","page":"2177","source":"DOI.org (Crossref)","title":"HVAC Optimization Genetic Algorithm for Industrial Near-Zero-Energy Building Demand Response","volume":"12","author":[{"family":"Kampelis","given":"Nikolaos"},{"family":"Sifakis","given":"Nikolaos"},{"family":"Kolokotsa","given":"Dionysia"},{"family":"Gobakis","given":"Konstantinos"},{"family":"Kalaitzakis","given":"Konstantinos"},{"family":"Isidori","given":"Daniela"},{"family":"Cristalli","given":"Cristina"}],"issued":{"date-parts":[["2019",6,7]]},"citation-key":"kampelisHVACOptimizationGenetic2019"}}],"schema":"https://github.com/citation-style-language/schema/raw/master/csl-citation.json"} </w:instrText>
      </w:r>
      <w:r w:rsidRPr="00320858">
        <w:fldChar w:fldCharType="separate"/>
      </w:r>
      <w:r w:rsidR="00B10A4D" w:rsidRPr="00B10A4D">
        <w:t>[86]</w:t>
      </w:r>
      <w:r w:rsidRPr="00320858">
        <w:fldChar w:fldCharType="end"/>
      </w:r>
      <w:r w:rsidRPr="00320858">
        <w:t xml:space="preserve">, the author was simply combining two objectives together and thus treating it as a single objective problem. </w:t>
      </w:r>
    </w:p>
    <w:p w14:paraId="385C9DB4" w14:textId="659815CB" w:rsidR="00030B76" w:rsidRPr="00320858" w:rsidRDefault="00030B76" w:rsidP="0069024E">
      <w:pPr>
        <w:pStyle w:val="15TableTitle"/>
      </w:pPr>
      <w:bookmarkStart w:id="104" w:name="_Ref101138211"/>
      <w:bookmarkStart w:id="105" w:name="_Toc141343895"/>
      <w:r w:rsidRPr="00320858">
        <w:t xml:space="preserve">Table </w:t>
      </w:r>
      <w:fldSimple w:instr=" STYLEREF 1 \s ">
        <w:r w:rsidR="000E1725">
          <w:rPr>
            <w:noProof/>
          </w:rPr>
          <w:t>2</w:t>
        </w:r>
      </w:fldSimple>
      <w:r w:rsidR="00146A55">
        <w:t>.</w:t>
      </w:r>
      <w:fldSimple w:instr=" SEQ Table \* ARABIC \s 1 ">
        <w:r w:rsidR="000E1725">
          <w:rPr>
            <w:noProof/>
          </w:rPr>
          <w:t>2</w:t>
        </w:r>
      </w:fldSimple>
      <w:bookmarkEnd w:id="104"/>
      <w:r w:rsidRPr="00320858">
        <w:t xml:space="preserve"> Summary of SHEM Scheduling Models</w:t>
      </w:r>
      <w:bookmarkEnd w:id="105"/>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857"/>
        <w:gridCol w:w="361"/>
        <w:gridCol w:w="621"/>
        <w:gridCol w:w="605"/>
        <w:gridCol w:w="928"/>
        <w:gridCol w:w="1215"/>
        <w:gridCol w:w="1085"/>
        <w:gridCol w:w="1588"/>
        <w:gridCol w:w="1756"/>
      </w:tblGrid>
      <w:tr w:rsidR="007B3C8F" w:rsidRPr="00320858" w14:paraId="5CF004D8" w14:textId="77777777" w:rsidTr="007B3C8F">
        <w:tc>
          <w:tcPr>
            <w:tcW w:w="975" w:type="dxa"/>
            <w:tcBorders>
              <w:top w:val="single" w:sz="4" w:space="0" w:color="auto"/>
              <w:left w:val="single" w:sz="4" w:space="0" w:color="auto"/>
              <w:bottom w:val="double" w:sz="4" w:space="0" w:color="auto"/>
              <w:right w:val="single" w:sz="8" w:space="0" w:color="A3A3A3"/>
            </w:tcBorders>
            <w:tcMar>
              <w:top w:w="80" w:type="dxa"/>
              <w:left w:w="80" w:type="dxa"/>
              <w:bottom w:w="80" w:type="dxa"/>
              <w:right w:w="80" w:type="dxa"/>
            </w:tcMar>
            <w:hideMark/>
          </w:tcPr>
          <w:p w14:paraId="541ACE5E" w14:textId="77777777" w:rsidR="00030B76" w:rsidRPr="007B3C8F" w:rsidRDefault="00030B76" w:rsidP="00E63B9D">
            <w:pPr>
              <w:pStyle w:val="16TableText"/>
              <w:rPr>
                <w:sz w:val="16"/>
                <w:szCs w:val="16"/>
              </w:rPr>
            </w:pPr>
            <w:r w:rsidRPr="007B3C8F">
              <w:rPr>
                <w:sz w:val="16"/>
                <w:szCs w:val="16"/>
              </w:rPr>
              <w:lastRenderedPageBreak/>
              <w:t>References</w:t>
            </w:r>
          </w:p>
        </w:tc>
        <w:tc>
          <w:tcPr>
            <w:tcW w:w="395" w:type="dxa"/>
            <w:tcBorders>
              <w:top w:val="single" w:sz="4" w:space="0" w:color="auto"/>
              <w:left w:val="single" w:sz="8" w:space="0" w:color="A3A3A3"/>
              <w:bottom w:val="double" w:sz="4" w:space="0" w:color="auto"/>
              <w:right w:val="single" w:sz="8" w:space="0" w:color="A3A3A3"/>
            </w:tcBorders>
            <w:tcMar>
              <w:top w:w="80" w:type="dxa"/>
              <w:left w:w="80" w:type="dxa"/>
              <w:bottom w:w="80" w:type="dxa"/>
              <w:right w:w="80" w:type="dxa"/>
            </w:tcMar>
            <w:hideMark/>
          </w:tcPr>
          <w:p w14:paraId="236BCD08" w14:textId="456B0343" w:rsidR="00030B76" w:rsidRPr="007B3C8F" w:rsidRDefault="00030B76" w:rsidP="00E63B9D">
            <w:pPr>
              <w:pStyle w:val="16TableText"/>
              <w:rPr>
                <w:sz w:val="16"/>
                <w:szCs w:val="16"/>
              </w:rPr>
            </w:pPr>
            <w:r w:rsidRPr="007B3C8F">
              <w:rPr>
                <w:sz w:val="16"/>
                <w:szCs w:val="16"/>
              </w:rPr>
              <w:t>P</w:t>
            </w:r>
            <w:r w:rsidR="007B3C8F" w:rsidRPr="007B3C8F">
              <w:rPr>
                <w:sz w:val="16"/>
                <w:szCs w:val="16"/>
              </w:rPr>
              <w:t>V</w:t>
            </w:r>
          </w:p>
        </w:tc>
        <w:tc>
          <w:tcPr>
            <w:tcW w:w="1055" w:type="dxa"/>
            <w:tcBorders>
              <w:top w:val="single" w:sz="4" w:space="0" w:color="auto"/>
              <w:left w:val="single" w:sz="8" w:space="0" w:color="A3A3A3"/>
              <w:bottom w:val="double" w:sz="4" w:space="0" w:color="auto"/>
              <w:right w:val="single" w:sz="8" w:space="0" w:color="A3A3A3"/>
            </w:tcBorders>
            <w:tcMar>
              <w:top w:w="80" w:type="dxa"/>
              <w:left w:w="80" w:type="dxa"/>
              <w:bottom w:w="80" w:type="dxa"/>
              <w:right w:w="80" w:type="dxa"/>
            </w:tcMar>
            <w:hideMark/>
          </w:tcPr>
          <w:p w14:paraId="79A5806C" w14:textId="77777777" w:rsidR="00030B76" w:rsidRPr="007B3C8F" w:rsidRDefault="00030B76" w:rsidP="00E63B9D">
            <w:pPr>
              <w:pStyle w:val="16TableText"/>
              <w:rPr>
                <w:sz w:val="16"/>
                <w:szCs w:val="16"/>
              </w:rPr>
            </w:pPr>
            <w:r w:rsidRPr="007B3C8F">
              <w:rPr>
                <w:sz w:val="16"/>
                <w:szCs w:val="16"/>
              </w:rPr>
              <w:t>Battery</w:t>
            </w:r>
          </w:p>
        </w:tc>
        <w:tc>
          <w:tcPr>
            <w:tcW w:w="325" w:type="dxa"/>
            <w:tcBorders>
              <w:top w:val="single" w:sz="4" w:space="0" w:color="auto"/>
              <w:left w:val="single" w:sz="8" w:space="0" w:color="A3A3A3"/>
              <w:bottom w:val="double" w:sz="4" w:space="0" w:color="auto"/>
              <w:right w:val="single" w:sz="8" w:space="0" w:color="A3A3A3"/>
            </w:tcBorders>
            <w:tcMar>
              <w:top w:w="80" w:type="dxa"/>
              <w:left w:w="80" w:type="dxa"/>
              <w:bottom w:w="80" w:type="dxa"/>
              <w:right w:w="80" w:type="dxa"/>
            </w:tcMar>
            <w:hideMark/>
          </w:tcPr>
          <w:p w14:paraId="5D3CAB3D" w14:textId="77777777" w:rsidR="00030B76" w:rsidRPr="007B3C8F" w:rsidRDefault="00030B76" w:rsidP="00E63B9D">
            <w:pPr>
              <w:pStyle w:val="16TableText"/>
              <w:rPr>
                <w:sz w:val="16"/>
                <w:szCs w:val="16"/>
              </w:rPr>
            </w:pPr>
            <w:r w:rsidRPr="007B3C8F">
              <w:rPr>
                <w:sz w:val="16"/>
                <w:szCs w:val="16"/>
              </w:rPr>
              <w:t>HVAC</w:t>
            </w:r>
          </w:p>
        </w:tc>
        <w:tc>
          <w:tcPr>
            <w:tcW w:w="976" w:type="dxa"/>
            <w:tcBorders>
              <w:top w:val="single" w:sz="4" w:space="0" w:color="auto"/>
              <w:left w:val="single" w:sz="8" w:space="0" w:color="A3A3A3"/>
              <w:bottom w:val="double" w:sz="4" w:space="0" w:color="auto"/>
              <w:right w:val="single" w:sz="8" w:space="0" w:color="A3A3A3"/>
            </w:tcBorders>
            <w:tcMar>
              <w:top w:w="80" w:type="dxa"/>
              <w:left w:w="80" w:type="dxa"/>
              <w:bottom w:w="80" w:type="dxa"/>
              <w:right w:w="80" w:type="dxa"/>
            </w:tcMar>
            <w:hideMark/>
          </w:tcPr>
          <w:p w14:paraId="7B8234AC" w14:textId="77777777" w:rsidR="00030B76" w:rsidRPr="007B3C8F" w:rsidRDefault="00030B76" w:rsidP="00E63B9D">
            <w:pPr>
              <w:pStyle w:val="16TableText"/>
              <w:rPr>
                <w:sz w:val="16"/>
                <w:szCs w:val="16"/>
              </w:rPr>
            </w:pPr>
            <w:r w:rsidRPr="007B3C8F">
              <w:rPr>
                <w:sz w:val="16"/>
                <w:szCs w:val="16"/>
              </w:rPr>
              <w:t>Water Heater</w:t>
            </w:r>
          </w:p>
        </w:tc>
        <w:tc>
          <w:tcPr>
            <w:tcW w:w="1313" w:type="dxa"/>
            <w:tcBorders>
              <w:top w:val="single" w:sz="4" w:space="0" w:color="auto"/>
              <w:left w:val="single" w:sz="8" w:space="0" w:color="A3A3A3"/>
              <w:bottom w:val="double" w:sz="4" w:space="0" w:color="auto"/>
              <w:right w:val="single" w:sz="8" w:space="0" w:color="A3A3A3"/>
            </w:tcBorders>
            <w:tcMar>
              <w:top w:w="80" w:type="dxa"/>
              <w:left w:w="80" w:type="dxa"/>
              <w:bottom w:w="80" w:type="dxa"/>
              <w:right w:w="80" w:type="dxa"/>
            </w:tcMar>
            <w:hideMark/>
          </w:tcPr>
          <w:p w14:paraId="4D2BB1CE" w14:textId="77777777" w:rsidR="00030B76" w:rsidRPr="007B3C8F" w:rsidRDefault="00030B76" w:rsidP="00E63B9D">
            <w:pPr>
              <w:pStyle w:val="16TableText"/>
              <w:rPr>
                <w:sz w:val="16"/>
                <w:szCs w:val="16"/>
              </w:rPr>
            </w:pPr>
            <w:r w:rsidRPr="007B3C8F">
              <w:rPr>
                <w:sz w:val="16"/>
                <w:szCs w:val="16"/>
              </w:rPr>
              <w:t>Non-thermal Appliances</w:t>
            </w:r>
          </w:p>
        </w:tc>
        <w:tc>
          <w:tcPr>
            <w:tcW w:w="1161" w:type="dxa"/>
            <w:tcBorders>
              <w:top w:val="single" w:sz="4" w:space="0" w:color="auto"/>
              <w:left w:val="single" w:sz="8" w:space="0" w:color="A3A3A3"/>
              <w:bottom w:val="double" w:sz="4" w:space="0" w:color="auto"/>
              <w:right w:val="single" w:sz="8" w:space="0" w:color="A3A3A3"/>
            </w:tcBorders>
            <w:tcMar>
              <w:top w:w="80" w:type="dxa"/>
              <w:left w:w="80" w:type="dxa"/>
              <w:bottom w:w="80" w:type="dxa"/>
              <w:right w:w="80" w:type="dxa"/>
            </w:tcMar>
            <w:hideMark/>
          </w:tcPr>
          <w:p w14:paraId="2051077A" w14:textId="77777777" w:rsidR="00030B76" w:rsidRPr="007B3C8F" w:rsidRDefault="00030B76" w:rsidP="00E63B9D">
            <w:pPr>
              <w:pStyle w:val="16TableText"/>
              <w:rPr>
                <w:sz w:val="16"/>
                <w:szCs w:val="16"/>
              </w:rPr>
            </w:pPr>
            <w:r w:rsidRPr="007B3C8F">
              <w:rPr>
                <w:sz w:val="16"/>
                <w:szCs w:val="16"/>
              </w:rPr>
              <w:t>HVAC Dynamic</w:t>
            </w:r>
          </w:p>
        </w:tc>
        <w:tc>
          <w:tcPr>
            <w:tcW w:w="1496" w:type="dxa"/>
            <w:tcBorders>
              <w:top w:val="single" w:sz="4" w:space="0" w:color="auto"/>
              <w:left w:val="single" w:sz="8" w:space="0" w:color="A3A3A3"/>
              <w:bottom w:val="double" w:sz="4" w:space="0" w:color="auto"/>
              <w:right w:val="single" w:sz="8" w:space="0" w:color="A3A3A3"/>
            </w:tcBorders>
            <w:tcMar>
              <w:top w:w="80" w:type="dxa"/>
              <w:left w:w="80" w:type="dxa"/>
              <w:bottom w:w="80" w:type="dxa"/>
              <w:right w:w="80" w:type="dxa"/>
            </w:tcMar>
            <w:hideMark/>
          </w:tcPr>
          <w:p w14:paraId="5F988C6A" w14:textId="77777777" w:rsidR="00030B76" w:rsidRPr="007B3C8F" w:rsidRDefault="00030B76" w:rsidP="00E63B9D">
            <w:pPr>
              <w:pStyle w:val="16TableText"/>
              <w:rPr>
                <w:sz w:val="16"/>
                <w:szCs w:val="16"/>
              </w:rPr>
            </w:pPr>
            <w:r w:rsidRPr="007B3C8F">
              <w:rPr>
                <w:sz w:val="16"/>
                <w:szCs w:val="16"/>
              </w:rPr>
              <w:t>Method</w:t>
            </w:r>
          </w:p>
        </w:tc>
        <w:tc>
          <w:tcPr>
            <w:tcW w:w="1654" w:type="dxa"/>
            <w:tcBorders>
              <w:top w:val="single" w:sz="4" w:space="0" w:color="auto"/>
              <w:left w:val="single" w:sz="8" w:space="0" w:color="A3A3A3"/>
              <w:bottom w:val="double" w:sz="4" w:space="0" w:color="auto"/>
              <w:right w:val="single" w:sz="4" w:space="0" w:color="auto"/>
            </w:tcBorders>
            <w:tcMar>
              <w:top w:w="80" w:type="dxa"/>
              <w:left w:w="80" w:type="dxa"/>
              <w:bottom w:w="80" w:type="dxa"/>
              <w:right w:w="80" w:type="dxa"/>
            </w:tcMar>
            <w:hideMark/>
          </w:tcPr>
          <w:p w14:paraId="7A4FA814" w14:textId="77777777" w:rsidR="00030B76" w:rsidRPr="007B3C8F" w:rsidRDefault="00030B76" w:rsidP="00E63B9D">
            <w:pPr>
              <w:pStyle w:val="16TableText"/>
              <w:rPr>
                <w:sz w:val="16"/>
                <w:szCs w:val="16"/>
              </w:rPr>
            </w:pPr>
            <w:r w:rsidRPr="007B3C8F">
              <w:rPr>
                <w:sz w:val="16"/>
                <w:szCs w:val="16"/>
              </w:rPr>
              <w:t>Objective</w:t>
            </w:r>
          </w:p>
        </w:tc>
      </w:tr>
      <w:tr w:rsidR="007B3C8F" w:rsidRPr="00320858" w14:paraId="626233A9" w14:textId="77777777" w:rsidTr="007B3C8F">
        <w:tc>
          <w:tcPr>
            <w:tcW w:w="975" w:type="dxa"/>
            <w:tcBorders>
              <w:top w:val="double" w:sz="4" w:space="0" w:color="auto"/>
              <w:left w:val="single" w:sz="4" w:space="0" w:color="auto"/>
              <w:bottom w:val="single" w:sz="8" w:space="0" w:color="A3A3A3"/>
              <w:right w:val="single" w:sz="8" w:space="0" w:color="A3A3A3"/>
            </w:tcBorders>
            <w:tcMar>
              <w:top w:w="80" w:type="dxa"/>
              <w:left w:w="80" w:type="dxa"/>
              <w:bottom w:w="80" w:type="dxa"/>
              <w:right w:w="80" w:type="dxa"/>
            </w:tcMar>
            <w:hideMark/>
          </w:tcPr>
          <w:p w14:paraId="7EF6BCCA" w14:textId="28AAEF60" w:rsidR="00030B76" w:rsidRPr="00320858" w:rsidRDefault="00030B76" w:rsidP="00E63B9D">
            <w:pPr>
              <w:pStyle w:val="16TableText"/>
            </w:pPr>
            <w:r w:rsidRPr="00320858">
              <w:fldChar w:fldCharType="begin"/>
            </w:r>
            <w:r w:rsidR="0082416B">
              <w:instrText xml:space="preserve"> ADDIN ZOTERO_ITEM CSL_CITATION {"citationID":"M4DvS8XC","properties":{"formattedCitation":"[96]","plainCitation":"[96]","noteIndex":0},"citationItems":[{"id":177,"uris":["http://zotero.org/users/5659608/items/MUEFA689"],"itemData":{"id":177,"type":"paper-conference","abstract":"This paper considers the minimum electricity cost scheduling problem of smart home appliances. Operation characteristics, such as expected duration and peak power consumption of the smart appliances, can be adjusted through a power proﬁle signal. The optimal power proﬁle signal minimizes cost, while satisfying technical operation constraints and consumer preferences. Constraints such as enforcing uninterruptible and sequential operations are modeled in the proposed framework using mixed integer linear programming (MILP). Several realistic scenarios based on actual spot price are considered, and the numerical results provide insight into tariff design. Computational issues and extensions of the proposed scheduling framework are also discussed.","container-title":"IEEE Conference on Decision and Control and European Control Conference","DOI":"10.1109/CDC.2011.6161081","event-place":"Orlando, FL, USA","event-title":"2011 50th IEEE Conference on Decision and Control and European Control Conference (CDC-ECC 2011)","ISBN":"978-1-61284-801-3","language":"en","page":"5144-5149","publisher":"IEEE","publisher-place":"Orlando, FL, USA","source":"DOI.org (Crossref)","title":"Scheduling smart home appliances using mixed integer linear programming","URL":"http://ieeexplore.ieee.org/document/6161081/","author":[{"family":"Sou","given":"Kin Cheong"},{"family":"Weimer","given":"James"},{"family":"Sandberg","given":"Henrik"},{"family":"Johansson","given":"Karl Henrik"}],"accessed":{"date-parts":[["2020",10,22]]},"issued":{"date-parts":[["2011",12]]},"citation-key":"souSchedulingSmartHome2011"}}],"schema":"https://github.com/citation-style-language/schema/raw/master/csl-citation.json"} </w:instrText>
            </w:r>
            <w:r w:rsidRPr="00320858">
              <w:fldChar w:fldCharType="separate"/>
            </w:r>
            <w:r w:rsidR="0082416B" w:rsidRPr="0082416B">
              <w:t>[96]</w:t>
            </w:r>
            <w:r w:rsidRPr="00320858">
              <w:fldChar w:fldCharType="end"/>
            </w:r>
          </w:p>
        </w:tc>
        <w:tc>
          <w:tcPr>
            <w:tcW w:w="395" w:type="dxa"/>
            <w:tcBorders>
              <w:top w:val="double" w:sz="4" w:space="0" w:color="auto"/>
              <w:left w:val="single" w:sz="8" w:space="0" w:color="A3A3A3"/>
              <w:bottom w:val="single" w:sz="8" w:space="0" w:color="A3A3A3"/>
              <w:right w:val="single" w:sz="8" w:space="0" w:color="A3A3A3"/>
            </w:tcBorders>
            <w:tcMar>
              <w:top w:w="80" w:type="dxa"/>
              <w:left w:w="80" w:type="dxa"/>
              <w:bottom w:w="80" w:type="dxa"/>
              <w:right w:w="80" w:type="dxa"/>
            </w:tcMar>
            <w:hideMark/>
          </w:tcPr>
          <w:p w14:paraId="5AB587EB" w14:textId="77777777" w:rsidR="00030B76" w:rsidRPr="00320858" w:rsidRDefault="00030B76" w:rsidP="00E63B9D">
            <w:pPr>
              <w:pStyle w:val="16TableText"/>
            </w:pPr>
            <w:r w:rsidRPr="00320858">
              <w:rPr>
                <w:rFonts w:hint="eastAsia"/>
              </w:rPr>
              <w:t> </w:t>
            </w:r>
          </w:p>
        </w:tc>
        <w:tc>
          <w:tcPr>
            <w:tcW w:w="1055" w:type="dxa"/>
            <w:tcBorders>
              <w:top w:val="double" w:sz="4" w:space="0" w:color="auto"/>
              <w:left w:val="single" w:sz="8" w:space="0" w:color="A3A3A3"/>
              <w:bottom w:val="single" w:sz="8" w:space="0" w:color="A3A3A3"/>
              <w:right w:val="single" w:sz="8" w:space="0" w:color="A3A3A3"/>
            </w:tcBorders>
            <w:tcMar>
              <w:top w:w="80" w:type="dxa"/>
              <w:left w:w="80" w:type="dxa"/>
              <w:bottom w:w="80" w:type="dxa"/>
              <w:right w:w="80" w:type="dxa"/>
            </w:tcMar>
            <w:hideMark/>
          </w:tcPr>
          <w:p w14:paraId="012C2A00" w14:textId="77777777" w:rsidR="00030B76" w:rsidRPr="00320858" w:rsidRDefault="00030B76" w:rsidP="00E63B9D">
            <w:pPr>
              <w:pStyle w:val="16TableText"/>
            </w:pPr>
            <w:r w:rsidRPr="00320858">
              <w:rPr>
                <w:rFonts w:hint="eastAsia"/>
              </w:rPr>
              <w:t> </w:t>
            </w:r>
          </w:p>
        </w:tc>
        <w:tc>
          <w:tcPr>
            <w:tcW w:w="325" w:type="dxa"/>
            <w:tcBorders>
              <w:top w:val="double" w:sz="4" w:space="0" w:color="auto"/>
              <w:left w:val="single" w:sz="8" w:space="0" w:color="A3A3A3"/>
              <w:bottom w:val="single" w:sz="8" w:space="0" w:color="A3A3A3"/>
              <w:right w:val="single" w:sz="8" w:space="0" w:color="A3A3A3"/>
            </w:tcBorders>
            <w:tcMar>
              <w:top w:w="80" w:type="dxa"/>
              <w:left w:w="80" w:type="dxa"/>
              <w:bottom w:w="80" w:type="dxa"/>
              <w:right w:w="80" w:type="dxa"/>
            </w:tcMar>
            <w:hideMark/>
          </w:tcPr>
          <w:p w14:paraId="1653FD7F" w14:textId="77777777" w:rsidR="00030B76" w:rsidRPr="00320858" w:rsidRDefault="00030B76" w:rsidP="00E63B9D">
            <w:pPr>
              <w:pStyle w:val="16TableText"/>
            </w:pPr>
            <w:r w:rsidRPr="00320858">
              <w:t> </w:t>
            </w:r>
          </w:p>
        </w:tc>
        <w:tc>
          <w:tcPr>
            <w:tcW w:w="976" w:type="dxa"/>
            <w:tcBorders>
              <w:top w:val="double" w:sz="4" w:space="0" w:color="auto"/>
              <w:left w:val="single" w:sz="8" w:space="0" w:color="A3A3A3"/>
              <w:bottom w:val="single" w:sz="8" w:space="0" w:color="A3A3A3"/>
              <w:right w:val="single" w:sz="8" w:space="0" w:color="A3A3A3"/>
            </w:tcBorders>
            <w:tcMar>
              <w:top w:w="80" w:type="dxa"/>
              <w:left w:w="80" w:type="dxa"/>
              <w:bottom w:w="80" w:type="dxa"/>
              <w:right w:w="80" w:type="dxa"/>
            </w:tcMar>
            <w:hideMark/>
          </w:tcPr>
          <w:p w14:paraId="2F30AD28" w14:textId="77777777" w:rsidR="00030B76" w:rsidRPr="00320858" w:rsidRDefault="00030B76" w:rsidP="00E63B9D">
            <w:pPr>
              <w:pStyle w:val="16TableText"/>
            </w:pPr>
            <w:r w:rsidRPr="00320858">
              <w:rPr>
                <w:rFonts w:hint="eastAsia"/>
              </w:rPr>
              <w:t> </w:t>
            </w:r>
          </w:p>
        </w:tc>
        <w:tc>
          <w:tcPr>
            <w:tcW w:w="1313" w:type="dxa"/>
            <w:tcBorders>
              <w:top w:val="double" w:sz="4" w:space="0" w:color="auto"/>
              <w:left w:val="single" w:sz="8" w:space="0" w:color="A3A3A3"/>
              <w:bottom w:val="single" w:sz="8" w:space="0" w:color="A3A3A3"/>
              <w:right w:val="single" w:sz="8" w:space="0" w:color="A3A3A3"/>
            </w:tcBorders>
            <w:tcMar>
              <w:top w:w="80" w:type="dxa"/>
              <w:left w:w="80" w:type="dxa"/>
              <w:bottom w:w="80" w:type="dxa"/>
              <w:right w:w="80" w:type="dxa"/>
            </w:tcMar>
            <w:hideMark/>
          </w:tcPr>
          <w:p w14:paraId="796FA976" w14:textId="77777777" w:rsidR="00030B76" w:rsidRPr="00320858" w:rsidRDefault="00030B76" w:rsidP="00E63B9D">
            <w:pPr>
              <w:pStyle w:val="16TableText"/>
            </w:pPr>
            <w:r w:rsidRPr="00320858">
              <w:rPr>
                <w:rFonts w:hint="eastAsia"/>
              </w:rPr>
              <w:t>X</w:t>
            </w:r>
          </w:p>
        </w:tc>
        <w:tc>
          <w:tcPr>
            <w:tcW w:w="1161" w:type="dxa"/>
            <w:tcBorders>
              <w:top w:val="double" w:sz="4" w:space="0" w:color="auto"/>
              <w:left w:val="single" w:sz="8" w:space="0" w:color="A3A3A3"/>
              <w:bottom w:val="single" w:sz="8" w:space="0" w:color="A3A3A3"/>
              <w:right w:val="single" w:sz="8" w:space="0" w:color="A3A3A3"/>
            </w:tcBorders>
            <w:tcMar>
              <w:top w:w="80" w:type="dxa"/>
              <w:left w:w="80" w:type="dxa"/>
              <w:bottom w:w="80" w:type="dxa"/>
              <w:right w:w="80" w:type="dxa"/>
            </w:tcMar>
            <w:hideMark/>
          </w:tcPr>
          <w:p w14:paraId="4BC518D4" w14:textId="77777777" w:rsidR="00030B76" w:rsidRPr="00320858" w:rsidRDefault="00030B76" w:rsidP="00E63B9D">
            <w:pPr>
              <w:pStyle w:val="16TableText"/>
            </w:pPr>
            <w:r w:rsidRPr="00320858">
              <w:rPr>
                <w:rFonts w:hint="eastAsia"/>
              </w:rPr>
              <w:t> </w:t>
            </w:r>
          </w:p>
        </w:tc>
        <w:tc>
          <w:tcPr>
            <w:tcW w:w="1496" w:type="dxa"/>
            <w:tcBorders>
              <w:top w:val="double" w:sz="4" w:space="0" w:color="auto"/>
              <w:left w:val="single" w:sz="8" w:space="0" w:color="A3A3A3"/>
              <w:bottom w:val="single" w:sz="8" w:space="0" w:color="A3A3A3"/>
              <w:right w:val="single" w:sz="8" w:space="0" w:color="A3A3A3"/>
            </w:tcBorders>
            <w:tcMar>
              <w:top w:w="80" w:type="dxa"/>
              <w:left w:w="80" w:type="dxa"/>
              <w:bottom w:w="80" w:type="dxa"/>
              <w:right w:w="80" w:type="dxa"/>
            </w:tcMar>
            <w:hideMark/>
          </w:tcPr>
          <w:p w14:paraId="6356501C" w14:textId="77777777" w:rsidR="00030B76" w:rsidRPr="00320858" w:rsidRDefault="00030B76" w:rsidP="00E63B9D">
            <w:pPr>
              <w:pStyle w:val="16TableText"/>
            </w:pPr>
            <w:r w:rsidRPr="00320858">
              <w:t>MIP</w:t>
            </w:r>
          </w:p>
        </w:tc>
        <w:tc>
          <w:tcPr>
            <w:tcW w:w="1654" w:type="dxa"/>
            <w:tcBorders>
              <w:top w:val="double" w:sz="4" w:space="0" w:color="auto"/>
              <w:left w:val="single" w:sz="8" w:space="0" w:color="A3A3A3"/>
              <w:bottom w:val="single" w:sz="8" w:space="0" w:color="A3A3A3"/>
              <w:right w:val="single" w:sz="4" w:space="0" w:color="auto"/>
            </w:tcBorders>
            <w:tcMar>
              <w:top w:w="80" w:type="dxa"/>
              <w:left w:w="80" w:type="dxa"/>
              <w:bottom w:w="80" w:type="dxa"/>
              <w:right w:w="80" w:type="dxa"/>
            </w:tcMar>
            <w:hideMark/>
          </w:tcPr>
          <w:p w14:paraId="014C2CE0" w14:textId="77777777" w:rsidR="00030B76" w:rsidRPr="00320858" w:rsidRDefault="00030B76" w:rsidP="00E63B9D">
            <w:pPr>
              <w:pStyle w:val="16TableText"/>
            </w:pPr>
            <w:r w:rsidRPr="00320858">
              <w:rPr>
                <w:rStyle w:val="yrbpuc"/>
                <w:rFonts w:ascii="Arial" w:hAnsi="Arial" w:cs="Arial"/>
                <w:color w:val="7B7B7B" w:themeColor="accent3" w:themeShade="BF"/>
                <w:sz w:val="21"/>
                <w:szCs w:val="21"/>
                <w:shd w:val="clear" w:color="auto" w:fill="FFFFFF"/>
              </w:rPr>
              <w:t> </w:t>
            </w:r>
            <w:r w:rsidRPr="00320858">
              <w:t>Cost</w:t>
            </w:r>
          </w:p>
        </w:tc>
      </w:tr>
      <w:tr w:rsidR="007B3C8F" w:rsidRPr="00320858" w14:paraId="47C15525" w14:textId="77777777" w:rsidTr="007B3C8F">
        <w:tc>
          <w:tcPr>
            <w:tcW w:w="975" w:type="dxa"/>
            <w:tcBorders>
              <w:top w:val="single" w:sz="8" w:space="0" w:color="A3A3A3"/>
              <w:left w:val="single" w:sz="4" w:space="0" w:color="auto"/>
              <w:bottom w:val="single" w:sz="8" w:space="0" w:color="A3A3A3"/>
              <w:right w:val="single" w:sz="8" w:space="0" w:color="A3A3A3"/>
            </w:tcBorders>
            <w:tcMar>
              <w:top w:w="80" w:type="dxa"/>
              <w:left w:w="80" w:type="dxa"/>
              <w:bottom w:w="80" w:type="dxa"/>
              <w:right w:w="80" w:type="dxa"/>
            </w:tcMar>
            <w:hideMark/>
          </w:tcPr>
          <w:p w14:paraId="6C64D3A1" w14:textId="1C0B32FA" w:rsidR="00030B76" w:rsidRPr="00320858" w:rsidRDefault="00030B76" w:rsidP="00E63B9D">
            <w:pPr>
              <w:pStyle w:val="16TableText"/>
            </w:pPr>
            <w:r w:rsidRPr="00320858">
              <w:fldChar w:fldCharType="begin"/>
            </w:r>
            <w:r w:rsidR="005D48B2">
              <w:instrText xml:space="preserve"> ADDIN ZOTERO_ITEM CSL_CITATION {"citationID":"D5M9L7Ux","properties":{"formattedCitation":"[85]","plainCitation":"[85]","noteIndex":0},"citationItems":[{"id":789,"uris":["http://zotero.org/users/5659608/items/BPNJL9LJ"],"itemData":{"id":789,"type":"article-journal","abstract":"A new model predictive control (MPC) algorithm is used to select optimal air conditioning setpoints for a commercial ofﬁce building, considering variable electricity prices, weather and occupancy. This algorithm, Cost-Comfort Particle Swarm Optimization (CCPSO), is the ﬁrst to combine a realistic, smooth representation of occupants’ willingness to pay for thermal comfort with a bottom-up, nonlinear model of the building and air conditioning system under control. We ﬁnd that using a quadratic preference function for temperature can yield solutions that are both more comfortable and lower-cost than previous work that used a “brick wall” preference function with no preference for further cooling within an allowed temperature band and inﬁnite aversion to going outside the allowed band. Using historical pricing data for a summer month in Chicago, CCPSO provided a 1% reduction in costs vs. a similar “brick-wall” MPC approach with the same comfort and 6–11% reduction in costs vs. other control strategies in the literature. CCPSO can also be used to operate the building with much greater comfort and costs or much lower costs and comfort than the “brick-wall” approach, depending on user preferences. CCPSO also reduced peak-hours demand by 3% vs. the “brick-wall” strategy and 4–14% vs. other strategies. At the same time, the CCPSO strategy increased off-peak energy consumption by 15% or more vs. other control methods. This may be valuable for power systems integrating large amounts of renewable power, which can otherwise become uneconomic due to saturation of demand during off-peak hours.","container-title":"Energies","DOI":"10.3390/en11092373","ISSN":"1996-1073","issue":"9","journalAbbreviation":"Energies","language":"en","page":"2373","source":"DOI.org (Crossref)","title":"Multi-Objective Control of Air Conditioning Improves Cost, Comfort and System Energy Balance","volume":"11","author":[{"family":"Izawa","given":"Andrew"},{"family":"Fripp","given":"Matthias"}],"issued":{"date-parts":[["2018",9,8]]},"citation-key":"izawaMultiObjectiveControlAir2018"}}],"schema":"https://github.com/citation-style-language/schema/raw/master/csl-citation.json"} </w:instrText>
            </w:r>
            <w:r w:rsidRPr="00320858">
              <w:fldChar w:fldCharType="separate"/>
            </w:r>
            <w:r w:rsidR="00B10A4D" w:rsidRPr="00B10A4D">
              <w:t>[85]</w:t>
            </w:r>
            <w:r w:rsidRPr="00320858">
              <w:fldChar w:fldCharType="end"/>
            </w:r>
          </w:p>
        </w:tc>
        <w:tc>
          <w:tcPr>
            <w:tcW w:w="39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17A8BE" w14:textId="77777777" w:rsidR="00030B76" w:rsidRPr="00320858" w:rsidRDefault="00030B76" w:rsidP="00E63B9D">
            <w:pPr>
              <w:pStyle w:val="16TableText"/>
            </w:pPr>
            <w:r w:rsidRPr="00320858">
              <w:rPr>
                <w:rFonts w:hint="eastAsia"/>
              </w:rPr>
              <w:t> </w:t>
            </w:r>
          </w:p>
        </w:tc>
        <w:tc>
          <w:tcPr>
            <w:tcW w:w="1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DB17888" w14:textId="77777777" w:rsidR="00030B76" w:rsidRPr="00320858" w:rsidRDefault="00030B76" w:rsidP="00E63B9D">
            <w:pPr>
              <w:pStyle w:val="16TableText"/>
            </w:pPr>
            <w:r w:rsidRPr="00320858">
              <w:rPr>
                <w:rFonts w:hint="eastAsia"/>
              </w:rPr>
              <w:t> </w:t>
            </w:r>
          </w:p>
        </w:tc>
        <w:tc>
          <w:tcPr>
            <w:tcW w:w="3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C69EED2" w14:textId="77777777" w:rsidR="00030B76" w:rsidRPr="00320858" w:rsidRDefault="00030B76" w:rsidP="00E63B9D">
            <w:pPr>
              <w:pStyle w:val="16TableText"/>
            </w:pPr>
            <w:r w:rsidRPr="00320858">
              <w:t>X</w:t>
            </w:r>
          </w:p>
        </w:tc>
        <w:tc>
          <w:tcPr>
            <w:tcW w:w="9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6FBBA0B" w14:textId="77777777" w:rsidR="00030B76" w:rsidRPr="00320858" w:rsidRDefault="00030B76" w:rsidP="00E63B9D">
            <w:pPr>
              <w:pStyle w:val="16TableText"/>
            </w:pPr>
            <w:r w:rsidRPr="00320858">
              <w:rPr>
                <w:rFonts w:hint="eastAsia"/>
              </w:rPr>
              <w:t> </w:t>
            </w:r>
          </w:p>
        </w:tc>
        <w:tc>
          <w:tcPr>
            <w:tcW w:w="13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1D03F9" w14:textId="77777777" w:rsidR="00030B76" w:rsidRPr="00320858" w:rsidRDefault="00030B76" w:rsidP="00E63B9D">
            <w:pPr>
              <w:pStyle w:val="16TableText"/>
            </w:pPr>
            <w:r w:rsidRPr="00320858">
              <w:rPr>
                <w:rFonts w:hint="eastAsia"/>
              </w:rPr>
              <w:t> </w:t>
            </w:r>
          </w:p>
        </w:tc>
        <w:tc>
          <w:tcPr>
            <w:tcW w:w="116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E2E4857" w14:textId="77777777" w:rsidR="00030B76" w:rsidRPr="00320858" w:rsidRDefault="00030B76" w:rsidP="00E63B9D">
            <w:pPr>
              <w:pStyle w:val="16TableText"/>
            </w:pPr>
            <w:r w:rsidRPr="00320858">
              <w:rPr>
                <w:rFonts w:hint="eastAsia"/>
              </w:rPr>
              <w:t> </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9A0621" w14:textId="77777777" w:rsidR="00030B76" w:rsidRPr="00320858" w:rsidRDefault="00030B76" w:rsidP="00E63B9D">
            <w:pPr>
              <w:pStyle w:val="16TableText"/>
            </w:pPr>
            <w:r w:rsidRPr="00320858">
              <w:t xml:space="preserve">PSO </w:t>
            </w:r>
          </w:p>
        </w:tc>
        <w:tc>
          <w:tcPr>
            <w:tcW w:w="1654" w:type="dxa"/>
            <w:tcBorders>
              <w:top w:val="single" w:sz="8" w:space="0" w:color="A3A3A3"/>
              <w:left w:val="single" w:sz="8" w:space="0" w:color="A3A3A3"/>
              <w:bottom w:val="single" w:sz="8" w:space="0" w:color="A3A3A3"/>
              <w:right w:val="single" w:sz="4" w:space="0" w:color="auto"/>
            </w:tcBorders>
            <w:tcMar>
              <w:top w:w="80" w:type="dxa"/>
              <w:left w:w="80" w:type="dxa"/>
              <w:bottom w:w="80" w:type="dxa"/>
              <w:right w:w="80" w:type="dxa"/>
            </w:tcMar>
            <w:hideMark/>
          </w:tcPr>
          <w:p w14:paraId="7FE9CF44" w14:textId="77777777" w:rsidR="00030B76" w:rsidRPr="00C07269" w:rsidRDefault="00030B76" w:rsidP="00E63B9D">
            <w:pPr>
              <w:pStyle w:val="16TableText"/>
              <w:rPr>
                <w:color w:val="000000" w:themeColor="text1"/>
              </w:rPr>
            </w:pPr>
            <w:r w:rsidRPr="00C07269">
              <w:rPr>
                <w:rFonts w:ascii="Arial" w:hAnsi="Arial" w:cs="Arial"/>
                <w:color w:val="000000" w:themeColor="text1"/>
                <w:sz w:val="21"/>
                <w:szCs w:val="21"/>
                <w:shd w:val="clear" w:color="auto" w:fill="FFFFFF"/>
              </w:rPr>
              <w:t> ↓</w:t>
            </w:r>
            <w:r w:rsidRPr="00C07269">
              <w:rPr>
                <w:color w:val="000000" w:themeColor="text1"/>
              </w:rPr>
              <w:t xml:space="preserve">Cost, </w:t>
            </w:r>
            <w:r w:rsidRPr="00C07269">
              <w:rPr>
                <w:rStyle w:val="whyltd"/>
                <w:rFonts w:ascii="Arial" w:hAnsi="Arial" w:cs="Arial"/>
                <w:color w:val="000000" w:themeColor="text1"/>
                <w:sz w:val="21"/>
                <w:szCs w:val="21"/>
                <w:shd w:val="clear" w:color="auto" w:fill="FFFFFF"/>
              </w:rPr>
              <w:t>↑</w:t>
            </w:r>
            <w:r w:rsidRPr="00C07269">
              <w:rPr>
                <w:color w:val="000000" w:themeColor="text1"/>
              </w:rPr>
              <w:t>Comfort</w:t>
            </w:r>
          </w:p>
        </w:tc>
      </w:tr>
      <w:tr w:rsidR="007B3C8F" w:rsidRPr="00320858" w14:paraId="189DA208" w14:textId="77777777" w:rsidTr="007B3C8F">
        <w:tc>
          <w:tcPr>
            <w:tcW w:w="975" w:type="dxa"/>
            <w:tcBorders>
              <w:top w:val="single" w:sz="8" w:space="0" w:color="A3A3A3"/>
              <w:left w:val="single" w:sz="4" w:space="0" w:color="auto"/>
              <w:bottom w:val="single" w:sz="8" w:space="0" w:color="A3A3A3"/>
              <w:right w:val="single" w:sz="8" w:space="0" w:color="A3A3A3"/>
            </w:tcBorders>
            <w:tcMar>
              <w:top w:w="80" w:type="dxa"/>
              <w:left w:w="80" w:type="dxa"/>
              <w:bottom w:w="80" w:type="dxa"/>
              <w:right w:w="80" w:type="dxa"/>
            </w:tcMar>
            <w:hideMark/>
          </w:tcPr>
          <w:p w14:paraId="5EEC4694" w14:textId="34D5AB3B" w:rsidR="00030B76" w:rsidRPr="00320858" w:rsidRDefault="00030B76" w:rsidP="00E63B9D">
            <w:pPr>
              <w:pStyle w:val="16TableText"/>
            </w:pPr>
            <w:r w:rsidRPr="00320858">
              <w:fldChar w:fldCharType="begin"/>
            </w:r>
            <w:r w:rsidR="005D48B2">
              <w:instrText xml:space="preserve"> ADDIN ZOTERO_ITEM CSL_CITATION {"citationID":"IFjIXIk5","properties":{"formattedCitation":"[86]","plainCitation":"[86]","noteIndex":0},"citationItems":[{"id":779,"uris":["http://zotero.org/users/5659608/items/8HCCPTNS"],"itemData":{"id":779,"type":"article-journal","abstract":"Demand response oﬀers the possibility of altering the proﬁle of power consumption of individual buildings or building districts, i.e., microgrids, for economic return. There is signiﬁcant potential of demand response in enabling ﬂexibility via advanced grid management options, allowing higher renewable energy penetration and eﬃcient exploitation of resources. Demand response and distributed energy resource dynamic management are gradually gaining importance as valuable assets for managing peak loads, grid balance, renewable energy source intermittency, and energy losses. In this paper, the potential for operational optimization of a heating, ventilation, and air conditioning (HVAC) system in a smart near-zero-energy industrial building is investigated with the aid of a genetic algorithm. The analysis involves a validated building energy model, a model of energy cost, and an optimization model for establishing HVAC optimum temperature set points. Optimization aims at establishing the trade-oﬀ between the minimum daily cost of energy and thermal comfort. Predicted mean vote is integrated in the objective function to ensure thermal comfort requirements are met.","container-title":"Energies","DOI":"10.3390/en12112177","ISSN":"1996-1073","issue":"11","journalAbbreviation":"Energies","language":"en","page":"2177","source":"DOI.org (Crossref)","title":"HVAC Optimization Genetic Algorithm for Industrial Near-Zero-Energy Building Demand Response","volume":"12","author":[{"family":"Kampelis","given":"Nikolaos"},{"family":"Sifakis","given":"Nikolaos"},{"family":"Kolokotsa","given":"Dionysia"},{"family":"Gobakis","given":"Konstantinos"},{"family":"Kalaitzakis","given":"Konstantinos"},{"family":"Isidori","given":"Daniela"},{"family":"Cristalli","given":"Cristina"}],"issued":{"date-parts":[["2019",6,7]]},"citation-key":"kampelisHVACOptimizationGenetic2019"}}],"schema":"https://github.com/citation-style-language/schema/raw/master/csl-citation.json"} </w:instrText>
            </w:r>
            <w:r w:rsidRPr="00320858">
              <w:fldChar w:fldCharType="separate"/>
            </w:r>
            <w:r w:rsidR="00B10A4D" w:rsidRPr="00B10A4D">
              <w:t>[86]</w:t>
            </w:r>
            <w:r w:rsidRPr="00320858">
              <w:fldChar w:fldCharType="end"/>
            </w:r>
          </w:p>
        </w:tc>
        <w:tc>
          <w:tcPr>
            <w:tcW w:w="39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5C8950" w14:textId="77777777" w:rsidR="00030B76" w:rsidRPr="00320858" w:rsidRDefault="00030B76" w:rsidP="00E63B9D">
            <w:pPr>
              <w:pStyle w:val="16TableText"/>
            </w:pPr>
            <w:r w:rsidRPr="00320858">
              <w:t> </w:t>
            </w:r>
          </w:p>
        </w:tc>
        <w:tc>
          <w:tcPr>
            <w:tcW w:w="1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E0C8AF7" w14:textId="77777777" w:rsidR="00030B76" w:rsidRPr="00320858" w:rsidRDefault="00030B76" w:rsidP="00E63B9D">
            <w:pPr>
              <w:pStyle w:val="16TableText"/>
            </w:pPr>
            <w:r w:rsidRPr="00320858">
              <w:rPr>
                <w:rFonts w:hint="eastAsia"/>
              </w:rPr>
              <w:t> </w:t>
            </w:r>
          </w:p>
        </w:tc>
        <w:tc>
          <w:tcPr>
            <w:tcW w:w="3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23C1BD2" w14:textId="77777777" w:rsidR="00030B76" w:rsidRPr="00320858" w:rsidRDefault="00030B76" w:rsidP="00E63B9D">
            <w:pPr>
              <w:pStyle w:val="16TableText"/>
            </w:pPr>
            <w:r w:rsidRPr="00320858">
              <w:t>X</w:t>
            </w:r>
          </w:p>
        </w:tc>
        <w:tc>
          <w:tcPr>
            <w:tcW w:w="9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70404F4" w14:textId="77777777" w:rsidR="00030B76" w:rsidRPr="00320858" w:rsidRDefault="00030B76" w:rsidP="00E63B9D">
            <w:pPr>
              <w:pStyle w:val="16TableText"/>
            </w:pPr>
            <w:r w:rsidRPr="00320858">
              <w:rPr>
                <w:rFonts w:hint="eastAsia"/>
              </w:rPr>
              <w:t> </w:t>
            </w:r>
          </w:p>
        </w:tc>
        <w:tc>
          <w:tcPr>
            <w:tcW w:w="13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03EF149" w14:textId="77777777" w:rsidR="00030B76" w:rsidRPr="00320858" w:rsidRDefault="00030B76" w:rsidP="00E63B9D">
            <w:pPr>
              <w:pStyle w:val="16TableText"/>
            </w:pPr>
            <w:r w:rsidRPr="00320858">
              <w:rPr>
                <w:rFonts w:hint="eastAsia"/>
              </w:rPr>
              <w:t> </w:t>
            </w:r>
          </w:p>
        </w:tc>
        <w:tc>
          <w:tcPr>
            <w:tcW w:w="116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9BB660C" w14:textId="77777777" w:rsidR="00030B76" w:rsidRPr="00320858" w:rsidRDefault="00030B76" w:rsidP="00E63B9D">
            <w:pPr>
              <w:pStyle w:val="16TableText"/>
            </w:pPr>
            <w:r w:rsidRPr="00320858">
              <w:rPr>
                <w:rFonts w:hint="eastAsia"/>
              </w:rPr>
              <w:t> </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5469CD2" w14:textId="77777777" w:rsidR="00030B76" w:rsidRPr="00320858" w:rsidRDefault="00030B76" w:rsidP="00E63B9D">
            <w:pPr>
              <w:pStyle w:val="16TableText"/>
            </w:pPr>
            <w:r w:rsidRPr="00320858">
              <w:t>GA</w:t>
            </w:r>
          </w:p>
        </w:tc>
        <w:tc>
          <w:tcPr>
            <w:tcW w:w="1654" w:type="dxa"/>
            <w:tcBorders>
              <w:top w:val="single" w:sz="8" w:space="0" w:color="A3A3A3"/>
              <w:left w:val="single" w:sz="8" w:space="0" w:color="A3A3A3"/>
              <w:bottom w:val="single" w:sz="8" w:space="0" w:color="A3A3A3"/>
              <w:right w:val="single" w:sz="4" w:space="0" w:color="auto"/>
            </w:tcBorders>
            <w:tcMar>
              <w:top w:w="80" w:type="dxa"/>
              <w:left w:w="80" w:type="dxa"/>
              <w:bottom w:w="80" w:type="dxa"/>
              <w:right w:w="80" w:type="dxa"/>
            </w:tcMar>
            <w:hideMark/>
          </w:tcPr>
          <w:p w14:paraId="60FB028C" w14:textId="77777777" w:rsidR="00030B76" w:rsidRPr="00C07269" w:rsidRDefault="00030B76" w:rsidP="00E63B9D">
            <w:pPr>
              <w:pStyle w:val="16TableText"/>
              <w:rPr>
                <w:color w:val="000000" w:themeColor="text1"/>
              </w:rPr>
            </w:pPr>
            <w:r w:rsidRPr="00C07269">
              <w:rPr>
                <w:rFonts w:ascii="Arial" w:hAnsi="Arial" w:cs="Arial"/>
                <w:color w:val="000000" w:themeColor="text1"/>
                <w:sz w:val="21"/>
                <w:szCs w:val="21"/>
                <w:shd w:val="clear" w:color="auto" w:fill="FFFFFF"/>
              </w:rPr>
              <w:t>↓</w:t>
            </w:r>
            <w:r w:rsidRPr="00C07269">
              <w:rPr>
                <w:color w:val="000000" w:themeColor="text1"/>
              </w:rPr>
              <w:t xml:space="preserve"> (Cost – Comfort)</w:t>
            </w:r>
          </w:p>
        </w:tc>
      </w:tr>
      <w:tr w:rsidR="007B3C8F" w:rsidRPr="00320858" w14:paraId="6E1485CD" w14:textId="77777777" w:rsidTr="007B3C8F">
        <w:tc>
          <w:tcPr>
            <w:tcW w:w="975" w:type="dxa"/>
            <w:tcBorders>
              <w:top w:val="single" w:sz="8" w:space="0" w:color="A3A3A3"/>
              <w:left w:val="single" w:sz="4" w:space="0" w:color="auto"/>
              <w:bottom w:val="single" w:sz="8" w:space="0" w:color="A3A3A3"/>
              <w:right w:val="single" w:sz="8" w:space="0" w:color="A3A3A3"/>
            </w:tcBorders>
            <w:tcMar>
              <w:top w:w="80" w:type="dxa"/>
              <w:left w:w="80" w:type="dxa"/>
              <w:bottom w:w="80" w:type="dxa"/>
              <w:right w:w="80" w:type="dxa"/>
            </w:tcMar>
            <w:hideMark/>
          </w:tcPr>
          <w:p w14:paraId="725DD955" w14:textId="696BDE6D" w:rsidR="00030B76" w:rsidRPr="00320858" w:rsidRDefault="00030B76" w:rsidP="00E63B9D">
            <w:pPr>
              <w:pStyle w:val="16TableText"/>
              <w:rPr>
                <w:lang w:eastAsia="zh-TW"/>
              </w:rPr>
            </w:pPr>
            <w:r w:rsidRPr="00320858">
              <w:fldChar w:fldCharType="begin"/>
            </w:r>
            <w:r w:rsidR="0082416B">
              <w:instrText xml:space="preserve"> ADDIN ZOTERO_ITEM CSL_CITATION {"citationID":"eAo6l7l0","properties":{"formattedCitation":"[97]","plainCitation":"[97]","noteIndex":0},"citationItems":[{"id":815,"uris":["http://zotero.org/users/5659608/items/FRF73FCN"],"itemData":{"id":815,"type":"article-journal","abstract":"Demand Response (DR) aims to motivate end consumers to change their energy consumption patterns in response to changes in electricity prices or when the reliability of the electrical power system (EPS) is compromised. Most of the proposals found in the literature only aim at reducing the cost for end consumers. However, this article proposes a home energy management system (HEMS) that aims to schedule the use of each home appliance based on the price of electricity in real-time (RTP) and on the consumer satisfaction/comfort level in order to guarantee the stability and the safety of the EPS. Thus, this paper presents a multi-objective DR optimization model which was formulated as a multi-objective nonlinear programming problem subjected to a set of constraints and was solved using the Non-Dominated Sorted Genetic Algorithm (NSGA-II), in order to determine the scheduling of home appliances for the time horizon. The multi-objective DR optimization model not only to minimize the cost of electricity consumption but also to reduce the level of inconvenience for residential consumers. Moreover, a priori, it is expected to obtain a more uniform demand with fewer peaks in the system and, potentially, achieving a more reliable and safer EPS operation. Thus, the energy management controller (EMC) within the HEMS determines an optimized schedule for each home appliance through the multi-objective DR model presented in this article, and ensures a more economic scenario for end consumers. In this paper, a performance evaluation of HEMS in 15 Brazilian families between 1 January and 31 December 2016 is presented with different electric energy consumption patterns in the cities of Belém—PA, Teresina—PI, Cuiabá—MT, Florianópolis—SC and São Paulo—SP, with three families per city, located in the regions north, northeast, central west, south and the southeast of Brazil, respectively. In addition, a total of 425 home appliances were used in the simulations. The results show that the HEMS achieved reductions in the cost of electricity for all the Scenarios used while minimally affecting the satisfaction/comfort of the end consumers as well as taking into account all the restrictions. The largest reduction in the total cost of electricity occurred for the couple without children, resident in the city of Teresina—PI; with a drop from US$ 99.31 to US$ 90.72 totaling 8.65% savings in the electricity bill. Therefore, the results conﬁrm that the proposed HEMS effectively improves the operating efﬁciency of home appliances and reduces electricity costs for end consumers.","container-title":"Sensors","DOI":"10.3390/s18103207","ISSN":"1424-8220","issue":"10","journalAbbreviation":"Sensors","language":"en","page":"3207","source":"DOI.org (Crossref)","title":"A Multi-Objective Demand Response Optimization Model for Scheduling Loads in a Home Energy Management System","volume":"18","author":[{"family":"Veras","given":"Jaclason"},{"family":"Silva","given":"Igor"},{"family":"Pinheiro","given":"Plácido"},{"family":"Rabêlo","given":"Ricardo"},{"family":"Veloso","given":"Artur"},{"family":"Borges","given":"Fábbio"},{"family":"Rodrigues","given":"Joel"}],"issued":{"date-parts":[["2018",9,22]]},"citation-key":"verasMultiObjectiveDemandResponse2018"}}],"schema":"https://github.com/citation-style-language/schema/raw/master/csl-citation.json"} </w:instrText>
            </w:r>
            <w:r w:rsidRPr="00320858">
              <w:fldChar w:fldCharType="separate"/>
            </w:r>
            <w:r w:rsidR="0082416B" w:rsidRPr="0082416B">
              <w:t>[97]</w:t>
            </w:r>
            <w:r w:rsidRPr="00320858">
              <w:fldChar w:fldCharType="end"/>
            </w:r>
          </w:p>
        </w:tc>
        <w:tc>
          <w:tcPr>
            <w:tcW w:w="39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677636" w14:textId="77777777" w:rsidR="00030B76" w:rsidRPr="00320858" w:rsidRDefault="00030B76" w:rsidP="00E63B9D">
            <w:pPr>
              <w:pStyle w:val="16TableText"/>
              <w:rPr>
                <w:lang w:eastAsia="zh-TW"/>
              </w:rPr>
            </w:pPr>
            <w:r w:rsidRPr="00320858">
              <w:rPr>
                <w:rFonts w:hint="eastAsia"/>
                <w:lang w:eastAsia="zh-TW"/>
              </w:rPr>
              <w:t> </w:t>
            </w:r>
          </w:p>
        </w:tc>
        <w:tc>
          <w:tcPr>
            <w:tcW w:w="1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2EB17C" w14:textId="77777777" w:rsidR="00030B76" w:rsidRPr="00320858" w:rsidRDefault="00030B76" w:rsidP="00E63B9D">
            <w:pPr>
              <w:pStyle w:val="16TableText"/>
              <w:rPr>
                <w:lang w:eastAsia="zh-TW"/>
              </w:rPr>
            </w:pPr>
            <w:r w:rsidRPr="00320858">
              <w:rPr>
                <w:rFonts w:hint="eastAsia"/>
                <w:lang w:eastAsia="zh-TW"/>
              </w:rPr>
              <w:t> </w:t>
            </w:r>
          </w:p>
        </w:tc>
        <w:tc>
          <w:tcPr>
            <w:tcW w:w="3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35BC0E8" w14:textId="77777777" w:rsidR="00030B76" w:rsidRPr="00320858" w:rsidRDefault="00030B76" w:rsidP="00E63B9D">
            <w:pPr>
              <w:pStyle w:val="16TableText"/>
              <w:rPr>
                <w:lang w:eastAsia="zh-TW"/>
              </w:rPr>
            </w:pPr>
            <w:r w:rsidRPr="00320858">
              <w:rPr>
                <w:lang w:eastAsia="zh-TW"/>
              </w:rPr>
              <w:t> </w:t>
            </w:r>
          </w:p>
        </w:tc>
        <w:tc>
          <w:tcPr>
            <w:tcW w:w="9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045C79" w14:textId="77777777" w:rsidR="00030B76" w:rsidRPr="00320858" w:rsidRDefault="00030B76" w:rsidP="00E63B9D">
            <w:pPr>
              <w:pStyle w:val="16TableText"/>
              <w:rPr>
                <w:lang w:eastAsia="zh-TW"/>
              </w:rPr>
            </w:pPr>
            <w:r w:rsidRPr="00320858">
              <w:rPr>
                <w:rFonts w:hint="eastAsia"/>
                <w:lang w:eastAsia="zh-TW"/>
              </w:rPr>
              <w:t> </w:t>
            </w:r>
          </w:p>
        </w:tc>
        <w:tc>
          <w:tcPr>
            <w:tcW w:w="13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C5C5FC7" w14:textId="77777777" w:rsidR="00030B76" w:rsidRPr="00320858" w:rsidRDefault="00030B76" w:rsidP="00E63B9D">
            <w:pPr>
              <w:pStyle w:val="16TableText"/>
              <w:rPr>
                <w:lang w:eastAsia="zh-TW"/>
              </w:rPr>
            </w:pPr>
            <w:r w:rsidRPr="00320858">
              <w:rPr>
                <w:lang w:eastAsia="zh-TW"/>
              </w:rPr>
              <w:t>X</w:t>
            </w:r>
          </w:p>
        </w:tc>
        <w:tc>
          <w:tcPr>
            <w:tcW w:w="116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D33C9F" w14:textId="77777777" w:rsidR="00030B76" w:rsidRPr="00320858" w:rsidRDefault="00030B76" w:rsidP="00E63B9D">
            <w:pPr>
              <w:pStyle w:val="16TableText"/>
              <w:rPr>
                <w:lang w:eastAsia="zh-TW"/>
              </w:rPr>
            </w:pPr>
            <w:r w:rsidRPr="00320858">
              <w:rPr>
                <w:rFonts w:hint="eastAsia"/>
                <w:lang w:eastAsia="zh-TW"/>
              </w:rPr>
              <w:t> </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C965D1" w14:textId="77777777" w:rsidR="00030B76" w:rsidRPr="00320858" w:rsidRDefault="00030B76" w:rsidP="00E63B9D">
            <w:pPr>
              <w:pStyle w:val="16TableText"/>
              <w:rPr>
                <w:lang w:eastAsia="zh-TW"/>
              </w:rPr>
            </w:pPr>
            <w:r w:rsidRPr="00320858">
              <w:rPr>
                <w:lang w:eastAsia="zh-TW"/>
              </w:rPr>
              <w:t>NSGA</w:t>
            </w:r>
            <w:r w:rsidRPr="00320858">
              <w:rPr>
                <w:rFonts w:hint="eastAsia"/>
                <w:lang w:eastAsia="zh-TW"/>
              </w:rPr>
              <w:t xml:space="preserve"> II</w:t>
            </w:r>
          </w:p>
        </w:tc>
        <w:tc>
          <w:tcPr>
            <w:tcW w:w="1654" w:type="dxa"/>
            <w:tcBorders>
              <w:top w:val="single" w:sz="8" w:space="0" w:color="A3A3A3"/>
              <w:left w:val="single" w:sz="8" w:space="0" w:color="A3A3A3"/>
              <w:bottom w:val="single" w:sz="8" w:space="0" w:color="A3A3A3"/>
              <w:right w:val="single" w:sz="4" w:space="0" w:color="auto"/>
            </w:tcBorders>
            <w:tcMar>
              <w:top w:w="80" w:type="dxa"/>
              <w:left w:w="80" w:type="dxa"/>
              <w:bottom w:w="80" w:type="dxa"/>
              <w:right w:w="80" w:type="dxa"/>
            </w:tcMar>
            <w:hideMark/>
          </w:tcPr>
          <w:p w14:paraId="6153FCC2" w14:textId="77777777" w:rsidR="00030B76" w:rsidRPr="00C07269" w:rsidRDefault="00030B76" w:rsidP="00E63B9D">
            <w:pPr>
              <w:pStyle w:val="16TableText"/>
              <w:rPr>
                <w:color w:val="000000" w:themeColor="text1"/>
                <w:lang w:eastAsia="zh-TW"/>
              </w:rPr>
            </w:pPr>
            <w:r w:rsidRPr="00C07269">
              <w:rPr>
                <w:rFonts w:ascii="Arial" w:hAnsi="Arial" w:cs="Arial"/>
                <w:color w:val="000000" w:themeColor="text1"/>
                <w:sz w:val="21"/>
                <w:szCs w:val="21"/>
                <w:shd w:val="clear" w:color="auto" w:fill="FFFFFF"/>
                <w:lang w:eastAsia="zh-TW"/>
              </w:rPr>
              <w:t> ↓</w:t>
            </w:r>
            <w:r w:rsidRPr="00C07269">
              <w:rPr>
                <w:color w:val="000000" w:themeColor="text1"/>
                <w:lang w:eastAsia="zh-TW"/>
              </w:rPr>
              <w:t xml:space="preserve">Cost, </w:t>
            </w:r>
            <w:r w:rsidRPr="00C07269">
              <w:rPr>
                <w:rStyle w:val="whyltd"/>
                <w:rFonts w:ascii="Arial" w:hAnsi="Arial" w:cs="Arial"/>
                <w:color w:val="000000" w:themeColor="text1"/>
                <w:sz w:val="21"/>
                <w:szCs w:val="21"/>
                <w:shd w:val="clear" w:color="auto" w:fill="FFFFFF"/>
                <w:lang w:eastAsia="zh-TW"/>
              </w:rPr>
              <w:t>↑</w:t>
            </w:r>
            <w:r w:rsidRPr="00C07269">
              <w:rPr>
                <w:color w:val="000000" w:themeColor="text1"/>
                <w:lang w:eastAsia="zh-TW"/>
              </w:rPr>
              <w:t>Comfort</w:t>
            </w:r>
          </w:p>
        </w:tc>
      </w:tr>
      <w:tr w:rsidR="007B3C8F" w:rsidRPr="00320858" w14:paraId="0929E7C4" w14:textId="77777777" w:rsidTr="007B3C8F">
        <w:tc>
          <w:tcPr>
            <w:tcW w:w="975" w:type="dxa"/>
            <w:tcBorders>
              <w:top w:val="single" w:sz="8" w:space="0" w:color="A3A3A3"/>
              <w:left w:val="single" w:sz="4" w:space="0" w:color="auto"/>
              <w:bottom w:val="single" w:sz="8" w:space="0" w:color="A3A3A3"/>
              <w:right w:val="single" w:sz="8" w:space="0" w:color="A3A3A3"/>
            </w:tcBorders>
            <w:tcMar>
              <w:top w:w="80" w:type="dxa"/>
              <w:left w:w="80" w:type="dxa"/>
              <w:bottom w:w="80" w:type="dxa"/>
              <w:right w:w="80" w:type="dxa"/>
            </w:tcMar>
            <w:hideMark/>
          </w:tcPr>
          <w:p w14:paraId="245DF5D2" w14:textId="2490CD0B" w:rsidR="00030B76" w:rsidRPr="00320858" w:rsidRDefault="00030B76" w:rsidP="00E63B9D">
            <w:pPr>
              <w:pStyle w:val="16TableText"/>
            </w:pPr>
            <w:r w:rsidRPr="00320858">
              <w:fldChar w:fldCharType="begin"/>
            </w:r>
            <w:r w:rsidR="005D48B2">
              <w:rPr>
                <w:lang w:eastAsia="zh-TW"/>
              </w:rPr>
              <w:instrText xml:space="preserve"> ADDIN ZOTERO_ITEM CSL_CITATION {"citationID":"D87QBiGA","properties":{"formattedCitation":"[93]","plainCitation":"[93]","noteIndex":0},"citationItems":[{"id":801,"uris":["http://zotero.org/users/5659608/items/5ADA2YXH"],"itemData":{"id":801,"type":"article-journal","abstract":"A new methodology, that combine three different Artificial Intelligence techniques, is proposed in this paper to solve the energy demand planning in Smart Homes. Conceived as a multi-objective scheduling problem, the new method is developed to reach the compromise between energy cost and the user comfort. Using an Elitist Non-dominated Sorting Genetic Algorithm II, the concept of demand-side management is applied taking into account electricity price fluctuations over time, priority in the use of equipment, operating cycles and a battery bank. The demand-side management also considers a forecast of a distributed generation for a day ahead, employing the Support Vector Regression technique. Validated by numerical simulations with real data obtained from a smart home, the user comfort levels were determined by the K-means clustering technique. The efficiency of the proposed Artificial Intelligence combination was proved according to a 51.4% cost reduction, when Smart Homes with and without distributed generation and battery bank are compared.","container-title":"Applied Energy","DOI":"10.1016/j.apenergy.2020.116145","ISSN":"03062619","journalAbbreviation":"Applied Energy","language":"en","page":"116145","source":"DOI.org (Crossref)","title":"An Artificial Intelligence based scheduling algorithm for demand-side energy management in Smart Homes","volume":"282","author":[{"family":"Rocha","given":"Helder R.O."},{"family":"Honorato","given":"Icaro H."},{"family":"Fiorotti","given":"Rodrigo"},{"family":"Celeste","given":"Wanderley C."},{"family":"Silvestre","given":"Leonardo J."},{"family":"Silva","given":"Jair A.L."}],"issued":{"date-parts":[["2021",1]]},"citation-key":"rochaArtificialIntelligenceBased2021"}}],"schema":"https://github.com/citation-style-language/schema/raw/master/csl-citation.json"} </w:instrText>
            </w:r>
            <w:r w:rsidRPr="00320858">
              <w:fldChar w:fldCharType="separate"/>
            </w:r>
            <w:r w:rsidR="00B10A4D" w:rsidRPr="00B10A4D">
              <w:t>[93]</w:t>
            </w:r>
            <w:r w:rsidRPr="00320858">
              <w:fldChar w:fldCharType="end"/>
            </w:r>
          </w:p>
        </w:tc>
        <w:tc>
          <w:tcPr>
            <w:tcW w:w="39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3AC45F1" w14:textId="77777777" w:rsidR="00030B76" w:rsidRPr="00320858" w:rsidRDefault="00030B76" w:rsidP="00E63B9D">
            <w:pPr>
              <w:pStyle w:val="16TableText"/>
            </w:pPr>
            <w:r w:rsidRPr="00320858">
              <w:t>X</w:t>
            </w:r>
          </w:p>
        </w:tc>
        <w:tc>
          <w:tcPr>
            <w:tcW w:w="1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304016C" w14:textId="77777777" w:rsidR="00030B76" w:rsidRPr="00320858" w:rsidRDefault="00030B76" w:rsidP="00E63B9D">
            <w:pPr>
              <w:pStyle w:val="16TableText"/>
            </w:pPr>
            <w:r w:rsidRPr="00320858">
              <w:t>X</w:t>
            </w:r>
          </w:p>
        </w:tc>
        <w:tc>
          <w:tcPr>
            <w:tcW w:w="3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BB76208" w14:textId="77777777" w:rsidR="00030B76" w:rsidRPr="00320858" w:rsidRDefault="00030B76" w:rsidP="00E63B9D">
            <w:pPr>
              <w:pStyle w:val="16TableText"/>
            </w:pPr>
            <w:r w:rsidRPr="00320858">
              <w:t>X</w:t>
            </w:r>
          </w:p>
        </w:tc>
        <w:tc>
          <w:tcPr>
            <w:tcW w:w="9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387F90" w14:textId="77777777" w:rsidR="00030B76" w:rsidRPr="00320858" w:rsidRDefault="00030B76" w:rsidP="00E63B9D">
            <w:pPr>
              <w:pStyle w:val="16TableText"/>
            </w:pPr>
            <w:r w:rsidRPr="00320858">
              <w:t>X</w:t>
            </w:r>
          </w:p>
        </w:tc>
        <w:tc>
          <w:tcPr>
            <w:tcW w:w="13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8262B2" w14:textId="77777777" w:rsidR="00030B76" w:rsidRPr="00320858" w:rsidRDefault="00030B76" w:rsidP="00E63B9D">
            <w:pPr>
              <w:pStyle w:val="16TableText"/>
            </w:pPr>
            <w:r w:rsidRPr="00320858">
              <w:t>X</w:t>
            </w:r>
          </w:p>
        </w:tc>
        <w:tc>
          <w:tcPr>
            <w:tcW w:w="116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112706" w14:textId="77777777" w:rsidR="00030B76" w:rsidRPr="00320858" w:rsidRDefault="00030B76" w:rsidP="00E63B9D">
            <w:pPr>
              <w:pStyle w:val="16TableText"/>
            </w:pPr>
            <w:r w:rsidRPr="00320858">
              <w:rPr>
                <w:rFonts w:hint="eastAsia"/>
              </w:rPr>
              <w:t> </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12DB49" w14:textId="77777777" w:rsidR="00030B76" w:rsidRPr="00320858" w:rsidRDefault="00030B76" w:rsidP="00E63B9D">
            <w:pPr>
              <w:pStyle w:val="16TableText"/>
            </w:pPr>
            <w:r w:rsidRPr="00320858">
              <w:t>Modified NSGA</w:t>
            </w:r>
            <w:r w:rsidRPr="00320858">
              <w:rPr>
                <w:rFonts w:hint="eastAsia"/>
              </w:rPr>
              <w:t xml:space="preserve"> II</w:t>
            </w:r>
          </w:p>
        </w:tc>
        <w:tc>
          <w:tcPr>
            <w:tcW w:w="1654" w:type="dxa"/>
            <w:tcBorders>
              <w:top w:val="single" w:sz="8" w:space="0" w:color="A3A3A3"/>
              <w:left w:val="single" w:sz="8" w:space="0" w:color="A3A3A3"/>
              <w:bottom w:val="single" w:sz="8" w:space="0" w:color="A3A3A3"/>
              <w:right w:val="single" w:sz="4" w:space="0" w:color="auto"/>
            </w:tcBorders>
            <w:tcMar>
              <w:top w:w="80" w:type="dxa"/>
              <w:left w:w="80" w:type="dxa"/>
              <w:bottom w:w="80" w:type="dxa"/>
              <w:right w:w="80" w:type="dxa"/>
            </w:tcMar>
            <w:hideMark/>
          </w:tcPr>
          <w:p w14:paraId="53734BA5" w14:textId="77777777" w:rsidR="00030B76" w:rsidRPr="00C07269" w:rsidRDefault="00030B76" w:rsidP="00E63B9D">
            <w:pPr>
              <w:pStyle w:val="16TableText"/>
              <w:rPr>
                <w:color w:val="000000" w:themeColor="text1"/>
              </w:rPr>
            </w:pPr>
            <w:r w:rsidRPr="00C07269">
              <w:rPr>
                <w:rFonts w:ascii="Arial" w:hAnsi="Arial" w:cs="Arial"/>
                <w:color w:val="000000" w:themeColor="text1"/>
                <w:sz w:val="21"/>
                <w:szCs w:val="21"/>
                <w:shd w:val="clear" w:color="auto" w:fill="FFFFFF"/>
              </w:rPr>
              <w:t> ↓</w:t>
            </w:r>
            <w:r w:rsidRPr="00C07269">
              <w:rPr>
                <w:color w:val="000000" w:themeColor="text1"/>
              </w:rPr>
              <w:t xml:space="preserve">Cost, </w:t>
            </w:r>
            <w:r w:rsidRPr="00C07269">
              <w:rPr>
                <w:rStyle w:val="whyltd"/>
                <w:rFonts w:ascii="Arial" w:hAnsi="Arial" w:cs="Arial"/>
                <w:color w:val="000000" w:themeColor="text1"/>
                <w:sz w:val="21"/>
                <w:szCs w:val="21"/>
                <w:shd w:val="clear" w:color="auto" w:fill="FFFFFF"/>
              </w:rPr>
              <w:t>↑</w:t>
            </w:r>
            <w:r w:rsidRPr="00C07269">
              <w:rPr>
                <w:color w:val="000000" w:themeColor="text1"/>
              </w:rPr>
              <w:t>Comfort</w:t>
            </w:r>
          </w:p>
        </w:tc>
      </w:tr>
      <w:tr w:rsidR="007B3C8F" w:rsidRPr="00320858" w14:paraId="50C7F096" w14:textId="77777777" w:rsidTr="007B3C8F">
        <w:tc>
          <w:tcPr>
            <w:tcW w:w="975" w:type="dxa"/>
            <w:tcBorders>
              <w:top w:val="single" w:sz="8" w:space="0" w:color="A3A3A3"/>
              <w:left w:val="single" w:sz="4" w:space="0" w:color="auto"/>
              <w:bottom w:val="single" w:sz="8" w:space="0" w:color="A3A3A3"/>
              <w:right w:val="single" w:sz="8" w:space="0" w:color="A3A3A3"/>
            </w:tcBorders>
            <w:tcMar>
              <w:top w:w="80" w:type="dxa"/>
              <w:left w:w="80" w:type="dxa"/>
              <w:bottom w:w="80" w:type="dxa"/>
              <w:right w:w="80" w:type="dxa"/>
            </w:tcMar>
            <w:hideMark/>
          </w:tcPr>
          <w:p w14:paraId="27ACF01E" w14:textId="75302BD8" w:rsidR="00030B76" w:rsidRPr="00320858" w:rsidRDefault="00030B76" w:rsidP="00E63B9D">
            <w:pPr>
              <w:pStyle w:val="16TableText"/>
            </w:pPr>
            <w:r w:rsidRPr="00320858">
              <w:fldChar w:fldCharType="begin"/>
            </w:r>
            <w:r w:rsidR="0082416B">
              <w:instrText xml:space="preserve"> ADDIN ZOTERO_ITEM CSL_CITATION {"citationID":"FsMbL0wU","properties":{"formattedCitation":"[98]","plainCitation":"[98]","noteIndex":0},"citationItems":[{"id":208,"uris":["http://zotero.org/users/5659608/items/MVZMS3UW"],"itemData":{"id":208,"type":"article-journal","abstract":"This paper addresses the load scheduling problem in residential sector while considering preferences of consumers and reduction of peak load. This study proposes an optimization model using multi-objective mixed integer linear programming considering a time-of-use (ToU) electricity tariff. Furthermore, this study considers the coordinated peak load reduction in a multiple-household environment. The proposed model aims to minimize three objectives: the electricity cost, the scheduling inconvenience and the peak load. Considering three objectives could enable consumers and utility companies to control their priority in minimizing one over the others. Three multi-objective optimization approaches are applied to solve the proposed model: normalized weighted-sum approach, preemptive optimization and compromise optimization. Numerical experiments show that the proposed solutions lead to significant savings in electricity costs, eliminate consumer inconvenience, while reducing the system peak loading. Furthermore, the results show outstanding performance when compared against three schedules from the literature and the consumer’s preferred schedule. Moreover, the coordinated schedules for the multiple-household problem lead to a significant reduction and levelling of the aggregated peak load.","container-title":"Sustainable Cities and Society","DOI":"10.1016/j.scs.2020.102058","ISSN":"2210-6707","journalAbbreviation":"Sustainable Cities and Society","language":"en","page":"102058","source":"ScienceDirect","title":"Multi-objective optimization of household appliance scheduling problem considering consumer preference and peak load reduction","volume":"55","author":[{"family":"Yahia","given":"Zakaria"},{"family":"Pradhan","given":"Anup"}],"issued":{"date-parts":[["2020",4,1]]},"citation-key":"yahiaMultiobjectiveOptimizationHousehold2020"}}],"schema":"https://github.com/citation-style-language/schema/raw/master/csl-citation.json"} </w:instrText>
            </w:r>
            <w:r w:rsidRPr="00320858">
              <w:fldChar w:fldCharType="separate"/>
            </w:r>
            <w:r w:rsidR="0082416B" w:rsidRPr="0082416B">
              <w:t>[98]</w:t>
            </w:r>
            <w:r w:rsidRPr="00320858">
              <w:fldChar w:fldCharType="end"/>
            </w:r>
          </w:p>
        </w:tc>
        <w:tc>
          <w:tcPr>
            <w:tcW w:w="39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84854B" w14:textId="77777777" w:rsidR="00030B76" w:rsidRPr="00320858" w:rsidRDefault="00030B76" w:rsidP="00E63B9D">
            <w:pPr>
              <w:pStyle w:val="16TableText"/>
            </w:pPr>
            <w:r w:rsidRPr="00320858">
              <w:rPr>
                <w:rFonts w:hint="eastAsia"/>
              </w:rPr>
              <w:t> </w:t>
            </w:r>
          </w:p>
        </w:tc>
        <w:tc>
          <w:tcPr>
            <w:tcW w:w="1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6FA5247" w14:textId="77777777" w:rsidR="00030B76" w:rsidRPr="00320858" w:rsidRDefault="00030B76" w:rsidP="00E63B9D">
            <w:pPr>
              <w:pStyle w:val="16TableText"/>
            </w:pPr>
            <w:r w:rsidRPr="00320858">
              <w:rPr>
                <w:rFonts w:hint="eastAsia"/>
              </w:rPr>
              <w:t> </w:t>
            </w:r>
          </w:p>
        </w:tc>
        <w:tc>
          <w:tcPr>
            <w:tcW w:w="3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336B4D" w14:textId="77777777" w:rsidR="00030B76" w:rsidRPr="00320858" w:rsidRDefault="00030B76" w:rsidP="00E63B9D">
            <w:pPr>
              <w:pStyle w:val="16TableText"/>
            </w:pPr>
            <w:r w:rsidRPr="00320858">
              <w:rPr>
                <w:rFonts w:hint="eastAsia"/>
              </w:rPr>
              <w:t> </w:t>
            </w:r>
          </w:p>
        </w:tc>
        <w:tc>
          <w:tcPr>
            <w:tcW w:w="9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BA825F7" w14:textId="77777777" w:rsidR="00030B76" w:rsidRPr="00320858" w:rsidRDefault="00030B76" w:rsidP="00E63B9D">
            <w:pPr>
              <w:pStyle w:val="16TableText"/>
            </w:pPr>
            <w:r w:rsidRPr="00320858">
              <w:t>X</w:t>
            </w:r>
          </w:p>
        </w:tc>
        <w:tc>
          <w:tcPr>
            <w:tcW w:w="13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C54907" w14:textId="77777777" w:rsidR="00030B76" w:rsidRPr="00320858" w:rsidRDefault="00030B76" w:rsidP="00E63B9D">
            <w:pPr>
              <w:pStyle w:val="16TableText"/>
            </w:pPr>
            <w:r w:rsidRPr="00320858">
              <w:t>X</w:t>
            </w:r>
          </w:p>
        </w:tc>
        <w:tc>
          <w:tcPr>
            <w:tcW w:w="116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78F5249" w14:textId="77777777" w:rsidR="00030B76" w:rsidRPr="00320858" w:rsidRDefault="00030B76" w:rsidP="00E63B9D">
            <w:pPr>
              <w:pStyle w:val="16TableText"/>
            </w:pPr>
            <w:r w:rsidRPr="00320858">
              <w:rPr>
                <w:rFonts w:hint="eastAsia"/>
              </w:rPr>
              <w:t> </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0546B9A" w14:textId="77777777" w:rsidR="00030B76" w:rsidRPr="00320858" w:rsidRDefault="00030B76" w:rsidP="00E63B9D">
            <w:pPr>
              <w:pStyle w:val="16TableText"/>
            </w:pPr>
            <w:r w:rsidRPr="00320858">
              <w:rPr>
                <w:rFonts w:hint="eastAsia"/>
              </w:rPr>
              <w:t>Compromise Programming</w:t>
            </w:r>
          </w:p>
        </w:tc>
        <w:tc>
          <w:tcPr>
            <w:tcW w:w="1654" w:type="dxa"/>
            <w:tcBorders>
              <w:top w:val="single" w:sz="8" w:space="0" w:color="A3A3A3"/>
              <w:left w:val="single" w:sz="8" w:space="0" w:color="A3A3A3"/>
              <w:bottom w:val="single" w:sz="8" w:space="0" w:color="A3A3A3"/>
              <w:right w:val="single" w:sz="4" w:space="0" w:color="auto"/>
            </w:tcBorders>
            <w:tcMar>
              <w:top w:w="80" w:type="dxa"/>
              <w:left w:w="80" w:type="dxa"/>
              <w:bottom w:w="80" w:type="dxa"/>
              <w:right w:w="80" w:type="dxa"/>
            </w:tcMar>
            <w:hideMark/>
          </w:tcPr>
          <w:p w14:paraId="61B0A572" w14:textId="77777777" w:rsidR="00030B76" w:rsidRPr="00C07269" w:rsidRDefault="00030B76" w:rsidP="00E63B9D">
            <w:pPr>
              <w:pStyle w:val="16TableText"/>
              <w:rPr>
                <w:color w:val="000000" w:themeColor="text1"/>
              </w:rPr>
            </w:pPr>
            <w:r w:rsidRPr="00C07269">
              <w:rPr>
                <w:rFonts w:ascii="Arial" w:hAnsi="Arial" w:cs="Arial"/>
                <w:color w:val="000000" w:themeColor="text1"/>
                <w:sz w:val="21"/>
                <w:szCs w:val="21"/>
                <w:shd w:val="clear" w:color="auto" w:fill="FFFFFF"/>
              </w:rPr>
              <w:t> ↓</w:t>
            </w:r>
            <w:r w:rsidRPr="00C07269">
              <w:rPr>
                <w:color w:val="000000" w:themeColor="text1"/>
              </w:rPr>
              <w:t xml:space="preserve">Cost, </w:t>
            </w:r>
            <w:r w:rsidRPr="00C07269">
              <w:rPr>
                <w:rStyle w:val="whyltd"/>
                <w:rFonts w:ascii="Arial" w:hAnsi="Arial" w:cs="Arial"/>
                <w:color w:val="000000" w:themeColor="text1"/>
                <w:sz w:val="21"/>
                <w:szCs w:val="21"/>
                <w:shd w:val="clear" w:color="auto" w:fill="FFFFFF"/>
              </w:rPr>
              <w:t>↑</w:t>
            </w:r>
            <w:r w:rsidRPr="00C07269">
              <w:rPr>
                <w:color w:val="000000" w:themeColor="text1"/>
              </w:rPr>
              <w:t xml:space="preserve">Comfort, </w:t>
            </w:r>
            <w:r w:rsidRPr="00C07269">
              <w:rPr>
                <w:rFonts w:ascii="Arial" w:hAnsi="Arial" w:cs="Arial"/>
                <w:color w:val="000000" w:themeColor="text1"/>
                <w:sz w:val="21"/>
                <w:szCs w:val="21"/>
                <w:shd w:val="clear" w:color="auto" w:fill="FFFFFF"/>
              </w:rPr>
              <w:t>↓</w:t>
            </w:r>
            <w:r w:rsidRPr="00C07269">
              <w:rPr>
                <w:color w:val="000000" w:themeColor="text1"/>
              </w:rPr>
              <w:t>Inconvenience</w:t>
            </w:r>
          </w:p>
        </w:tc>
      </w:tr>
      <w:tr w:rsidR="007B3C8F" w:rsidRPr="00320858" w14:paraId="37CDC3D6" w14:textId="77777777" w:rsidTr="007B3C8F">
        <w:tc>
          <w:tcPr>
            <w:tcW w:w="975" w:type="dxa"/>
            <w:tcBorders>
              <w:top w:val="single" w:sz="8" w:space="0" w:color="A3A3A3"/>
              <w:left w:val="single" w:sz="4" w:space="0" w:color="auto"/>
              <w:bottom w:val="single" w:sz="8" w:space="0" w:color="A3A3A3"/>
              <w:right w:val="single" w:sz="8" w:space="0" w:color="A3A3A3"/>
            </w:tcBorders>
            <w:tcMar>
              <w:top w:w="80" w:type="dxa"/>
              <w:left w:w="80" w:type="dxa"/>
              <w:bottom w:w="80" w:type="dxa"/>
              <w:right w:w="80" w:type="dxa"/>
            </w:tcMar>
            <w:hideMark/>
          </w:tcPr>
          <w:p w14:paraId="21659318" w14:textId="09EF14B7" w:rsidR="00030B76" w:rsidRPr="00320858" w:rsidRDefault="00030B76" w:rsidP="00E63B9D">
            <w:pPr>
              <w:pStyle w:val="16TableText"/>
            </w:pPr>
            <w:r w:rsidRPr="00320858">
              <w:fldChar w:fldCharType="begin"/>
            </w:r>
            <w:r w:rsidR="005D48B2">
              <w:instrText xml:space="preserve"> ADDIN ZOTERO_ITEM CSL_CITATION {"citationID":"R41BIQ6W","properties":{"formattedCitation":"[88]","plainCitation":"[88]","noteIndex":0},"citationItems":[{"id":197,"uris":["http://zotero.org/users/5659608/items/B54GTRJV"],"itemData":{"id":197,"type":"article-journal","abstract":"In this work, an algorithm for the scheduling of household appliances to reduce the energy cost and the peak-power consumption is proposed. The system architecture of a home energy management system (HEMS) is presented to operate the appliances. The dynamics of thermal and non-thermal appliances is represented into state-space model to formulate the scheduling task into a mixed-integer-linear-programming (MILP) optimization problem. Model predictive control (MPC) strategy is used to operate the appliances in real-time. The HEMS schedules the appliances in dynamic manner without any a priori knowledge of the load-consumption pattern. At the same time, the HEMS responds to the real-time electricity market and the external environmental conditions (solar radiation, ambient temperature, etc). Simulation results exhibit the benefits of the proposed HEMS by showing the reduction of up to 70% in electricity cost and up to 57% in peak power consumption.","container-title":"Applied Sciences","DOI":"10.3390/app10051627","journalAbbreviation":"Applied Sciences","page":"1627","source":"ResearchGate","title":"Application of Predictive Control in Scheduling of Domestic Appliances","volume":"10","author":[{"family":"Nagpal","given":"Himanshu"},{"family":"Staino","given":"Andrea"},{"family":"Basu","given":"Biswajit"}],"issued":{"date-parts":[["2020",2,29]]},"citation-key":"nagpalApplicationPredictiveControl2020"}}],"schema":"https://github.com/citation-style-language/schema/raw/master/csl-citation.json"} </w:instrText>
            </w:r>
            <w:r w:rsidRPr="00320858">
              <w:fldChar w:fldCharType="separate"/>
            </w:r>
            <w:r w:rsidR="00B10A4D" w:rsidRPr="00B10A4D">
              <w:t>[88]</w:t>
            </w:r>
            <w:r w:rsidRPr="00320858">
              <w:fldChar w:fldCharType="end"/>
            </w:r>
          </w:p>
        </w:tc>
        <w:tc>
          <w:tcPr>
            <w:tcW w:w="39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0C8C913" w14:textId="77777777" w:rsidR="00030B76" w:rsidRPr="00320858" w:rsidRDefault="00030B76" w:rsidP="00E63B9D">
            <w:pPr>
              <w:pStyle w:val="16TableText"/>
            </w:pPr>
            <w:r w:rsidRPr="00320858">
              <w:rPr>
                <w:rFonts w:hint="eastAsia"/>
              </w:rPr>
              <w:t> </w:t>
            </w:r>
          </w:p>
        </w:tc>
        <w:tc>
          <w:tcPr>
            <w:tcW w:w="1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D6B113" w14:textId="77777777" w:rsidR="00030B76" w:rsidRPr="00320858" w:rsidRDefault="00030B76" w:rsidP="00E63B9D">
            <w:pPr>
              <w:pStyle w:val="16TableText"/>
            </w:pPr>
            <w:r w:rsidRPr="00320858">
              <w:rPr>
                <w:rFonts w:hint="eastAsia"/>
              </w:rPr>
              <w:t> </w:t>
            </w:r>
          </w:p>
        </w:tc>
        <w:tc>
          <w:tcPr>
            <w:tcW w:w="3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453F134" w14:textId="77777777" w:rsidR="00030B76" w:rsidRPr="00320858" w:rsidRDefault="00030B76" w:rsidP="00E63B9D">
            <w:pPr>
              <w:pStyle w:val="16TableText"/>
            </w:pPr>
            <w:r w:rsidRPr="00320858">
              <w:t>X</w:t>
            </w:r>
          </w:p>
        </w:tc>
        <w:tc>
          <w:tcPr>
            <w:tcW w:w="9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5946CA" w14:textId="77777777" w:rsidR="00030B76" w:rsidRPr="00320858" w:rsidRDefault="00030B76" w:rsidP="00E63B9D">
            <w:pPr>
              <w:pStyle w:val="16TableText"/>
            </w:pPr>
            <w:r w:rsidRPr="00320858">
              <w:t>X</w:t>
            </w:r>
          </w:p>
        </w:tc>
        <w:tc>
          <w:tcPr>
            <w:tcW w:w="13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FD6045" w14:textId="77777777" w:rsidR="00030B76" w:rsidRPr="00320858" w:rsidRDefault="00030B76" w:rsidP="00E63B9D">
            <w:pPr>
              <w:pStyle w:val="16TableText"/>
            </w:pPr>
            <w:r w:rsidRPr="00320858">
              <w:t>X</w:t>
            </w:r>
          </w:p>
        </w:tc>
        <w:tc>
          <w:tcPr>
            <w:tcW w:w="116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D62E2FA" w14:textId="77777777" w:rsidR="00030B76" w:rsidRPr="00320858" w:rsidRDefault="00030B76" w:rsidP="00E63B9D">
            <w:pPr>
              <w:pStyle w:val="16TableText"/>
            </w:pPr>
            <w:r w:rsidRPr="00320858">
              <w:t>X</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5AA553A" w14:textId="77777777" w:rsidR="00030B76" w:rsidRPr="00320858" w:rsidRDefault="00030B76" w:rsidP="00E63B9D">
            <w:pPr>
              <w:pStyle w:val="16TableText"/>
            </w:pPr>
            <w:r w:rsidRPr="00320858">
              <w:t xml:space="preserve">MIP </w:t>
            </w:r>
          </w:p>
        </w:tc>
        <w:tc>
          <w:tcPr>
            <w:tcW w:w="1654" w:type="dxa"/>
            <w:tcBorders>
              <w:top w:val="single" w:sz="8" w:space="0" w:color="A3A3A3"/>
              <w:left w:val="single" w:sz="8" w:space="0" w:color="A3A3A3"/>
              <w:bottom w:val="single" w:sz="8" w:space="0" w:color="A3A3A3"/>
              <w:right w:val="single" w:sz="4" w:space="0" w:color="auto"/>
            </w:tcBorders>
            <w:tcMar>
              <w:top w:w="80" w:type="dxa"/>
              <w:left w:w="80" w:type="dxa"/>
              <w:bottom w:w="80" w:type="dxa"/>
              <w:right w:w="80" w:type="dxa"/>
            </w:tcMar>
            <w:hideMark/>
          </w:tcPr>
          <w:p w14:paraId="22948C0E" w14:textId="77777777" w:rsidR="00030B76" w:rsidRPr="00C07269" w:rsidRDefault="00030B76" w:rsidP="00E63B9D">
            <w:pPr>
              <w:pStyle w:val="16TableText"/>
              <w:rPr>
                <w:color w:val="000000" w:themeColor="text1"/>
              </w:rPr>
            </w:pPr>
            <w:r w:rsidRPr="00C07269">
              <w:rPr>
                <w:rFonts w:ascii="Arial" w:hAnsi="Arial" w:cs="Arial"/>
                <w:color w:val="000000" w:themeColor="text1"/>
                <w:sz w:val="21"/>
                <w:szCs w:val="21"/>
                <w:shd w:val="clear" w:color="auto" w:fill="FFFFFF"/>
              </w:rPr>
              <w:t>↓</w:t>
            </w:r>
            <w:r w:rsidRPr="00C07269">
              <w:rPr>
                <w:color w:val="000000" w:themeColor="text1"/>
              </w:rPr>
              <w:t xml:space="preserve">Cost </w:t>
            </w:r>
          </w:p>
        </w:tc>
      </w:tr>
      <w:tr w:rsidR="007B3C8F" w:rsidRPr="00320858" w14:paraId="04905910" w14:textId="77777777" w:rsidTr="007B3C8F">
        <w:tc>
          <w:tcPr>
            <w:tcW w:w="975" w:type="dxa"/>
            <w:tcBorders>
              <w:top w:val="single" w:sz="8" w:space="0" w:color="A3A3A3"/>
              <w:left w:val="single" w:sz="4" w:space="0" w:color="auto"/>
              <w:bottom w:val="single" w:sz="8" w:space="0" w:color="A3A3A3"/>
              <w:right w:val="single" w:sz="8" w:space="0" w:color="A3A3A3"/>
            </w:tcBorders>
            <w:tcMar>
              <w:top w:w="80" w:type="dxa"/>
              <w:left w:w="80" w:type="dxa"/>
              <w:bottom w:w="80" w:type="dxa"/>
              <w:right w:w="80" w:type="dxa"/>
            </w:tcMar>
            <w:hideMark/>
          </w:tcPr>
          <w:p w14:paraId="6BDEBEE8" w14:textId="20C66301" w:rsidR="00030B76" w:rsidRPr="00320858" w:rsidRDefault="00030B76" w:rsidP="00E63B9D">
            <w:pPr>
              <w:pStyle w:val="16TableText"/>
            </w:pPr>
            <w:r w:rsidRPr="00320858">
              <w:fldChar w:fldCharType="begin"/>
            </w:r>
            <w:r w:rsidR="003A084E">
              <w:instrText xml:space="preserve"> ADDIN ZOTERO_ITEM CSL_CITATION {"citationID":"z99UpdEr","properties":{"formattedCitation":"[87]","plainCitation":"[87]","noteIndex":0},"citationItems":[{"id":"qZuNWCV4/U6quUKwL","uris":["http://zotero.org/users/5659608/items/P96CEFZ4"],"itemData":{"id":184,"type":"article-journal","abstract":"Of the total electricity-generating capacity in the United States, 20% is dedicated to meet peak loads. Strategies to mitigate volatility in energy consumption have the potential to reduce the need for this surplus capacity. Here we investigate the potential for residential consumers to lower community-level peak demand through home energy management systems. We focus on the combination of air-conditioning use with the operation of time-shiftable appliances in the southern U.S. A centralized model predictive control (MPC) scheme minimizes peak air-conditioning (A/C) energy use by altering the thermostat set-points in individual homes. We simultaneously schedule the operation of time-shiftable appliances to further reduce the community peak load. The scheduling problem is formulated as a mixed-integer linear program (MILP) aimed at minimizing peak load under constraints that reflect the start times and allowed delays of individual appliances (e.g. dishwashers, washing machines, dryers) in each house. Using sample data collected from residential homes and consumer survey data located in Austin, TX, USA we show that the proposed integrated control and scheduling approach can minimize the peak load for the neighborhood by leveraging the physical differences and individual preferences between houses. On average, our framework is able to reduce the daily peak load for the group of houses by 25.5% (18.2kW) when compared with the load for individually controlled thermostat settings and appliance start times.","container-title":"Energy and Buildings","DOI":"10.1016/j.enbuild.2016.04.003","ISSN":"0378-7788","journalAbbreviation":"Energy and Buildings","language":"en","page":"34-40","source":"ScienceDirect","title":"Integrated HVAC management and optimal scheduling of smart appliances for community peak load reduction","volume":"123","author":[{"family":"Perez","given":"Krystian X."},{"family":"Baldea","given":"Michael"},{"family":"Edgar","given":"Thomas F."}],"issued":{"date-parts":[["2016",7,1]]},"citation-key":"perezIntegratedHVACManagement2016"}}],"schema":"https://github.com/citation-style-language/schema/raw/master/csl-citation.json"} </w:instrText>
            </w:r>
            <w:r w:rsidRPr="00320858">
              <w:fldChar w:fldCharType="separate"/>
            </w:r>
            <w:r w:rsidR="00B10A4D" w:rsidRPr="00B10A4D">
              <w:t>[87]</w:t>
            </w:r>
            <w:r w:rsidRPr="00320858">
              <w:fldChar w:fldCharType="end"/>
            </w:r>
          </w:p>
        </w:tc>
        <w:tc>
          <w:tcPr>
            <w:tcW w:w="39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4EC623" w14:textId="77777777" w:rsidR="00030B76" w:rsidRPr="00320858" w:rsidRDefault="00030B76" w:rsidP="00E63B9D">
            <w:pPr>
              <w:pStyle w:val="16TableText"/>
            </w:pPr>
            <w:r w:rsidRPr="00320858">
              <w:rPr>
                <w:rFonts w:hint="eastAsia"/>
              </w:rPr>
              <w:t> </w:t>
            </w:r>
          </w:p>
        </w:tc>
        <w:tc>
          <w:tcPr>
            <w:tcW w:w="1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14104B" w14:textId="77777777" w:rsidR="00030B76" w:rsidRPr="00320858" w:rsidRDefault="00030B76" w:rsidP="00E63B9D">
            <w:pPr>
              <w:pStyle w:val="16TableText"/>
            </w:pPr>
            <w:r w:rsidRPr="00320858">
              <w:rPr>
                <w:rFonts w:hint="eastAsia"/>
              </w:rPr>
              <w:t> </w:t>
            </w:r>
          </w:p>
        </w:tc>
        <w:tc>
          <w:tcPr>
            <w:tcW w:w="3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4C1F672" w14:textId="77777777" w:rsidR="00030B76" w:rsidRPr="00320858" w:rsidRDefault="00030B76" w:rsidP="00E63B9D">
            <w:pPr>
              <w:pStyle w:val="16TableText"/>
            </w:pPr>
            <w:r w:rsidRPr="00320858">
              <w:t>X</w:t>
            </w:r>
          </w:p>
        </w:tc>
        <w:tc>
          <w:tcPr>
            <w:tcW w:w="9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184E28" w14:textId="77777777" w:rsidR="00030B76" w:rsidRPr="00320858" w:rsidRDefault="00030B76" w:rsidP="00E63B9D">
            <w:pPr>
              <w:pStyle w:val="16TableText"/>
            </w:pPr>
            <w:r w:rsidRPr="00320858">
              <w:t> </w:t>
            </w:r>
          </w:p>
        </w:tc>
        <w:tc>
          <w:tcPr>
            <w:tcW w:w="13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7B06BD" w14:textId="77777777" w:rsidR="00030B76" w:rsidRPr="00320858" w:rsidRDefault="00030B76" w:rsidP="00E63B9D">
            <w:pPr>
              <w:pStyle w:val="16TableText"/>
            </w:pPr>
            <w:r w:rsidRPr="00320858">
              <w:t>X</w:t>
            </w:r>
          </w:p>
        </w:tc>
        <w:tc>
          <w:tcPr>
            <w:tcW w:w="116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BE2898" w14:textId="77777777" w:rsidR="00030B76" w:rsidRPr="00320858" w:rsidRDefault="00030B76" w:rsidP="00E63B9D">
            <w:pPr>
              <w:pStyle w:val="16TableText"/>
            </w:pPr>
            <w:r w:rsidRPr="00320858">
              <w:t>X(ARX)</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28484F" w14:textId="77777777" w:rsidR="00030B76" w:rsidRPr="00320858" w:rsidRDefault="00030B76" w:rsidP="00E63B9D">
            <w:pPr>
              <w:pStyle w:val="16TableText"/>
            </w:pPr>
            <w:r w:rsidRPr="00320858">
              <w:t>MIP</w:t>
            </w:r>
          </w:p>
        </w:tc>
        <w:tc>
          <w:tcPr>
            <w:tcW w:w="1654" w:type="dxa"/>
            <w:tcBorders>
              <w:top w:val="single" w:sz="8" w:space="0" w:color="A3A3A3"/>
              <w:left w:val="single" w:sz="8" w:space="0" w:color="A3A3A3"/>
              <w:bottom w:val="single" w:sz="8" w:space="0" w:color="A3A3A3"/>
              <w:right w:val="single" w:sz="4" w:space="0" w:color="auto"/>
            </w:tcBorders>
            <w:tcMar>
              <w:top w:w="80" w:type="dxa"/>
              <w:left w:w="80" w:type="dxa"/>
              <w:bottom w:w="80" w:type="dxa"/>
              <w:right w:w="80" w:type="dxa"/>
            </w:tcMar>
            <w:hideMark/>
          </w:tcPr>
          <w:p w14:paraId="3B6AA031" w14:textId="77777777" w:rsidR="00030B76" w:rsidRPr="00320858" w:rsidRDefault="00030B76" w:rsidP="00E63B9D">
            <w:pPr>
              <w:pStyle w:val="16TableText"/>
            </w:pPr>
            <w:r w:rsidRPr="00320858">
              <w:rPr>
                <w:rFonts w:ascii="Arial" w:hAnsi="Arial" w:cs="Arial"/>
                <w:sz w:val="21"/>
                <w:szCs w:val="21"/>
                <w:shd w:val="clear" w:color="auto" w:fill="FFFFFF"/>
              </w:rPr>
              <w:t>↓</w:t>
            </w:r>
            <w:r w:rsidRPr="00320858">
              <w:t>Peak Load</w:t>
            </w:r>
          </w:p>
        </w:tc>
      </w:tr>
      <w:tr w:rsidR="007B3C8F" w:rsidRPr="00320858" w14:paraId="1827F489" w14:textId="77777777" w:rsidTr="007B3C8F">
        <w:tc>
          <w:tcPr>
            <w:tcW w:w="975" w:type="dxa"/>
            <w:tcBorders>
              <w:top w:val="single" w:sz="8" w:space="0" w:color="A3A3A3"/>
              <w:left w:val="single" w:sz="4" w:space="0" w:color="auto"/>
              <w:bottom w:val="single" w:sz="8" w:space="0" w:color="A3A3A3"/>
              <w:right w:val="single" w:sz="8" w:space="0" w:color="A3A3A3"/>
            </w:tcBorders>
            <w:tcMar>
              <w:top w:w="80" w:type="dxa"/>
              <w:left w:w="80" w:type="dxa"/>
              <w:bottom w:w="80" w:type="dxa"/>
              <w:right w:w="80" w:type="dxa"/>
            </w:tcMar>
            <w:hideMark/>
          </w:tcPr>
          <w:p w14:paraId="30B57C73" w14:textId="030CCE27" w:rsidR="00030B76" w:rsidRPr="00320858" w:rsidRDefault="00030B76" w:rsidP="00E63B9D">
            <w:pPr>
              <w:pStyle w:val="16TableText"/>
            </w:pPr>
            <w:r w:rsidRPr="00320858">
              <w:fldChar w:fldCharType="begin"/>
            </w:r>
            <w:r w:rsidR="005D48B2">
              <w:instrText xml:space="preserve"> ADDIN ZOTERO_ITEM CSL_CITATION {"citationID":"oYKaCx9h","properties":{"formattedCitation":"[89]","plainCitation":"[89]","noteIndex":0},"citationItems":[{"id":179,"uris":["http://zotero.org/users/5659608/items/6Y23FQXI"],"itemData":{"id":179,"type":"article-journal","abstract":"This paper proposes an appliance scheduling scheme for residential building energy management controllers, by taking advantage of the time-varying retail pricing enabled by the two-way communication infrastructure of the smart grid. Finite-horizon scheduling optimization problems are formulated to exploit operational flexibilities of thermal and non-thermal appliances using a model predictive control (MPC) method which incorporates both forecasts and newly updated information. For thermal appliance scheduling, the thermal mass of the building, which serves as thermal storage, is integrated into the optimization problem by modeling the thermodynamics of rooms in a building as constraints. Within the comfort range modeled by the predicted mean vote (PMV) index, thermal appliances are scheduled smartly together with thermal mass storage to hedge against high prices and make use of low-price time periods. For non-thermal appliance scheduling, in which delay and/or power consumption flexibilities are available, operation dependence of inter-appliance and intra-appliance is modeled to further exploit the price variation. Simulation results show that customers have notable energy cost savings on their electricity bills with time-varying pricing. The impact of customers' preferences of appliances usage on energy cost savings is also evaluated.","container-title":"IEEE Transactions on Smart Grid","DOI":"10.1109/TSG.2013.2265239","ISSN":"1949-3061","issue":"3","note":"event-title: IEEE Transactions on Smart Grid","page":"1401-1410","source":"IEEE Xplore","title":"MPC-Based Appliance Scheduling for Residential Building Energy Management Controller","volume":"4","author":[{"family":"Chen","given":"C."},{"family":"Wang","given":"J."},{"family":"Heo","given":"Y."},{"family":"Kishore","given":"S."}],"issued":{"date-parts":[["2013",9]]},"citation-key":"chenMPCBasedApplianceScheduling2013"}}],"schema":"https://github.com/citation-style-language/schema/raw/master/csl-citation.json"} </w:instrText>
            </w:r>
            <w:r w:rsidRPr="00320858">
              <w:fldChar w:fldCharType="separate"/>
            </w:r>
            <w:r w:rsidR="00B10A4D" w:rsidRPr="00B10A4D">
              <w:t>[89]</w:t>
            </w:r>
            <w:r w:rsidRPr="00320858">
              <w:fldChar w:fldCharType="end"/>
            </w:r>
          </w:p>
        </w:tc>
        <w:tc>
          <w:tcPr>
            <w:tcW w:w="39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74261D" w14:textId="77777777" w:rsidR="00030B76" w:rsidRPr="00320858" w:rsidRDefault="00030B76" w:rsidP="00E63B9D">
            <w:pPr>
              <w:pStyle w:val="16TableText"/>
            </w:pPr>
            <w:r w:rsidRPr="00320858">
              <w:rPr>
                <w:rFonts w:hint="eastAsia"/>
              </w:rPr>
              <w:t> </w:t>
            </w:r>
          </w:p>
        </w:tc>
        <w:tc>
          <w:tcPr>
            <w:tcW w:w="1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E6F450" w14:textId="77777777" w:rsidR="00030B76" w:rsidRPr="00320858" w:rsidRDefault="00030B76" w:rsidP="00E63B9D">
            <w:pPr>
              <w:pStyle w:val="16TableText"/>
            </w:pPr>
            <w:r w:rsidRPr="00320858">
              <w:rPr>
                <w:rFonts w:hint="eastAsia"/>
              </w:rPr>
              <w:t> </w:t>
            </w:r>
          </w:p>
        </w:tc>
        <w:tc>
          <w:tcPr>
            <w:tcW w:w="3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37695E" w14:textId="77777777" w:rsidR="00030B76" w:rsidRPr="00320858" w:rsidRDefault="00030B76" w:rsidP="00E63B9D">
            <w:pPr>
              <w:pStyle w:val="16TableText"/>
            </w:pPr>
            <w:r w:rsidRPr="00320858">
              <w:t>X</w:t>
            </w:r>
          </w:p>
        </w:tc>
        <w:tc>
          <w:tcPr>
            <w:tcW w:w="9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6D21FDB" w14:textId="77777777" w:rsidR="00030B76" w:rsidRPr="00320858" w:rsidRDefault="00030B76" w:rsidP="00E63B9D">
            <w:pPr>
              <w:pStyle w:val="16TableText"/>
            </w:pPr>
            <w:r w:rsidRPr="00320858">
              <w:rPr>
                <w:rFonts w:hint="eastAsia"/>
              </w:rPr>
              <w:t> </w:t>
            </w:r>
          </w:p>
        </w:tc>
        <w:tc>
          <w:tcPr>
            <w:tcW w:w="13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61CCCD4" w14:textId="77777777" w:rsidR="00030B76" w:rsidRPr="00320858" w:rsidRDefault="00030B76" w:rsidP="00E63B9D">
            <w:pPr>
              <w:pStyle w:val="16TableText"/>
            </w:pPr>
            <w:r w:rsidRPr="00320858">
              <w:t>X</w:t>
            </w:r>
          </w:p>
        </w:tc>
        <w:tc>
          <w:tcPr>
            <w:tcW w:w="116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9EACAA9" w14:textId="77777777" w:rsidR="00030B76" w:rsidRPr="00320858" w:rsidRDefault="00030B76" w:rsidP="00E63B9D">
            <w:pPr>
              <w:pStyle w:val="16TableText"/>
            </w:pPr>
            <w:r w:rsidRPr="00320858">
              <w:t>X</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F6DB9F1" w14:textId="77777777" w:rsidR="00030B76" w:rsidRPr="00320858" w:rsidRDefault="00030B76" w:rsidP="00E63B9D">
            <w:pPr>
              <w:pStyle w:val="16TableText"/>
            </w:pPr>
            <w:r w:rsidRPr="00320858">
              <w:t>MIP</w:t>
            </w:r>
          </w:p>
        </w:tc>
        <w:tc>
          <w:tcPr>
            <w:tcW w:w="1654" w:type="dxa"/>
            <w:tcBorders>
              <w:top w:val="single" w:sz="8" w:space="0" w:color="A3A3A3"/>
              <w:left w:val="single" w:sz="8" w:space="0" w:color="A3A3A3"/>
              <w:bottom w:val="single" w:sz="8" w:space="0" w:color="A3A3A3"/>
              <w:right w:val="single" w:sz="4" w:space="0" w:color="auto"/>
            </w:tcBorders>
            <w:tcMar>
              <w:top w:w="80" w:type="dxa"/>
              <w:left w:w="80" w:type="dxa"/>
              <w:bottom w:w="80" w:type="dxa"/>
              <w:right w:w="80" w:type="dxa"/>
            </w:tcMar>
            <w:hideMark/>
          </w:tcPr>
          <w:p w14:paraId="6F8338D3" w14:textId="77777777" w:rsidR="00030B76" w:rsidRPr="00320858" w:rsidRDefault="00030B76" w:rsidP="00E63B9D">
            <w:pPr>
              <w:pStyle w:val="16TableText"/>
            </w:pPr>
            <w:r w:rsidRPr="00320858">
              <w:rPr>
                <w:rFonts w:ascii="Arial" w:hAnsi="Arial" w:cs="Arial"/>
                <w:sz w:val="21"/>
                <w:szCs w:val="21"/>
                <w:shd w:val="clear" w:color="auto" w:fill="FFFFFF"/>
              </w:rPr>
              <w:t>↓</w:t>
            </w:r>
            <w:r w:rsidRPr="00320858">
              <w:t>Cost</w:t>
            </w:r>
          </w:p>
        </w:tc>
      </w:tr>
      <w:tr w:rsidR="007B3C8F" w:rsidRPr="00320858" w14:paraId="1ACA7BD8" w14:textId="77777777" w:rsidTr="007B3C8F">
        <w:tc>
          <w:tcPr>
            <w:tcW w:w="975" w:type="dxa"/>
            <w:tcBorders>
              <w:top w:val="single" w:sz="8" w:space="0" w:color="A3A3A3"/>
              <w:left w:val="single" w:sz="4" w:space="0" w:color="auto"/>
              <w:bottom w:val="single" w:sz="8" w:space="0" w:color="A3A3A3"/>
              <w:right w:val="single" w:sz="8" w:space="0" w:color="A3A3A3"/>
            </w:tcBorders>
            <w:tcMar>
              <w:top w:w="80" w:type="dxa"/>
              <w:left w:w="80" w:type="dxa"/>
              <w:bottom w:w="80" w:type="dxa"/>
              <w:right w:w="80" w:type="dxa"/>
            </w:tcMar>
            <w:hideMark/>
          </w:tcPr>
          <w:p w14:paraId="4FDCE53D" w14:textId="50024193" w:rsidR="00030B76" w:rsidRPr="00320858" w:rsidRDefault="00030B76" w:rsidP="00E63B9D">
            <w:pPr>
              <w:pStyle w:val="16TableText"/>
            </w:pPr>
            <w:r w:rsidRPr="00320858">
              <w:fldChar w:fldCharType="begin"/>
            </w:r>
            <w:r w:rsidR="005D48B2">
              <w:instrText xml:space="preserve"> ADDIN ZOTERO_ITEM CSL_CITATION {"citationID":"Z6QVnOCC","properties":{"formattedCitation":"[90]","plainCitation":"[90]","noteIndex":0},"citationItems":[{"id":1019,"uris":["http://zotero.org/users/5659608/items/9ZH59P7Z"],"itemData":{"id":1019,"type":"paper-conference","abstract":"The objective of this study is to optimal scheduling of resources and loads in a smart home (SH) including photovoltaic (PV) panel, battery, plug-in electric vehicle (PEV) and electric heater (EH) along with electrical and thermal loads. Advantages of SH with the proposed structure is that all electrical and thermal loads can be met by electric energy and as a result, it decreases additional investment in natural gas infrastructure, balances electricity and natural gas consumption during seasons, reduces air pollution in home environment, and diminishes SH bills. To this end, an energy management system (EMS) is designed using shuffled frog leaping (SFLA) algorithm for load and resource scheduling such that SH daily energy consumption cost is minimum. Performance of the SH in different scenarios are studied, a feasibility study for the SH is conducted and the results are discussed. Simulation results show that SFLA algorithm has higher capability compared to other algorithms in solving optimal energy management problem in the SH, and it has been shown that PEV which will penetrate significantly in future, has a considerable effect on SH costs and should be considered in residential planning studies.","container-title":"2017 Smart Grid Conference (SGC)","DOI":"10.1109/SGC.2017.8308855","event-title":"2017 Smart Grid Conference (SGC)","note":"ISSN: 2572-6927","page":"1-7","source":"IEEE Xplore","title":"Energy management in smart home including PV panel, battery, electric heater with integration of plug-in electric vehicle","author":[{"family":"Lorestani","given":"Alireza"},{"family":"Aghaee","given":"Seyed Saeed"},{"family":"Gharehpetian","given":"Gevork B."},{"family":"Ardehali","given":"Morteza Mohammadi"}],"issued":{"date-parts":[["2017"]]},"citation-key":"lorestaniEnergyManagementSmart2017"}}],"schema":"https://github.com/citation-style-language/schema/raw/master/csl-citation.json"} </w:instrText>
            </w:r>
            <w:r w:rsidRPr="00320858">
              <w:fldChar w:fldCharType="separate"/>
            </w:r>
            <w:r w:rsidR="00B10A4D" w:rsidRPr="00B10A4D">
              <w:t>[90]</w:t>
            </w:r>
            <w:r w:rsidRPr="00320858">
              <w:fldChar w:fldCharType="end"/>
            </w:r>
          </w:p>
        </w:tc>
        <w:tc>
          <w:tcPr>
            <w:tcW w:w="39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8533B36" w14:textId="77777777" w:rsidR="00030B76" w:rsidRPr="00320858" w:rsidRDefault="00030B76" w:rsidP="00E63B9D">
            <w:pPr>
              <w:pStyle w:val="16TableText"/>
            </w:pPr>
            <w:r w:rsidRPr="00320858">
              <w:t>X</w:t>
            </w:r>
          </w:p>
        </w:tc>
        <w:tc>
          <w:tcPr>
            <w:tcW w:w="1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C136F97" w14:textId="77777777" w:rsidR="00030B76" w:rsidRPr="00320858" w:rsidRDefault="00030B76" w:rsidP="00E63B9D">
            <w:pPr>
              <w:pStyle w:val="16TableText"/>
            </w:pPr>
            <w:r w:rsidRPr="00320858">
              <w:t>X</w:t>
            </w:r>
          </w:p>
        </w:tc>
        <w:tc>
          <w:tcPr>
            <w:tcW w:w="3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0ACE00D" w14:textId="77777777" w:rsidR="00030B76" w:rsidRPr="00320858" w:rsidRDefault="00030B76" w:rsidP="00E63B9D">
            <w:pPr>
              <w:pStyle w:val="16TableText"/>
            </w:pPr>
            <w:r w:rsidRPr="00320858">
              <w:rPr>
                <w:rFonts w:hint="eastAsia"/>
              </w:rPr>
              <w:t> </w:t>
            </w:r>
          </w:p>
        </w:tc>
        <w:tc>
          <w:tcPr>
            <w:tcW w:w="9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1C37A7" w14:textId="77777777" w:rsidR="00030B76" w:rsidRPr="00320858" w:rsidRDefault="00030B76" w:rsidP="00E63B9D">
            <w:pPr>
              <w:pStyle w:val="16TableText"/>
            </w:pPr>
            <w:r w:rsidRPr="00320858">
              <w:t>X</w:t>
            </w:r>
          </w:p>
        </w:tc>
        <w:tc>
          <w:tcPr>
            <w:tcW w:w="13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C8FCEEB" w14:textId="77777777" w:rsidR="00030B76" w:rsidRPr="00320858" w:rsidRDefault="00030B76" w:rsidP="00E63B9D">
            <w:pPr>
              <w:pStyle w:val="16TableText"/>
            </w:pPr>
            <w:r w:rsidRPr="00320858">
              <w:t>X(EV)</w:t>
            </w:r>
          </w:p>
        </w:tc>
        <w:tc>
          <w:tcPr>
            <w:tcW w:w="116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401F1A1" w14:textId="77777777" w:rsidR="00030B76" w:rsidRPr="00320858" w:rsidRDefault="00030B76" w:rsidP="00E63B9D">
            <w:pPr>
              <w:pStyle w:val="16TableText"/>
            </w:pPr>
            <w:r w:rsidRPr="00320858">
              <w:rPr>
                <w:rFonts w:hint="eastAsia"/>
              </w:rPr>
              <w:t> </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9F6250" w14:textId="77777777" w:rsidR="00030B76" w:rsidRPr="00320858" w:rsidRDefault="00030B76" w:rsidP="00E63B9D">
            <w:pPr>
              <w:pStyle w:val="16TableText"/>
            </w:pPr>
            <w:r w:rsidRPr="00320858">
              <w:t>GA</w:t>
            </w:r>
          </w:p>
        </w:tc>
        <w:tc>
          <w:tcPr>
            <w:tcW w:w="1654" w:type="dxa"/>
            <w:tcBorders>
              <w:top w:val="single" w:sz="8" w:space="0" w:color="A3A3A3"/>
              <w:left w:val="single" w:sz="8" w:space="0" w:color="A3A3A3"/>
              <w:bottom w:val="single" w:sz="8" w:space="0" w:color="A3A3A3"/>
              <w:right w:val="single" w:sz="4" w:space="0" w:color="auto"/>
            </w:tcBorders>
            <w:tcMar>
              <w:top w:w="80" w:type="dxa"/>
              <w:left w:w="80" w:type="dxa"/>
              <w:bottom w:w="80" w:type="dxa"/>
              <w:right w:w="80" w:type="dxa"/>
            </w:tcMar>
            <w:hideMark/>
          </w:tcPr>
          <w:p w14:paraId="628B7313" w14:textId="77777777" w:rsidR="00030B76" w:rsidRPr="00320858" w:rsidRDefault="00030B76" w:rsidP="00E63B9D">
            <w:pPr>
              <w:pStyle w:val="16TableText"/>
            </w:pPr>
            <w:r w:rsidRPr="00320858">
              <w:rPr>
                <w:rFonts w:ascii="Arial" w:hAnsi="Arial" w:cs="Arial"/>
                <w:sz w:val="21"/>
                <w:szCs w:val="21"/>
                <w:shd w:val="clear" w:color="auto" w:fill="FFFFFF"/>
              </w:rPr>
              <w:t>↓</w:t>
            </w:r>
            <w:r w:rsidRPr="00320858">
              <w:t>Cost</w:t>
            </w:r>
          </w:p>
        </w:tc>
      </w:tr>
      <w:tr w:rsidR="007B3C8F" w:rsidRPr="00320858" w14:paraId="6FAC4FF0" w14:textId="77777777" w:rsidTr="007B3C8F">
        <w:tc>
          <w:tcPr>
            <w:tcW w:w="975" w:type="dxa"/>
            <w:tcBorders>
              <w:top w:val="single" w:sz="8" w:space="0" w:color="A3A3A3"/>
              <w:left w:val="single" w:sz="4" w:space="0" w:color="auto"/>
              <w:bottom w:val="single" w:sz="8" w:space="0" w:color="A3A3A3"/>
              <w:right w:val="single" w:sz="8" w:space="0" w:color="A3A3A3"/>
            </w:tcBorders>
            <w:tcMar>
              <w:top w:w="80" w:type="dxa"/>
              <w:left w:w="80" w:type="dxa"/>
              <w:bottom w:w="80" w:type="dxa"/>
              <w:right w:w="80" w:type="dxa"/>
            </w:tcMar>
            <w:hideMark/>
          </w:tcPr>
          <w:p w14:paraId="64FDBC12" w14:textId="49C9CB22" w:rsidR="00030B76" w:rsidRPr="00320858" w:rsidRDefault="00030B76" w:rsidP="00E63B9D">
            <w:pPr>
              <w:pStyle w:val="16TableText"/>
            </w:pPr>
            <w:r w:rsidRPr="00320858">
              <w:fldChar w:fldCharType="begin"/>
            </w:r>
            <w:r w:rsidR="0082416B">
              <w:instrText xml:space="preserve"> ADDIN ZOTERO_ITEM CSL_CITATION {"citationID":"a33v6mfgsl","properties":{"formattedCitation":"[95]","plainCitation":"[95]","noteIndex":0},"citationItems":[{"id":1991,"uris":["http://zotero.org/users/5659608/items/C55PGQBV"],"itemData":{"id":1991,"type":"article-journal","abstract":"Smart home energy management (SHEM) with residential photovoltaic (PV)-battery systems is a complicated issue with different facets. An integrated SHEM model covering the essential functions is missing. Meanwhile, residential PV-battery systems' optimal operations with renewable energy exchanges and imperfect forecasts are still open challenges. In this study, the research activities in SHEM are firstly organized by a pyramid with four functional layers: (i) Monitoring; (ii) Analyzing and forecasting; (iii) Scheduling; and (iv) Coordinating, which can serve as a standard pathway for developing SHEM. Second, guided by the pyramid taxonomy, an integrated SHEM model is developed for residential houses with PV-battery systems. Assuming a perfect Monitoring layer, we obtain the probabilistic load/PV forecasts and user preference vectors of shiftable appliances based on historical data. Then, we develop a two-stage stochastic programming model for optimal scheduling of single houses with a grid-connected PV-battery system, incorporating the probabilistic forecasts and user preference vectors. A retail electricity market with day-ahead (DA) and real-time (RT) markets is employed for leveraging imperfect forecasts. Finally, we design a distributed coordinating algorithm - Asynchronous Scheduling and Iterative Pricing for PV power-sharing among multiple prosumers based on the single-house scheduling model. Numerical simulations based on realistic loads and PV generation data validated the two-stage stochastic programming model's economic superiority and the distributed PV power-sharing approach compared with the rule-based dispatching and selfish scheduling strategies. We concluded that 1) the modeling of load/PV forecast uncertainties is valuable than averaging or ignoring them, 2) the two-stage stochastic programming model and the DA-RT retail electricity market are beneficial for utilizing imperfect forecasts, and 3) coordinating multiple prosumers could benefit each household by sharing PV and battery investments for revenue or trading with local small prosumers for cost reductions.","container-title":"Applied Energy","DOI":"10.1016/j.apenergy.2021.117159","ISSN":"0306-2619","journalAbbreviation":"Applied Energy","language":"en","page":"117159","source":"ScienceDirect","title":"An integrated smart home energy management model based on a pyramid taxonomy for residential houses with photovoltaic-battery systems","volume":"298","author":[{"family":"Zheng","given":"Zhuang"},{"family":"Sun","given":"Zhankun"},{"family":"Pan","given":"Jia"},{"family":"Luo","given":"Xiaowei"}],"issued":{"date-parts":[["2021",9,15]]},"citation-key":"zhengIntegratedSmartHome2021"}}],"schema":"https://github.com/citation-style-language/schema/raw/master/csl-citation.json"} </w:instrText>
            </w:r>
            <w:r w:rsidRPr="00320858">
              <w:fldChar w:fldCharType="separate"/>
            </w:r>
            <w:r w:rsidR="0082416B" w:rsidRPr="0082416B">
              <w:rPr>
                <w:szCs w:val="24"/>
              </w:rPr>
              <w:t>[95]</w:t>
            </w:r>
            <w:r w:rsidRPr="00320858">
              <w:fldChar w:fldCharType="end"/>
            </w:r>
          </w:p>
        </w:tc>
        <w:tc>
          <w:tcPr>
            <w:tcW w:w="39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524FDFD" w14:textId="77777777" w:rsidR="00030B76" w:rsidRPr="00320858" w:rsidRDefault="00030B76" w:rsidP="00E63B9D">
            <w:pPr>
              <w:pStyle w:val="16TableText"/>
            </w:pPr>
            <w:r w:rsidRPr="00320858">
              <w:t>X</w:t>
            </w:r>
          </w:p>
        </w:tc>
        <w:tc>
          <w:tcPr>
            <w:tcW w:w="1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30D1FE" w14:textId="77777777" w:rsidR="00030B76" w:rsidRPr="00320858" w:rsidRDefault="00030B76" w:rsidP="00E63B9D">
            <w:pPr>
              <w:pStyle w:val="16TableText"/>
            </w:pPr>
            <w:r w:rsidRPr="00320858">
              <w:t>X</w:t>
            </w:r>
          </w:p>
        </w:tc>
        <w:tc>
          <w:tcPr>
            <w:tcW w:w="3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6F4B326" w14:textId="77777777" w:rsidR="00030B76" w:rsidRPr="00320858" w:rsidRDefault="00030B76" w:rsidP="00E63B9D">
            <w:pPr>
              <w:pStyle w:val="16TableText"/>
            </w:pPr>
            <w:r w:rsidRPr="00320858">
              <w:t> </w:t>
            </w:r>
          </w:p>
        </w:tc>
        <w:tc>
          <w:tcPr>
            <w:tcW w:w="9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4898349" w14:textId="77777777" w:rsidR="00030B76" w:rsidRPr="00320858" w:rsidRDefault="00030B76" w:rsidP="00E63B9D">
            <w:pPr>
              <w:pStyle w:val="16TableText"/>
            </w:pPr>
            <w:r w:rsidRPr="00320858">
              <w:t>X</w:t>
            </w:r>
          </w:p>
        </w:tc>
        <w:tc>
          <w:tcPr>
            <w:tcW w:w="13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A7E501F" w14:textId="77777777" w:rsidR="00030B76" w:rsidRPr="00320858" w:rsidRDefault="00030B76" w:rsidP="00E63B9D">
            <w:pPr>
              <w:pStyle w:val="16TableText"/>
            </w:pPr>
            <w:r w:rsidRPr="00320858">
              <w:t>X</w:t>
            </w:r>
          </w:p>
        </w:tc>
        <w:tc>
          <w:tcPr>
            <w:tcW w:w="116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AD4B5D8" w14:textId="77777777" w:rsidR="00030B76" w:rsidRPr="00320858" w:rsidRDefault="00030B76" w:rsidP="00E63B9D">
            <w:pPr>
              <w:pStyle w:val="16TableText"/>
            </w:pPr>
            <w:r w:rsidRPr="00320858">
              <w:rPr>
                <w:rFonts w:hint="eastAsia"/>
              </w:rPr>
              <w:t> </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D50C742" w14:textId="77777777" w:rsidR="00030B76" w:rsidRPr="00320858" w:rsidRDefault="00030B76" w:rsidP="00E63B9D">
            <w:pPr>
              <w:pStyle w:val="16TableText"/>
            </w:pPr>
            <w:r w:rsidRPr="00320858">
              <w:t>(Stochastics) MIP</w:t>
            </w:r>
          </w:p>
        </w:tc>
        <w:tc>
          <w:tcPr>
            <w:tcW w:w="1654" w:type="dxa"/>
            <w:tcBorders>
              <w:top w:val="single" w:sz="8" w:space="0" w:color="A3A3A3"/>
              <w:left w:val="single" w:sz="8" w:space="0" w:color="A3A3A3"/>
              <w:bottom w:val="single" w:sz="8" w:space="0" w:color="A3A3A3"/>
              <w:right w:val="single" w:sz="4" w:space="0" w:color="auto"/>
            </w:tcBorders>
            <w:tcMar>
              <w:top w:w="80" w:type="dxa"/>
              <w:left w:w="80" w:type="dxa"/>
              <w:bottom w:w="80" w:type="dxa"/>
              <w:right w:w="80" w:type="dxa"/>
            </w:tcMar>
            <w:hideMark/>
          </w:tcPr>
          <w:p w14:paraId="3EF8F3C3" w14:textId="77777777" w:rsidR="00030B76" w:rsidRPr="00320858" w:rsidRDefault="00030B76" w:rsidP="00E63B9D">
            <w:pPr>
              <w:pStyle w:val="16TableText"/>
            </w:pPr>
            <w:r w:rsidRPr="00320858">
              <w:rPr>
                <w:rFonts w:ascii="Arial" w:hAnsi="Arial" w:cs="Arial"/>
                <w:sz w:val="21"/>
                <w:szCs w:val="21"/>
                <w:shd w:val="clear" w:color="auto" w:fill="FFFFFF"/>
              </w:rPr>
              <w:t>↓</w:t>
            </w:r>
            <w:r w:rsidRPr="00320858">
              <w:t>Cost</w:t>
            </w:r>
          </w:p>
        </w:tc>
      </w:tr>
      <w:tr w:rsidR="007B3C8F" w:rsidRPr="00320858" w14:paraId="7CB10A67" w14:textId="77777777" w:rsidTr="007B3C8F">
        <w:tc>
          <w:tcPr>
            <w:tcW w:w="975" w:type="dxa"/>
            <w:tcBorders>
              <w:top w:val="single" w:sz="8" w:space="0" w:color="A3A3A3"/>
              <w:left w:val="single" w:sz="4" w:space="0" w:color="auto"/>
              <w:bottom w:val="single" w:sz="8" w:space="0" w:color="A3A3A3"/>
              <w:right w:val="single" w:sz="8" w:space="0" w:color="A3A3A3"/>
            </w:tcBorders>
            <w:tcMar>
              <w:top w:w="80" w:type="dxa"/>
              <w:left w:w="80" w:type="dxa"/>
              <w:bottom w:w="80" w:type="dxa"/>
              <w:right w:w="80" w:type="dxa"/>
            </w:tcMar>
            <w:hideMark/>
          </w:tcPr>
          <w:p w14:paraId="40838AB2" w14:textId="1BB0C62D" w:rsidR="00030B76" w:rsidRPr="00320858" w:rsidRDefault="00030B76" w:rsidP="00E63B9D">
            <w:pPr>
              <w:pStyle w:val="16TableText"/>
            </w:pPr>
            <w:r w:rsidRPr="00320858">
              <w:fldChar w:fldCharType="begin"/>
            </w:r>
            <w:r w:rsidR="005D48B2">
              <w:instrText xml:space="preserve"> ADDIN ZOTERO_ITEM CSL_CITATION {"citationID":"lMzAVZYQ","properties":{"formattedCitation":"[91]","plainCitation":"[91]","noteIndex":0},"citationItems":[{"id":1041,"uris":["http://zotero.org/users/5659608/items/MMD69PLZ"],"itemData":{"id":1041,"type":"paper-conference","abstract":"Developing countries like Pakistan are facing a serious shortage of electrical energy due to massive urbanization. Renewable energy resources (RER's) and energy storage system (ESS) can play significant role in solving this problem. In this paper, we have studied the impact of rooftop photovoltaic (PV) and ESS installation on the operational cost of electrical energy usage in smart residential homes. Additionally, concept of home to grid energy exchange (H2G) is also incorporated to study its benefits on energy management. Home Energy management (HEM) problem is modeled with the integration of PV and ESS by considering user preferences and other system constraints. Genetic algorithm (GA) is applied to find out optimal scheduling of appliances. Simulation results show that the proposed method can enhance the performance of the home electricity scheduling, decrease the effect of uncertainty on system and reduce the overall energy cost.","container-title":"2019 International Conference on Electrical, Communication, and Computer Engineering (ICECCE)","DOI":"10.1109/ICECCE47252.2019.8940684","event-title":"2019 International Conference on Electrical, Communication, and Computer Engineering (ICECCE)","page":"1-7","source":"IEEE Xplore","title":"Energy Management in Smart Homes with PV Generation, Energy Storage and Home to Grid Energy Exchange","author":[{"family":"Iqbal","given":"Muhammad Muzaffar"},{"family":"Sajjad","given":"Intisar Ali"},{"family":"Nadeem Khan","given":"Muhammad Faisal"},{"family":"Liaqat","given":"Rehan"},{"family":"Shah","given":"Muhammad Athar"},{"family":"Muqeet","given":"Hafiz Abdul"}],"issued":{"date-parts":[["2019",7]]},"citation-key":"iqbalEnergyManagementSmart2019"}}],"schema":"https://github.com/citation-style-language/schema/raw/master/csl-citation.json"} </w:instrText>
            </w:r>
            <w:r w:rsidRPr="00320858">
              <w:fldChar w:fldCharType="separate"/>
            </w:r>
            <w:r w:rsidR="00B10A4D" w:rsidRPr="00B10A4D">
              <w:t>[91]</w:t>
            </w:r>
            <w:r w:rsidRPr="00320858">
              <w:fldChar w:fldCharType="end"/>
            </w:r>
          </w:p>
        </w:tc>
        <w:tc>
          <w:tcPr>
            <w:tcW w:w="39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16CA6B5" w14:textId="77777777" w:rsidR="00030B76" w:rsidRPr="00320858" w:rsidRDefault="00030B76" w:rsidP="00E63B9D">
            <w:pPr>
              <w:pStyle w:val="16TableText"/>
            </w:pPr>
            <w:r w:rsidRPr="00320858">
              <w:t>X</w:t>
            </w:r>
          </w:p>
        </w:tc>
        <w:tc>
          <w:tcPr>
            <w:tcW w:w="1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4431A4" w14:textId="77777777" w:rsidR="00030B76" w:rsidRPr="00320858" w:rsidRDefault="00030B76" w:rsidP="00E63B9D">
            <w:pPr>
              <w:pStyle w:val="16TableText"/>
            </w:pPr>
            <w:r w:rsidRPr="00320858">
              <w:t>X</w:t>
            </w:r>
          </w:p>
        </w:tc>
        <w:tc>
          <w:tcPr>
            <w:tcW w:w="3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33129C9" w14:textId="77777777" w:rsidR="00030B76" w:rsidRPr="00320858" w:rsidRDefault="00030B76" w:rsidP="00E63B9D">
            <w:pPr>
              <w:pStyle w:val="16TableText"/>
            </w:pPr>
            <w:r w:rsidRPr="00320858">
              <w:t>X</w:t>
            </w:r>
          </w:p>
        </w:tc>
        <w:tc>
          <w:tcPr>
            <w:tcW w:w="9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1CC941" w14:textId="77777777" w:rsidR="00030B76" w:rsidRPr="00320858" w:rsidRDefault="00030B76" w:rsidP="00E63B9D">
            <w:pPr>
              <w:pStyle w:val="16TableText"/>
            </w:pPr>
            <w:r w:rsidRPr="00320858">
              <w:t>X</w:t>
            </w:r>
          </w:p>
        </w:tc>
        <w:tc>
          <w:tcPr>
            <w:tcW w:w="13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619628" w14:textId="77777777" w:rsidR="00030B76" w:rsidRPr="00320858" w:rsidRDefault="00030B76" w:rsidP="00E63B9D">
            <w:pPr>
              <w:pStyle w:val="16TableText"/>
            </w:pPr>
            <w:r w:rsidRPr="00320858">
              <w:t>X</w:t>
            </w:r>
          </w:p>
        </w:tc>
        <w:tc>
          <w:tcPr>
            <w:tcW w:w="116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9CA6AAD" w14:textId="77777777" w:rsidR="00030B76" w:rsidRPr="00320858" w:rsidRDefault="00030B76" w:rsidP="00E63B9D">
            <w:pPr>
              <w:pStyle w:val="16TableText"/>
            </w:pPr>
            <w:r w:rsidRPr="00320858">
              <w:rPr>
                <w:rFonts w:hint="eastAsia"/>
              </w:rPr>
              <w:t> </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56B4922" w14:textId="77777777" w:rsidR="00030B76" w:rsidRPr="00320858" w:rsidRDefault="00030B76" w:rsidP="00E63B9D">
            <w:pPr>
              <w:pStyle w:val="16TableText"/>
            </w:pPr>
            <w:r w:rsidRPr="00320858">
              <w:t>GA</w:t>
            </w:r>
          </w:p>
        </w:tc>
        <w:tc>
          <w:tcPr>
            <w:tcW w:w="1654" w:type="dxa"/>
            <w:tcBorders>
              <w:top w:val="single" w:sz="8" w:space="0" w:color="A3A3A3"/>
              <w:left w:val="single" w:sz="8" w:space="0" w:color="A3A3A3"/>
              <w:bottom w:val="single" w:sz="8" w:space="0" w:color="A3A3A3"/>
              <w:right w:val="single" w:sz="4" w:space="0" w:color="auto"/>
            </w:tcBorders>
            <w:tcMar>
              <w:top w:w="80" w:type="dxa"/>
              <w:left w:w="80" w:type="dxa"/>
              <w:bottom w:w="80" w:type="dxa"/>
              <w:right w:w="80" w:type="dxa"/>
            </w:tcMar>
            <w:hideMark/>
          </w:tcPr>
          <w:p w14:paraId="2FE198D6" w14:textId="77777777" w:rsidR="00030B76" w:rsidRPr="00320858" w:rsidRDefault="00030B76" w:rsidP="00E63B9D">
            <w:pPr>
              <w:pStyle w:val="16TableText"/>
            </w:pPr>
            <w:r w:rsidRPr="00320858">
              <w:rPr>
                <w:rFonts w:ascii="Arial" w:hAnsi="Arial" w:cs="Arial"/>
                <w:sz w:val="21"/>
                <w:szCs w:val="21"/>
                <w:shd w:val="clear" w:color="auto" w:fill="FFFFFF"/>
              </w:rPr>
              <w:t>↓</w:t>
            </w:r>
            <w:r w:rsidRPr="00320858">
              <w:t>Cost</w:t>
            </w:r>
          </w:p>
        </w:tc>
      </w:tr>
      <w:tr w:rsidR="007B3C8F" w:rsidRPr="00320858" w14:paraId="089BD771" w14:textId="77777777" w:rsidTr="007B3C8F">
        <w:tc>
          <w:tcPr>
            <w:tcW w:w="975" w:type="dxa"/>
            <w:tcBorders>
              <w:top w:val="single" w:sz="8" w:space="0" w:color="A3A3A3"/>
              <w:left w:val="single" w:sz="4" w:space="0" w:color="auto"/>
              <w:bottom w:val="single" w:sz="8" w:space="0" w:color="A3A3A3"/>
              <w:right w:val="single" w:sz="8" w:space="0" w:color="A3A3A3"/>
            </w:tcBorders>
            <w:tcMar>
              <w:top w:w="80" w:type="dxa"/>
              <w:left w:w="80" w:type="dxa"/>
              <w:bottom w:w="80" w:type="dxa"/>
              <w:right w:w="80" w:type="dxa"/>
            </w:tcMar>
            <w:hideMark/>
          </w:tcPr>
          <w:p w14:paraId="2EE90841" w14:textId="224F7059" w:rsidR="00030B76" w:rsidRPr="00320858" w:rsidRDefault="00030B76" w:rsidP="00E63B9D">
            <w:pPr>
              <w:pStyle w:val="16TableText"/>
            </w:pPr>
            <w:r w:rsidRPr="00320858">
              <w:fldChar w:fldCharType="begin"/>
            </w:r>
            <w:r w:rsidR="005D48B2">
              <w:instrText xml:space="preserve"> ADDIN ZOTERO_ITEM CSL_CITATION {"citationID":"ZVqZ8wId","properties":{"formattedCitation":"[92]","plainCitation":"[92]","noteIndex":0},"citationItems":[{"id":1048,"uris":["http://zotero.org/users/5659608/items/RUNYCKG6"],"itemData":{"id":1048,"type":"article-journal","abstract":"At present, with the applying of distributed energy resource (DER) in the demand side, the difficulty of demand-side management (DSM) is increasing. Improving the consumption rate of DER is currently one of the important research contents of the home energy management system (HEMS). How to better coordinate household appliances to participate in the HEMS, so as to improve the situation is the focus of this paper. Due to the development of artificial intelligence and communication technology, we establish a household appliance optimization scheduling system. According to the household electricity-using habits, most household appliances are divided into three categories. Based on this, we propose a HEMS model, which aims to minimize the peak load and electricity cost of a smart home, and achieve single-objective and multi-objective optimization. In order to better implement the research of DER, the solar radiation data of one day in summer in Shanghai is used to compare with different capacities of photovoltaic energy storage system (PESS). Because the variables in the model are mostly binary or decimal integers, it is essentially a mixed integer programming (MIP). Therefore, a simulator has been implemented in the MATLAB software environment to facilitate the solution of proposed HEMS. The results show that the configuration of PESS is beneficial to the optimal scheduling of household appliances. In the single objective optimization, the peak load and electricity cost of scheme 4 is decreased by 61.51% and 71.39% compared with scheme 1, respectively. Besides, Pareto front is the most ideal in multi-objective optimization under scheme 4, and Pareto solutions distribution are more uniform, which can provide more scheduling choices for residential users. In addition, by comparing the different photovoltaic (PV) subsidy policies in 2013 and 2018, it is reasonable for China to gradually realize PV subsidy-free.","container-title":"Energy Reports","DOI":"10.1016/j.egyr.2020.09.001","ISSN":"2352-4847","journalAbbreviation":"Energy Reports","language":"en","page":"2450-2462","source":"ScienceDirect","title":"Home energy management in smart households: Optimal appliance scheduling model with photovoltaic energy storage system","title-short":"Home energy management in smart households","volume":"6","author":[{"family":"Lu","given":"Qing"},{"family":"Zhang","given":"Zhixin"},{"family":"Lü","given":"Shuaikang"}],"issued":{"date-parts":[["2020",11,1]]},"citation-key":"luHomeEnergyManagement2020"}}],"schema":"https://github.com/citation-style-language/schema/raw/master/csl-citation.json"} </w:instrText>
            </w:r>
            <w:r w:rsidRPr="00320858">
              <w:fldChar w:fldCharType="separate"/>
            </w:r>
            <w:r w:rsidR="00B10A4D" w:rsidRPr="00B10A4D">
              <w:t>[92]</w:t>
            </w:r>
            <w:r w:rsidRPr="00320858">
              <w:fldChar w:fldCharType="end"/>
            </w:r>
          </w:p>
        </w:tc>
        <w:tc>
          <w:tcPr>
            <w:tcW w:w="39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CEE82C0" w14:textId="77777777" w:rsidR="00030B76" w:rsidRPr="00320858" w:rsidRDefault="00030B76" w:rsidP="00E63B9D">
            <w:pPr>
              <w:pStyle w:val="16TableText"/>
            </w:pPr>
            <w:r w:rsidRPr="00320858">
              <w:t>X</w:t>
            </w:r>
          </w:p>
        </w:tc>
        <w:tc>
          <w:tcPr>
            <w:tcW w:w="105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51AD120" w14:textId="77777777" w:rsidR="00030B76" w:rsidRPr="00320858" w:rsidRDefault="00030B76" w:rsidP="00E63B9D">
            <w:pPr>
              <w:pStyle w:val="16TableText"/>
            </w:pPr>
            <w:r w:rsidRPr="00320858">
              <w:t>X</w:t>
            </w:r>
          </w:p>
        </w:tc>
        <w:tc>
          <w:tcPr>
            <w:tcW w:w="32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D57625" w14:textId="77777777" w:rsidR="00030B76" w:rsidRPr="00320858" w:rsidRDefault="00030B76" w:rsidP="00E63B9D">
            <w:pPr>
              <w:pStyle w:val="16TableText"/>
            </w:pPr>
            <w:r w:rsidRPr="00320858">
              <w:t>X</w:t>
            </w:r>
          </w:p>
        </w:tc>
        <w:tc>
          <w:tcPr>
            <w:tcW w:w="9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82221C9" w14:textId="77777777" w:rsidR="00030B76" w:rsidRPr="00320858" w:rsidRDefault="00030B76" w:rsidP="00E63B9D">
            <w:pPr>
              <w:pStyle w:val="16TableText"/>
            </w:pPr>
            <w:r w:rsidRPr="00320858">
              <w:t>X</w:t>
            </w:r>
          </w:p>
        </w:tc>
        <w:tc>
          <w:tcPr>
            <w:tcW w:w="13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0770CA4" w14:textId="77777777" w:rsidR="00030B76" w:rsidRPr="00320858" w:rsidRDefault="00030B76" w:rsidP="00E63B9D">
            <w:pPr>
              <w:pStyle w:val="16TableText"/>
            </w:pPr>
            <w:r w:rsidRPr="00320858">
              <w:t>X</w:t>
            </w:r>
          </w:p>
        </w:tc>
        <w:tc>
          <w:tcPr>
            <w:tcW w:w="116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2CA347" w14:textId="77777777" w:rsidR="00030B76" w:rsidRPr="00320858" w:rsidRDefault="00030B76" w:rsidP="00E63B9D">
            <w:pPr>
              <w:pStyle w:val="16TableText"/>
            </w:pPr>
            <w:r w:rsidRPr="00320858">
              <w:rPr>
                <w:rFonts w:hint="eastAsia"/>
              </w:rPr>
              <w:t> </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580C15F" w14:textId="77777777" w:rsidR="00030B76" w:rsidRPr="00320858" w:rsidRDefault="00030B76" w:rsidP="00E63B9D">
            <w:pPr>
              <w:pStyle w:val="16TableText"/>
            </w:pPr>
            <w:r w:rsidRPr="00320858">
              <w:rPr>
                <w:rFonts w:hint="eastAsia"/>
              </w:rPr>
              <w:t>MIP</w:t>
            </w:r>
          </w:p>
        </w:tc>
        <w:tc>
          <w:tcPr>
            <w:tcW w:w="1654" w:type="dxa"/>
            <w:tcBorders>
              <w:top w:val="single" w:sz="8" w:space="0" w:color="A3A3A3"/>
              <w:left w:val="single" w:sz="8" w:space="0" w:color="A3A3A3"/>
              <w:bottom w:val="single" w:sz="8" w:space="0" w:color="A3A3A3"/>
              <w:right w:val="single" w:sz="4" w:space="0" w:color="auto"/>
            </w:tcBorders>
            <w:tcMar>
              <w:top w:w="80" w:type="dxa"/>
              <w:left w:w="80" w:type="dxa"/>
              <w:bottom w:w="80" w:type="dxa"/>
              <w:right w:w="80" w:type="dxa"/>
            </w:tcMar>
            <w:hideMark/>
          </w:tcPr>
          <w:p w14:paraId="27873227" w14:textId="77777777" w:rsidR="00030B76" w:rsidRPr="00320858" w:rsidRDefault="00030B76" w:rsidP="00E63B9D">
            <w:pPr>
              <w:pStyle w:val="16TableText"/>
            </w:pPr>
            <w:r w:rsidRPr="00320858">
              <w:rPr>
                <w:rFonts w:ascii="Arial" w:hAnsi="Arial" w:cs="Arial"/>
                <w:sz w:val="21"/>
                <w:szCs w:val="21"/>
                <w:shd w:val="clear" w:color="auto" w:fill="FFFFFF"/>
              </w:rPr>
              <w:t>↓</w:t>
            </w:r>
            <w:r w:rsidRPr="00320858">
              <w:t xml:space="preserve">Peak Load, </w:t>
            </w:r>
            <w:r w:rsidRPr="00320858">
              <w:rPr>
                <w:rFonts w:ascii="Arial" w:hAnsi="Arial" w:cs="Arial"/>
                <w:sz w:val="21"/>
                <w:szCs w:val="21"/>
                <w:shd w:val="clear" w:color="auto" w:fill="FFFFFF"/>
              </w:rPr>
              <w:t>↓</w:t>
            </w:r>
            <w:r w:rsidRPr="00320858">
              <w:t>Cost</w:t>
            </w:r>
          </w:p>
        </w:tc>
      </w:tr>
      <w:tr w:rsidR="00030B76" w:rsidRPr="00320858" w14:paraId="1258891E" w14:textId="77777777" w:rsidTr="007B3C8F">
        <w:tc>
          <w:tcPr>
            <w:tcW w:w="9350" w:type="dxa"/>
            <w:gridSpan w:val="9"/>
            <w:tcBorders>
              <w:top w:val="single" w:sz="8" w:space="0" w:color="A3A3A3"/>
              <w:left w:val="single" w:sz="4" w:space="0" w:color="auto"/>
              <w:bottom w:val="single" w:sz="8" w:space="0" w:color="A3A3A3"/>
              <w:right w:val="single" w:sz="4" w:space="0" w:color="auto"/>
            </w:tcBorders>
            <w:tcMar>
              <w:top w:w="80" w:type="dxa"/>
              <w:left w:w="80" w:type="dxa"/>
              <w:bottom w:w="80" w:type="dxa"/>
              <w:right w:w="80" w:type="dxa"/>
            </w:tcMar>
          </w:tcPr>
          <w:p w14:paraId="5DA4B249" w14:textId="77777777" w:rsidR="00030B76" w:rsidRPr="00320858" w:rsidRDefault="00030B76" w:rsidP="00E63B9D">
            <w:pPr>
              <w:pStyle w:val="16TableText"/>
              <w:rPr>
                <w:shd w:val="clear" w:color="auto" w:fill="FFFFFF"/>
              </w:rPr>
            </w:pPr>
            <w:r w:rsidRPr="00320858">
              <w:rPr>
                <w:shd w:val="clear" w:color="auto" w:fill="FFFFFF"/>
              </w:rPr>
              <w:t xml:space="preserve">Legend: ↓: </w:t>
            </w:r>
            <w:r w:rsidRPr="007B3C8F">
              <w:rPr>
                <w:color w:val="000000" w:themeColor="text1"/>
                <w:shd w:val="clear" w:color="auto" w:fill="FFFFFF"/>
              </w:rPr>
              <w:t xml:space="preserve">Minimize, </w:t>
            </w:r>
            <w:r w:rsidRPr="007B3C8F">
              <w:rPr>
                <w:rStyle w:val="whyltd"/>
                <w:rFonts w:ascii="Garamond" w:hAnsi="Garamond" w:cs="Arial"/>
                <w:color w:val="000000" w:themeColor="text1"/>
                <w:sz w:val="21"/>
                <w:szCs w:val="21"/>
                <w:shd w:val="clear" w:color="auto" w:fill="FFFFFF"/>
              </w:rPr>
              <w:t>↑:</w:t>
            </w:r>
            <w:r w:rsidRPr="007B3C8F">
              <w:rPr>
                <w:rStyle w:val="whyltd"/>
                <w:color w:val="000000" w:themeColor="text1"/>
              </w:rPr>
              <w:t xml:space="preserve"> </w:t>
            </w:r>
            <w:r w:rsidRPr="007B3C8F">
              <w:rPr>
                <w:rStyle w:val="whyltd"/>
                <w:rFonts w:ascii="Garamond" w:hAnsi="Garamond" w:cs="Arial"/>
                <w:color w:val="000000" w:themeColor="text1"/>
                <w:sz w:val="21"/>
                <w:szCs w:val="21"/>
                <w:shd w:val="clear" w:color="auto" w:fill="FFFFFF"/>
              </w:rPr>
              <w:t xml:space="preserve">Maximize, MIP: Mixed Integer Programming, GA: Genetic Algorithm, PSO: Particle </w:t>
            </w:r>
            <w:r w:rsidRPr="007B3C8F">
              <w:rPr>
                <w:rStyle w:val="whyltd"/>
                <w:rFonts w:ascii="Garamond" w:hAnsi="Garamond" w:cs="Arial" w:hint="eastAsia"/>
                <w:color w:val="000000" w:themeColor="text1"/>
                <w:sz w:val="21"/>
                <w:szCs w:val="21"/>
                <w:shd w:val="clear" w:color="auto" w:fill="FFFFFF"/>
              </w:rPr>
              <w:t>Swarm</w:t>
            </w:r>
            <w:r w:rsidRPr="007B3C8F">
              <w:rPr>
                <w:rStyle w:val="whyltd"/>
                <w:rFonts w:ascii="Garamond" w:hAnsi="Garamond" w:cs="Arial"/>
                <w:color w:val="000000" w:themeColor="text1"/>
                <w:sz w:val="21"/>
                <w:szCs w:val="21"/>
                <w:shd w:val="clear" w:color="auto" w:fill="FFFFFF"/>
              </w:rPr>
              <w:t xml:space="preserve"> </w:t>
            </w:r>
            <w:r w:rsidRPr="007B3C8F">
              <w:rPr>
                <w:rStyle w:val="whyltd"/>
                <w:rFonts w:ascii="Garamond" w:hAnsi="Garamond" w:cs="Arial" w:hint="eastAsia"/>
                <w:color w:val="000000" w:themeColor="text1"/>
                <w:sz w:val="21"/>
                <w:szCs w:val="21"/>
                <w:shd w:val="clear" w:color="auto" w:fill="FFFFFF"/>
              </w:rPr>
              <w:t>Optimization,</w:t>
            </w:r>
            <w:r w:rsidRPr="007B3C8F">
              <w:rPr>
                <w:rStyle w:val="whyltd"/>
                <w:rFonts w:ascii="Garamond" w:hAnsi="Garamond" w:cs="Arial"/>
                <w:color w:val="000000" w:themeColor="text1"/>
                <w:sz w:val="21"/>
                <w:szCs w:val="21"/>
                <w:shd w:val="clear" w:color="auto" w:fill="FFFFFF"/>
              </w:rPr>
              <w:t xml:space="preserve"> ARX</w:t>
            </w:r>
            <w:r w:rsidRPr="007B3C8F">
              <w:rPr>
                <w:rStyle w:val="whyltd"/>
                <w:rFonts w:ascii="Garamond" w:hAnsi="Garamond" w:cs="Arial" w:hint="eastAsia"/>
                <w:color w:val="000000" w:themeColor="text1"/>
                <w:sz w:val="21"/>
                <w:szCs w:val="21"/>
                <w:shd w:val="clear" w:color="auto" w:fill="FFFFFF"/>
              </w:rPr>
              <w:t>:</w:t>
            </w:r>
            <w:r w:rsidRPr="007B3C8F">
              <w:rPr>
                <w:rStyle w:val="whyltd"/>
                <w:rFonts w:ascii="Garamond" w:hAnsi="Garamond" w:cs="Arial"/>
                <w:color w:val="000000" w:themeColor="text1"/>
                <w:sz w:val="21"/>
                <w:szCs w:val="21"/>
                <w:shd w:val="clear" w:color="auto" w:fill="FFFFFF"/>
              </w:rPr>
              <w:t xml:space="preserve"> </w:t>
            </w:r>
          </w:p>
        </w:tc>
      </w:tr>
    </w:tbl>
    <w:p w14:paraId="05DE1BB5" w14:textId="0DD72CD5" w:rsidR="00044603" w:rsidRDefault="00347349" w:rsidP="000B3A87">
      <w:r w:rsidRPr="00347349">
        <w:t xml:space="preserve">Although several studies have focused on the Home-EMS, many of them either focus on individual components such as PV or HVAC systems. </w:t>
      </w:r>
      <w:r w:rsidR="00A421D8">
        <w:t>In contract, t</w:t>
      </w:r>
      <w:r w:rsidRPr="00347349">
        <w:t>his study integrates</w:t>
      </w:r>
      <w:r w:rsidR="006E5AF8">
        <w:t xml:space="preserve"> various components including</w:t>
      </w:r>
      <w:r w:rsidRPr="00347349">
        <w:t xml:space="preserve"> PV, battery, the HVAC system, the water heater, and the flexible load such as clothes washer. </w:t>
      </w:r>
      <w:r w:rsidR="009836B9">
        <w:t>Furthermore, w</w:t>
      </w:r>
      <w:r w:rsidRPr="00347349">
        <w:t xml:space="preserve">hile </w:t>
      </w:r>
      <w:r w:rsidR="009836B9">
        <w:t xml:space="preserve">the trade-offs between </w:t>
      </w:r>
      <w:r w:rsidRPr="00347349">
        <w:t>cost and comfort have been discussed</w:t>
      </w:r>
      <w:r w:rsidR="009B17A0">
        <w:t xml:space="preserve"> in previous works</w:t>
      </w:r>
      <w:r w:rsidRPr="00347349">
        <w:t>, the</w:t>
      </w:r>
      <w:r w:rsidR="009B17A0">
        <w:t xml:space="preserve">se studies </w:t>
      </w:r>
      <w:r w:rsidR="00FA24FD">
        <w:t xml:space="preserve">often do not sufficiently take into account realistic </w:t>
      </w:r>
      <w:r w:rsidR="00FA24FD">
        <w:lastRenderedPageBreak/>
        <w:t>user behavio</w:t>
      </w:r>
      <w:r w:rsidR="005E5FD0">
        <w:t xml:space="preserve">r. Particularly, user may wish to reduce their utility bill through the energy management </w:t>
      </w:r>
      <w:r w:rsidR="0096415B">
        <w:t>system but prefer to do so without changing their existing usage patterns.</w:t>
      </w:r>
      <w:r w:rsidR="005E5FD0">
        <w:t xml:space="preserve"> </w:t>
      </w:r>
      <w:r w:rsidRPr="00347349">
        <w:t xml:space="preserve">This includes the user might have preferences on appliance use time, water use, and the preferred setpoint. </w:t>
      </w:r>
      <w:r w:rsidR="0057530B">
        <w:t xml:space="preserve">The proposed energy management framework </w:t>
      </w:r>
      <w:r w:rsidR="001E0B0C">
        <w:t>takes</w:t>
      </w:r>
      <w:r w:rsidR="0057530B">
        <w:t xml:space="preserve"> into account these user preferences and offers a more realistic simulation </w:t>
      </w:r>
      <w:r w:rsidR="00AF0282">
        <w:t>scenario</w:t>
      </w:r>
      <w:r w:rsidR="0057530B">
        <w:t xml:space="preserve">. </w:t>
      </w:r>
      <w:r w:rsidR="00044603">
        <w:br w:type="page"/>
      </w:r>
    </w:p>
    <w:p w14:paraId="0E65CF71" w14:textId="6BD46F48" w:rsidR="000215B4" w:rsidRDefault="000215B4" w:rsidP="000215B4">
      <w:pPr>
        <w:pStyle w:val="Heading1"/>
      </w:pPr>
      <w:bookmarkStart w:id="106" w:name="_Toc126326783"/>
      <w:bookmarkStart w:id="107" w:name="_Toc126327457"/>
      <w:bookmarkStart w:id="108" w:name="_Toc126327570"/>
      <w:bookmarkStart w:id="109" w:name="_Toc132122457"/>
      <w:bookmarkStart w:id="110" w:name="_Toc132122581"/>
      <w:bookmarkStart w:id="111" w:name="_Toc133542352"/>
      <w:bookmarkStart w:id="112" w:name="_Ref139416841"/>
      <w:bookmarkStart w:id="113" w:name="_Toc141991681"/>
      <w:r>
        <w:rPr>
          <w:rFonts w:eastAsiaTheme="minorEastAsia"/>
        </w:rPr>
        <w:lastRenderedPageBreak/>
        <w:t xml:space="preserve">Load-flexible </w:t>
      </w:r>
      <w:r w:rsidR="006B635D">
        <w:rPr>
          <w:rFonts w:eastAsiaTheme="minorEastAsia"/>
        </w:rPr>
        <w:t>R</w:t>
      </w:r>
      <w:r>
        <w:rPr>
          <w:rFonts w:eastAsiaTheme="minorEastAsia"/>
        </w:rPr>
        <w:t>esources</w:t>
      </w:r>
      <w:r w:rsidRPr="00453665">
        <w:t xml:space="preserve"> </w:t>
      </w:r>
      <w:r>
        <w:t>Modeling</w:t>
      </w:r>
      <w:bookmarkEnd w:id="106"/>
      <w:bookmarkEnd w:id="107"/>
      <w:bookmarkEnd w:id="108"/>
      <w:bookmarkEnd w:id="109"/>
      <w:bookmarkEnd w:id="110"/>
      <w:bookmarkEnd w:id="111"/>
      <w:r>
        <w:t xml:space="preserve"> in Residential Buildings</w:t>
      </w:r>
      <w:bookmarkEnd w:id="112"/>
      <w:bookmarkEnd w:id="113"/>
    </w:p>
    <w:p w14:paraId="72D3D4C6" w14:textId="77777777" w:rsidR="000215B4" w:rsidRPr="00F028F0" w:rsidRDefault="000215B4" w:rsidP="000215B4">
      <w:pPr>
        <w:pStyle w:val="Heading2"/>
      </w:pPr>
      <w:bookmarkStart w:id="114" w:name="_Toc126327458"/>
      <w:bookmarkStart w:id="115" w:name="_Toc126327571"/>
      <w:bookmarkStart w:id="116" w:name="_Toc132122458"/>
      <w:bookmarkStart w:id="117" w:name="_Toc132122582"/>
      <w:bookmarkStart w:id="118" w:name="_Toc133542353"/>
      <w:bookmarkStart w:id="119" w:name="_Toc141991682"/>
      <w:r w:rsidRPr="00F028F0">
        <w:rPr>
          <w:rFonts w:hint="eastAsia"/>
        </w:rPr>
        <w:t>I</w:t>
      </w:r>
      <w:r w:rsidRPr="00F028F0">
        <w:t>ntroduction</w:t>
      </w:r>
      <w:bookmarkEnd w:id="114"/>
      <w:bookmarkEnd w:id="115"/>
      <w:bookmarkEnd w:id="116"/>
      <w:bookmarkEnd w:id="117"/>
      <w:bookmarkEnd w:id="118"/>
      <w:bookmarkEnd w:id="119"/>
    </w:p>
    <w:p w14:paraId="4396AF02" w14:textId="63FF60B5" w:rsidR="000215B4" w:rsidRDefault="000215B4" w:rsidP="000215B4">
      <w:r>
        <w:rPr>
          <w:rFonts w:hint="eastAsia"/>
        </w:rPr>
        <w:t>In</w:t>
      </w:r>
      <w:r>
        <w:t xml:space="preserve"> predictive control and scheduling algorithms, the model, which is used to predict the system behavior, directly determines the effectiveness and robustness of final decisions, and therefore improving its accuracy is a focal point in this research. In general, there are four aspects contributes to establish an accurate model, including selecting an appropriate model type, attaining a thorough understanding of the energy and information transmission in the system, using an effective training method, and collecting high-quality training data. However, it</w:t>
      </w:r>
      <w:r w:rsidR="00355A08">
        <w:t xml:space="preserve"> is</w:t>
      </w:r>
      <w:r>
        <w:t xml:space="preserve"> less economical or infeasible to achieve perfection in all four aspects. </w:t>
      </w:r>
      <w:bookmarkStart w:id="120" w:name="_Toc132122459"/>
      <w:bookmarkStart w:id="121" w:name="_Toc132122583"/>
      <w:r>
        <w:t xml:space="preserve">This chapter describes complete modeling procedures of load-flexible </w:t>
      </w:r>
      <w:r w:rsidR="00355A08">
        <w:t>resources including the HVAC system, water heater system, and PV</w:t>
      </w:r>
      <w:r w:rsidR="00400771">
        <w:t>.</w:t>
      </w:r>
      <w:r>
        <w:t xml:space="preserve"> </w:t>
      </w:r>
      <w:r w:rsidR="00400771">
        <w:t>In the following sections, we first</w:t>
      </w:r>
      <w:r>
        <w:t xml:space="preserve"> conduct the four aspects mentioned above, while considering some barriers in current states, and finally validating proposed models in real-world operation data obtained from a Lab House and open datasets. </w:t>
      </w:r>
    </w:p>
    <w:p w14:paraId="06C4BBF8" w14:textId="572DEF3F" w:rsidR="000215B4" w:rsidRDefault="000215B4" w:rsidP="000215B4">
      <w:pPr>
        <w:pStyle w:val="Heading2"/>
      </w:pPr>
      <w:bookmarkStart w:id="122" w:name="_Toc133542354"/>
      <w:bookmarkStart w:id="123" w:name="_Toc141991683"/>
      <w:r>
        <w:rPr>
          <w:rFonts w:hint="eastAsia"/>
        </w:rPr>
        <w:t>Model</w:t>
      </w:r>
      <w:r>
        <w:t xml:space="preserve"> </w:t>
      </w:r>
      <w:r>
        <w:rPr>
          <w:rFonts w:hint="eastAsia"/>
        </w:rPr>
        <w:t>Type</w:t>
      </w:r>
      <w:r>
        <w:t xml:space="preserve"> Selection</w:t>
      </w:r>
      <w:bookmarkEnd w:id="120"/>
      <w:bookmarkEnd w:id="121"/>
      <w:r>
        <w:t xml:space="preserve"> </w:t>
      </w:r>
      <w:r>
        <w:rPr>
          <w:rFonts w:hint="eastAsia"/>
        </w:rPr>
        <w:t>for</w:t>
      </w:r>
      <w:r>
        <w:t xml:space="preserve"> Load-flexible resources in a Home</w:t>
      </w:r>
      <w:bookmarkEnd w:id="122"/>
      <w:bookmarkEnd w:id="123"/>
    </w:p>
    <w:p w14:paraId="446BBD36" w14:textId="3EC605B3" w:rsidR="000215B4" w:rsidRDefault="000215B4" w:rsidP="000215B4">
      <w:r>
        <w:t xml:space="preserve">A model, which is a mathematical representation to describe the transfer of mass, energy, or information between systems, in general includes tree main branches: a white-box model, a-black-box model, and a gray-box model </w:t>
      </w:r>
      <w:r>
        <w:fldChar w:fldCharType="begin"/>
      </w:r>
      <w:r w:rsidR="0082416B">
        <w:instrText xml:space="preserve"> ADDIN ZOTERO_ITEM CSL_CITATION {"citationID":"xftdRmM4","properties":{"formattedCitation":"[99]","plainCitation":"[99]","noteIndex":0},"citationItems":[{"id":1559,"uris":["http://zotero.org/users/5659608/items/7E46T8RQ"],"itemData":{"id":1559,"type":"book","note":"Citation Key: isermann2011identification","publisher":"Springer","title":"Identification of dynamic systems: an introduction with applications","volume":"85","author":[{"family":"Isermann","given":"Rolf"},{"family":"Münchhof","given":"Marco"}],"issued":{"date-parts":[["2011"]]},"citation-key":"isermann2011identification"}}],"schema":"https://github.com/citation-style-language/schema/raw/master/csl-citation.json"} </w:instrText>
      </w:r>
      <w:r>
        <w:fldChar w:fldCharType="separate"/>
      </w:r>
      <w:r w:rsidR="0082416B" w:rsidRPr="0082416B">
        <w:t>[99]</w:t>
      </w:r>
      <w:r>
        <w:fldChar w:fldCharType="end"/>
      </w:r>
      <w:r>
        <w:t xml:space="preserve">. The white-box model is typically has known model structure and known parameters, the black-box model, which aims to build a general function governing the input-output behavior of the system, usually has no clear model </w:t>
      </w:r>
      <w:r>
        <w:lastRenderedPageBreak/>
        <w:t xml:space="preserve">structure and unknown parameters, the gray-box model, which lies between white-box and black-box model, usually has known model structure and unknown parameters. The gray-box model, depending on the assumption of model structures, can be further divided into the light gray-box and dark-gray box model </w:t>
      </w:r>
      <w:r>
        <w:fldChar w:fldCharType="begin"/>
      </w:r>
      <w:r w:rsidR="0082416B">
        <w:instrText xml:space="preserve"> ADDIN ZOTERO_ITEM CSL_CITATION {"citationID":"C09YYAly","properties":{"formattedCitation":"[99]","plainCitation":"[99]","noteIndex":0},"citationItems":[{"id":1559,"uris":["http://zotero.org/users/5659608/items/7E46T8RQ"],"itemData":{"id":1559,"type":"book","note":"Citation Key: isermann2011identification","publisher":"Springer","title":"Identification of dynamic systems: an introduction with applications","volume":"85","author":[{"family":"Isermann","given":"Rolf"},{"family":"Münchhof","given":"Marco"}],"issued":{"date-parts":[["2011"]]},"citation-key":"isermann2011identification"}}],"schema":"https://github.com/citation-style-language/schema/raw/master/csl-citation.json"} </w:instrText>
      </w:r>
      <w:r>
        <w:fldChar w:fldCharType="separate"/>
      </w:r>
      <w:r w:rsidR="0082416B" w:rsidRPr="0082416B">
        <w:t>[99]</w:t>
      </w:r>
      <w:r>
        <w:fldChar w:fldCharType="end"/>
      </w:r>
      <w:r>
        <w:t>.</w:t>
      </w:r>
      <w:r w:rsidR="00400771">
        <w:t xml:space="preserve"> In </w:t>
      </w:r>
      <w:r w:rsidR="00400771">
        <w:fldChar w:fldCharType="begin"/>
      </w:r>
      <w:r w:rsidR="0082416B">
        <w:instrText xml:space="preserve"> ADDIN ZOTERO_ITEM CSL_CITATION {"citationID":"NxApGJgJ","properties":{"formattedCitation":"[99]","plainCitation":"[99]","noteIndex":0},"citationItems":[{"id":1559,"uris":["http://zotero.org/users/5659608/items/7E46T8RQ"],"itemData":{"id":1559,"type":"book","note":"Citation Key: isermann2011identification","publisher":"Springer","title":"Identification of dynamic systems: an introduction with applications","volume":"85","author":[{"family":"Isermann","given":"Rolf"},{"family":"Münchhof","given":"Marco"}],"issued":{"date-parts":[["2011"]]},"citation-key":"isermann2011identification"}}],"schema":"https://github.com/citation-style-language/schema/raw/master/csl-citation.json"} </w:instrText>
      </w:r>
      <w:r w:rsidR="00400771">
        <w:fldChar w:fldCharType="separate"/>
      </w:r>
      <w:r w:rsidR="0082416B" w:rsidRPr="0082416B">
        <w:t>[99]</w:t>
      </w:r>
      <w:r w:rsidR="00400771">
        <w:fldChar w:fldCharType="end"/>
      </w:r>
      <w:r w:rsidR="00400771">
        <w:t xml:space="preserve">, dark-gray box model refers to the neuron/fuzzy model, where the </w:t>
      </w:r>
      <w:r>
        <w:t>expert knowledge</w:t>
      </w:r>
      <w:r w:rsidR="00400771">
        <w:t xml:space="preserve"> is required in model training process, making</w:t>
      </w:r>
      <w:r>
        <w:t xml:space="preserve"> </w:t>
      </w:r>
      <w:r w:rsidR="00400771">
        <w:t xml:space="preserve">the model development is </w:t>
      </w:r>
      <w:r>
        <w:t>limited by human thinking</w:t>
      </w:r>
      <w:r w:rsidR="00400771">
        <w:t>. Therefore, in this study,</w:t>
      </w:r>
      <w:r>
        <w:t xml:space="preserve"> only light gray-box model will be discussed</w:t>
      </w:r>
      <w:r>
        <w:rPr>
          <w:rFonts w:hint="eastAsia"/>
        </w:rPr>
        <w:t>.</w:t>
      </w:r>
      <w:r>
        <w:t xml:space="preserve"> </w:t>
      </w:r>
      <w:r>
        <w:fldChar w:fldCharType="begin"/>
      </w:r>
      <w:r>
        <w:instrText xml:space="preserve"> REF _Ref132819216 \h </w:instrText>
      </w:r>
      <w:r>
        <w:fldChar w:fldCharType="separate"/>
      </w:r>
      <w:r w:rsidR="000E1725">
        <w:t xml:space="preserve">Table </w:t>
      </w:r>
      <w:r w:rsidR="000E1725">
        <w:rPr>
          <w:noProof/>
        </w:rPr>
        <w:t>3</w:t>
      </w:r>
      <w:r w:rsidR="000E1725">
        <w:t>.</w:t>
      </w:r>
      <w:r w:rsidR="000E1725">
        <w:rPr>
          <w:noProof/>
        </w:rPr>
        <w:t>1</w:t>
      </w:r>
      <w:r>
        <w:fldChar w:fldCharType="end"/>
      </w:r>
      <w:r>
        <w:t xml:space="preserve"> shows the model characteristic and their applications in this study.</w:t>
      </w:r>
    </w:p>
    <w:p w14:paraId="74468938" w14:textId="2983100C" w:rsidR="000215B4" w:rsidRDefault="000215B4" w:rsidP="000215B4">
      <w:pPr>
        <w:pStyle w:val="TableCaption"/>
        <w:ind w:left="962" w:hanging="482"/>
      </w:pPr>
      <w:bookmarkStart w:id="124" w:name="_Ref132819216"/>
      <w:bookmarkStart w:id="125" w:name="_Toc141343896"/>
      <w:r>
        <w:t xml:space="preserve">Table </w:t>
      </w:r>
      <w:fldSimple w:instr=" STYLEREF 1 \s ">
        <w:r w:rsidR="000E1725">
          <w:rPr>
            <w:noProof/>
          </w:rPr>
          <w:t>3</w:t>
        </w:r>
      </w:fldSimple>
      <w:r w:rsidR="00146A55">
        <w:t>.</w:t>
      </w:r>
      <w:fldSimple w:instr=" SEQ Table \* ARABIC \s 1 ">
        <w:r w:rsidR="000E1725">
          <w:rPr>
            <w:noProof/>
          </w:rPr>
          <w:t>1</w:t>
        </w:r>
      </w:fldSimple>
      <w:bookmarkEnd w:id="124"/>
      <w:r>
        <w:t xml:space="preserve"> Model characteristics </w:t>
      </w:r>
      <w:r>
        <w:fldChar w:fldCharType="begin"/>
      </w:r>
      <w:r w:rsidR="0082416B">
        <w:instrText xml:space="preserve"> ADDIN ZOTERO_ITEM CSL_CITATION {"citationID":"a2mptqfj2jm","properties":{"formattedCitation":"[99]","plainCitation":"[99]","noteIndex":0},"citationItems":[{"id":1559,"uris":["http://zotero.org/users/5659608/items/7E46T8RQ"],"itemData":{"id":1559,"type":"book","note":"Citation Key: isermann2011identification","publisher":"Springer","title":"Identification of dynamic systems: an introduction with applications","volume":"85","author":[{"family":"Isermann","given":"Rolf"},{"family":"Münchhof","given":"Marco"}],"issued":{"date-parts":[["2011"]]},"citation-key":"isermann2011identification"}}],"schema":"https://github.com/citation-style-language/schema/raw/master/csl-citation.json"} </w:instrText>
      </w:r>
      <w:r>
        <w:fldChar w:fldCharType="separate"/>
      </w:r>
      <w:r w:rsidR="0082416B" w:rsidRPr="0082416B">
        <w:t>[99]</w:t>
      </w:r>
      <w:r>
        <w:fldChar w:fldCharType="end"/>
      </w:r>
      <w:r>
        <w:t xml:space="preserve"> and their application in this study</w:t>
      </w:r>
      <w:bookmarkEnd w:id="125"/>
      <w:r>
        <w:t xml:space="preserve"> </w:t>
      </w:r>
    </w:p>
    <w:tbl>
      <w:tblPr>
        <w:tblStyle w:val="TableGrid"/>
        <w:tblW w:w="8995" w:type="dxa"/>
        <w:tblLook w:val="04A0" w:firstRow="1" w:lastRow="0" w:firstColumn="1" w:lastColumn="0" w:noHBand="0" w:noVBand="1"/>
      </w:tblPr>
      <w:tblGrid>
        <w:gridCol w:w="1838"/>
        <w:gridCol w:w="2410"/>
        <w:gridCol w:w="2514"/>
        <w:gridCol w:w="2233"/>
      </w:tblGrid>
      <w:tr w:rsidR="000215B4" w14:paraId="00CCC2D8" w14:textId="77777777" w:rsidTr="00AF3671">
        <w:tc>
          <w:tcPr>
            <w:tcW w:w="1838" w:type="dxa"/>
            <w:vAlign w:val="center"/>
          </w:tcPr>
          <w:p w14:paraId="510B29EC" w14:textId="77777777" w:rsidR="000215B4" w:rsidRDefault="000215B4" w:rsidP="002023DB">
            <w:pPr>
              <w:ind w:firstLine="0"/>
            </w:pPr>
            <w:r>
              <w:t>Model</w:t>
            </w:r>
          </w:p>
        </w:tc>
        <w:tc>
          <w:tcPr>
            <w:tcW w:w="2410" w:type="dxa"/>
            <w:vAlign w:val="center"/>
          </w:tcPr>
          <w:p w14:paraId="345410E3" w14:textId="77777777" w:rsidR="000215B4" w:rsidRDefault="000215B4" w:rsidP="002023DB">
            <w:pPr>
              <w:ind w:firstLine="0"/>
            </w:pPr>
            <w:r>
              <w:t>Characteristics</w:t>
            </w:r>
          </w:p>
        </w:tc>
        <w:tc>
          <w:tcPr>
            <w:tcW w:w="2514" w:type="dxa"/>
            <w:vAlign w:val="center"/>
          </w:tcPr>
          <w:p w14:paraId="18189940" w14:textId="77777777" w:rsidR="000215B4" w:rsidRDefault="000215B4" w:rsidP="002023DB">
            <w:pPr>
              <w:ind w:firstLine="0"/>
            </w:pPr>
            <w:r>
              <w:rPr>
                <w:rFonts w:hint="eastAsia"/>
              </w:rPr>
              <w:t>E</w:t>
            </w:r>
            <w:r>
              <w:t>xamples</w:t>
            </w:r>
          </w:p>
        </w:tc>
        <w:tc>
          <w:tcPr>
            <w:tcW w:w="2233" w:type="dxa"/>
            <w:vAlign w:val="center"/>
          </w:tcPr>
          <w:p w14:paraId="02BBFC5A" w14:textId="77777777" w:rsidR="000215B4" w:rsidRDefault="000215B4" w:rsidP="002023DB">
            <w:pPr>
              <w:ind w:firstLine="0"/>
            </w:pPr>
            <w:r>
              <w:rPr>
                <w:rFonts w:hint="eastAsia"/>
              </w:rPr>
              <w:t>A</w:t>
            </w:r>
            <w:r>
              <w:t>pplication in this study</w:t>
            </w:r>
          </w:p>
        </w:tc>
      </w:tr>
      <w:tr w:rsidR="000215B4" w14:paraId="4705F10D" w14:textId="77777777" w:rsidTr="00AF3671">
        <w:tc>
          <w:tcPr>
            <w:tcW w:w="1838" w:type="dxa"/>
            <w:vAlign w:val="center"/>
          </w:tcPr>
          <w:p w14:paraId="4A5B8A26" w14:textId="77777777" w:rsidR="000215B4" w:rsidRDefault="000215B4" w:rsidP="002023DB">
            <w:pPr>
              <w:ind w:firstLine="0"/>
            </w:pPr>
            <w:r>
              <w:t xml:space="preserve">White-box model </w:t>
            </w:r>
          </w:p>
        </w:tc>
        <w:tc>
          <w:tcPr>
            <w:tcW w:w="2410" w:type="dxa"/>
            <w:vAlign w:val="center"/>
          </w:tcPr>
          <w:p w14:paraId="34CFAEB0" w14:textId="77777777" w:rsidR="000215B4" w:rsidRDefault="000215B4" w:rsidP="002023DB">
            <w:pPr>
              <w:ind w:firstLine="0"/>
            </w:pPr>
            <w:r>
              <w:rPr>
                <w:rFonts w:hint="eastAsia"/>
              </w:rPr>
              <w:t>P</w:t>
            </w:r>
            <w:r>
              <w:t xml:space="preserve">hysical laws known; </w:t>
            </w:r>
          </w:p>
          <w:p w14:paraId="1E6D6956" w14:textId="77777777" w:rsidR="000215B4" w:rsidRDefault="000215B4" w:rsidP="002023DB">
            <w:pPr>
              <w:ind w:firstLine="0"/>
            </w:pPr>
            <w:r>
              <w:rPr>
                <w:rFonts w:hint="eastAsia"/>
              </w:rPr>
              <w:t>P</w:t>
            </w:r>
            <w:r>
              <w:t>arameters known</w:t>
            </w:r>
          </w:p>
        </w:tc>
        <w:tc>
          <w:tcPr>
            <w:tcW w:w="2514" w:type="dxa"/>
            <w:vAlign w:val="center"/>
          </w:tcPr>
          <w:p w14:paraId="666EC216" w14:textId="77777777" w:rsidR="000215B4" w:rsidRDefault="000215B4" w:rsidP="002023DB">
            <w:pPr>
              <w:ind w:firstLine="0"/>
            </w:pPr>
            <w:r>
              <w:rPr>
                <w:rFonts w:hint="eastAsia"/>
              </w:rPr>
              <w:t>L</w:t>
            </w:r>
            <w:r>
              <w:t xml:space="preserve">inear/non-linear differential equations </w:t>
            </w:r>
          </w:p>
        </w:tc>
        <w:tc>
          <w:tcPr>
            <w:tcW w:w="2233" w:type="dxa"/>
            <w:vAlign w:val="center"/>
          </w:tcPr>
          <w:p w14:paraId="4218A886" w14:textId="77777777" w:rsidR="000215B4" w:rsidRDefault="000215B4" w:rsidP="002023DB">
            <w:pPr>
              <w:ind w:firstLine="0"/>
            </w:pPr>
            <w:r>
              <w:rPr>
                <w:rFonts w:hint="eastAsia"/>
              </w:rPr>
              <w:t>E</w:t>
            </w:r>
            <w:r>
              <w:t>lectrical appliances; Battery</w:t>
            </w:r>
          </w:p>
        </w:tc>
      </w:tr>
      <w:tr w:rsidR="000215B4" w14:paraId="69E25FF5" w14:textId="77777777" w:rsidTr="00AF3671">
        <w:tc>
          <w:tcPr>
            <w:tcW w:w="1838" w:type="dxa"/>
            <w:vAlign w:val="center"/>
          </w:tcPr>
          <w:p w14:paraId="49FD476E" w14:textId="77777777" w:rsidR="000215B4" w:rsidRDefault="000215B4" w:rsidP="002023DB">
            <w:pPr>
              <w:ind w:firstLine="0"/>
            </w:pPr>
            <w:r>
              <w:rPr>
                <w:rFonts w:hint="eastAsia"/>
              </w:rPr>
              <w:t>L</w:t>
            </w:r>
            <w:r>
              <w:t>ight-gray box</w:t>
            </w:r>
          </w:p>
        </w:tc>
        <w:tc>
          <w:tcPr>
            <w:tcW w:w="2410" w:type="dxa"/>
            <w:vAlign w:val="center"/>
          </w:tcPr>
          <w:p w14:paraId="14AA1A49" w14:textId="77777777" w:rsidR="000215B4" w:rsidRDefault="000215B4" w:rsidP="002023DB">
            <w:pPr>
              <w:ind w:firstLine="0"/>
            </w:pPr>
            <w:r>
              <w:rPr>
                <w:rFonts w:hint="eastAsia"/>
              </w:rPr>
              <w:t>P</w:t>
            </w:r>
            <w:r>
              <w:t xml:space="preserve">hysical laws known; </w:t>
            </w:r>
          </w:p>
          <w:p w14:paraId="5CBF1565" w14:textId="77777777" w:rsidR="000215B4" w:rsidRDefault="000215B4" w:rsidP="002023DB">
            <w:pPr>
              <w:ind w:firstLine="0"/>
            </w:pPr>
            <w:r>
              <w:rPr>
                <w:rFonts w:hint="eastAsia"/>
              </w:rPr>
              <w:t>P</w:t>
            </w:r>
            <w:r>
              <w:t>arameters unknown</w:t>
            </w:r>
          </w:p>
        </w:tc>
        <w:tc>
          <w:tcPr>
            <w:tcW w:w="2514" w:type="dxa"/>
            <w:vAlign w:val="center"/>
          </w:tcPr>
          <w:p w14:paraId="29A4AA58" w14:textId="77777777" w:rsidR="000215B4" w:rsidRDefault="000215B4" w:rsidP="002023DB">
            <w:pPr>
              <w:ind w:firstLine="0"/>
            </w:pPr>
            <w:r>
              <w:rPr>
                <w:rFonts w:hint="eastAsia"/>
              </w:rPr>
              <w:t>D</w:t>
            </w:r>
            <w:r>
              <w:t>ifferential equations with known parameters; polynomial regression</w:t>
            </w:r>
          </w:p>
        </w:tc>
        <w:tc>
          <w:tcPr>
            <w:tcW w:w="2233" w:type="dxa"/>
            <w:vAlign w:val="center"/>
          </w:tcPr>
          <w:p w14:paraId="2D27C5F7" w14:textId="77777777" w:rsidR="000215B4" w:rsidRDefault="000215B4" w:rsidP="002023DB">
            <w:pPr>
              <w:ind w:firstLine="0"/>
            </w:pPr>
            <w:r>
              <w:rPr>
                <w:rFonts w:hint="eastAsia"/>
              </w:rPr>
              <w:t>P</w:t>
            </w:r>
            <w:r>
              <w:t>assive and active thermal storage</w:t>
            </w:r>
          </w:p>
        </w:tc>
      </w:tr>
      <w:tr w:rsidR="000215B4" w14:paraId="74188046" w14:textId="77777777" w:rsidTr="00AF3671">
        <w:tc>
          <w:tcPr>
            <w:tcW w:w="1838" w:type="dxa"/>
            <w:vAlign w:val="center"/>
          </w:tcPr>
          <w:p w14:paraId="2C8821EE" w14:textId="77777777" w:rsidR="000215B4" w:rsidRDefault="000215B4" w:rsidP="002023DB">
            <w:pPr>
              <w:ind w:firstLine="0"/>
            </w:pPr>
            <w:r>
              <w:rPr>
                <w:rFonts w:hint="eastAsia"/>
              </w:rPr>
              <w:t>B</w:t>
            </w:r>
            <w:r>
              <w:t>lack-box</w:t>
            </w:r>
          </w:p>
        </w:tc>
        <w:tc>
          <w:tcPr>
            <w:tcW w:w="2410" w:type="dxa"/>
            <w:vAlign w:val="center"/>
          </w:tcPr>
          <w:p w14:paraId="7D8A7ED3" w14:textId="77777777" w:rsidR="000215B4" w:rsidRDefault="000215B4" w:rsidP="002023DB">
            <w:pPr>
              <w:ind w:firstLine="0"/>
            </w:pPr>
            <w:r>
              <w:rPr>
                <w:rFonts w:hint="eastAsia"/>
              </w:rPr>
              <w:t>I</w:t>
            </w:r>
            <w:r>
              <w:t>nput/output governing function;</w:t>
            </w:r>
          </w:p>
          <w:p w14:paraId="45305CEA" w14:textId="77777777" w:rsidR="000215B4" w:rsidRDefault="000215B4" w:rsidP="002023DB">
            <w:pPr>
              <w:ind w:firstLine="0"/>
            </w:pPr>
            <w:r>
              <w:rPr>
                <w:rFonts w:hint="eastAsia"/>
              </w:rPr>
              <w:t>A</w:t>
            </w:r>
            <w:r>
              <w:t xml:space="preserve">ssumption of a model structure </w:t>
            </w:r>
          </w:p>
        </w:tc>
        <w:tc>
          <w:tcPr>
            <w:tcW w:w="2514" w:type="dxa"/>
            <w:vAlign w:val="center"/>
          </w:tcPr>
          <w:p w14:paraId="6B694503" w14:textId="77777777" w:rsidR="000215B4" w:rsidRDefault="000215B4" w:rsidP="002023DB">
            <w:pPr>
              <w:ind w:firstLine="0"/>
            </w:pPr>
            <w:r>
              <w:t>Deep learning models; Ensemble models</w:t>
            </w:r>
          </w:p>
        </w:tc>
        <w:tc>
          <w:tcPr>
            <w:tcW w:w="2233" w:type="dxa"/>
            <w:vAlign w:val="center"/>
          </w:tcPr>
          <w:p w14:paraId="40897349" w14:textId="77777777" w:rsidR="000215B4" w:rsidRDefault="000215B4" w:rsidP="002023DB">
            <w:pPr>
              <w:ind w:firstLine="0"/>
            </w:pPr>
            <w:r>
              <w:rPr>
                <w:rFonts w:hint="eastAsia"/>
              </w:rPr>
              <w:t>P</w:t>
            </w:r>
            <w:r>
              <w:t>V panel generation</w:t>
            </w:r>
          </w:p>
        </w:tc>
      </w:tr>
    </w:tbl>
    <w:p w14:paraId="6AFDE594" w14:textId="4805270B" w:rsidR="000215B4" w:rsidRDefault="000215B4" w:rsidP="000215B4">
      <w:r>
        <w:lastRenderedPageBreak/>
        <w:t>Light gray-box models are used in this study to describe the thermal dynamics of homes which related to the HVAC system and the thermal dynamics inside a tank which related to the water heater. There are three motivations for developing light gray-box model to describe the dynamics of thermostatically resources. First, a gray-box model for HVAC applications and water heater applications typically requires less effort to learn than a white-box m</w:t>
      </w:r>
      <w:r w:rsidRPr="008A23B6">
        <w:t>odel</w:t>
      </w:r>
      <w:r>
        <w:t xml:space="preserve"> </w:t>
      </w:r>
      <w:r>
        <w:fldChar w:fldCharType="begin"/>
      </w:r>
      <w:r w:rsidR="0082416B">
        <w:instrText xml:space="preserve"> ADDIN ZOTERO_ITEM CSL_CITATION {"citationID":"AdGCbg5V","properties":{"formattedCitation":"[100]","plainCitation":"[100]","noteIndex":0},"citationItems":[{"id":1677,"uris":["http://zotero.org/users/5659608/items/563MG22Q"],"itemData":{"id":1677,"type":"article-journal","abstract":"This paper proposes a B-splines integrated method combining in-situ data with grey-box modeling to estimate buildings' dynamic solar gain more efficiently than the conventional white-box model and much more precisely than the classic grey-box model. Solar gain, referring to the overall indoor energy gain supplied by solar radiation, plays a vital role in the indoor energy balance. Estimating dynamic solar gain precisely is essential to building energy optimization, e.g., in model predictive control. However, in almost all existing grey-box modeling works, a constant solar gain factor (solar aperture; gA) is assumed to estimate dynamic solar gain, which almost certainly will result in solar gain prediction errors, especially in buildings with unevenly distributed windows. To fill this gap, this study presents an advanced B-splines integrated grey-box model, using customized B-splines to advance the constant gA assumption toward its nature of time-dependence and precisely characterize the dynamic solar gain conclusively. On-site measured datasets of a portable site office (PSO) representing a ‘simplified’ building, under two scenarios with windows fully or partially uncovered, serve as test cases. To verify the physical interpretation of outcomes estimated by the proposed method, based on the said test cases, the proposed B-splines integrated grey-box model is compared with a classic white-box simulation. It is concluded that the proposed method can reveal the main trends and key dynamic features of solar gain very well, but still has some limitations of quantifying ‘local’ details with acceptable variations. Nevertheless, given that the proposed method merely asks for a very limited amount of low-frequency data, the proposed method is considered as a much more effective alternative to the classic white-box simulation approach, which requires massive and often hard-to-collect input data.","container-title":"Renewable and Sustainable Energy Reviews","DOI":"10.1016/j.rser.2022.112337","journalAbbreviation":"Renewable and Sustainable Energy Reviews","page":"112337","source":"ResearchGate","title":"Time-dependent solar aperture estimation of a building: Comparing grey-box and white-box approaches","title-short":"Time-dependent solar aperture estimation of a building","volume":"161","author":[{"family":"Zhang","given":"Xiang"},{"family":"Rasmussen","given":"Christoffer"},{"family":"Saelens","given":"Dirk"},{"family":"Roels","given":"Staf"}],"issued":{"date-parts":[["2022",6,1]]},"citation-key":"zhangTimedependentSolarAperture2022"}}],"schema":"https://github.com/citation-style-language/schema/raw/master/csl-citation.json"} </w:instrText>
      </w:r>
      <w:r>
        <w:fldChar w:fldCharType="separate"/>
      </w:r>
      <w:r w:rsidR="0082416B" w:rsidRPr="0082416B">
        <w:t>[100]</w:t>
      </w:r>
      <w:r>
        <w:fldChar w:fldCharType="end"/>
      </w:r>
      <w:r>
        <w:t xml:space="preserve">. Second, because it is partially physics-based, a gray-box model also generally yields more accurate prediction than a black-box model, especially in operating regimes where they are not trained </w:t>
      </w:r>
      <w:r w:rsidRPr="00EF74B4">
        <w:fldChar w:fldCharType="begin"/>
      </w:r>
      <w:r w:rsidR="0082416B">
        <w:instrText xml:space="preserve"> ADDIN ZOTERO_ITEM CSL_CITATION {"citationID":"cgipgINr","properties":{"formattedCitation":"[65,101]","plainCitation":"[65,101]","noteIndex":0},"citationItems":[{"id":1399,"uris":["http://zotero.org/users/5659608/items/P6YCVXFL"],"itemData":{"id":1399,"type":"article-journal","abstract":"Model Predictive Control (MPC) is a promising technique to address growing needs for heating, ventilation, and air-conditioning (HVAC) systems to operate more efficiently and with greater flexibility. However, due to a number of factors, including the required implementation expertise, lack of high quality data, and a risk-adverse industry, MPC has yet to gain widespread adoption. While many previous studies have shown the advantages of MPC, few analyzed the implementation effort and associated practical challenges. In addition, previous work has developed an open-source, Modelica-based tool-chain that automatically generates optimal control, parameter estimation, and state estimation problems aimed at facilitating MPC implementation. Therefore, this study demonstrates usage of this tool-chain to implement MPC in a real office building, discusses practical challenges of implementing MPC, and estimates the implementation effort associated with various tasks in order to inform the development of future workflows and serve as an initial benchmark for their impact on reducing implementation effort. This study finds that the implemented MPC saves approximately 40% of HVAC energy over the existing control during a two-month trial period and that tasks related to data collection and controller deployment activities can each require as much effort as model generation.","container-title":"Applied Energy","DOI":"10.1016/j.apenergy.2022.119104","ISSN":"0306-2619","journalAbbreviation":"Applied Energy","language":"en","page":"119104","source":"ScienceDirect","title":"Field demonstration and implementation analysis of model predictive control in an office HVAC system","volume":"318","author":[{"family":"Blum","given":"David"},{"family":"Wang","given":"Zhe"},{"family":"Weyandt","given":"Chris"},{"family":"Kim","given":"Donghun"},{"family":"Wetter","given":"Michael"},{"family":"Hong","given":"Tianzhen"},{"family":"Piette","given":"Mary Ann"}],"issued":{"date-parts":[["2022",7,15]]},"citation-key":"blumFieldDemonstrationImplementation2022"}},{"id":1682,"uris":["http://zotero.org/users/5659608/items/4UVVKYBV"],"itemData":{"id":1682,"type":"article-journal","abstract":"Gray-box or black-box models that are trained using on-site data typically do a better job of capturing actual system performance than forward models that are based on physical parameters due to deviations from design assumptions or uncertainties. However, accurate site-specific models are needed for developing optimal control strategies for existing systems. In this study, two different gray-box, quasi-steady-state modeling approaches for multi-stage direct expansion (DX) units with variable-air-volume (VAV) were developed and compared for application to supervisory control optimization. Firstly, the ASHRAE Toolkit model was modified for multi-stage DX units and trained using data from a field site. Secondly, a component-based, gray-box modeling approach was developed and trained using on-site data. The models were validated using measured data not included in the training data set. The advantage of the component-based approach is that it requires less data for training and provides better extrapolating performance. However, it requires significantly more computation. Therefore, a meta-model that correlates outputs from the gray-box model was developed for application to supervisory control optimization. This overall approach provides good accuracy over a wide range of conditions with limited training data and computational requirements. In order to test application potential, optimization of supply air temperature setpoints was performed for the case study using both the meta-model and modified Toolkit model. Although the two different modeling approaches gave some differences, both indicate significant energy savings potential.","container-title":"ASHRAE Transactions","journalAbbreviation":"ASHRAE Transactions","page":"203-216","source":"ResearchGate","title":"Gray-box modeling of multi-stage direct-expansion (DX) units to enable control system optimization","volume":"121","author":[{"family":"Cai","given":"Jie"},{"family":"Braun","given":"James"}],"issued":{"date-parts":[["2015",8,1]]},"citation-key":"caiGrayboxModelingMultistage2015"}}],"schema":"https://github.com/citation-style-language/schema/raw/master/csl-citation.json"} </w:instrText>
      </w:r>
      <w:r w:rsidRPr="00EF74B4">
        <w:fldChar w:fldCharType="separate"/>
      </w:r>
      <w:r w:rsidR="0082416B" w:rsidRPr="0082416B">
        <w:t>[65,101]</w:t>
      </w:r>
      <w:r w:rsidRPr="00EF74B4">
        <w:fldChar w:fldCharType="end"/>
      </w:r>
      <w:r>
        <w:t>. This feature can be very useful in developing a model for control purposes since the control operation usually is different from the operations in the training dataset. Finally, the light gray-box model describes the physical process rather than general input-output relationship, making the model adjustment easier when additional processes need to be included (e.g., coupling effect between the water heater and clothes washer occur).</w:t>
      </w:r>
    </w:p>
    <w:p w14:paraId="295D4B30" w14:textId="69886447" w:rsidR="000215B4" w:rsidRPr="00F028F0" w:rsidRDefault="000215B4" w:rsidP="000215B4">
      <w:r>
        <w:t xml:space="preserve">While the light gray-box model has many advantages, it is not suitable for modeling every load-flexible resources in homes. The parameter identification process makes the light gray-box are not suitable for modeling the electrical appliances or battery. These on/off or (dis-)charging behaviors do not rely on complicated thermal dynamics, but rather on their own specifications, which can be easily found from information provided by the users or manufactures. Therefore, in this study, the white-box model is used to model electrical appliances and batteries. Besides, the light gray-box model is often simplified or generalized model of physical reality, and its capability is limited in a system that is inherently variable, </w:t>
      </w:r>
      <w:r>
        <w:lastRenderedPageBreak/>
        <w:t>such as a distributed PV panel system. In contrast, the black-box model is often more suitable in handling these complicated input output relationships. In the following section, the HVAC system, the water heater system, and the PV panel generation are introduced</w:t>
      </w:r>
      <w:r w:rsidR="00E1040C">
        <w:t xml:space="preserve"> due to their modeling development complexity. On the other hand, the characteristics of battery</w:t>
      </w:r>
      <w:r>
        <w:t xml:space="preserve"> and electrical appliance </w:t>
      </w:r>
      <w:r w:rsidR="00E1040C">
        <w:t>are direct inputs to the optimization framework in</w:t>
      </w:r>
      <w:r>
        <w:t xml:space="preserve"> </w:t>
      </w:r>
      <w:r w:rsidR="00410CB0">
        <w:t xml:space="preserve">Chapter </w:t>
      </w:r>
      <w:r w:rsidR="00410CB0" w:rsidRPr="00A0357D">
        <w:fldChar w:fldCharType="begin"/>
      </w:r>
      <w:r w:rsidR="00410CB0" w:rsidRPr="00623535">
        <w:instrText xml:space="preserve"> REF _Ref139415438 \n \h </w:instrText>
      </w:r>
      <w:r w:rsidR="00A0357D">
        <w:instrText xml:space="preserve"> \* MERGEFORMAT </w:instrText>
      </w:r>
      <w:r w:rsidR="00410CB0" w:rsidRPr="00A0357D">
        <w:fldChar w:fldCharType="separate"/>
      </w:r>
      <w:r w:rsidR="000E1725">
        <w:t>5</w:t>
      </w:r>
      <w:r w:rsidR="00410CB0" w:rsidRPr="00A0357D">
        <w:fldChar w:fldCharType="end"/>
      </w:r>
      <w:r>
        <w:t xml:space="preserve"> due to their white-box model are relatively simple and straightforward.</w:t>
      </w:r>
    </w:p>
    <w:p w14:paraId="7B1A43FB" w14:textId="77777777" w:rsidR="000215B4" w:rsidRDefault="000215B4" w:rsidP="000215B4">
      <w:pPr>
        <w:pStyle w:val="Heading2"/>
      </w:pPr>
      <w:bookmarkStart w:id="126" w:name="_Toc126326784"/>
      <w:bookmarkStart w:id="127" w:name="_Toc126327459"/>
      <w:bookmarkStart w:id="128" w:name="_Toc126327572"/>
      <w:bookmarkStart w:id="129" w:name="_Ref126331610"/>
      <w:bookmarkStart w:id="130" w:name="_Ref126497422"/>
      <w:bookmarkStart w:id="131" w:name="_Ref126836033"/>
      <w:bookmarkStart w:id="132" w:name="_Toc132122460"/>
      <w:bookmarkStart w:id="133" w:name="_Toc132122584"/>
      <w:bookmarkStart w:id="134" w:name="_Toc133542355"/>
      <w:bookmarkStart w:id="135" w:name="_Toc141991684"/>
      <w:r>
        <w:rPr>
          <w:rFonts w:hint="eastAsia"/>
        </w:rPr>
        <w:t>H</w:t>
      </w:r>
      <w:r>
        <w:t xml:space="preserve">VAC </w:t>
      </w:r>
      <w:r>
        <w:rPr>
          <w:rFonts w:hint="eastAsia"/>
        </w:rPr>
        <w:t>M</w:t>
      </w:r>
      <w:r>
        <w:t>odeling and Parameter Identification</w:t>
      </w:r>
      <w:bookmarkEnd w:id="126"/>
      <w:bookmarkEnd w:id="127"/>
      <w:bookmarkEnd w:id="128"/>
      <w:bookmarkEnd w:id="129"/>
      <w:bookmarkEnd w:id="130"/>
      <w:bookmarkEnd w:id="131"/>
      <w:bookmarkEnd w:id="132"/>
      <w:bookmarkEnd w:id="133"/>
      <w:r>
        <w:t xml:space="preserve"> Approach</w:t>
      </w:r>
      <w:bookmarkEnd w:id="134"/>
      <w:bookmarkEnd w:id="135"/>
      <w:r>
        <w:t xml:space="preserve"> </w:t>
      </w:r>
    </w:p>
    <w:p w14:paraId="39AEE254" w14:textId="77777777" w:rsidR="000215B4" w:rsidRPr="005246D7" w:rsidRDefault="000215B4" w:rsidP="000215B4">
      <w:pPr>
        <w:pStyle w:val="Heading3"/>
      </w:pPr>
      <w:bookmarkStart w:id="136" w:name="_Ref127116439"/>
      <w:bookmarkStart w:id="137" w:name="_Toc141991685"/>
      <w:bookmarkStart w:id="138" w:name="_Toc132122461"/>
      <w:bookmarkStart w:id="139" w:name="_Toc132122585"/>
      <w:bookmarkStart w:id="140" w:name="_Toc133542356"/>
      <w:r w:rsidRPr="005246D7">
        <w:t>Reduced</w:t>
      </w:r>
      <w:r>
        <w:t>-order</w:t>
      </w:r>
      <w:r w:rsidRPr="005246D7">
        <w:t xml:space="preserve"> RC</w:t>
      </w:r>
      <w:r>
        <w:t>-based gray-box</w:t>
      </w:r>
      <w:r w:rsidRPr="005246D7">
        <w:t xml:space="preserve"> </w:t>
      </w:r>
      <w:bookmarkEnd w:id="136"/>
      <w:r>
        <w:t>m</w:t>
      </w:r>
      <w:r w:rsidRPr="005246D7">
        <w:t xml:space="preserve">odel </w:t>
      </w:r>
      <w:r>
        <w:t>of home thermal dynamics</w:t>
      </w:r>
      <w:bookmarkEnd w:id="137"/>
      <w:r w:rsidRPr="005246D7">
        <w:t xml:space="preserve"> </w:t>
      </w:r>
    </w:p>
    <w:bookmarkEnd w:id="138"/>
    <w:bookmarkEnd w:id="139"/>
    <w:bookmarkEnd w:id="140"/>
    <w:p w14:paraId="052D8AF5" w14:textId="083508CF" w:rsidR="000215B4" w:rsidRDefault="000215B4" w:rsidP="000215B4">
      <w:r>
        <w:t xml:space="preserve">The home thermal dynamics involves several heat and mass transfer processes, including heat transfer through opaque building envelope, solar radiation through windows (or other transparent elements in homes), infiltration through cracks of windows or doors, and internal heat gains caused by people, lights, and equipment. A RC network model, which mainly models the thermal energy flow driven by temperature difference (thermal resistance), and the ability of a building to store energy (thermal capacitance), is a widely used simplified model to describe these heat and mass transfer processes in building </w:t>
      </w:r>
      <w:r>
        <w:fldChar w:fldCharType="begin"/>
      </w:r>
      <w:r w:rsidR="0082416B">
        <w:instrText xml:space="preserve"> ADDIN ZOTERO_ITEM CSL_CITATION {"citationID":"a14n0u8akbn","properties":{"formattedCitation":"[102]","plainCitation":"[102]","noteIndex":0},"citationItems":[{"id":1893,"uris":["http://zotero.org/users/5659608/items/QQYTPIZY"],"itemData":{"id":1893,"type":"article-journal","abstract":"Thermal resistor-capacitor networks are a popular method for control-oriented building modeling. A basic assumption underlying this method is that the continuous temperature distribution in a wall or window is well-approximated by a small number of lumped capacitances. In this paper, we explore the accuracy of this approximation when a single capacitance is used. We derive conditions on the dimensionless parameters that characterize the problem, called Biot numbers, that lead to small errors in approximating a wall or window's surface heat fluxes and internal energy. The lumped capacitance approximation can be surprisingly accurate for Biot numbers much larger than the conventional upper bound of 0.1. In particular, the approximation is nearly exact for window panes, and is often acceptable for uniform walls. A large Biot number at an indoor wall surface, however, leads to large lumped capacitance approximation errors.","container-title":"Energy and Buildings","DOI":"10.1016/j.enbuild.2015.09.053","ISSN":"0378-7788","journalAbbreviation":"Energy and Buildings","language":"en","page":"454-462","source":"ScienceDirect","title":"On the lumped capacitance approximation accuracy in RC network building models","volume":"108","author":[{"family":"Kircher","given":"Kevin J."},{"family":"Max Zhang","given":"K."}],"issued":{"date-parts":[["2015",12,1]]},"citation-key":"kircherLumpedCapacitanceApproximation2015"}}],"schema":"https://github.com/citation-style-language/schema/raw/master/csl-citation.json"} </w:instrText>
      </w:r>
      <w:r>
        <w:fldChar w:fldCharType="separate"/>
      </w:r>
      <w:r w:rsidR="0082416B" w:rsidRPr="0082416B">
        <w:t>[102]</w:t>
      </w:r>
      <w:r>
        <w:fldChar w:fldCharType="end"/>
      </w:r>
      <w:r>
        <w:t xml:space="preserve">. In this paper, a second-order resistance-capacitance (RC)-based gray-box model is used to describe the thermal dynamics of a home, as shown in </w:t>
      </w:r>
      <w:r>
        <w:fldChar w:fldCharType="begin"/>
      </w:r>
      <w:r>
        <w:instrText xml:space="preserve"> REF _Ref133703354 \h </w:instrText>
      </w:r>
      <w:r>
        <w:fldChar w:fldCharType="separate"/>
      </w:r>
      <w:r w:rsidR="000E1725">
        <w:t xml:space="preserve">Figure </w:t>
      </w:r>
      <w:r w:rsidR="000E1725">
        <w:rPr>
          <w:noProof/>
        </w:rPr>
        <w:t>3</w:t>
      </w:r>
      <w:r w:rsidR="000E1725">
        <w:t>.</w:t>
      </w:r>
      <w:r w:rsidR="000E1725">
        <w:rPr>
          <w:noProof/>
        </w:rPr>
        <w:t>1</w:t>
      </w:r>
      <w:r>
        <w:fldChar w:fldCharType="end"/>
      </w:r>
      <w:r>
        <w:t xml:space="preserve">. </w:t>
      </w:r>
    </w:p>
    <w:p w14:paraId="3F3895B2" w14:textId="77777777" w:rsidR="000215B4" w:rsidRDefault="000215B4" w:rsidP="00623535">
      <w:pPr>
        <w:pStyle w:val="12FigureFormatSelectafigureandclickonthisstyle"/>
      </w:pPr>
      <w:r>
        <w:rPr>
          <w:noProof/>
        </w:rPr>
        <w:lastRenderedPageBreak/>
        <w:drawing>
          <wp:inline distT="0" distB="0" distL="0" distR="0" wp14:anchorId="1993A663" wp14:editId="5062EAD9">
            <wp:extent cx="5221234" cy="2289820"/>
            <wp:effectExtent l="0" t="0" r="0" b="0"/>
            <wp:docPr id="788643843" name="Picture 788643843"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643843" name="Picture 788643843" descr="A picture containing text, screenshot, line, fon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21234" cy="2289820"/>
                    </a:xfrm>
                    <a:prstGeom prst="rect">
                      <a:avLst/>
                    </a:prstGeom>
                  </pic:spPr>
                </pic:pic>
              </a:graphicData>
            </a:graphic>
          </wp:inline>
        </w:drawing>
      </w:r>
    </w:p>
    <w:p w14:paraId="78D3AC72" w14:textId="484FB080" w:rsidR="000215B4" w:rsidRDefault="000215B4" w:rsidP="000215B4">
      <w:pPr>
        <w:pStyle w:val="13FigureCaption"/>
      </w:pPr>
      <w:bookmarkStart w:id="141" w:name="_Ref133703354"/>
      <w:bookmarkStart w:id="142" w:name="_Toc141349910"/>
      <w:r>
        <w:t xml:space="preserve">Figure </w:t>
      </w:r>
      <w:fldSimple w:instr=" STYLEREF 1 \s ">
        <w:r w:rsidR="000E1725">
          <w:rPr>
            <w:noProof/>
          </w:rPr>
          <w:t>3</w:t>
        </w:r>
      </w:fldSimple>
      <w:r w:rsidR="005445E0">
        <w:t>.</w:t>
      </w:r>
      <w:fldSimple w:instr=" SEQ Figure \* ARABIC \s 1 ">
        <w:r w:rsidR="000E1725">
          <w:rPr>
            <w:noProof/>
          </w:rPr>
          <w:t>1</w:t>
        </w:r>
      </w:fldSimple>
      <w:bookmarkEnd w:id="141"/>
      <w:r>
        <w:t xml:space="preserve"> Schematic of the RC network of home thermal dynamics</w:t>
      </w:r>
      <w:bookmarkEnd w:id="142"/>
      <w:r>
        <w:t xml:space="preserve"> </w:t>
      </w:r>
    </w:p>
    <w:p w14:paraId="6B8B88FF" w14:textId="40B3B901" w:rsidR="000215B4" w:rsidRDefault="000215B4" w:rsidP="000215B4">
      <w:r>
        <w:t xml:space="preserve">Based on </w:t>
      </w:r>
      <w:r>
        <w:fldChar w:fldCharType="begin"/>
      </w:r>
      <w:r>
        <w:instrText xml:space="preserve"> REF _Ref133703354 \h </w:instrText>
      </w:r>
      <w:r>
        <w:fldChar w:fldCharType="separate"/>
      </w:r>
      <w:r w:rsidR="000E1725">
        <w:t xml:space="preserve">Figure </w:t>
      </w:r>
      <w:r w:rsidR="000E1725">
        <w:rPr>
          <w:noProof/>
        </w:rPr>
        <w:t>3</w:t>
      </w:r>
      <w:r w:rsidR="000E1725">
        <w:t>.</w:t>
      </w:r>
      <w:r w:rsidR="000E1725">
        <w:rPr>
          <w:noProof/>
        </w:rPr>
        <w:t>1</w:t>
      </w:r>
      <w:r>
        <w:fldChar w:fldCharType="end"/>
      </w:r>
      <w:r>
        <w:t>, the second-order RC-based model is given by:</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2"/>
        <w:gridCol w:w="978"/>
      </w:tblGrid>
      <w:tr w:rsidR="000215B4" w:rsidRPr="000B0164" w14:paraId="6B9F5C3C" w14:textId="77777777" w:rsidTr="00AF3671">
        <w:trPr>
          <w:trHeight w:val="875"/>
        </w:trPr>
        <w:tc>
          <w:tcPr>
            <w:tcW w:w="8100" w:type="dxa"/>
            <w:vAlign w:val="center"/>
          </w:tcPr>
          <w:p w14:paraId="63139AF1" w14:textId="77777777" w:rsidR="000215B4" w:rsidRPr="004B192C" w:rsidRDefault="00000000" w:rsidP="002023DB">
            <w:pPr>
              <w:rPr>
                <w:rFonts w:eastAsiaTheme="minorEastAsia"/>
                <w:bCs/>
              </w:rPr>
            </w:pPr>
            <m:oMathPara>
              <m:oMath>
                <m:sSub>
                  <m:sSubPr>
                    <m:ctrlPr>
                      <w:rPr>
                        <w:rFonts w:ascii="Cambria Math" w:eastAsia="Times New Roman" w:hAnsi="Cambria Math"/>
                        <w:bCs/>
                        <w:i/>
                        <w:szCs w:val="28"/>
                      </w:rPr>
                    </m:ctrlPr>
                  </m:sSubPr>
                  <m:e>
                    <m:r>
                      <w:rPr>
                        <w:rFonts w:ascii="Cambria Math" w:hAnsi="Cambria Math"/>
                      </w:rPr>
                      <m:t>C</m:t>
                    </m:r>
                    <m:ctrlPr>
                      <w:rPr>
                        <w:rFonts w:ascii="Cambria Math" w:hAnsi="Cambria Math"/>
                        <w:bCs/>
                        <w:i/>
                      </w:rPr>
                    </m:ctrlPr>
                  </m:e>
                  <m:sub>
                    <m:r>
                      <w:rPr>
                        <w:rFonts w:ascii="Cambria Math" w:hAnsi="Cambria Math"/>
                      </w:rPr>
                      <m:t>le</m:t>
                    </m:r>
                  </m:sub>
                </m:sSub>
                <m:f>
                  <m:fPr>
                    <m:ctrlPr>
                      <w:rPr>
                        <w:rFonts w:ascii="Cambria Math" w:hAnsi="Cambria Math"/>
                        <w:bCs/>
                      </w:rPr>
                    </m:ctrlPr>
                  </m:fPr>
                  <m:num>
                    <m:r>
                      <w:rPr>
                        <w:rFonts w:ascii="Cambria Math" w:hAnsi="Cambria Math"/>
                      </w:rPr>
                      <m:t>d</m:t>
                    </m:r>
                    <m:sSub>
                      <m:sSubPr>
                        <m:ctrlPr>
                          <w:rPr>
                            <w:rFonts w:ascii="Cambria Math" w:hAnsi="Cambria Math"/>
                            <w:bCs/>
                            <w:i/>
                          </w:rPr>
                        </m:ctrlPr>
                      </m:sSubPr>
                      <m:e>
                        <m:r>
                          <w:rPr>
                            <w:rFonts w:ascii="Cambria Math" w:hAnsi="Cambria Math"/>
                          </w:rPr>
                          <m:t>T</m:t>
                        </m:r>
                      </m:e>
                      <m:sub>
                        <m:r>
                          <w:rPr>
                            <w:rFonts w:ascii="Cambria Math" w:hAnsi="Cambria Math"/>
                          </w:rPr>
                          <m:t>ie</m:t>
                        </m:r>
                      </m:sub>
                    </m:sSub>
                    <m:ctrlPr>
                      <w:rPr>
                        <w:rFonts w:ascii="Cambria Math" w:hAnsi="Cambria Math"/>
                        <w:bCs/>
                        <w:i/>
                      </w:rPr>
                    </m:ctrlPr>
                  </m:num>
                  <m:den>
                    <m:r>
                      <w:rPr>
                        <w:rFonts w:ascii="Cambria Math" w:hAnsi="Cambria Math"/>
                      </w:rPr>
                      <m:t>dt</m:t>
                    </m:r>
                    <m:ctrlPr>
                      <w:rPr>
                        <w:rFonts w:ascii="Cambria Math" w:hAnsi="Cambria Math"/>
                        <w:bCs/>
                        <w:i/>
                      </w:rPr>
                    </m:ctrlPr>
                  </m:den>
                </m:f>
                <m:r>
                  <w:rPr>
                    <w:rFonts w:ascii="Cambria Math" w:hAnsi="Cambria Math"/>
                  </w:rPr>
                  <m:t>=</m:t>
                </m:r>
                <m:f>
                  <m:fPr>
                    <m:ctrlPr>
                      <w:rPr>
                        <w:rFonts w:ascii="Cambria Math" w:hAnsi="Cambria Math"/>
                        <w:bCs/>
                      </w:rPr>
                    </m:ctrlPr>
                  </m:fPr>
                  <m:num>
                    <m:d>
                      <m:dPr>
                        <m:ctrlPr>
                          <w:rPr>
                            <w:rFonts w:ascii="Cambria Math" w:hAnsi="Cambria Math"/>
                            <w:bCs/>
                            <w:i/>
                          </w:rPr>
                        </m:ctrlPr>
                      </m:dPr>
                      <m:e>
                        <m:sSub>
                          <m:sSubPr>
                            <m:ctrlPr>
                              <w:rPr>
                                <w:rFonts w:ascii="Cambria Math" w:hAnsi="Cambria Math"/>
                                <w:bCs/>
                                <w:i/>
                              </w:rPr>
                            </m:ctrlPr>
                          </m:sSubPr>
                          <m:e>
                            <m:r>
                              <w:rPr>
                                <w:rFonts w:ascii="Cambria Math" w:hAnsi="Cambria Math"/>
                              </w:rPr>
                              <m:t>T</m:t>
                            </m:r>
                          </m:e>
                          <m:sub>
                            <m:r>
                              <w:rPr>
                                <w:rFonts w:ascii="Cambria Math" w:hAnsi="Cambria Math"/>
                              </w:rPr>
                              <m:t>o</m:t>
                            </m:r>
                          </m:sub>
                        </m:sSub>
                        <m:r>
                          <w:rPr>
                            <w:rFonts w:ascii="Cambria Math" w:hAnsi="Cambria Math"/>
                          </w:rPr>
                          <m:t>-</m:t>
                        </m:r>
                        <m:sSub>
                          <m:sSubPr>
                            <m:ctrlPr>
                              <w:rPr>
                                <w:rFonts w:ascii="Cambria Math" w:hAnsi="Cambria Math"/>
                                <w:bCs/>
                                <w:i/>
                              </w:rPr>
                            </m:ctrlPr>
                          </m:sSubPr>
                          <m:e>
                            <m:r>
                              <w:rPr>
                                <w:rFonts w:ascii="Cambria Math" w:hAnsi="Cambria Math"/>
                              </w:rPr>
                              <m:t>T</m:t>
                            </m:r>
                          </m:e>
                          <m:sub>
                            <m:r>
                              <w:rPr>
                                <w:rFonts w:ascii="Cambria Math" w:hAnsi="Cambria Math"/>
                              </w:rPr>
                              <m:t>ie</m:t>
                            </m:r>
                          </m:sub>
                        </m:sSub>
                      </m:e>
                    </m:d>
                    <m:ctrlPr>
                      <w:rPr>
                        <w:rFonts w:ascii="Cambria Math" w:hAnsi="Cambria Math"/>
                        <w:bCs/>
                        <w:i/>
                      </w:rPr>
                    </m:ctrlPr>
                  </m:num>
                  <m:den>
                    <m:sSub>
                      <m:sSubPr>
                        <m:ctrlPr>
                          <w:rPr>
                            <w:rFonts w:ascii="Cambria Math" w:eastAsia="Times New Roman" w:hAnsi="Cambria Math"/>
                            <w:bCs/>
                            <w:i/>
                            <w:szCs w:val="28"/>
                          </w:rPr>
                        </m:ctrlPr>
                      </m:sSubPr>
                      <m:e>
                        <m:r>
                          <w:rPr>
                            <w:rFonts w:ascii="Cambria Math" w:hAnsi="Cambria Math"/>
                          </w:rPr>
                          <m:t>R</m:t>
                        </m:r>
                        <m:ctrlPr>
                          <w:rPr>
                            <w:rFonts w:ascii="Cambria Math" w:hAnsi="Cambria Math"/>
                            <w:bCs/>
                            <w:i/>
                          </w:rPr>
                        </m:ctrlPr>
                      </m:e>
                      <m:sub>
                        <m:r>
                          <w:rPr>
                            <w:rFonts w:ascii="Cambria Math" w:hAnsi="Cambria Math"/>
                          </w:rPr>
                          <m:t>le</m:t>
                        </m:r>
                      </m:sub>
                    </m:sSub>
                    <m:ctrlPr>
                      <w:rPr>
                        <w:rFonts w:ascii="Cambria Math" w:hAnsi="Cambria Math"/>
                        <w:bCs/>
                        <w:i/>
                      </w:rPr>
                    </m:ctrlPr>
                  </m:den>
                </m:f>
                <m:r>
                  <w:rPr>
                    <w:rFonts w:ascii="Cambria Math" w:hAnsi="Cambria Math"/>
                  </w:rPr>
                  <m:t>+</m:t>
                </m:r>
                <m:f>
                  <m:fPr>
                    <m:ctrlPr>
                      <w:rPr>
                        <w:rFonts w:ascii="Cambria Math" w:hAnsi="Cambria Math"/>
                        <w:bCs/>
                      </w:rPr>
                    </m:ctrlPr>
                  </m:fPr>
                  <m:num>
                    <m:d>
                      <m:dPr>
                        <m:ctrlPr>
                          <w:rPr>
                            <w:rFonts w:ascii="Cambria Math" w:hAnsi="Cambria Math"/>
                            <w:bCs/>
                            <w:i/>
                          </w:rPr>
                        </m:ctrlPr>
                      </m:dPr>
                      <m:e>
                        <m:sSub>
                          <m:sSubPr>
                            <m:ctrlPr>
                              <w:rPr>
                                <w:rFonts w:ascii="Cambria Math" w:hAnsi="Cambria Math"/>
                                <w:bCs/>
                                <w:i/>
                              </w:rPr>
                            </m:ctrlPr>
                          </m:sSubPr>
                          <m:e>
                            <m:r>
                              <w:rPr>
                                <w:rFonts w:ascii="Cambria Math" w:hAnsi="Cambria Math"/>
                              </w:rPr>
                              <m:t>T</m:t>
                            </m:r>
                          </m:e>
                          <m:sub>
                            <m:r>
                              <w:rPr>
                                <w:rFonts w:ascii="Cambria Math" w:hAnsi="Cambria Math"/>
                              </w:rPr>
                              <m:t>in</m:t>
                            </m:r>
                          </m:sub>
                        </m:sSub>
                        <m:r>
                          <w:rPr>
                            <w:rFonts w:ascii="Cambria Math" w:hAnsi="Cambria Math"/>
                          </w:rPr>
                          <m:t>-</m:t>
                        </m:r>
                        <m:sSub>
                          <m:sSubPr>
                            <m:ctrlPr>
                              <w:rPr>
                                <w:rFonts w:ascii="Cambria Math" w:hAnsi="Cambria Math"/>
                                <w:bCs/>
                                <w:i/>
                              </w:rPr>
                            </m:ctrlPr>
                          </m:sSubPr>
                          <m:e>
                            <m:r>
                              <w:rPr>
                                <w:rFonts w:ascii="Cambria Math" w:hAnsi="Cambria Math"/>
                              </w:rPr>
                              <m:t>T</m:t>
                            </m:r>
                          </m:e>
                          <m:sub>
                            <m:r>
                              <w:rPr>
                                <w:rFonts w:ascii="Cambria Math" w:hAnsi="Cambria Math"/>
                              </w:rPr>
                              <m:t>ie</m:t>
                            </m:r>
                          </m:sub>
                        </m:sSub>
                      </m:e>
                    </m:d>
                    <m:ctrlPr>
                      <w:rPr>
                        <w:rFonts w:ascii="Cambria Math" w:hAnsi="Cambria Math"/>
                        <w:bCs/>
                        <w:i/>
                      </w:rPr>
                    </m:ctrlPr>
                  </m:num>
                  <m:den>
                    <m:sSub>
                      <m:sSubPr>
                        <m:ctrlPr>
                          <w:rPr>
                            <w:rFonts w:ascii="Cambria Math" w:eastAsia="Times New Roman" w:hAnsi="Cambria Math"/>
                            <w:bCs/>
                            <w:i/>
                            <w:szCs w:val="28"/>
                          </w:rPr>
                        </m:ctrlPr>
                      </m:sSubPr>
                      <m:e>
                        <m:r>
                          <w:rPr>
                            <w:rFonts w:ascii="Cambria Math" w:hAnsi="Cambria Math"/>
                          </w:rPr>
                          <m:t>R</m:t>
                        </m:r>
                        <m:ctrlPr>
                          <w:rPr>
                            <w:rFonts w:ascii="Cambria Math" w:hAnsi="Cambria Math"/>
                            <w:bCs/>
                            <w:i/>
                          </w:rPr>
                        </m:ctrlPr>
                      </m:e>
                      <m:sub>
                        <m:r>
                          <w:rPr>
                            <w:rFonts w:ascii="Cambria Math" w:hAnsi="Cambria Math"/>
                          </w:rPr>
                          <m:t>air</m:t>
                        </m:r>
                      </m:sub>
                    </m:sSub>
                    <m:ctrlPr>
                      <w:rPr>
                        <w:rFonts w:ascii="Cambria Math" w:hAnsi="Cambria Math"/>
                        <w:bCs/>
                        <w:i/>
                      </w:rPr>
                    </m:ctrlPr>
                  </m:den>
                </m:f>
              </m:oMath>
            </m:oMathPara>
          </w:p>
        </w:tc>
        <w:tc>
          <w:tcPr>
            <w:tcW w:w="900" w:type="dxa"/>
            <w:vAlign w:val="center"/>
          </w:tcPr>
          <w:p w14:paraId="022BF695" w14:textId="5E3A5E42" w:rsidR="000215B4" w:rsidRPr="004B192C" w:rsidRDefault="000215B4" w:rsidP="002023DB">
            <w:pPr>
              <w:rPr>
                <w:bCs/>
              </w:rPr>
            </w:pPr>
            <w:bookmarkStart w:id="143" w:name="_Ref133842715"/>
            <w:r w:rsidRPr="004B192C">
              <w:rPr>
                <w:bCs/>
              </w:rPr>
              <w:t>(</w:t>
            </w:r>
            <w:r w:rsidRPr="004B192C">
              <w:rPr>
                <w:bCs/>
              </w:rPr>
              <w:fldChar w:fldCharType="begin"/>
            </w:r>
            <w:r w:rsidRPr="004B192C">
              <w:rPr>
                <w:bCs/>
              </w:rPr>
              <w:instrText>SEQ equation \* ARABIC</w:instrText>
            </w:r>
            <w:r w:rsidRPr="004B192C">
              <w:rPr>
                <w:bCs/>
              </w:rPr>
              <w:fldChar w:fldCharType="separate"/>
            </w:r>
            <w:r w:rsidR="000E1725">
              <w:rPr>
                <w:bCs/>
                <w:noProof/>
              </w:rPr>
              <w:t>1</w:t>
            </w:r>
            <w:r w:rsidRPr="004B192C">
              <w:rPr>
                <w:bCs/>
              </w:rPr>
              <w:fldChar w:fldCharType="end"/>
            </w:r>
            <w:r w:rsidRPr="004B192C">
              <w:rPr>
                <w:bCs/>
              </w:rPr>
              <w:t>)</w:t>
            </w:r>
            <w:bookmarkEnd w:id="143"/>
          </w:p>
        </w:tc>
      </w:tr>
      <w:tr w:rsidR="000215B4" w:rsidRPr="000B0164" w14:paraId="619B9E94" w14:textId="77777777" w:rsidTr="00AF3671">
        <w:trPr>
          <w:trHeight w:val="875"/>
        </w:trPr>
        <w:tc>
          <w:tcPr>
            <w:tcW w:w="8100" w:type="dxa"/>
            <w:vAlign w:val="center"/>
          </w:tcPr>
          <w:p w14:paraId="5BA26D26" w14:textId="77777777" w:rsidR="000215B4" w:rsidRPr="004B192C" w:rsidRDefault="00000000" w:rsidP="002023DB">
            <w:pPr>
              <w:rPr>
                <w:rFonts w:eastAsiaTheme="minorEastAsia"/>
                <w:bCs/>
              </w:rPr>
            </w:pPr>
            <m:oMathPara>
              <m:oMath>
                <m:sSub>
                  <m:sSubPr>
                    <m:ctrlPr>
                      <w:rPr>
                        <w:rFonts w:ascii="Cambria Math" w:eastAsia="Times New Roman" w:hAnsi="Cambria Math"/>
                        <w:bCs/>
                        <w:i/>
                        <w:szCs w:val="28"/>
                      </w:rPr>
                    </m:ctrlPr>
                  </m:sSubPr>
                  <m:e>
                    <m:r>
                      <w:rPr>
                        <w:rFonts w:ascii="Cambria Math" w:hAnsi="Cambria Math"/>
                      </w:rPr>
                      <m:t>C</m:t>
                    </m:r>
                    <m:ctrlPr>
                      <w:rPr>
                        <w:rFonts w:ascii="Cambria Math" w:hAnsi="Cambria Math"/>
                        <w:bCs/>
                        <w:i/>
                      </w:rPr>
                    </m:ctrlPr>
                  </m:e>
                  <m:sub>
                    <m:r>
                      <w:rPr>
                        <w:rFonts w:ascii="Cambria Math" w:hAnsi="Cambria Math"/>
                      </w:rPr>
                      <m:t>air</m:t>
                    </m:r>
                  </m:sub>
                </m:sSub>
                <m:f>
                  <m:fPr>
                    <m:ctrlPr>
                      <w:rPr>
                        <w:rFonts w:ascii="Cambria Math" w:hAnsi="Cambria Math"/>
                        <w:bCs/>
                      </w:rPr>
                    </m:ctrlPr>
                  </m:fPr>
                  <m:num>
                    <m:r>
                      <w:rPr>
                        <w:rFonts w:ascii="Cambria Math" w:hAnsi="Cambria Math"/>
                      </w:rPr>
                      <m:t>d</m:t>
                    </m:r>
                    <m:sSub>
                      <m:sSubPr>
                        <m:ctrlPr>
                          <w:rPr>
                            <w:rFonts w:ascii="Cambria Math" w:hAnsi="Cambria Math"/>
                            <w:bCs/>
                            <w:i/>
                          </w:rPr>
                        </m:ctrlPr>
                      </m:sSubPr>
                      <m:e>
                        <m:r>
                          <w:rPr>
                            <w:rFonts w:ascii="Cambria Math" w:hAnsi="Cambria Math"/>
                          </w:rPr>
                          <m:t>T</m:t>
                        </m:r>
                      </m:e>
                      <m:sub>
                        <m:r>
                          <w:rPr>
                            <w:rFonts w:ascii="Cambria Math" w:hAnsi="Cambria Math"/>
                          </w:rPr>
                          <m:t>in</m:t>
                        </m:r>
                      </m:sub>
                    </m:sSub>
                    <m:ctrlPr>
                      <w:rPr>
                        <w:rFonts w:ascii="Cambria Math" w:hAnsi="Cambria Math"/>
                        <w:bCs/>
                        <w:i/>
                      </w:rPr>
                    </m:ctrlPr>
                  </m:num>
                  <m:den>
                    <m:r>
                      <w:rPr>
                        <w:rFonts w:ascii="Cambria Math" w:hAnsi="Cambria Math"/>
                      </w:rPr>
                      <m:t>dt</m:t>
                    </m:r>
                    <m:ctrlPr>
                      <w:rPr>
                        <w:rFonts w:ascii="Cambria Math" w:hAnsi="Cambria Math"/>
                        <w:bCs/>
                        <w:i/>
                      </w:rPr>
                    </m:ctrlPr>
                  </m:den>
                </m:f>
                <m:r>
                  <w:rPr>
                    <w:rFonts w:ascii="Cambria Math" w:hAnsi="Cambria Math"/>
                  </w:rPr>
                  <m:t>=</m:t>
                </m:r>
                <m:f>
                  <m:fPr>
                    <m:ctrlPr>
                      <w:rPr>
                        <w:rFonts w:ascii="Cambria Math" w:hAnsi="Cambria Math"/>
                        <w:bCs/>
                      </w:rPr>
                    </m:ctrlPr>
                  </m:fPr>
                  <m:num>
                    <m:d>
                      <m:dPr>
                        <m:ctrlPr>
                          <w:rPr>
                            <w:rFonts w:ascii="Cambria Math" w:hAnsi="Cambria Math"/>
                            <w:bCs/>
                            <w:i/>
                          </w:rPr>
                        </m:ctrlPr>
                      </m:dPr>
                      <m:e>
                        <m:sSub>
                          <m:sSubPr>
                            <m:ctrlPr>
                              <w:rPr>
                                <w:rFonts w:ascii="Cambria Math" w:hAnsi="Cambria Math"/>
                                <w:bCs/>
                                <w:i/>
                              </w:rPr>
                            </m:ctrlPr>
                          </m:sSubPr>
                          <m:e>
                            <m:r>
                              <w:rPr>
                                <w:rFonts w:ascii="Cambria Math" w:hAnsi="Cambria Math"/>
                              </w:rPr>
                              <m:t>T</m:t>
                            </m:r>
                          </m:e>
                          <m:sub>
                            <m:r>
                              <w:rPr>
                                <w:rFonts w:ascii="Cambria Math" w:hAnsi="Cambria Math"/>
                              </w:rPr>
                              <m:t>ie</m:t>
                            </m:r>
                          </m:sub>
                        </m:sSub>
                        <m:r>
                          <w:rPr>
                            <w:rFonts w:ascii="Cambria Math" w:hAnsi="Cambria Math"/>
                          </w:rPr>
                          <m:t>-</m:t>
                        </m:r>
                        <m:sSub>
                          <m:sSubPr>
                            <m:ctrlPr>
                              <w:rPr>
                                <w:rFonts w:ascii="Cambria Math" w:hAnsi="Cambria Math"/>
                                <w:bCs/>
                                <w:i/>
                              </w:rPr>
                            </m:ctrlPr>
                          </m:sSubPr>
                          <m:e>
                            <m:r>
                              <w:rPr>
                                <w:rFonts w:ascii="Cambria Math" w:hAnsi="Cambria Math"/>
                              </w:rPr>
                              <m:t>T</m:t>
                            </m:r>
                          </m:e>
                          <m:sub>
                            <m:r>
                              <w:rPr>
                                <w:rFonts w:ascii="Cambria Math" w:hAnsi="Cambria Math"/>
                              </w:rPr>
                              <m:t>in</m:t>
                            </m:r>
                          </m:sub>
                        </m:sSub>
                      </m:e>
                    </m:d>
                    <m:ctrlPr>
                      <w:rPr>
                        <w:rFonts w:ascii="Cambria Math" w:hAnsi="Cambria Math"/>
                        <w:bCs/>
                        <w:i/>
                      </w:rPr>
                    </m:ctrlPr>
                  </m:num>
                  <m:den>
                    <m:sSub>
                      <m:sSubPr>
                        <m:ctrlPr>
                          <w:rPr>
                            <w:rFonts w:ascii="Cambria Math" w:eastAsia="Times New Roman" w:hAnsi="Cambria Math"/>
                            <w:bCs/>
                            <w:i/>
                            <w:szCs w:val="28"/>
                          </w:rPr>
                        </m:ctrlPr>
                      </m:sSubPr>
                      <m:e>
                        <m:r>
                          <w:rPr>
                            <w:rFonts w:ascii="Cambria Math" w:hAnsi="Cambria Math"/>
                          </w:rPr>
                          <m:t>R</m:t>
                        </m:r>
                        <m:ctrlPr>
                          <w:rPr>
                            <w:rFonts w:ascii="Cambria Math" w:hAnsi="Cambria Math"/>
                            <w:bCs/>
                            <w:i/>
                          </w:rPr>
                        </m:ctrlPr>
                      </m:e>
                      <m:sub>
                        <m:r>
                          <w:rPr>
                            <w:rFonts w:ascii="Cambria Math" w:hAnsi="Cambria Math"/>
                          </w:rPr>
                          <m:t>air</m:t>
                        </m:r>
                      </m:sub>
                    </m:sSub>
                    <m:ctrlPr>
                      <w:rPr>
                        <w:rFonts w:ascii="Cambria Math" w:hAnsi="Cambria Math"/>
                        <w:bCs/>
                        <w:i/>
                      </w:rPr>
                    </m:ctrlPr>
                  </m:den>
                </m:f>
                <m:r>
                  <w:rPr>
                    <w:rFonts w:ascii="Cambria Math" w:hAnsi="Cambria Math"/>
                  </w:rPr>
                  <m:t>+</m:t>
                </m:r>
                <m:sSub>
                  <m:sSubPr>
                    <m:ctrlPr>
                      <w:rPr>
                        <w:rFonts w:ascii="Cambria Math" w:eastAsia="Times New Roman" w:hAnsi="Cambria Math"/>
                        <w:bCs/>
                        <w:i/>
                        <w:szCs w:val="28"/>
                      </w:rPr>
                    </m:ctrlPr>
                  </m:sSubPr>
                  <m:e>
                    <m:r>
                      <w:rPr>
                        <w:rFonts w:ascii="Cambria Math" w:hAnsi="Cambria Math"/>
                      </w:rPr>
                      <m:t>Q</m:t>
                    </m:r>
                  </m:e>
                  <m:sub>
                    <m:r>
                      <w:rPr>
                        <w:rFonts w:ascii="Cambria Math" w:hAnsi="Cambria Math"/>
                      </w:rPr>
                      <m:t>sol</m:t>
                    </m:r>
                  </m:sub>
                </m:sSub>
                <m:r>
                  <w:rPr>
                    <w:rFonts w:ascii="Cambria Math" w:hAnsi="Cambria Math"/>
                  </w:rPr>
                  <m:t>+</m:t>
                </m:r>
                <m:f>
                  <m:fPr>
                    <m:ctrlPr>
                      <w:rPr>
                        <w:rFonts w:ascii="Cambria Math" w:hAnsi="Cambria Math"/>
                        <w:bCs/>
                      </w:rPr>
                    </m:ctrlPr>
                  </m:fPr>
                  <m:num>
                    <m:d>
                      <m:dPr>
                        <m:ctrlPr>
                          <w:rPr>
                            <w:rFonts w:ascii="Cambria Math" w:hAnsi="Cambria Math"/>
                            <w:bCs/>
                            <w:i/>
                          </w:rPr>
                        </m:ctrlPr>
                      </m:dPr>
                      <m:e>
                        <m:sSub>
                          <m:sSubPr>
                            <m:ctrlPr>
                              <w:rPr>
                                <w:rFonts w:ascii="Cambria Math" w:hAnsi="Cambria Math"/>
                                <w:bCs/>
                                <w:i/>
                              </w:rPr>
                            </m:ctrlPr>
                          </m:sSubPr>
                          <m:e>
                            <m:r>
                              <w:rPr>
                                <w:rFonts w:ascii="Cambria Math" w:hAnsi="Cambria Math"/>
                              </w:rPr>
                              <m:t>T</m:t>
                            </m:r>
                          </m:e>
                          <m:sub>
                            <m:r>
                              <w:rPr>
                                <w:rFonts w:ascii="Cambria Math" w:hAnsi="Cambria Math"/>
                              </w:rPr>
                              <m:t>o</m:t>
                            </m:r>
                          </m:sub>
                        </m:sSub>
                        <m:r>
                          <w:rPr>
                            <w:rFonts w:ascii="Cambria Math" w:hAnsi="Cambria Math"/>
                          </w:rPr>
                          <m:t>-</m:t>
                        </m:r>
                        <m:sSub>
                          <m:sSubPr>
                            <m:ctrlPr>
                              <w:rPr>
                                <w:rFonts w:ascii="Cambria Math" w:hAnsi="Cambria Math"/>
                                <w:bCs/>
                                <w:i/>
                              </w:rPr>
                            </m:ctrlPr>
                          </m:sSubPr>
                          <m:e>
                            <m:r>
                              <w:rPr>
                                <w:rFonts w:ascii="Cambria Math" w:hAnsi="Cambria Math"/>
                              </w:rPr>
                              <m:t>T</m:t>
                            </m:r>
                          </m:e>
                          <m:sub>
                            <m:r>
                              <w:rPr>
                                <w:rFonts w:ascii="Cambria Math" w:hAnsi="Cambria Math"/>
                              </w:rPr>
                              <m:t>in</m:t>
                            </m:r>
                          </m:sub>
                        </m:sSub>
                      </m:e>
                    </m:d>
                    <m:ctrlPr>
                      <w:rPr>
                        <w:rFonts w:ascii="Cambria Math" w:hAnsi="Cambria Math"/>
                        <w:bCs/>
                        <w:i/>
                      </w:rPr>
                    </m:ctrlPr>
                  </m:num>
                  <m:den>
                    <m:sSub>
                      <m:sSubPr>
                        <m:ctrlPr>
                          <w:rPr>
                            <w:rFonts w:ascii="Cambria Math" w:eastAsia="Times New Roman" w:hAnsi="Cambria Math"/>
                            <w:bCs/>
                            <w:i/>
                            <w:szCs w:val="28"/>
                          </w:rPr>
                        </m:ctrlPr>
                      </m:sSubPr>
                      <m:e>
                        <m:r>
                          <w:rPr>
                            <w:rFonts w:ascii="Cambria Math" w:hAnsi="Cambria Math"/>
                          </w:rPr>
                          <m:t>R</m:t>
                        </m:r>
                        <m:ctrlPr>
                          <w:rPr>
                            <w:rFonts w:ascii="Cambria Math" w:hAnsi="Cambria Math"/>
                            <w:bCs/>
                            <w:i/>
                          </w:rPr>
                        </m:ctrlPr>
                      </m:e>
                      <m:sub>
                        <m:r>
                          <w:rPr>
                            <w:rFonts w:ascii="Cambria Math" w:hAnsi="Cambria Math"/>
                          </w:rPr>
                          <m:t>v</m:t>
                        </m:r>
                      </m:sub>
                    </m:sSub>
                    <m:ctrlPr>
                      <w:rPr>
                        <w:rFonts w:ascii="Cambria Math" w:hAnsi="Cambria Math"/>
                        <w:bCs/>
                        <w:i/>
                      </w:rPr>
                    </m:ctrlPr>
                  </m:den>
                </m:f>
                <m:r>
                  <w:rPr>
                    <w:rFonts w:ascii="Cambria Math" w:hAnsi="Cambria Math"/>
                  </w:rPr>
                  <m:t>+</m:t>
                </m:r>
                <m:sSub>
                  <m:sSubPr>
                    <m:ctrlPr>
                      <w:rPr>
                        <w:rFonts w:ascii="Cambria Math" w:eastAsia="Times New Roman" w:hAnsi="Cambria Math"/>
                        <w:bCs/>
                        <w:szCs w:val="28"/>
                      </w:rPr>
                    </m:ctrlPr>
                  </m:sSubPr>
                  <m:e>
                    <m:r>
                      <m:rPr>
                        <m:sty m:val="p"/>
                      </m:rPr>
                      <w:rPr>
                        <w:rFonts w:ascii="Cambria Math" w:hAnsi="Cambria Math"/>
                      </w:rPr>
                      <m:t>Q</m:t>
                    </m:r>
                    <m:ctrlPr>
                      <w:rPr>
                        <w:rFonts w:ascii="Cambria Math" w:eastAsia="Times New Roman" w:hAnsi="Cambria Math"/>
                        <w:bCs/>
                        <w:i/>
                        <w:szCs w:val="28"/>
                      </w:rPr>
                    </m:ctrlPr>
                  </m:e>
                  <m:sub>
                    <m:r>
                      <m:rPr>
                        <m:sty m:val="p"/>
                      </m:rPr>
                      <w:rPr>
                        <w:rFonts w:ascii="Cambria Math" w:hAnsi="Cambria Math"/>
                      </w:rPr>
                      <m:t>AC</m:t>
                    </m:r>
                  </m:sub>
                </m:sSub>
                <m:r>
                  <m:rPr>
                    <m:sty m:val="p"/>
                  </m:rPr>
                  <w:rPr>
                    <w:rFonts w:ascii="Cambria Math" w:hAnsi="Cambria Math"/>
                  </w:rPr>
                  <m:t>+</m:t>
                </m:r>
                <m:sSub>
                  <m:sSubPr>
                    <m:ctrlPr>
                      <w:rPr>
                        <w:rFonts w:ascii="Cambria Math" w:eastAsia="Times New Roman" w:hAnsi="Cambria Math"/>
                        <w:bCs/>
                        <w:szCs w:val="28"/>
                      </w:rPr>
                    </m:ctrlPr>
                  </m:sSubPr>
                  <m:e>
                    <m:r>
                      <m:rPr>
                        <m:sty m:val="p"/>
                      </m:rPr>
                      <w:rPr>
                        <w:rFonts w:ascii="Cambria Math" w:hAnsi="Cambria Math"/>
                      </w:rPr>
                      <m:t>Q</m:t>
                    </m:r>
                  </m:e>
                  <m:sub>
                    <m:r>
                      <m:rPr>
                        <m:sty m:val="p"/>
                      </m:rPr>
                      <w:rPr>
                        <w:rFonts w:ascii="Cambria Math" w:hAnsi="Cambria Math"/>
                      </w:rPr>
                      <m:t>g</m:t>
                    </m:r>
                  </m:sub>
                </m:sSub>
                <m:r>
                  <w:rPr>
                    <w:rFonts w:ascii="Cambria Math" w:hAnsi="Cambria Math"/>
                  </w:rPr>
                  <m:t>,</m:t>
                </m:r>
              </m:oMath>
            </m:oMathPara>
          </w:p>
        </w:tc>
        <w:tc>
          <w:tcPr>
            <w:tcW w:w="900" w:type="dxa"/>
            <w:vAlign w:val="center"/>
          </w:tcPr>
          <w:p w14:paraId="0142253F" w14:textId="41869193" w:rsidR="000215B4" w:rsidRPr="004B192C" w:rsidRDefault="000215B4" w:rsidP="002023DB">
            <w:pPr>
              <w:rPr>
                <w:bCs/>
              </w:rPr>
            </w:pPr>
            <w:bookmarkStart w:id="144" w:name="_Ref133842716"/>
            <w:r w:rsidRPr="004B192C">
              <w:rPr>
                <w:bCs/>
              </w:rPr>
              <w:t>(</w:t>
            </w:r>
            <w:r w:rsidRPr="004B192C">
              <w:rPr>
                <w:bCs/>
              </w:rPr>
              <w:fldChar w:fldCharType="begin"/>
            </w:r>
            <w:r w:rsidRPr="004B192C">
              <w:rPr>
                <w:bCs/>
              </w:rPr>
              <w:instrText>SEQ equation \* ARABIC</w:instrText>
            </w:r>
            <w:r w:rsidRPr="004B192C">
              <w:rPr>
                <w:bCs/>
              </w:rPr>
              <w:fldChar w:fldCharType="separate"/>
            </w:r>
            <w:r w:rsidR="000E1725">
              <w:rPr>
                <w:bCs/>
                <w:noProof/>
              </w:rPr>
              <w:t>2</w:t>
            </w:r>
            <w:r w:rsidRPr="004B192C">
              <w:rPr>
                <w:bCs/>
              </w:rPr>
              <w:fldChar w:fldCharType="end"/>
            </w:r>
            <w:r w:rsidRPr="004B192C">
              <w:rPr>
                <w:bCs/>
              </w:rPr>
              <w:t>)</w:t>
            </w:r>
            <w:bookmarkEnd w:id="144"/>
          </w:p>
        </w:tc>
      </w:tr>
    </w:tbl>
    <w:p w14:paraId="2A1F728E" w14:textId="77777777" w:rsidR="000215B4" w:rsidRPr="00101E1A" w:rsidRDefault="000215B4" w:rsidP="000215B4">
      <w:pPr>
        <w:spacing w:before="240"/>
        <w:ind w:firstLine="0"/>
        <w:rPr>
          <w:rFonts w:ascii="Cambria Math" w:hAnsi="Cambria Math"/>
          <w:bCs/>
          <w:i/>
        </w:rPr>
      </w:pPr>
      <w:r>
        <w:t>w</w:t>
      </w:r>
      <w:r w:rsidRPr="00B4798A">
        <w:t>here</w:t>
      </w:r>
      <w:r>
        <w:t xml:space="preserve"> </w:t>
      </w:r>
      <m:oMath>
        <m:r>
          <w:rPr>
            <w:rFonts w:ascii="Cambria Math" w:hAnsi="Cambria Math"/>
          </w:rPr>
          <m:t>t</m:t>
        </m:r>
      </m:oMath>
      <w:r>
        <w:rPr>
          <w:rFonts w:hint="eastAsia"/>
        </w:rPr>
        <w:t xml:space="preserve"> </w:t>
      </w:r>
      <w:r>
        <w:t>denotes time;</w:t>
      </w:r>
      <w:r w:rsidRPr="00B4798A">
        <w:t xml:space="preserve"> </w:t>
      </w:r>
      <m:oMath>
        <m:sSub>
          <m:sSubPr>
            <m:ctrlPr>
              <w:rPr>
                <w:rFonts w:ascii="Cambria Math" w:hAnsi="Cambria Math"/>
                <w:i/>
              </w:rPr>
            </m:ctrlPr>
          </m:sSubPr>
          <m:e>
            <m:r>
              <w:rPr>
                <w:rFonts w:ascii="Cambria Math" w:hAnsi="Cambria Math"/>
              </w:rPr>
              <m:t>T</m:t>
            </m:r>
          </m:e>
          <m:sub>
            <m:r>
              <w:rPr>
                <w:rFonts w:ascii="Cambria Math" w:hAnsi="Cambria Math"/>
              </w:rPr>
              <m:t>ie</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in</m:t>
            </m:r>
          </m:sub>
        </m:sSub>
        <m:r>
          <w:rPr>
            <w:rFonts w:ascii="Cambria Math" w:hAnsi="Cambria Math"/>
          </w:rPr>
          <m:t>,</m:t>
        </m:r>
        <m:r>
          <m:rPr>
            <m:sty m:val="p"/>
          </m:rPr>
          <w:rPr>
            <w:rFonts w:ascii="Cambria Math" w:hAnsi="Cambria Math"/>
          </w:rPr>
          <m:t xml:space="preserve">  and</m:t>
        </m:r>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o</m:t>
            </m:r>
          </m:sub>
        </m:sSub>
      </m:oMath>
      <w:r>
        <w:rPr>
          <w:rFonts w:hint="eastAsia"/>
        </w:rPr>
        <w:t xml:space="preserve"> </w:t>
      </w:r>
      <w:r>
        <w:t xml:space="preserve">are the interior wall surface temperature, indoor air temperature, and outdoor air temperature, respectively; </w:t>
      </w:r>
      <m:oMath>
        <m:sSub>
          <m:sSubPr>
            <m:ctrlPr>
              <w:rPr>
                <w:rFonts w:ascii="Cambria Math" w:hAnsi="Cambria Math"/>
                <w:i/>
              </w:rPr>
            </m:ctrlPr>
          </m:sSubPr>
          <m:e>
            <m:sSub>
              <m:sSubPr>
                <m:ctrlPr>
                  <w:rPr>
                    <w:rFonts w:ascii="Cambria Math" w:hAnsi="Cambria Math"/>
                    <w:i/>
                  </w:rPr>
                </m:ctrlPr>
              </m:sSubPr>
              <m:e>
                <m:r>
                  <w:rPr>
                    <w:rFonts w:ascii="Cambria Math" w:hAnsi="Cambria Math"/>
                  </w:rPr>
                  <m:t>R</m:t>
                </m:r>
              </m:e>
              <m:sub>
                <m:r>
                  <w:rPr>
                    <w:rFonts w:ascii="Cambria Math" w:hAnsi="Cambria Math"/>
                  </w:rPr>
                  <m:t>le</m:t>
                </m:r>
              </m:sub>
            </m:sSub>
            <m:r>
              <w:rPr>
                <w:rFonts w:ascii="Cambria Math" w:hAnsi="Cambria Math"/>
              </w:rPr>
              <m:t xml:space="preserve"> and C</m:t>
            </m:r>
          </m:e>
          <m:sub>
            <m:r>
              <w:rPr>
                <w:rFonts w:ascii="Cambria Math" w:hAnsi="Cambria Math"/>
              </w:rPr>
              <m:t>le</m:t>
            </m:r>
          </m:sub>
        </m:sSub>
        <m:r>
          <w:rPr>
            <w:rFonts w:ascii="Cambria Math" w:hAnsi="Cambria Math" w:hint="eastAsia"/>
          </w:rPr>
          <m:t xml:space="preserve"> </m:t>
        </m:r>
        <m:r>
          <w:rPr>
            <w:rFonts w:ascii="Cambria Math" w:hAnsi="Cambria Math"/>
          </w:rPr>
          <m:t>are</m:t>
        </m:r>
      </m:oMath>
      <w:r>
        <w:t xml:space="preserve"> the thermal resistance and thermal capacitance of the lumped envelope, which includes but not limited to external wall, roof, ceiling, floor, interior wall, window and outside air of the building; </w:t>
      </w:r>
      <m:oMath>
        <m:sSub>
          <m:sSubPr>
            <m:ctrlPr>
              <w:rPr>
                <w:rFonts w:ascii="Cambria Math" w:hAnsi="Cambria Math"/>
                <w:i/>
              </w:rPr>
            </m:ctrlPr>
          </m:sSubPr>
          <m:e>
            <m:r>
              <w:rPr>
                <w:rFonts w:ascii="Cambria Math" w:hAnsi="Cambria Math"/>
              </w:rPr>
              <m:t>R</m:t>
            </m:r>
          </m:e>
          <m:sub>
            <m:r>
              <w:rPr>
                <w:rFonts w:ascii="Cambria Math" w:hAnsi="Cambria Math"/>
              </w:rPr>
              <m:t>air</m:t>
            </m:r>
          </m:sub>
        </m:sSub>
        <m:r>
          <w:rPr>
            <w:rFonts w:ascii="Cambria Math" w:hAnsi="Cambria Math"/>
          </w:rPr>
          <m:t xml:space="preserve"> </m:t>
        </m:r>
        <m:r>
          <m:rPr>
            <m:sty m:val="p"/>
          </m:rPr>
          <w:rPr>
            <w:rFonts w:ascii="Cambria Math" w:hAnsi="Cambria Math"/>
          </w:rPr>
          <m:t>and</m:t>
        </m:r>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air</m:t>
            </m:r>
          </m:sub>
        </m:sSub>
      </m:oMath>
      <w:r>
        <w:rPr>
          <w:rFonts w:hint="eastAsia"/>
        </w:rPr>
        <w:t xml:space="preserve"> </w:t>
      </w:r>
      <w:r>
        <w:t xml:space="preserve">are the thermal resistance and thermal capacitance of the air; </w:t>
      </w:r>
      <m:oMath>
        <m:sSub>
          <m:sSubPr>
            <m:ctrlPr>
              <w:rPr>
                <w:rFonts w:ascii="Cambria Math" w:hAnsi="Cambria Math"/>
                <w:i/>
              </w:rPr>
            </m:ctrlPr>
          </m:sSubPr>
          <m:e>
            <m:r>
              <w:rPr>
                <w:rFonts w:ascii="Cambria Math" w:hAnsi="Cambria Math"/>
              </w:rPr>
              <m:t>Q</m:t>
            </m:r>
          </m:e>
          <m:sub>
            <m:r>
              <w:rPr>
                <w:rFonts w:ascii="Cambria Math" w:hAnsi="Cambria Math"/>
              </w:rPr>
              <m:t>sol</m:t>
            </m:r>
          </m:sub>
        </m:sSub>
        <m:r>
          <w:rPr>
            <w:rFonts w:ascii="Cambria Math" w:hAnsi="Cambria Math" w:hint="eastAsia"/>
          </w:rPr>
          <m:t xml:space="preserve"> </m:t>
        </m:r>
      </m:oMath>
      <w:r>
        <w:rPr>
          <w:rFonts w:hint="eastAsia"/>
        </w:rPr>
        <w:t>r</w:t>
      </w:r>
      <w:r>
        <w:t xml:space="preserve">epresents the heat transfer rate introduced by </w:t>
      </w:r>
      <w:r w:rsidRPr="00B4798A">
        <w:t xml:space="preserve">solar </w:t>
      </w:r>
      <w:r>
        <w:t>ir</w:t>
      </w:r>
      <w:r w:rsidRPr="00B4798A">
        <w:t>radiation</w:t>
      </w:r>
      <w:r>
        <w:t xml:space="preserve"> acting on the indoor space; </w:t>
      </w:r>
      <m:oMath>
        <m:sSub>
          <m:sSubPr>
            <m:ctrlPr>
              <w:rPr>
                <w:rFonts w:ascii="Cambria Math" w:hAnsi="Cambria Math"/>
                <w:i/>
              </w:rPr>
            </m:ctrlPr>
          </m:sSubPr>
          <m:e>
            <m:r>
              <w:rPr>
                <w:rFonts w:ascii="Cambria Math" w:hAnsi="Cambria Math"/>
              </w:rPr>
              <m:t>R</m:t>
            </m:r>
          </m:e>
          <m:sub>
            <m:r>
              <w:rPr>
                <w:rFonts w:ascii="Cambria Math" w:hAnsi="Cambria Math"/>
              </w:rPr>
              <m:t>v</m:t>
            </m:r>
          </m:sub>
        </m:sSub>
      </m:oMath>
      <w:r>
        <w:rPr>
          <w:rFonts w:hint="eastAsia"/>
          <w:bCs/>
        </w:rPr>
        <w:t xml:space="preserve"> </w:t>
      </w:r>
      <w:r>
        <w:rPr>
          <w:bCs/>
        </w:rPr>
        <w:t>represents the variable convective thermal resistance associated with the infiltration of building, whose value depends on cracks of the building,</w:t>
      </w:r>
      <w:r w:rsidRPr="00B4798A">
        <w:t xml:space="preserve"> wind speed</w:t>
      </w:r>
      <w:r>
        <w:t xml:space="preserve">, and </w:t>
      </w:r>
      <w:r>
        <w:rPr>
          <w:bCs/>
        </w:rPr>
        <w:t xml:space="preserve">outside air temperature; </w:t>
      </w:r>
      <m:oMath>
        <m:sSub>
          <m:sSubPr>
            <m:ctrlPr>
              <w:rPr>
                <w:rFonts w:ascii="Cambria Math" w:hAnsi="Cambria Math"/>
                <w:bCs/>
                <w:i/>
              </w:rPr>
            </m:ctrlPr>
          </m:sSubPr>
          <m:e>
            <m:r>
              <w:rPr>
                <w:rFonts w:ascii="Cambria Math" w:hAnsi="Cambria Math"/>
              </w:rPr>
              <m:t>Q</m:t>
            </m:r>
          </m:e>
          <m:sub>
            <m:r>
              <w:rPr>
                <w:rFonts w:ascii="Cambria Math" w:hAnsi="Cambria Math"/>
              </w:rPr>
              <m:t>AC</m:t>
            </m:r>
          </m:sub>
        </m:sSub>
      </m:oMath>
      <w:r>
        <w:rPr>
          <w:rFonts w:hint="eastAsia"/>
          <w:bCs/>
        </w:rPr>
        <w:t xml:space="preserve"> </w:t>
      </w:r>
      <w:r>
        <w:rPr>
          <w:bCs/>
        </w:rPr>
        <w:lastRenderedPageBreak/>
        <w:t xml:space="preserve">represents the cooling output of </w:t>
      </w:r>
      <w:r w:rsidRPr="00B4798A">
        <w:t>the AC</w:t>
      </w:r>
      <w:r>
        <w:rPr>
          <w:bCs/>
        </w:rPr>
        <w:t xml:space="preserve">; </w:t>
      </w:r>
      <m:oMath>
        <m:sSub>
          <m:sSubPr>
            <m:ctrlPr>
              <w:rPr>
                <w:rFonts w:ascii="Cambria Math" w:hAnsi="Cambria Math"/>
                <w:bCs/>
                <w:i/>
              </w:rPr>
            </m:ctrlPr>
          </m:sSubPr>
          <m:e>
            <m:r>
              <w:rPr>
                <w:rFonts w:ascii="Cambria Math" w:hAnsi="Cambria Math"/>
              </w:rPr>
              <m:t>Q</m:t>
            </m:r>
          </m:e>
          <m:sub>
            <m:r>
              <w:rPr>
                <w:rFonts w:ascii="Cambria Math" w:hAnsi="Cambria Math"/>
              </w:rPr>
              <m:t>g</m:t>
            </m:r>
          </m:sub>
        </m:sSub>
        <m:r>
          <w:rPr>
            <w:rFonts w:ascii="Cambria Math" w:hAnsi="Cambria Math" w:hint="eastAsia"/>
          </w:rPr>
          <m:t xml:space="preserve"> </m:t>
        </m:r>
      </m:oMath>
      <w:r>
        <w:rPr>
          <w:rFonts w:hint="eastAsia"/>
          <w:bCs/>
        </w:rPr>
        <w:t>i</w:t>
      </w:r>
      <w:r>
        <w:rPr>
          <w:bCs/>
        </w:rPr>
        <w:t xml:space="preserve">s the internal heat gain contributed by people, lights, and equipment </w:t>
      </w:r>
    </w:p>
    <w:p w14:paraId="137A67E9" w14:textId="0CBAB7B4" w:rsidR="000215B4" w:rsidRPr="001D45C2" w:rsidRDefault="000215B4" w:rsidP="000215B4">
      <w:r>
        <w:t xml:space="preserve">The second-order RC-based model is also called 2R2C model. RC networks of various orders have been widely used to model building thermal dynamics (e.g., 1R1C in </w:t>
      </w:r>
      <w:r>
        <w:fldChar w:fldCharType="begin"/>
      </w:r>
      <w:r w:rsidR="005D48B2">
        <w:instrText xml:space="preserve"> ADDIN ZOTERO_ITEM CSL_CITATION {"citationID":"T8nsOLM6","properties":{"formattedCitation":"[58]","plainCitation":"[58]","noteIndex":0},"citationItems":[{"id":1810,"uris":["http://zotero.org/users/5659608/items/Y5T6WQS3"],"itemData":{"id":1810,"type":"article-journal","abstract":"Training and validating algorithms in a simulation testbed can accelerate research and applications of optimal control of residential loads to improve energy flexibility and grid resilience. We developed an open-source simulation environment, AlphaBuilding ResCommunity, that can be used to train and validate algorithms to control a single thermostatically controlled load (TCL) or coordinate a group of TCLs. We used reduced-order models to simulate the thermodynamics of TCLs, and the parameter values were determined from the connected smart thermostat data of real households. The environment was built upon the standardized OpenAI Gym interface. Ancillary functions, such as retrieving the parameters and weather forecasts, are provided to facilitate control strategies that require predictive information. Compared with existing efforts, AlphaBuilding ResCommunity has three advantages: (1) more realistic model settings because the parameter values are identified from actual household operating data, and modelling and measurement uncertainty are considered; (2) passive thermal storage control; and (3) ease of use due to a simple software dependency and standardized interface. We demonstrated the applications of the environment by implementing a Kalman Filter and Model Predictive Control on a single TCL and a Priority-Stack-Based Control and Alternating Direction Method of Multipliers to coordinate multiple TCLs for load tracking.","container-title":"Advances in Applied Energy","DOI":"10.1016/j.adapen.2021.100061","ISSN":"2666-7924","journalAbbreviation":"Advances in Applied Energy","language":"en","page":"100061","source":"ScienceDirect","title":"AlphaBuilding ResCommunity: A multi-agent virtual testbed for community-level load coordination","title-short":"AlphaBuilding ResCommunity","volume":"4","author":[{"family":"Wang","given":"Zhe"},{"family":"Chen","given":"Bingqing"},{"family":"Li","given":"Han"},{"family":"Hong","given":"Tianzhen"}],"issued":{"date-parts":[["2021",11,19]]},"citation-key":"wangAlphaBuildingResCommunityMultiagent2021"}}],"schema":"https://github.com/citation-style-language/schema/raw/master/csl-citation.json"} </w:instrText>
      </w:r>
      <w:r>
        <w:fldChar w:fldCharType="separate"/>
      </w:r>
      <w:r w:rsidR="008F1487" w:rsidRPr="008F1487">
        <w:t>[58]</w:t>
      </w:r>
      <w:r>
        <w:fldChar w:fldCharType="end"/>
      </w:r>
      <w:r>
        <w:t xml:space="preserve">, </w:t>
      </w:r>
      <w:r w:rsidRPr="00B4798A">
        <w:t xml:space="preserve">3R2C plus 2R2C </w:t>
      </w:r>
      <w:r>
        <w:t>in</w:t>
      </w:r>
      <w:r w:rsidRPr="00B4798A">
        <w:t xml:space="preserve"> </w:t>
      </w:r>
      <w:r w:rsidRPr="00B4798A">
        <w:fldChar w:fldCharType="begin"/>
      </w:r>
      <w:r w:rsidR="0082416B">
        <w:instrText xml:space="preserve"> ADDIN ZOTERO_ITEM CSL_CITATION {"citationID":"hus83QH7","properties":{"formattedCitation":"[103]","plainCitation":"[103]","noteIndex":0},"citationItems":[{"id":858,"uris":["http://zotero.org/users/5659608/items/4LIB552C"],"itemData":{"id":858,"type":"paper-conference","container-title":"ASME 2013 international mechanical engineering congress and exposition","note":"Citation Key: ogunsola2013performance\ntex.organization: American Society of Mechanical Engineers Digital Collection","title":"Performance analysis of a simplified model of cooling load for a typical office building","author":[{"family":"Ogunsola","given":"Oluwaseyi T"},{"family":"Song","given":"Li"}],"issued":{"date-parts":[["2013"]]},"citation-key":"ogunsola2013performance"}}],"schema":"https://github.com/citation-style-language/schema/raw/master/csl-citation.json"} </w:instrText>
      </w:r>
      <w:r w:rsidRPr="00B4798A">
        <w:fldChar w:fldCharType="separate"/>
      </w:r>
      <w:r w:rsidR="0082416B" w:rsidRPr="0082416B">
        <w:rPr>
          <w:sz w:val="22"/>
        </w:rPr>
        <w:t>[103]</w:t>
      </w:r>
      <w:r w:rsidRPr="00B4798A">
        <w:fldChar w:fldCharType="end"/>
      </w:r>
      <w:r>
        <w:t>,</w:t>
      </w:r>
      <w:r w:rsidRPr="00B4798A">
        <w:t xml:space="preserve"> </w:t>
      </w:r>
      <w:r>
        <w:t xml:space="preserve">and </w:t>
      </w:r>
      <w:r w:rsidRPr="00B4798A">
        <w:t xml:space="preserve">6R2C model </w:t>
      </w:r>
      <w:r w:rsidRPr="00B4798A">
        <w:fldChar w:fldCharType="begin"/>
      </w:r>
      <w:r w:rsidR="0082416B">
        <w:instrText xml:space="preserve"> ADDIN ZOTERO_ITEM CSL_CITATION {"citationID":"rsVHNu4X","properties":{"formattedCitation":"[104]","plainCitation":"[104]","noteIndex":0},"citationItems":[{"id":849,"uris":["http://zotero.org/users/5659608/items/FEZDCG7G"],"itemData":{"id":849,"type":"article-journal","abstract":"Due to the development of energy performance contracting and the needs for peak electric demand reduction, the interest for building energy demand prediction is renewed. Gray-box models are a solution for energy demand prediction. However, it is still difficult to find the best level of model complexity and the good practices for the training phase. Since models’ order and parameter identification method have a strong impact on the forecasting precision and are not intuitive, a comparative design approach is used to find the best model architecture and an adequate methodology for improving the training phase. The gray box models are compared on their ability to forecast heating and cooling demands and indoor air temperature. An objective function is proposed aiming to minimize both power and indoor temperature prediction errors. Moreover, for each model, several training period durations are tested. First, this study shows that a R6C2 (second order model) model is adapted to predict the building thermal behavior. Furthermore, the best fits are obtained with two weeks of data for the identification process. Second, a sensitivity analysis using total Sobol index calculation leads to validate the objective function and identify the most important parameters for prediction.","container-title":"Energy and Buildings","DOI":"10.1016/j.enbuild.2014.01.038","ISSN":"0378-7788","journalAbbreviation":"Energy and Buildings","language":"en","page":"91-100","source":"ScienceDirect","title":"Development and validation of a gray box model to predict thermal behavior of occupied office buildings","volume":"74","author":[{"family":"Berthou","given":"Thomas"},{"family":"Stabat","given":"Pascal"},{"family":"Salvazet","given":"Raphael"},{"family":"Marchio","given":"Dominique"}],"issued":{"date-parts":[["2014",5,1]]},"citation-key":"berthouDevelopmentValidationGray2014"}}],"schema":"https://github.com/citation-style-language/schema/raw/master/csl-citation.json"} </w:instrText>
      </w:r>
      <w:r w:rsidRPr="00B4798A">
        <w:fldChar w:fldCharType="separate"/>
      </w:r>
      <w:r w:rsidR="0082416B" w:rsidRPr="0082416B">
        <w:rPr>
          <w:sz w:val="22"/>
        </w:rPr>
        <w:t>[104]</w:t>
      </w:r>
      <w:r w:rsidRPr="00B4798A">
        <w:fldChar w:fldCharType="end"/>
      </w:r>
      <w:r>
        <w:t>). For residential buildings, it is believed that 2R2C model has the best trade-</w:t>
      </w:r>
      <w:r w:rsidRPr="00B4798A">
        <w:t xml:space="preserve">off </w:t>
      </w:r>
      <w:r>
        <w:t xml:space="preserve">between model accuracy and implementation cost: a first-order model, although simpler, would not be able to effectively separate the indoor air temperature dynamics (that usually respond faster to external changes) from the interior wall surface temperature dynamics (that usually respond slower). In contrast, a higher-order model, although could be potentially more accurate, would require more sensors to measure its states. </w:t>
      </w:r>
    </w:p>
    <w:p w14:paraId="59F12392" w14:textId="77777777" w:rsidR="000215B4" w:rsidRPr="0028171C" w:rsidRDefault="000215B4" w:rsidP="000215B4">
      <w:pPr>
        <w:pStyle w:val="Heading3"/>
      </w:pPr>
      <w:bookmarkStart w:id="145" w:name="_Toc133542357"/>
      <w:bookmarkStart w:id="146" w:name="_Ref139414065"/>
      <w:bookmarkStart w:id="147" w:name="_Toc141991686"/>
      <w:r>
        <w:t>2R2C parameter identification approach</w:t>
      </w:r>
      <w:bookmarkEnd w:id="145"/>
      <w:bookmarkEnd w:id="146"/>
      <w:bookmarkEnd w:id="147"/>
      <w:r>
        <w:t xml:space="preserve"> </w:t>
      </w:r>
    </w:p>
    <w:p w14:paraId="12EE6E49" w14:textId="671F8526" w:rsidR="000215B4" w:rsidRDefault="000215B4" w:rsidP="000215B4">
      <w:pPr>
        <w:rPr>
          <w:bCs/>
        </w:rPr>
      </w:pPr>
      <w:r>
        <w:rPr>
          <w:rFonts w:hint="eastAsia"/>
          <w:bCs/>
        </w:rPr>
        <w:t>To</w:t>
      </w:r>
      <w:r>
        <w:rPr>
          <w:bCs/>
        </w:rPr>
        <w:t xml:space="preserve"> clearly express the relationship between home thermal dynamics, weather conditions and AC on/off signal, and make the parameter identification easier, </w:t>
      </w:r>
      <w:r>
        <w:rPr>
          <w:bCs/>
        </w:rPr>
        <w:fldChar w:fldCharType="begin"/>
      </w:r>
      <w:r>
        <w:rPr>
          <w:bCs/>
        </w:rPr>
        <w:instrText xml:space="preserve"> REF _Ref133842715 \h </w:instrText>
      </w:r>
      <w:r>
        <w:rPr>
          <w:bCs/>
        </w:rPr>
      </w:r>
      <w:r>
        <w:rPr>
          <w:bCs/>
        </w:rPr>
        <w:fldChar w:fldCharType="separate"/>
      </w:r>
      <w:r w:rsidR="000E1725" w:rsidRPr="004B192C">
        <w:rPr>
          <w:bCs/>
        </w:rPr>
        <w:t>(</w:t>
      </w:r>
      <w:r w:rsidR="000E1725">
        <w:rPr>
          <w:bCs/>
          <w:noProof/>
        </w:rPr>
        <w:t>1</w:t>
      </w:r>
      <w:r w:rsidR="000E1725" w:rsidRPr="004B192C">
        <w:rPr>
          <w:bCs/>
        </w:rPr>
        <w:t>)</w:t>
      </w:r>
      <w:r>
        <w:rPr>
          <w:bCs/>
        </w:rPr>
        <w:fldChar w:fldCharType="end"/>
      </w:r>
      <w:r>
        <w:rPr>
          <w:bCs/>
        </w:rPr>
        <w:t xml:space="preserve"> and </w:t>
      </w:r>
      <w:r>
        <w:rPr>
          <w:bCs/>
        </w:rPr>
        <w:fldChar w:fldCharType="begin"/>
      </w:r>
      <w:r>
        <w:rPr>
          <w:bCs/>
        </w:rPr>
        <w:instrText xml:space="preserve"> REF _Ref133842716 \h </w:instrText>
      </w:r>
      <w:r>
        <w:rPr>
          <w:bCs/>
        </w:rPr>
      </w:r>
      <w:r>
        <w:rPr>
          <w:bCs/>
        </w:rPr>
        <w:fldChar w:fldCharType="separate"/>
      </w:r>
      <w:r w:rsidR="000E1725" w:rsidRPr="004B192C">
        <w:rPr>
          <w:bCs/>
        </w:rPr>
        <w:t>(</w:t>
      </w:r>
      <w:r w:rsidR="000E1725">
        <w:rPr>
          <w:bCs/>
          <w:noProof/>
        </w:rPr>
        <w:t>2</w:t>
      </w:r>
      <w:r w:rsidR="000E1725" w:rsidRPr="004B192C">
        <w:rPr>
          <w:bCs/>
        </w:rPr>
        <w:t>)</w:t>
      </w:r>
      <w:r>
        <w:rPr>
          <w:bCs/>
        </w:rPr>
        <w:fldChar w:fldCharType="end"/>
      </w:r>
      <w:r>
        <w:rPr>
          <w:bCs/>
        </w:rPr>
        <w:t xml:space="preserve"> are converted into: </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2"/>
        <w:gridCol w:w="978"/>
      </w:tblGrid>
      <w:tr w:rsidR="000215B4" w:rsidRPr="00301182" w14:paraId="47F13343" w14:textId="77777777" w:rsidTr="00AF3671">
        <w:trPr>
          <w:trHeight w:val="813"/>
        </w:trPr>
        <w:tc>
          <w:tcPr>
            <w:tcW w:w="8370" w:type="dxa"/>
            <w:vAlign w:val="center"/>
          </w:tcPr>
          <w:p w14:paraId="60099C9E" w14:textId="77777777" w:rsidR="000215B4" w:rsidRPr="00912676" w:rsidRDefault="00000000" w:rsidP="002023DB">
            <m:oMathPara>
              <m:oMath>
                <m:f>
                  <m:fPr>
                    <m:ctrlPr>
                      <w:rPr>
                        <w:rFonts w:ascii="Cambria Math" w:hAnsi="Cambria Math"/>
                      </w:rPr>
                    </m:ctrlPr>
                  </m:fPr>
                  <m:num>
                    <m:r>
                      <w:rPr>
                        <w:rFonts w:ascii="Cambria Math" w:hAnsi="Cambria Math"/>
                      </w:rPr>
                      <m:t>d</m:t>
                    </m:r>
                    <m:sSub>
                      <m:sSubPr>
                        <m:ctrlPr>
                          <w:rPr>
                            <w:rFonts w:ascii="Cambria Math" w:hAnsi="Cambria Math"/>
                            <w:i/>
                          </w:rPr>
                        </m:ctrlPr>
                      </m:sSubPr>
                      <m:e>
                        <m:r>
                          <w:rPr>
                            <w:rFonts w:ascii="Cambria Math" w:hAnsi="Cambria Math"/>
                          </w:rPr>
                          <m:t>T</m:t>
                        </m:r>
                      </m:e>
                      <m:sub>
                        <m:r>
                          <w:rPr>
                            <w:rFonts w:ascii="Cambria Math" w:hAnsi="Cambria Math"/>
                          </w:rPr>
                          <m:t>ie</m:t>
                        </m:r>
                      </m:sub>
                    </m:sSub>
                    <m:ctrlPr>
                      <w:rPr>
                        <w:rFonts w:ascii="Cambria Math" w:hAnsi="Cambria Math"/>
                        <w:i/>
                      </w:rPr>
                    </m:ctrlPr>
                  </m:num>
                  <m:den>
                    <m:r>
                      <w:rPr>
                        <w:rFonts w:ascii="Cambria Math" w:hAnsi="Cambria Math"/>
                      </w:rPr>
                      <m:t>dt</m:t>
                    </m:r>
                    <m:ctrlPr>
                      <w:rPr>
                        <w:rFonts w:ascii="Cambria Math" w:hAnsi="Cambria Math"/>
                        <w:i/>
                      </w:rPr>
                    </m:ctrlPr>
                  </m:den>
                </m:f>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sSub>
                      <m:sSubPr>
                        <m:ctrlPr>
                          <w:rPr>
                            <w:rFonts w:ascii="Cambria Math" w:hAnsi="Cambria Math"/>
                            <w:i/>
                          </w:rPr>
                        </m:ctrlPr>
                      </m:sSubPr>
                      <m:e>
                        <m:r>
                          <m:rPr>
                            <m:sty m:val="p"/>
                          </m:rPr>
                          <w:rPr>
                            <w:rFonts w:ascii="Cambria Math" w:hAnsi="Cambria Math"/>
                          </w:rPr>
                          <m:t>τ</m:t>
                        </m:r>
                      </m:e>
                      <m:sub>
                        <m:r>
                          <w:rPr>
                            <w:rFonts w:ascii="Cambria Math" w:hAnsi="Cambria Math"/>
                          </w:rPr>
                          <m:t>1</m:t>
                        </m:r>
                      </m:sub>
                    </m:sSub>
                    <m:ctrlPr>
                      <w:rPr>
                        <w:rFonts w:ascii="Cambria Math" w:hAnsi="Cambria Math"/>
                        <w:i/>
                      </w:rPr>
                    </m:ctrlPr>
                  </m:den>
                </m:f>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ie</m:t>
                        </m:r>
                      </m:sub>
                    </m:sSub>
                  </m:e>
                </m:d>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sSub>
                      <m:sSubPr>
                        <m:ctrlPr>
                          <w:rPr>
                            <w:rFonts w:ascii="Cambria Math" w:hAnsi="Cambria Math"/>
                            <w:i/>
                          </w:rPr>
                        </m:ctrlPr>
                      </m:sSubPr>
                      <m:e>
                        <m:r>
                          <m:rPr>
                            <m:sty m:val="p"/>
                          </m:rPr>
                          <w:rPr>
                            <w:rFonts w:ascii="Cambria Math" w:hAnsi="Cambria Math"/>
                          </w:rPr>
                          <m:t>τ</m:t>
                        </m:r>
                      </m:e>
                      <m:sub>
                        <m:r>
                          <w:rPr>
                            <w:rFonts w:ascii="Cambria Math" w:hAnsi="Cambria Math"/>
                          </w:rPr>
                          <m:t>2</m:t>
                        </m:r>
                      </m:sub>
                    </m:sSub>
                    <m:ctrlPr>
                      <w:rPr>
                        <w:rFonts w:ascii="Cambria Math" w:hAnsi="Cambria Math"/>
                        <w:i/>
                      </w:rPr>
                    </m:ctrlPr>
                  </m:den>
                </m:f>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in</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ie</m:t>
                        </m:r>
                      </m:sub>
                    </m:sSub>
                  </m:e>
                </m:d>
              </m:oMath>
            </m:oMathPara>
          </w:p>
        </w:tc>
        <w:tc>
          <w:tcPr>
            <w:tcW w:w="630" w:type="dxa"/>
            <w:vAlign w:val="center"/>
          </w:tcPr>
          <w:p w14:paraId="6BCA38C8" w14:textId="4BC3D413" w:rsidR="000215B4" w:rsidRPr="00544D05" w:rsidRDefault="000215B4" w:rsidP="002023DB">
            <w:pPr>
              <w:pStyle w:val="Caption"/>
              <w:rPr>
                <w:rFonts w:ascii="Times New Roman" w:hAnsi="Times New Roman" w:cs="Times New Roman"/>
                <w:sz w:val="24"/>
                <w:szCs w:val="24"/>
              </w:rPr>
            </w:pPr>
            <w:bookmarkStart w:id="148" w:name="_Ref133842789"/>
            <w:r w:rsidRPr="00544D05">
              <w:rPr>
                <w:rFonts w:ascii="Times New Roman" w:hAnsi="Times New Roman" w:cs="Times New Roman"/>
                <w:sz w:val="24"/>
                <w:szCs w:val="24"/>
              </w:rPr>
              <w:t>(</w:t>
            </w:r>
            <w:r w:rsidRPr="00544D05">
              <w:rPr>
                <w:rFonts w:ascii="Times New Roman" w:hAnsi="Times New Roman" w:cs="Times New Roman"/>
                <w:sz w:val="24"/>
                <w:szCs w:val="24"/>
              </w:rPr>
              <w:fldChar w:fldCharType="begin"/>
            </w:r>
            <w:r w:rsidRPr="00544D05">
              <w:rPr>
                <w:rFonts w:ascii="Times New Roman" w:hAnsi="Times New Roman" w:cs="Times New Roman"/>
                <w:sz w:val="24"/>
                <w:szCs w:val="24"/>
              </w:rPr>
              <w:instrText xml:space="preserve"> SEQ equation \* ARABIC </w:instrText>
            </w:r>
            <w:r w:rsidRPr="00544D05">
              <w:rPr>
                <w:rFonts w:ascii="Times New Roman" w:hAnsi="Times New Roman" w:cs="Times New Roman"/>
                <w:sz w:val="24"/>
                <w:szCs w:val="24"/>
              </w:rPr>
              <w:fldChar w:fldCharType="separate"/>
            </w:r>
            <w:r w:rsidR="000E1725">
              <w:rPr>
                <w:rFonts w:ascii="Times New Roman" w:hAnsi="Times New Roman" w:cs="Times New Roman"/>
                <w:noProof/>
                <w:sz w:val="24"/>
                <w:szCs w:val="24"/>
              </w:rPr>
              <w:t>3</w:t>
            </w:r>
            <w:r w:rsidRPr="00544D05">
              <w:rPr>
                <w:rFonts w:ascii="Times New Roman" w:hAnsi="Times New Roman" w:cs="Times New Roman"/>
                <w:sz w:val="24"/>
                <w:szCs w:val="24"/>
              </w:rPr>
              <w:fldChar w:fldCharType="end"/>
            </w:r>
            <w:r w:rsidRPr="00544D05">
              <w:rPr>
                <w:rFonts w:ascii="Times New Roman" w:hAnsi="Times New Roman" w:cs="Times New Roman"/>
                <w:sz w:val="24"/>
                <w:szCs w:val="24"/>
              </w:rPr>
              <w:t>)</w:t>
            </w:r>
            <w:bookmarkEnd w:id="148"/>
          </w:p>
        </w:tc>
      </w:tr>
      <w:tr w:rsidR="000215B4" w:rsidRPr="00301182" w14:paraId="23A3EFCE" w14:textId="77777777" w:rsidTr="00AF3671">
        <w:trPr>
          <w:trHeight w:val="813"/>
        </w:trPr>
        <w:tc>
          <w:tcPr>
            <w:tcW w:w="8370" w:type="dxa"/>
            <w:vAlign w:val="center"/>
          </w:tcPr>
          <w:p w14:paraId="0B486CAE" w14:textId="77777777" w:rsidR="000215B4" w:rsidRPr="0057473A" w:rsidRDefault="00000000" w:rsidP="002023DB">
            <w:pPr>
              <w:rPr>
                <w:rFonts w:eastAsiaTheme="minorEastAsia"/>
              </w:rPr>
            </w:pPr>
            <m:oMathPara>
              <m:oMath>
                <m:f>
                  <m:fPr>
                    <m:ctrlPr>
                      <w:rPr>
                        <w:rFonts w:ascii="Cambria Math" w:hAnsi="Cambria Math"/>
                      </w:rPr>
                    </m:ctrlPr>
                  </m:fPr>
                  <m:num>
                    <m:r>
                      <w:rPr>
                        <w:rFonts w:ascii="Cambria Math" w:hAnsi="Cambria Math"/>
                      </w:rPr>
                      <m:t>d</m:t>
                    </m:r>
                    <m:sSub>
                      <m:sSubPr>
                        <m:ctrlPr>
                          <w:rPr>
                            <w:rFonts w:ascii="Cambria Math" w:hAnsi="Cambria Math"/>
                            <w:i/>
                          </w:rPr>
                        </m:ctrlPr>
                      </m:sSubPr>
                      <m:e>
                        <m:r>
                          <w:rPr>
                            <w:rFonts w:ascii="Cambria Math" w:hAnsi="Cambria Math"/>
                          </w:rPr>
                          <m:t>T</m:t>
                        </m:r>
                      </m:e>
                      <m:sub>
                        <m:r>
                          <w:rPr>
                            <w:rFonts w:ascii="Cambria Math" w:hAnsi="Cambria Math"/>
                          </w:rPr>
                          <m:t>in</m:t>
                        </m:r>
                      </m:sub>
                    </m:sSub>
                    <m:ctrlPr>
                      <w:rPr>
                        <w:rFonts w:ascii="Cambria Math" w:hAnsi="Cambria Math"/>
                        <w:i/>
                      </w:rPr>
                    </m:ctrlPr>
                  </m:num>
                  <m:den>
                    <m:r>
                      <w:rPr>
                        <w:rFonts w:ascii="Cambria Math" w:hAnsi="Cambria Math"/>
                      </w:rPr>
                      <m:t>dt</m:t>
                    </m:r>
                    <m:ctrlPr>
                      <w:rPr>
                        <w:rFonts w:ascii="Cambria Math" w:hAnsi="Cambria Math"/>
                        <w:i/>
                      </w:rPr>
                    </m:ctrlPr>
                  </m:den>
                </m:f>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sSub>
                      <m:sSubPr>
                        <m:ctrlPr>
                          <w:rPr>
                            <w:rFonts w:ascii="Cambria Math" w:hAnsi="Cambria Math"/>
                            <w:i/>
                          </w:rPr>
                        </m:ctrlPr>
                      </m:sSubPr>
                      <m:e>
                        <m:r>
                          <w:rPr>
                            <w:rFonts w:ascii="Cambria Math" w:hAnsi="Cambria Math"/>
                          </w:rPr>
                          <m:t>τ</m:t>
                        </m:r>
                      </m:e>
                      <m:sub>
                        <m:r>
                          <w:rPr>
                            <w:rFonts w:ascii="Cambria Math" w:hAnsi="Cambria Math"/>
                          </w:rPr>
                          <m:t>3</m:t>
                        </m:r>
                      </m:sub>
                    </m:sSub>
                    <m:ctrlPr>
                      <w:rPr>
                        <w:rFonts w:ascii="Cambria Math" w:hAnsi="Cambria Math"/>
                        <w:i/>
                      </w:rPr>
                    </m:ctrlPr>
                  </m:den>
                </m:f>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ie</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in</m:t>
                        </m:r>
                      </m:sub>
                    </m:sSub>
                  </m:e>
                </m:d>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sSub>
                      <m:sSubPr>
                        <m:ctrlPr>
                          <w:rPr>
                            <w:rFonts w:ascii="Cambria Math" w:hAnsi="Cambria Math"/>
                            <w:i/>
                          </w:rPr>
                        </m:ctrlPr>
                      </m:sSubPr>
                      <m:e>
                        <m:r>
                          <w:rPr>
                            <w:rFonts w:ascii="Cambria Math" w:hAnsi="Cambria Math"/>
                          </w:rPr>
                          <m:t>τ</m:t>
                        </m:r>
                      </m:e>
                      <m:sub>
                        <m:r>
                          <w:rPr>
                            <w:rFonts w:ascii="Cambria Math" w:hAnsi="Cambria Math"/>
                          </w:rPr>
                          <m:t>3</m:t>
                        </m:r>
                      </m:sub>
                    </m:sSub>
                    <m:ctrlPr>
                      <w:rPr>
                        <w:rFonts w:ascii="Cambria Math" w:hAnsi="Cambria Math"/>
                        <w:i/>
                      </w:rPr>
                    </m:ctrlPr>
                  </m:den>
                </m:f>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S+</m:t>
                    </m:r>
                    <m:sSub>
                      <m:sSubPr>
                        <m:ctrlPr>
                          <w:rPr>
                            <w:rFonts w:ascii="Cambria Math" w:hAnsi="Cambria Math"/>
                            <w:i/>
                          </w:rPr>
                        </m:ctrlPr>
                      </m:sSubPr>
                      <m:e>
                        <m:r>
                          <w:rPr>
                            <w:rFonts w:ascii="Cambria Math" w:hAnsi="Cambria Math"/>
                          </w:rPr>
                          <m:t>a</m:t>
                        </m:r>
                      </m:e>
                      <m:sub>
                        <m:r>
                          <w:rPr>
                            <w:rFonts w:ascii="Cambria Math" w:hAnsi="Cambria Math"/>
                          </w:rPr>
                          <m:t>2</m:t>
                        </m:r>
                      </m:sub>
                    </m:sSub>
                    <m:sSup>
                      <m:sSupPr>
                        <m:ctrlPr>
                          <w:rPr>
                            <w:rFonts w:ascii="Cambria Math" w:hAnsi="Cambria Math"/>
                            <w:i/>
                          </w:rPr>
                        </m:ctrlPr>
                      </m:sSupPr>
                      <m:e>
                        <m:r>
                          <w:rPr>
                            <w:rFonts w:ascii="Cambria Math" w:hAnsi="Cambria Math"/>
                          </w:rPr>
                          <m:t>S</m:t>
                        </m:r>
                      </m:e>
                      <m:sup>
                        <m:r>
                          <w:rPr>
                            <w:rFonts w:ascii="Cambria Math" w:hAnsi="Cambria Math"/>
                          </w:rPr>
                          <m:t>2</m:t>
                        </m:r>
                      </m:sup>
                    </m:sSup>
                  </m:e>
                </m:d>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sSub>
                      <m:sSubPr>
                        <m:ctrlPr>
                          <w:rPr>
                            <w:rFonts w:ascii="Cambria Math" w:hAnsi="Cambria Math"/>
                            <w:i/>
                          </w:rPr>
                        </m:ctrlPr>
                      </m:sSubPr>
                      <m:e>
                        <m:r>
                          <w:rPr>
                            <w:rFonts w:ascii="Cambria Math" w:hAnsi="Cambria Math"/>
                          </w:rPr>
                          <m:t>τ</m:t>
                        </m:r>
                      </m:e>
                      <m:sub>
                        <m:r>
                          <w:rPr>
                            <w:rFonts w:ascii="Cambria Math" w:hAnsi="Cambria Math"/>
                          </w:rPr>
                          <m:t>3</m:t>
                        </m:r>
                      </m:sub>
                    </m:sSub>
                    <m:ctrlPr>
                      <w:rPr>
                        <w:rFonts w:ascii="Cambria Math" w:hAnsi="Cambria Math"/>
                        <w:i/>
                      </w:rPr>
                    </m:ctrlPr>
                  </m:den>
                </m:f>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in</m:t>
                        </m:r>
                      </m:sub>
                    </m:sSub>
                  </m:e>
                </m:d>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W+</m:t>
                    </m:r>
                    <m:sSub>
                      <m:sSubPr>
                        <m:ctrlPr>
                          <w:rPr>
                            <w:rFonts w:ascii="Cambria Math" w:hAnsi="Cambria Math"/>
                            <w:i/>
                          </w:rPr>
                        </m:ctrlPr>
                      </m:sSubPr>
                      <m:e>
                        <m:r>
                          <w:rPr>
                            <w:rFonts w:ascii="Cambria Math" w:hAnsi="Cambria Math"/>
                          </w:rPr>
                          <m:t>b</m:t>
                        </m:r>
                      </m:e>
                      <m:sub>
                        <m:r>
                          <w:rPr>
                            <w:rFonts w:ascii="Cambria Math" w:hAnsi="Cambria Math"/>
                          </w:rPr>
                          <m:t>2</m:t>
                        </m:r>
                      </m:sub>
                    </m:sSub>
                    <m:sSup>
                      <m:sSupPr>
                        <m:ctrlPr>
                          <w:rPr>
                            <w:rFonts w:ascii="Cambria Math" w:hAnsi="Cambria Math"/>
                            <w:i/>
                          </w:rPr>
                        </m:ctrlPr>
                      </m:sSupPr>
                      <m:e>
                        <m:r>
                          <w:rPr>
                            <w:rFonts w:ascii="Cambria Math" w:hAnsi="Cambria Math"/>
                          </w:rPr>
                          <m:t>W</m:t>
                        </m:r>
                      </m:e>
                      <m:sup>
                        <m:r>
                          <w:rPr>
                            <w:rFonts w:ascii="Cambria Math" w:hAnsi="Cambria Math"/>
                          </w:rPr>
                          <m:t>2</m:t>
                        </m:r>
                      </m:sup>
                    </m:sSup>
                  </m:e>
                </m:d>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sSub>
                      <m:sSubPr>
                        <m:ctrlPr>
                          <w:rPr>
                            <w:rFonts w:ascii="Cambria Math" w:hAnsi="Cambria Math"/>
                            <w:i/>
                          </w:rPr>
                        </m:ctrlPr>
                      </m:sSubPr>
                      <m:e>
                        <m:r>
                          <w:rPr>
                            <w:rFonts w:ascii="Cambria Math" w:hAnsi="Cambria Math"/>
                          </w:rPr>
                          <m:t>τ</m:t>
                        </m:r>
                      </m:e>
                      <m:sub>
                        <m:r>
                          <w:rPr>
                            <w:rFonts w:ascii="Cambria Math" w:hAnsi="Cambria Math"/>
                          </w:rPr>
                          <m:t>3</m:t>
                        </m:r>
                      </m:sub>
                    </m:sSub>
                    <m:ctrlPr>
                      <w:rPr>
                        <w:rFonts w:ascii="Cambria Math" w:hAnsi="Cambria Math"/>
                        <w:i/>
                      </w:rPr>
                    </m:ctrlPr>
                  </m:den>
                </m:f>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sSubSup>
                      <m:sSubSupPr>
                        <m:ctrlPr>
                          <w:rPr>
                            <w:rFonts w:ascii="Cambria Math" w:hAnsi="Cambria Math"/>
                            <w:i/>
                          </w:rPr>
                        </m:ctrlPr>
                      </m:sSubSupPr>
                      <m:e>
                        <m:r>
                          <w:rPr>
                            <w:rFonts w:ascii="Cambria Math" w:hAnsi="Cambria Math"/>
                          </w:rPr>
                          <m:t>T</m:t>
                        </m:r>
                      </m:e>
                      <m:sub>
                        <m:r>
                          <w:rPr>
                            <w:rFonts w:ascii="Cambria Math" w:hAnsi="Cambria Math"/>
                          </w:rPr>
                          <m:t>o</m:t>
                        </m:r>
                      </m:sub>
                      <m:sup>
                        <m:r>
                          <w:rPr>
                            <w:rFonts w:ascii="Cambria Math" w:hAnsi="Cambria Math"/>
                          </w:rPr>
                          <m:t>2</m:t>
                        </m:r>
                      </m:sup>
                    </m:sSubSup>
                  </m:e>
                </m:d>
                <m:r>
                  <w:rPr>
                    <w:rFonts w:ascii="Cambria Math" w:hAnsi="Cambria Math"/>
                  </w:rPr>
                  <m:t>u,</m:t>
                </m:r>
              </m:oMath>
            </m:oMathPara>
          </w:p>
        </w:tc>
        <w:tc>
          <w:tcPr>
            <w:tcW w:w="630" w:type="dxa"/>
            <w:vAlign w:val="center"/>
          </w:tcPr>
          <w:p w14:paraId="747E12CB" w14:textId="3FBCDA62" w:rsidR="000215B4" w:rsidRPr="004B192C" w:rsidRDefault="000215B4" w:rsidP="002023DB">
            <w:pPr>
              <w:keepNext/>
              <w:rPr>
                <w:highlight w:val="yellow"/>
              </w:rPr>
            </w:pPr>
            <w:bookmarkStart w:id="149" w:name="_Ref133842791"/>
            <w:r>
              <w:t>(</w:t>
            </w:r>
            <w:r>
              <w:fldChar w:fldCharType="begin"/>
            </w:r>
            <w:r>
              <w:instrText>SEQ equation \* ARABIC</w:instrText>
            </w:r>
            <w:r>
              <w:fldChar w:fldCharType="separate"/>
            </w:r>
            <w:r w:rsidR="000E1725">
              <w:rPr>
                <w:noProof/>
              </w:rPr>
              <w:t>4</w:t>
            </w:r>
            <w:r>
              <w:fldChar w:fldCharType="end"/>
            </w:r>
            <w:r>
              <w:t>)</w:t>
            </w:r>
            <w:bookmarkEnd w:id="149"/>
          </w:p>
        </w:tc>
      </w:tr>
    </w:tbl>
    <w:p w14:paraId="633387A1" w14:textId="764514C0" w:rsidR="000215B4" w:rsidRPr="002A06C0" w:rsidRDefault="000215B4" w:rsidP="000215B4">
      <w:pPr>
        <w:ind w:firstLine="0"/>
      </w:pPr>
      <w:r>
        <w:t xml:space="preserve">where </w:t>
      </w:r>
      <m:oMath>
        <m:r>
          <w:rPr>
            <w:rFonts w:ascii="Cambria Math" w:hAnsi="Cambria Math"/>
          </w:rPr>
          <m:t>S</m:t>
        </m:r>
      </m:oMath>
      <w:r w:rsidRPr="00B4798A">
        <w:t xml:space="preserve"> is the solar </w:t>
      </w:r>
      <w:r>
        <w:t>ir</w:t>
      </w:r>
      <w:r w:rsidRPr="00B4798A">
        <w:t xml:space="preserve">radiation, </w:t>
      </w:r>
      <m:oMath>
        <m:r>
          <w:rPr>
            <w:rFonts w:ascii="Cambria Math" w:hAnsi="Cambria Math"/>
          </w:rPr>
          <m:t>W</m:t>
        </m:r>
      </m:oMath>
      <w:r w:rsidRPr="00B4798A">
        <w:t xml:space="preserve"> is the wind speed</w:t>
      </w:r>
      <w:r>
        <w:t xml:space="preserve">, and </w:t>
      </w:r>
      <m:oMath>
        <m:r>
          <w:rPr>
            <w:rFonts w:ascii="Cambria Math" w:hAnsi="Cambria Math"/>
          </w:rPr>
          <m:t>u</m:t>
        </m:r>
      </m:oMath>
      <w:r w:rsidRPr="00B4798A">
        <w:t xml:space="preserve"> is the AC on/off signal.</w:t>
      </w:r>
      <w:r>
        <w:t xml:space="preserve"> </w:t>
      </w:r>
      <w:r>
        <w:rPr>
          <w:rFonts w:hint="eastAsia"/>
        </w:rPr>
        <w:t>E</w:t>
      </w:r>
      <w:r>
        <w:t>qua</w:t>
      </w:r>
      <w:r w:rsidRPr="00544D05">
        <w:t xml:space="preserve">tion </w:t>
      </w:r>
      <w:r w:rsidRPr="00544D05">
        <w:fldChar w:fldCharType="begin"/>
      </w:r>
      <w:r w:rsidRPr="00544D05">
        <w:instrText xml:space="preserve"> REF _Ref133842789 \h </w:instrText>
      </w:r>
      <w:r>
        <w:instrText xml:space="preserve"> \* MERGEFORMAT </w:instrText>
      </w:r>
      <w:r w:rsidRPr="00544D05">
        <w:fldChar w:fldCharType="separate"/>
      </w:r>
      <w:r w:rsidR="000E1725" w:rsidRPr="00544D05">
        <w:rPr>
          <w:szCs w:val="24"/>
        </w:rPr>
        <w:t>(</w:t>
      </w:r>
      <w:r w:rsidR="000E1725">
        <w:rPr>
          <w:noProof/>
          <w:szCs w:val="24"/>
        </w:rPr>
        <w:t>3</w:t>
      </w:r>
      <w:r w:rsidR="000E1725" w:rsidRPr="00544D05">
        <w:rPr>
          <w:szCs w:val="24"/>
        </w:rPr>
        <w:t>)</w:t>
      </w:r>
      <w:r w:rsidRPr="00544D05">
        <w:fldChar w:fldCharType="end"/>
      </w:r>
      <w:r w:rsidRPr="00544D05">
        <w:t xml:space="preserve"> and </w:t>
      </w:r>
      <w:r w:rsidRPr="00544D05">
        <w:fldChar w:fldCharType="begin"/>
      </w:r>
      <w:r w:rsidRPr="00544D05">
        <w:instrText xml:space="preserve"> REF _Ref133842791 \h </w:instrText>
      </w:r>
      <w:r>
        <w:instrText xml:space="preserve"> \* MERGEFORMAT </w:instrText>
      </w:r>
      <w:r w:rsidRPr="00544D05">
        <w:fldChar w:fldCharType="separate"/>
      </w:r>
      <w:r w:rsidR="000E1725">
        <w:t>(</w:t>
      </w:r>
      <w:r w:rsidR="000E1725">
        <w:rPr>
          <w:noProof/>
        </w:rPr>
        <w:t>4</w:t>
      </w:r>
      <w:r w:rsidR="000E1725">
        <w:t>)</w:t>
      </w:r>
      <w:r w:rsidRPr="00544D05">
        <w:fldChar w:fldCharType="end"/>
      </w:r>
      <w:r w:rsidRPr="00544D05">
        <w:t xml:space="preserve"> c</w:t>
      </w:r>
      <w:r>
        <w:t xml:space="preserve">ontain a total of nine unknown parameters: </w:t>
      </w:r>
      <m:oMath>
        <m:sSub>
          <m:sSubPr>
            <m:ctrlPr>
              <w:rPr>
                <w:rFonts w:ascii="Cambria Math" w:hAnsi="Cambria Math"/>
              </w:rPr>
            </m:ctrlPr>
          </m:sSubPr>
          <m:e>
            <m:r>
              <w:rPr>
                <w:rFonts w:ascii="Cambria Math" w:hAnsi="Cambria Math"/>
              </w:rPr>
              <m:t>τ</m:t>
            </m:r>
          </m:e>
          <m:sub>
            <m:r>
              <m:rPr>
                <m:sty m:val="p"/>
              </m:rPr>
              <w:rPr>
                <w:rFonts w:ascii="Cambria Math" w:hAnsi="Cambria Math"/>
              </w:rPr>
              <m:t>1</m:t>
            </m:r>
          </m:sub>
        </m:sSub>
      </m:oMath>
      <w:r w:rsidRPr="00B4798A">
        <w:rPr>
          <w:rFonts w:hint="eastAsia"/>
        </w:rPr>
        <w:t xml:space="preserve"> </w:t>
      </w:r>
      <w:r>
        <w:t>is</w:t>
      </w:r>
      <w:r w:rsidRPr="00B4798A">
        <w:t xml:space="preserve"> the time constant of </w:t>
      </w:r>
      <w:r>
        <w:lastRenderedPageBreak/>
        <w:t>the building</w:t>
      </w:r>
      <w:r w:rsidRPr="00B4798A">
        <w:t xml:space="preserve"> envelope</w:t>
      </w:r>
      <w:r>
        <w:t>;</w:t>
      </w:r>
      <w:r w:rsidRPr="00B4798A">
        <w:t xml:space="preserve"> </w:t>
      </w:r>
      <m:oMath>
        <m:sSub>
          <m:sSubPr>
            <m:ctrlPr>
              <w:rPr>
                <w:rFonts w:ascii="Cambria Math" w:hAnsi="Cambria Math"/>
              </w:rPr>
            </m:ctrlPr>
          </m:sSubPr>
          <m:e>
            <m:r>
              <w:rPr>
                <w:rFonts w:ascii="Cambria Math" w:hAnsi="Cambria Math"/>
              </w:rPr>
              <m:t>τ</m:t>
            </m:r>
          </m:e>
          <m:sub>
            <m:r>
              <m:rPr>
                <m:sty m:val="p"/>
              </m:rPr>
              <w:rPr>
                <w:rFonts w:ascii="Cambria Math" w:hAnsi="Cambria Math"/>
              </w:rPr>
              <m:t>2</m:t>
            </m:r>
          </m:sub>
        </m:sSub>
      </m:oMath>
      <w:r w:rsidRPr="00B4798A">
        <w:t xml:space="preserve"> is the coefficient associated with </w:t>
      </w:r>
      <w:r>
        <w:t>the</w:t>
      </w:r>
      <w:r w:rsidRPr="00B4798A">
        <w:t xml:space="preserve"> thermal resistance of air</w:t>
      </w:r>
      <w:r>
        <w:t xml:space="preserve"> and thermal capacitance of the building envelope; </w:t>
      </w:r>
      <m:oMath>
        <m:sSub>
          <m:sSubPr>
            <m:ctrlPr>
              <w:rPr>
                <w:rFonts w:ascii="Cambria Math" w:hAnsi="Cambria Math"/>
                <w:i/>
              </w:rPr>
            </m:ctrlPr>
          </m:sSubPr>
          <m:e>
            <m:r>
              <w:rPr>
                <w:rFonts w:ascii="Cambria Math" w:hAnsi="Cambria Math"/>
              </w:rPr>
              <m:t>τ</m:t>
            </m:r>
            <m:ctrlPr>
              <w:rPr>
                <w:rFonts w:ascii="Cambria Math" w:hAnsi="Cambria Math"/>
              </w:rPr>
            </m:ctrlPr>
          </m:e>
          <m:sub>
            <m:r>
              <w:rPr>
                <w:rFonts w:ascii="Cambria Math" w:hAnsi="Cambria Math"/>
              </w:rPr>
              <m:t>3</m:t>
            </m:r>
          </m:sub>
        </m:sSub>
        <m:r>
          <w:rPr>
            <w:rFonts w:ascii="Cambria Math" w:hAnsi="Cambria Math" w:hint="eastAsia"/>
          </w:rPr>
          <m:t xml:space="preserve"> </m:t>
        </m:r>
      </m:oMath>
      <w:r>
        <w:t xml:space="preserve">is the time constant of the indoor air;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oMath>
      <w:r>
        <w:rPr>
          <w:rFonts w:hint="eastAsia"/>
        </w:rPr>
        <w:t xml:space="preserve"> </w:t>
      </w:r>
      <w:r>
        <w:t>are coefficients representing the impact of solar irradiation, wind speed, and AC output, respectively.</w:t>
      </w:r>
      <w:r w:rsidRPr="009229F8">
        <w:t xml:space="preserve"> </w:t>
      </w:r>
      <w:r>
        <w:rPr>
          <w:rFonts w:hint="eastAsia"/>
        </w:rPr>
        <w:t>I</w:t>
      </w:r>
      <w:r>
        <w:t xml:space="preserve">n </w:t>
      </w:r>
      <w:r>
        <w:fldChar w:fldCharType="begin"/>
      </w:r>
      <w:r>
        <w:instrText xml:space="preserve"> REF _Ref133842791 \h </w:instrText>
      </w:r>
      <w:r>
        <w:fldChar w:fldCharType="separate"/>
      </w:r>
      <w:r w:rsidR="000E1725">
        <w:t>(</w:t>
      </w:r>
      <w:r w:rsidR="000E1725">
        <w:rPr>
          <w:noProof/>
        </w:rPr>
        <w:t>4</w:t>
      </w:r>
      <w:r w:rsidR="000E1725">
        <w:t>)</w:t>
      </w:r>
      <w:r>
        <w:fldChar w:fldCharType="end"/>
      </w:r>
      <w:r>
        <w:t xml:space="preserve">, we only use the outdoor air temperature as the dependent variable of the output of the AC system (containing one outdoor unit and one indoor unit), i.e., </w:t>
      </w:r>
      <m:oMath>
        <m:f>
          <m:fPr>
            <m:ctrlPr>
              <w:rPr>
                <w:rFonts w:ascii="Cambria Math" w:hAnsi="Cambria Math"/>
              </w:rPr>
            </m:ctrlPr>
          </m:fPr>
          <m:num>
            <m:r>
              <w:rPr>
                <w:rFonts w:ascii="Cambria Math" w:hAnsi="Cambria Math"/>
              </w:rPr>
              <m:t>1</m:t>
            </m:r>
            <m:ctrlPr>
              <w:rPr>
                <w:rFonts w:ascii="Cambria Math" w:hAnsi="Cambria Math"/>
                <w:i/>
              </w:rPr>
            </m:ctrlPr>
          </m:num>
          <m:den>
            <m:sSub>
              <m:sSubPr>
                <m:ctrlPr>
                  <w:rPr>
                    <w:rFonts w:ascii="Cambria Math" w:hAnsi="Cambria Math"/>
                    <w:i/>
                  </w:rPr>
                </m:ctrlPr>
              </m:sSubPr>
              <m:e>
                <m:r>
                  <w:rPr>
                    <w:rFonts w:ascii="Cambria Math" w:hAnsi="Cambria Math"/>
                  </w:rPr>
                  <m:t>τ</m:t>
                </m:r>
              </m:e>
              <m:sub>
                <m:r>
                  <w:rPr>
                    <w:rFonts w:ascii="Cambria Math" w:hAnsi="Cambria Math"/>
                  </w:rPr>
                  <m:t>3</m:t>
                </m:r>
              </m:sub>
            </m:sSub>
            <m:ctrlPr>
              <w:rPr>
                <w:rFonts w:ascii="Cambria Math" w:hAnsi="Cambria Math"/>
                <w:i/>
              </w:rPr>
            </m:ctrlPr>
          </m:den>
        </m:f>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sSubSup>
              <m:sSubSupPr>
                <m:ctrlPr>
                  <w:rPr>
                    <w:rFonts w:ascii="Cambria Math" w:hAnsi="Cambria Math"/>
                    <w:i/>
                  </w:rPr>
                </m:ctrlPr>
              </m:sSubSupPr>
              <m:e>
                <m:r>
                  <w:rPr>
                    <w:rFonts w:ascii="Cambria Math" w:hAnsi="Cambria Math"/>
                  </w:rPr>
                  <m:t>T</m:t>
                </m:r>
              </m:e>
              <m:sub>
                <m:r>
                  <w:rPr>
                    <w:rFonts w:ascii="Cambria Math" w:hAnsi="Cambria Math"/>
                  </w:rPr>
                  <m:t>o</m:t>
                </m:r>
              </m:sub>
              <m:sup>
                <m:r>
                  <w:rPr>
                    <w:rFonts w:ascii="Cambria Math" w:hAnsi="Cambria Math"/>
                  </w:rPr>
                  <m:t>2</m:t>
                </m:r>
              </m:sup>
            </m:sSubSup>
          </m:e>
        </m:d>
        <m:r>
          <w:rPr>
            <w:rFonts w:ascii="Cambria Math" w:hAnsi="Cambria Math"/>
          </w:rPr>
          <m:t>u</m:t>
        </m:r>
      </m:oMath>
      <w:r>
        <w:t>. Although</w:t>
      </w:r>
      <w:r w:rsidRPr="00DD2BDF">
        <w:t xml:space="preserve"> the indoor air </w:t>
      </w:r>
      <w:r>
        <w:t>temperature, which can be considered as</w:t>
      </w:r>
      <w:r w:rsidRPr="00DD2BDF">
        <w:t xml:space="preserve"> the evaporator inlet</w:t>
      </w:r>
      <w:r>
        <w:t xml:space="preserve"> temperature, may also affect the AC output, we </w:t>
      </w:r>
      <w:r>
        <w:rPr>
          <w:rFonts w:hint="eastAsia"/>
        </w:rPr>
        <w:t>neg</w:t>
      </w:r>
      <w:r>
        <w:t xml:space="preserve">lect the impact of the wet bulb temperature of indoor air due to its smaller variation compared with the outdoor air temperature and the willing to keep Equation </w:t>
      </w:r>
      <w:r>
        <w:fldChar w:fldCharType="begin"/>
      </w:r>
      <w:r>
        <w:instrText xml:space="preserve"> REF _Ref133842791 \h </w:instrText>
      </w:r>
      <w:r>
        <w:fldChar w:fldCharType="separate"/>
      </w:r>
      <w:r w:rsidR="000E1725">
        <w:t>(</w:t>
      </w:r>
      <w:r w:rsidR="000E1725">
        <w:rPr>
          <w:noProof/>
        </w:rPr>
        <w:t>4</w:t>
      </w:r>
      <w:r w:rsidR="000E1725">
        <w:t>)</w:t>
      </w:r>
      <w:r>
        <w:fldChar w:fldCharType="end"/>
      </w:r>
      <w:r>
        <w:t xml:space="preserve"> linear.</w:t>
      </w:r>
    </w:p>
    <w:p w14:paraId="4AE70481" w14:textId="74624E61" w:rsidR="000215B4" w:rsidRPr="001533AA" w:rsidRDefault="000215B4" w:rsidP="000215B4">
      <w:pPr>
        <w:rPr>
          <w:szCs w:val="24"/>
        </w:rPr>
      </w:pPr>
      <w:r>
        <w:t xml:space="preserve">To identify the unknown parameters in </w:t>
      </w:r>
      <w:r w:rsidRPr="00544D05">
        <w:fldChar w:fldCharType="begin"/>
      </w:r>
      <w:r w:rsidRPr="00544D05">
        <w:instrText xml:space="preserve"> REF _Ref133842789 \h </w:instrText>
      </w:r>
      <w:r>
        <w:instrText xml:space="preserve"> \* MERGEFORMAT </w:instrText>
      </w:r>
      <w:r w:rsidRPr="00544D05">
        <w:fldChar w:fldCharType="separate"/>
      </w:r>
      <w:r w:rsidR="000E1725" w:rsidRPr="00544D05">
        <w:rPr>
          <w:szCs w:val="24"/>
        </w:rPr>
        <w:t>(</w:t>
      </w:r>
      <w:r w:rsidR="000E1725">
        <w:rPr>
          <w:noProof/>
          <w:szCs w:val="24"/>
        </w:rPr>
        <w:t>3</w:t>
      </w:r>
      <w:r w:rsidR="000E1725" w:rsidRPr="00544D05">
        <w:rPr>
          <w:szCs w:val="24"/>
        </w:rPr>
        <w:t>)</w:t>
      </w:r>
      <w:r w:rsidRPr="00544D05">
        <w:fldChar w:fldCharType="end"/>
      </w:r>
      <w:r w:rsidRPr="00544D05">
        <w:t xml:space="preserve"> and </w:t>
      </w:r>
      <w:r w:rsidRPr="00544D05">
        <w:fldChar w:fldCharType="begin"/>
      </w:r>
      <w:r w:rsidRPr="00544D05">
        <w:instrText xml:space="preserve"> REF _Ref133842791 \h </w:instrText>
      </w:r>
      <w:r>
        <w:instrText xml:space="preserve"> \* MERGEFORMAT </w:instrText>
      </w:r>
      <w:r w:rsidRPr="00544D05">
        <w:fldChar w:fldCharType="separate"/>
      </w:r>
      <w:r w:rsidR="000E1725">
        <w:t>(</w:t>
      </w:r>
      <w:r w:rsidR="000E1725">
        <w:rPr>
          <w:noProof/>
        </w:rPr>
        <w:t>4</w:t>
      </w:r>
      <w:r w:rsidR="000E1725">
        <w:t>)</w:t>
      </w:r>
      <w:r w:rsidRPr="00544D05">
        <w:fldChar w:fldCharType="end"/>
      </w:r>
      <w:r>
        <w:t>, we first discretize these two equations and then consid</w:t>
      </w:r>
      <w:r w:rsidRPr="001533AA">
        <w:rPr>
          <w:szCs w:val="24"/>
        </w:rPr>
        <w:t xml:space="preserve">er the optimization problem with the following objective function: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8"/>
        <w:gridCol w:w="978"/>
      </w:tblGrid>
      <w:tr w:rsidR="000215B4" w14:paraId="78CE8402" w14:textId="77777777" w:rsidTr="002023DB">
        <w:tc>
          <w:tcPr>
            <w:tcW w:w="9351" w:type="dxa"/>
            <w:vAlign w:val="center"/>
          </w:tcPr>
          <w:p w14:paraId="1BA49A9D" w14:textId="77777777" w:rsidR="000215B4" w:rsidRPr="001533AA" w:rsidRDefault="00000000" w:rsidP="002023DB">
            <w:pPr>
              <w:rPr>
                <w:rFonts w:ascii="Garamond" w:hAnsi="Garamond"/>
                <w:szCs w:val="24"/>
              </w:rPr>
            </w:pPr>
            <m:oMathPara>
              <m:oMath>
                <m:limLow>
                  <m:limLowPr>
                    <m:ctrlPr>
                      <w:rPr>
                        <w:rFonts w:ascii="Cambria Math" w:hAnsi="Cambria Math"/>
                        <w:i/>
                        <w:szCs w:val="24"/>
                      </w:rPr>
                    </m:ctrlPr>
                  </m:limLowPr>
                  <m:e>
                    <m:r>
                      <m:rPr>
                        <m:sty m:val="p"/>
                      </m:rPr>
                      <w:rPr>
                        <w:rFonts w:ascii="Cambria Math" w:hAnsi="Cambria Math"/>
                        <w:szCs w:val="24"/>
                      </w:rPr>
                      <m:t>min</m:t>
                    </m:r>
                  </m:e>
                  <m:lim>
                    <m:r>
                      <w:rPr>
                        <w:rFonts w:ascii="Cambria Math" w:hAnsi="Cambria Math"/>
                        <w:szCs w:val="24"/>
                      </w:rPr>
                      <m:t>P</m:t>
                    </m:r>
                  </m:lim>
                </m:limLow>
                <m:r>
                  <w:rPr>
                    <w:rFonts w:ascii="Cambria Math" w:hAnsi="Cambria Math"/>
                    <w:szCs w:val="24"/>
                  </w:rPr>
                  <m:t>=</m:t>
                </m:r>
                <m:nary>
                  <m:naryPr>
                    <m:chr m:val="∑"/>
                    <m:ctrlPr>
                      <w:rPr>
                        <w:rFonts w:ascii="Cambria Math" w:hAnsi="Cambria Math"/>
                        <w:szCs w:val="24"/>
                      </w:rPr>
                    </m:ctrlPr>
                  </m:naryPr>
                  <m:sub>
                    <m:r>
                      <w:rPr>
                        <w:rFonts w:ascii="Cambria Math" w:hAnsi="Cambria Math"/>
                        <w:szCs w:val="24"/>
                      </w:rPr>
                      <m:t>k=1</m:t>
                    </m:r>
                    <m:ctrlPr>
                      <w:rPr>
                        <w:rFonts w:ascii="Cambria Math" w:hAnsi="Cambria Math"/>
                        <w:i/>
                        <w:szCs w:val="24"/>
                      </w:rPr>
                    </m:ctrlPr>
                  </m:sub>
                  <m:sup>
                    <m:r>
                      <w:rPr>
                        <w:rFonts w:ascii="Cambria Math" w:eastAsia="PMingLiU" w:hAnsi="Cambria Math"/>
                        <w:szCs w:val="24"/>
                      </w:rPr>
                      <m:t>.</m:t>
                    </m:r>
                    <m:sSub>
                      <m:sSubPr>
                        <m:ctrlPr>
                          <w:rPr>
                            <w:rFonts w:ascii="Cambria Math" w:eastAsia="PMingLiU" w:hAnsi="Cambria Math"/>
                            <w:i/>
                            <w:szCs w:val="24"/>
                          </w:rPr>
                        </m:ctrlPr>
                      </m:sSubPr>
                      <m:e>
                        <m:r>
                          <w:rPr>
                            <w:rFonts w:ascii="Cambria Math" w:eastAsia="PMingLiU" w:hAnsi="Cambria Math"/>
                            <w:szCs w:val="24"/>
                          </w:rPr>
                          <m:t>N</m:t>
                        </m:r>
                      </m:e>
                      <m:sub>
                        <m:r>
                          <m:rPr>
                            <m:sty m:val="p"/>
                          </m:rPr>
                          <w:rPr>
                            <w:rFonts w:ascii="Cambria Math" w:eastAsia="PMingLiU" w:hAnsi="Cambria Math"/>
                            <w:szCs w:val="24"/>
                          </w:rPr>
                          <m:t>train</m:t>
                        </m:r>
                      </m:sub>
                    </m:sSub>
                    <m:ctrlPr>
                      <w:rPr>
                        <w:rFonts w:ascii="Cambria Math" w:hAnsi="Cambria Math"/>
                        <w:i/>
                        <w:szCs w:val="24"/>
                      </w:rPr>
                    </m:ctrlPr>
                  </m:sup>
                  <m:e>
                    <m:sSup>
                      <m:sSupPr>
                        <m:ctrlPr>
                          <w:rPr>
                            <w:rFonts w:ascii="Cambria Math" w:hAnsi="Cambria Math"/>
                            <w:i/>
                            <w:szCs w:val="24"/>
                          </w:rPr>
                        </m:ctrlPr>
                      </m:sSupPr>
                      <m:e>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k</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in,mes</m:t>
                                </m:r>
                              </m:sub>
                              <m:sup>
                                <m:r>
                                  <w:rPr>
                                    <w:rFonts w:ascii="Cambria Math" w:hAnsi="Cambria Math"/>
                                    <w:szCs w:val="24"/>
                                  </w:rPr>
                                  <m:t>k</m:t>
                                </m:r>
                              </m:sup>
                            </m:sSubSup>
                          </m:e>
                        </m:d>
                      </m:e>
                      <m:sup>
                        <m:r>
                          <w:rPr>
                            <w:rFonts w:ascii="Cambria Math" w:hAnsi="Cambria Math"/>
                            <w:szCs w:val="24"/>
                          </w:rPr>
                          <m:t>2</m:t>
                        </m:r>
                      </m:sup>
                    </m:sSup>
                    <m:r>
                      <w:rPr>
                        <w:rFonts w:ascii="Cambria Math" w:hAnsi="Cambria Math"/>
                        <w:szCs w:val="24"/>
                      </w:rPr>
                      <m:t>+</m:t>
                    </m:r>
                    <m:sSup>
                      <m:sSupPr>
                        <m:ctrlPr>
                          <w:rPr>
                            <w:rFonts w:ascii="Cambria Math" w:hAnsi="Cambria Math"/>
                            <w:i/>
                            <w:szCs w:val="24"/>
                          </w:rPr>
                        </m:ctrlPr>
                      </m:sSupPr>
                      <m:e>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k</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ie,mes</m:t>
                                </m:r>
                              </m:sub>
                              <m:sup>
                                <m:r>
                                  <w:rPr>
                                    <w:rFonts w:ascii="Cambria Math" w:hAnsi="Cambria Math"/>
                                    <w:szCs w:val="24"/>
                                  </w:rPr>
                                  <m:t>k</m:t>
                                </m:r>
                              </m:sup>
                            </m:sSubSup>
                          </m:e>
                        </m:d>
                      </m:e>
                      <m:sup>
                        <m:r>
                          <w:rPr>
                            <w:rFonts w:ascii="Cambria Math" w:hAnsi="Cambria Math"/>
                            <w:szCs w:val="24"/>
                          </w:rPr>
                          <m:t>2</m:t>
                        </m:r>
                      </m:sup>
                    </m:sSup>
                  </m:e>
                </m:nary>
              </m:oMath>
            </m:oMathPara>
          </w:p>
        </w:tc>
        <w:tc>
          <w:tcPr>
            <w:tcW w:w="709" w:type="dxa"/>
            <w:vAlign w:val="center"/>
            <w:hideMark/>
          </w:tcPr>
          <w:p w14:paraId="14CC3308" w14:textId="2D4E1A59" w:rsidR="000215B4" w:rsidRDefault="000215B4" w:rsidP="002023DB">
            <w:pPr>
              <w:rPr>
                <w:szCs w:val="24"/>
              </w:rPr>
            </w:pPr>
            <w:bookmarkStart w:id="150" w:name="_Ref133838791"/>
            <w:r>
              <w:rPr>
                <w:szCs w:val="24"/>
              </w:rPr>
              <w:t>(</w:t>
            </w:r>
            <w:r>
              <w:rPr>
                <w:szCs w:val="24"/>
              </w:rPr>
              <w:fldChar w:fldCharType="begin"/>
            </w:r>
            <w:r>
              <w:rPr>
                <w:szCs w:val="24"/>
              </w:rPr>
              <w:instrText xml:space="preserve"> SEQ equation \* ARABIC </w:instrText>
            </w:r>
            <w:r>
              <w:rPr>
                <w:szCs w:val="24"/>
              </w:rPr>
              <w:fldChar w:fldCharType="separate"/>
            </w:r>
            <w:r w:rsidR="000E1725">
              <w:rPr>
                <w:noProof/>
                <w:szCs w:val="24"/>
              </w:rPr>
              <w:t>5</w:t>
            </w:r>
            <w:r>
              <w:rPr>
                <w:szCs w:val="24"/>
              </w:rPr>
              <w:fldChar w:fldCharType="end"/>
            </w:r>
            <w:bookmarkEnd w:id="150"/>
            <w:r>
              <w:rPr>
                <w:szCs w:val="24"/>
              </w:rPr>
              <w:t>)</w:t>
            </w:r>
          </w:p>
        </w:tc>
      </w:tr>
    </w:tbl>
    <w:p w14:paraId="25AB3338" w14:textId="77777777" w:rsidR="000215B4" w:rsidRPr="00A51046" w:rsidRDefault="000215B4" w:rsidP="000215B4">
      <w:pPr>
        <w:ind w:firstLine="0"/>
        <w:rPr>
          <w:rFonts w:eastAsia="PMingLiU"/>
        </w:rPr>
      </w:pPr>
      <w:r w:rsidRPr="001533AA">
        <w:rPr>
          <w:szCs w:val="24"/>
        </w:rPr>
        <w:t xml:space="preserve">where </w:t>
      </w:r>
      <m:oMath>
        <m:r>
          <w:rPr>
            <w:rFonts w:ascii="Cambria Math" w:hAnsi="Cambria Math"/>
            <w:szCs w:val="24"/>
          </w:rPr>
          <m:t>P</m:t>
        </m:r>
        <m:r>
          <m:rPr>
            <m:sty m:val="p"/>
          </m:rPr>
          <w:rPr>
            <w:rFonts w:ascii="Cambria Math" w:hAnsi="Cambria Math"/>
            <w:szCs w:val="24"/>
          </w:rPr>
          <m:t>=</m:t>
        </m:r>
        <m:r>
          <m:rPr>
            <m:lit/>
            <m:sty m:val="p"/>
          </m:rPr>
          <w:rPr>
            <w:rFonts w:ascii="Cambria Math" w:hAnsi="Cambria Math"/>
            <w:szCs w:val="24"/>
          </w:rPr>
          <m:t>{</m:t>
        </m:r>
        <m:sSub>
          <m:sSubPr>
            <m:ctrlPr>
              <w:rPr>
                <w:rFonts w:ascii="Cambria Math" w:hAnsi="Cambria Math"/>
                <w:szCs w:val="24"/>
              </w:rPr>
            </m:ctrlPr>
          </m:sSubPr>
          <m:e>
            <m:r>
              <w:rPr>
                <w:rFonts w:ascii="Cambria Math" w:hAnsi="Cambria Math"/>
                <w:szCs w:val="24"/>
              </w:rPr>
              <m:t>τ</m:t>
            </m:r>
          </m:e>
          <m:sub>
            <m:r>
              <m:rPr>
                <m:sty m:val="p"/>
              </m:rPr>
              <w:rPr>
                <w:rFonts w:ascii="Cambria Math" w:hAnsi="Cambria Math"/>
                <w:szCs w:val="24"/>
              </w:rPr>
              <m:t>1</m:t>
            </m:r>
          </m:sub>
        </m:sSub>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τ</m:t>
            </m:r>
          </m:e>
          <m:sub>
            <m:r>
              <m:rPr>
                <m:sty m:val="p"/>
              </m:rPr>
              <w:rPr>
                <w:rFonts w:ascii="Cambria Math" w:hAnsi="Cambria Math"/>
                <w:szCs w:val="24"/>
              </w:rPr>
              <m:t>2</m:t>
            </m:r>
          </m:sub>
        </m:sSub>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τ</m:t>
            </m:r>
          </m:e>
          <m:sub>
            <m:r>
              <m:rPr>
                <m:sty m:val="p"/>
              </m:rPr>
              <w:rPr>
                <w:rFonts w:ascii="Cambria Math" w:hAnsi="Cambria Math"/>
                <w:szCs w:val="24"/>
              </w:rPr>
              <m:t>3</m:t>
            </m:r>
          </m:sub>
        </m:sSub>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a</m:t>
            </m:r>
          </m:e>
          <m:sub>
            <m:r>
              <m:rPr>
                <m:sty m:val="p"/>
              </m:rPr>
              <w:rPr>
                <w:rFonts w:ascii="Cambria Math" w:hAnsi="Cambria Math"/>
                <w:szCs w:val="24"/>
              </w:rPr>
              <m:t>2</m:t>
            </m:r>
          </m:sub>
        </m:sSub>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a</m:t>
            </m:r>
          </m:e>
          <m:sub>
            <m:r>
              <m:rPr>
                <m:sty m:val="p"/>
              </m:rPr>
              <w:rPr>
                <w:rFonts w:ascii="Cambria Math" w:hAnsi="Cambria Math"/>
                <w:szCs w:val="24"/>
              </w:rPr>
              <m:t>3</m:t>
            </m:r>
          </m:sub>
        </m:sSub>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b</m:t>
            </m:r>
          </m:e>
          <m:sub>
            <m:r>
              <m:rPr>
                <m:sty m:val="p"/>
              </m:rPr>
              <w:rPr>
                <w:rFonts w:ascii="Cambria Math" w:hAnsi="Cambria Math"/>
                <w:szCs w:val="24"/>
              </w:rPr>
              <m:t>1</m:t>
            </m:r>
          </m:sub>
        </m:sSub>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b</m:t>
            </m:r>
          </m:e>
          <m:sub>
            <m:r>
              <m:rPr>
                <m:sty m:val="p"/>
              </m:rPr>
              <w:rPr>
                <w:rFonts w:ascii="Cambria Math" w:hAnsi="Cambria Math"/>
                <w:szCs w:val="24"/>
              </w:rPr>
              <m:t>2</m:t>
            </m:r>
          </m:sub>
        </m:sSub>
        <m:r>
          <m:rPr>
            <m:sty m:val="p"/>
          </m:rPr>
          <w:rPr>
            <w:rFonts w:ascii="Cambria Math" w:hAnsi="Cambria Math"/>
            <w:szCs w:val="24"/>
          </w:rPr>
          <m:t>,</m:t>
        </m:r>
        <m:sSub>
          <m:sSubPr>
            <m:ctrlPr>
              <w:rPr>
                <w:rFonts w:ascii="Cambria Math" w:hAnsi="Cambria Math"/>
                <w:i/>
                <w:szCs w:val="24"/>
              </w:rPr>
            </m:ctrlPr>
          </m:sSubPr>
          <m:e>
            <m:r>
              <w:rPr>
                <w:rFonts w:ascii="Cambria Math" w:hAnsi="Cambria Math"/>
                <w:szCs w:val="24"/>
              </w:rPr>
              <m:t>c</m:t>
            </m:r>
            <m:ctrlPr>
              <w:rPr>
                <w:rFonts w:ascii="Cambria Math" w:hAnsi="Cambria Math"/>
                <w:szCs w:val="24"/>
              </w:rPr>
            </m:ctrlP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2</m:t>
            </m:r>
          </m:sub>
        </m:sSub>
        <m:r>
          <m:rPr>
            <m:lit/>
            <m:sty m:val="p"/>
          </m:rPr>
          <w:rPr>
            <w:rFonts w:ascii="Cambria Math" w:hAnsi="Cambria Math"/>
            <w:szCs w:val="24"/>
          </w:rPr>
          <m:t>}</m:t>
        </m:r>
      </m:oMath>
      <w:r w:rsidRPr="001533AA">
        <w:rPr>
          <w:szCs w:val="24"/>
        </w:rPr>
        <w:t xml:space="preserve">, </w:t>
      </w:r>
      <m:oMath>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k</m:t>
            </m:r>
          </m:sup>
        </m:sSubSup>
      </m:oMath>
      <w:r w:rsidRPr="001533AA">
        <w:rPr>
          <w:szCs w:val="24"/>
        </w:rPr>
        <w:t xml:space="preserve"> and </w:t>
      </w:r>
      <m:oMath>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k</m:t>
            </m:r>
          </m:sup>
        </m:sSubSup>
        <m:r>
          <w:rPr>
            <w:rFonts w:ascii="Cambria Math" w:hAnsi="Cambria Math"/>
            <w:szCs w:val="24"/>
          </w:rPr>
          <m:t xml:space="preserve"> </m:t>
        </m:r>
      </m:oMath>
      <w:r w:rsidRPr="001533AA">
        <w:rPr>
          <w:szCs w:val="24"/>
        </w:rPr>
        <w:t xml:space="preserve">represent the indoor air temperature and the interior wall surface temperature at </w:t>
      </w:r>
      <w:r>
        <w:rPr>
          <w:szCs w:val="24"/>
        </w:rPr>
        <w:t>time step</w:t>
      </w:r>
      <w:r w:rsidRPr="001533AA">
        <w:rPr>
          <w:szCs w:val="24"/>
        </w:rPr>
        <w:t xml:space="preserve"> </w:t>
      </w:r>
      <m:oMath>
        <m:r>
          <w:rPr>
            <w:rFonts w:ascii="Cambria Math" w:hAnsi="Cambria Math"/>
            <w:szCs w:val="24"/>
          </w:rPr>
          <m:t>k</m:t>
        </m:r>
      </m:oMath>
      <w:r w:rsidRPr="001533AA">
        <w:rPr>
          <w:szCs w:val="24"/>
        </w:rPr>
        <w:t xml:space="preserve">, and </w:t>
      </w:r>
      <m:oMath>
        <m:sSubSup>
          <m:sSubSupPr>
            <m:ctrlPr>
              <w:rPr>
                <w:rFonts w:ascii="Cambria Math" w:hAnsi="Cambria Math"/>
                <w:i/>
              </w:rPr>
            </m:ctrlPr>
          </m:sSubSupPr>
          <m:e>
            <m:r>
              <w:rPr>
                <w:rFonts w:ascii="Cambria Math" w:hAnsi="Cambria Math"/>
              </w:rPr>
              <m:t>T</m:t>
            </m:r>
          </m:e>
          <m:sub>
            <m:r>
              <w:rPr>
                <w:rFonts w:ascii="Cambria Math" w:hAnsi="Cambria Math"/>
              </w:rPr>
              <m:t>in</m:t>
            </m:r>
            <m:r>
              <m:rPr>
                <m:sty m:val="p"/>
              </m:rPr>
              <w:rPr>
                <w:rFonts w:ascii="Cambria Math" w:hAnsi="Cambria Math"/>
              </w:rPr>
              <m:t>,</m:t>
            </m:r>
            <m:r>
              <w:rPr>
                <w:rFonts w:ascii="Cambria Math" w:hAnsi="Cambria Math"/>
              </w:rPr>
              <m:t>mes</m:t>
            </m:r>
          </m:sub>
          <m:sup>
            <m:r>
              <w:rPr>
                <w:rFonts w:ascii="Cambria Math" w:hAnsi="Cambria Math"/>
              </w:rPr>
              <m:t>k</m:t>
            </m:r>
          </m:sup>
        </m:sSubSup>
      </m:oMath>
      <w:r>
        <w:t xml:space="preserve"> and </w:t>
      </w:r>
      <m:oMath>
        <m:sSubSup>
          <m:sSubSupPr>
            <m:ctrlPr>
              <w:rPr>
                <w:rFonts w:ascii="Cambria Math" w:hAnsi="Cambria Math"/>
                <w:i/>
              </w:rPr>
            </m:ctrlPr>
          </m:sSubSupPr>
          <m:e>
            <m:r>
              <w:rPr>
                <w:rFonts w:ascii="Cambria Math" w:hAnsi="Cambria Math"/>
              </w:rPr>
              <m:t>T</m:t>
            </m:r>
          </m:e>
          <m:sub>
            <m:r>
              <w:rPr>
                <w:rFonts w:ascii="Cambria Math" w:hAnsi="Cambria Math"/>
              </w:rPr>
              <m:t>ie,mes</m:t>
            </m:r>
          </m:sub>
          <m:sup>
            <m:r>
              <w:rPr>
                <w:rFonts w:ascii="Cambria Math" w:hAnsi="Cambria Math"/>
              </w:rPr>
              <m:t>k</m:t>
            </m:r>
          </m:sup>
        </m:sSubSup>
      </m:oMath>
      <w:r>
        <w:rPr>
          <w:rFonts w:hint="eastAsia"/>
        </w:rPr>
        <w:t xml:space="preserve"> </w:t>
      </w:r>
      <w:r>
        <w:t>are their measurements</w:t>
      </w:r>
      <w:r w:rsidRPr="001C492F">
        <w:rPr>
          <w:szCs w:val="24"/>
        </w:rPr>
        <w:t xml:space="preserve">, </w:t>
      </w:r>
      <m:oMath>
        <m:sSub>
          <m:sSubPr>
            <m:ctrlPr>
              <w:rPr>
                <w:rFonts w:ascii="Cambria Math" w:eastAsia="PMingLiU" w:hAnsi="Cambria Math"/>
                <w:i/>
                <w:szCs w:val="24"/>
              </w:rPr>
            </m:ctrlPr>
          </m:sSubPr>
          <m:e>
            <m:r>
              <w:rPr>
                <w:rFonts w:ascii="Cambria Math" w:eastAsia="PMingLiU" w:hAnsi="Cambria Math"/>
                <w:szCs w:val="24"/>
              </w:rPr>
              <m:t>N</m:t>
            </m:r>
          </m:e>
          <m:sub>
            <m:r>
              <m:rPr>
                <m:sty m:val="p"/>
              </m:rPr>
              <w:rPr>
                <w:rFonts w:ascii="Cambria Math" w:eastAsia="PMingLiU" w:hAnsi="Cambria Math"/>
                <w:szCs w:val="24"/>
              </w:rPr>
              <m:t>train</m:t>
            </m:r>
          </m:sub>
        </m:sSub>
      </m:oMath>
      <w:r>
        <w:rPr>
          <w:rFonts w:hint="eastAsia"/>
          <w:sz w:val="18"/>
          <w:szCs w:val="18"/>
        </w:rPr>
        <w:t xml:space="preserve"> </w:t>
      </w:r>
      <w:r w:rsidRPr="003A25EF">
        <w:rPr>
          <w:szCs w:val="24"/>
        </w:rPr>
        <w:t xml:space="preserve">represents </w:t>
      </w:r>
      <w:r w:rsidRPr="003566B7">
        <w:rPr>
          <w:szCs w:val="24"/>
        </w:rPr>
        <w:t>the total number</w:t>
      </w:r>
      <w:r>
        <w:rPr>
          <w:szCs w:val="24"/>
        </w:rPr>
        <w:t xml:space="preserve"> of time steps in the training dataset</w:t>
      </w:r>
      <w:r>
        <w:t>. The constraints of the optimization problem are: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8"/>
        <w:gridCol w:w="1098"/>
      </w:tblGrid>
      <w:tr w:rsidR="000215B4" w14:paraId="2DDC1B25" w14:textId="77777777" w:rsidTr="00CF31B6">
        <w:tc>
          <w:tcPr>
            <w:tcW w:w="4519" w:type="pct"/>
          </w:tcPr>
          <w:p w14:paraId="33D8B3CD" w14:textId="77777777" w:rsidR="000215B4" w:rsidRPr="001533AA" w:rsidRDefault="00000000" w:rsidP="002023DB">
            <w:pPr>
              <w:rPr>
                <w:rFonts w:eastAsia="PMingLiU"/>
                <w:szCs w:val="24"/>
              </w:rPr>
            </w:pPr>
            <m:oMathPara>
              <m:oMath>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k</m:t>
                    </m:r>
                  </m:sup>
                </m:sSubSup>
                <m:r>
                  <w:rPr>
                    <w:rFonts w:ascii="Cambria Math" w:hAnsi="Cambria Math"/>
                    <w:szCs w:val="24"/>
                  </w:rPr>
                  <m:t>=</m:t>
                </m:r>
                <m:f>
                  <m:fPr>
                    <m:ctrlPr>
                      <w:rPr>
                        <w:rFonts w:ascii="Cambria Math" w:hAnsi="Cambria Math"/>
                        <w:szCs w:val="24"/>
                      </w:rPr>
                    </m:ctrlPr>
                  </m:fPr>
                  <m:num>
                    <m:r>
                      <m:rPr>
                        <m:sty m:val="p"/>
                      </m:rPr>
                      <w:rPr>
                        <w:rFonts w:ascii="Cambria Math" w:hAnsi="Cambria Math" w:hint="eastAsia"/>
                        <w:szCs w:val="24"/>
                      </w:rPr>
                      <m:t>Δ</m:t>
                    </m:r>
                    <m:r>
                      <w:rPr>
                        <w:rFonts w:ascii="Cambria Math" w:hAnsi="Cambria Math"/>
                        <w:szCs w:val="24"/>
                      </w:rPr>
                      <m:t>t</m:t>
                    </m:r>
                    <m:ctrlPr>
                      <w:rPr>
                        <w:rFonts w:ascii="Cambria Math" w:hAnsi="Cambria Math"/>
                        <w:i/>
                        <w:szCs w:val="24"/>
                      </w:rPr>
                    </m:ctrlPr>
                  </m:num>
                  <m:den>
                    <m:sSub>
                      <m:sSubPr>
                        <m:ctrlPr>
                          <w:rPr>
                            <w:rFonts w:ascii="Cambria Math" w:hAnsi="Cambria Math"/>
                            <w:i/>
                            <w:szCs w:val="24"/>
                          </w:rPr>
                        </m:ctrlPr>
                      </m:sSubPr>
                      <m:e>
                        <m:r>
                          <m:rPr>
                            <m:sty m:val="p"/>
                          </m:rPr>
                          <w:rPr>
                            <w:rFonts w:ascii="Cambria Math" w:hAnsi="Cambria Math"/>
                            <w:szCs w:val="24"/>
                          </w:rPr>
                          <m:t>τ</m:t>
                        </m:r>
                      </m:e>
                      <m:sub>
                        <m:r>
                          <w:rPr>
                            <w:rFonts w:ascii="Cambria Math" w:hAnsi="Cambria Math"/>
                            <w:szCs w:val="24"/>
                          </w:rPr>
                          <m:t>1</m:t>
                        </m:r>
                      </m:sub>
                    </m:sSub>
                    <m:ctrlPr>
                      <w:rPr>
                        <w:rFonts w:ascii="Cambria Math" w:hAnsi="Cambria Math"/>
                        <w:i/>
                        <w:szCs w:val="24"/>
                      </w:rPr>
                    </m:ctrlPr>
                  </m:den>
                </m:f>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o</m:t>
                        </m:r>
                      </m:sub>
                      <m:sup>
                        <m:r>
                          <w:rPr>
                            <w:rFonts w:ascii="Cambria Math" w:hAnsi="Cambria Math"/>
                            <w:szCs w:val="24"/>
                          </w:rPr>
                          <m:t>k-1</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k-1</m:t>
                        </m:r>
                      </m:sup>
                    </m:sSubSup>
                  </m:e>
                </m:d>
                <m:r>
                  <w:rPr>
                    <w:rFonts w:ascii="Cambria Math" w:hAnsi="Cambria Math"/>
                    <w:szCs w:val="24"/>
                  </w:rPr>
                  <m:t>+</m:t>
                </m:r>
                <m:f>
                  <m:fPr>
                    <m:ctrlPr>
                      <w:rPr>
                        <w:rFonts w:ascii="Cambria Math" w:hAnsi="Cambria Math"/>
                        <w:szCs w:val="24"/>
                      </w:rPr>
                    </m:ctrlPr>
                  </m:fPr>
                  <m:num>
                    <m:r>
                      <m:rPr>
                        <m:sty m:val="p"/>
                      </m:rPr>
                      <w:rPr>
                        <w:rFonts w:ascii="Cambria Math" w:hAnsi="Cambria Math" w:hint="eastAsia"/>
                        <w:szCs w:val="24"/>
                      </w:rPr>
                      <m:t>Δ</m:t>
                    </m:r>
                    <m:r>
                      <w:rPr>
                        <w:rFonts w:ascii="Cambria Math" w:hAnsi="Cambria Math"/>
                        <w:szCs w:val="24"/>
                      </w:rPr>
                      <m:t>t</m:t>
                    </m:r>
                    <m:ctrlPr>
                      <w:rPr>
                        <w:rFonts w:ascii="Cambria Math" w:hAnsi="Cambria Math"/>
                        <w:i/>
                        <w:szCs w:val="24"/>
                      </w:rPr>
                    </m:ctrlPr>
                  </m:num>
                  <m:den>
                    <m:sSub>
                      <m:sSubPr>
                        <m:ctrlPr>
                          <w:rPr>
                            <w:rFonts w:ascii="Cambria Math" w:hAnsi="Cambria Math"/>
                            <w:i/>
                            <w:szCs w:val="24"/>
                          </w:rPr>
                        </m:ctrlPr>
                      </m:sSubPr>
                      <m:e>
                        <m:r>
                          <m:rPr>
                            <m:sty m:val="p"/>
                          </m:rPr>
                          <w:rPr>
                            <w:rFonts w:ascii="Cambria Math" w:hAnsi="Cambria Math"/>
                            <w:szCs w:val="24"/>
                          </w:rPr>
                          <m:t>τ</m:t>
                        </m:r>
                      </m:e>
                      <m:sub>
                        <m:r>
                          <w:rPr>
                            <w:rFonts w:ascii="Cambria Math" w:hAnsi="Cambria Math"/>
                            <w:szCs w:val="24"/>
                          </w:rPr>
                          <m:t>2</m:t>
                        </m:r>
                      </m:sub>
                    </m:sSub>
                    <m:ctrlPr>
                      <w:rPr>
                        <w:rFonts w:ascii="Cambria Math" w:hAnsi="Cambria Math"/>
                        <w:i/>
                        <w:szCs w:val="24"/>
                      </w:rPr>
                    </m:ctrlPr>
                  </m:den>
                </m:f>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k-1</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k-1</m:t>
                        </m:r>
                      </m:sup>
                    </m:sSubSup>
                  </m:e>
                </m:d>
                <m:r>
                  <w:rPr>
                    <w:rFonts w:ascii="Cambria Math" w:hAnsi="Cambria Math"/>
                    <w:szCs w:val="24"/>
                  </w:rPr>
                  <m:t>+</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k-1</m:t>
                    </m:r>
                  </m:sup>
                </m:sSubSup>
                <m:r>
                  <w:rPr>
                    <w:rFonts w:ascii="Cambria Math" w:eastAsia="PMingLiU" w:hAnsi="Cambria Math"/>
                    <w:szCs w:val="24"/>
                  </w:rPr>
                  <m:t xml:space="preserve"> </m:t>
                </m:r>
                <m:r>
                  <m:rPr>
                    <m:sty m:val="p"/>
                  </m:rPr>
                  <w:rPr>
                    <w:rFonts w:ascii="Cambria Math" w:eastAsia="PMingLiU" w:hAnsi="Cambria Math"/>
                    <w:szCs w:val="24"/>
                  </w:rPr>
                  <m:t>for</m:t>
                </m:r>
                <m:r>
                  <w:rPr>
                    <w:rFonts w:ascii="Cambria Math" w:eastAsia="PMingLiU" w:hAnsi="Cambria Math"/>
                    <w:szCs w:val="24"/>
                  </w:rPr>
                  <m:t xml:space="preserve"> k=2,….</m:t>
                </m:r>
                <m:sSub>
                  <m:sSubPr>
                    <m:ctrlPr>
                      <w:rPr>
                        <w:rFonts w:ascii="Cambria Math" w:eastAsia="PMingLiU" w:hAnsi="Cambria Math"/>
                        <w:i/>
                        <w:szCs w:val="24"/>
                      </w:rPr>
                    </m:ctrlPr>
                  </m:sSubPr>
                  <m:e>
                    <m:r>
                      <w:rPr>
                        <w:rFonts w:ascii="Cambria Math" w:eastAsia="PMingLiU" w:hAnsi="Cambria Math"/>
                        <w:szCs w:val="24"/>
                      </w:rPr>
                      <m:t>N</m:t>
                    </m:r>
                  </m:e>
                  <m:sub>
                    <m:r>
                      <m:rPr>
                        <m:sty m:val="p"/>
                      </m:rPr>
                      <w:rPr>
                        <w:rFonts w:ascii="Cambria Math" w:eastAsia="PMingLiU" w:hAnsi="Cambria Math"/>
                        <w:szCs w:val="24"/>
                      </w:rPr>
                      <m:t>train</m:t>
                    </m:r>
                  </m:sub>
                </m:sSub>
              </m:oMath>
            </m:oMathPara>
          </w:p>
        </w:tc>
        <w:tc>
          <w:tcPr>
            <w:tcW w:w="481" w:type="pct"/>
            <w:vAlign w:val="center"/>
          </w:tcPr>
          <w:p w14:paraId="1B768BC1" w14:textId="01ED4111" w:rsidR="000215B4" w:rsidRPr="001533AA" w:rsidRDefault="000215B4" w:rsidP="002023DB">
            <w:pPr>
              <w:jc w:val="center"/>
              <w:rPr>
                <w:rFonts w:ascii="Times" w:hAnsi="Times"/>
                <w:szCs w:val="24"/>
              </w:rPr>
            </w:pPr>
            <w:bookmarkStart w:id="151" w:name="_Ref133061561"/>
            <w:r w:rsidRPr="001533AA">
              <w:rPr>
                <w:rFonts w:eastAsia="PMingLiU"/>
                <w:szCs w:val="24"/>
              </w:rPr>
              <w:t>(</w:t>
            </w:r>
            <w:r w:rsidRPr="001533AA">
              <w:rPr>
                <w:rFonts w:eastAsia="PMingLiU"/>
                <w:szCs w:val="24"/>
              </w:rPr>
              <w:fldChar w:fldCharType="begin"/>
            </w:r>
            <w:r w:rsidRPr="001533AA">
              <w:rPr>
                <w:rFonts w:eastAsia="PMingLiU"/>
                <w:szCs w:val="24"/>
              </w:rPr>
              <w:instrText xml:space="preserve"> </w:instrText>
            </w:r>
            <w:r w:rsidRPr="001533AA">
              <w:rPr>
                <w:rFonts w:eastAsia="PMingLiU" w:hint="eastAsia"/>
                <w:szCs w:val="24"/>
              </w:rPr>
              <w:instrText>SEQ equation \* ARABIC</w:instrText>
            </w:r>
            <w:r w:rsidRPr="001533AA">
              <w:rPr>
                <w:rFonts w:eastAsia="PMingLiU"/>
                <w:szCs w:val="24"/>
              </w:rPr>
              <w:instrText xml:space="preserve"> </w:instrText>
            </w:r>
            <w:r w:rsidRPr="001533AA">
              <w:rPr>
                <w:rFonts w:eastAsia="PMingLiU"/>
                <w:szCs w:val="24"/>
              </w:rPr>
              <w:fldChar w:fldCharType="separate"/>
            </w:r>
            <w:r w:rsidR="000E1725">
              <w:rPr>
                <w:rFonts w:eastAsia="PMingLiU"/>
                <w:noProof/>
                <w:szCs w:val="24"/>
              </w:rPr>
              <w:t>6</w:t>
            </w:r>
            <w:r w:rsidRPr="001533AA">
              <w:rPr>
                <w:rFonts w:eastAsia="PMingLiU"/>
                <w:szCs w:val="24"/>
              </w:rPr>
              <w:fldChar w:fldCharType="end"/>
            </w:r>
            <w:r w:rsidRPr="001533AA">
              <w:rPr>
                <w:rFonts w:eastAsia="PMingLiU"/>
                <w:szCs w:val="24"/>
              </w:rPr>
              <w:t>)</w:t>
            </w:r>
            <w:bookmarkEnd w:id="151"/>
          </w:p>
        </w:tc>
      </w:tr>
      <w:tr w:rsidR="000215B4" w14:paraId="661E634C" w14:textId="77777777" w:rsidTr="00CF31B6">
        <w:tc>
          <w:tcPr>
            <w:tcW w:w="4519" w:type="pct"/>
          </w:tcPr>
          <w:p w14:paraId="700A1E79" w14:textId="77777777" w:rsidR="000215B4" w:rsidRPr="001533AA" w:rsidRDefault="00000000" w:rsidP="002023DB">
            <w:pPr>
              <w:rPr>
                <w:rFonts w:eastAsia="PMingLiU"/>
                <w:szCs w:val="24"/>
              </w:rPr>
            </w:pPr>
            <m:oMathPara>
              <m:oMath>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k</m:t>
                    </m:r>
                  </m:sup>
                </m:sSubSup>
                <m:r>
                  <w:rPr>
                    <w:rFonts w:ascii="Cambria Math" w:hAnsi="Cambria Math"/>
                    <w:szCs w:val="24"/>
                  </w:rPr>
                  <m:t>=</m:t>
                </m:r>
                <m:f>
                  <m:fPr>
                    <m:ctrlPr>
                      <w:rPr>
                        <w:rFonts w:ascii="Cambria Math" w:hAnsi="Cambria Math"/>
                        <w:szCs w:val="24"/>
                      </w:rPr>
                    </m:ctrlPr>
                  </m:fPr>
                  <m:num>
                    <m:r>
                      <m:rPr>
                        <m:sty m:val="p"/>
                      </m:rPr>
                      <w:rPr>
                        <w:rFonts w:ascii="Cambria Math" w:hAnsi="Cambria Math" w:hint="eastAsia"/>
                        <w:szCs w:val="24"/>
                      </w:rPr>
                      <m:t>Δ</m:t>
                    </m:r>
                    <m:r>
                      <w:rPr>
                        <w:rFonts w:ascii="Cambria Math" w:hAnsi="Cambria Math"/>
                        <w:szCs w:val="24"/>
                      </w:rPr>
                      <m:t>t</m:t>
                    </m:r>
                    <m:ctrlPr>
                      <w:rPr>
                        <w:rFonts w:ascii="Cambria Math" w:hAnsi="Cambria Math"/>
                        <w:i/>
                        <w:szCs w:val="24"/>
                      </w:rPr>
                    </m:ctrlPr>
                  </m:num>
                  <m:den>
                    <m:sSub>
                      <m:sSubPr>
                        <m:ctrlPr>
                          <w:rPr>
                            <w:rFonts w:ascii="Cambria Math" w:hAnsi="Cambria Math"/>
                            <w:i/>
                            <w:szCs w:val="24"/>
                          </w:rPr>
                        </m:ctrlPr>
                      </m:sSubPr>
                      <m:e>
                        <m:r>
                          <m:rPr>
                            <m:sty m:val="p"/>
                          </m:rPr>
                          <w:rPr>
                            <w:rFonts w:ascii="Cambria Math" w:hAnsi="Cambria Math"/>
                            <w:szCs w:val="24"/>
                          </w:rPr>
                          <m:t>τ</m:t>
                        </m:r>
                      </m:e>
                      <m:sub>
                        <m:r>
                          <w:rPr>
                            <w:rFonts w:ascii="Cambria Math" w:hAnsi="Cambria Math"/>
                            <w:szCs w:val="24"/>
                          </w:rPr>
                          <m:t>3</m:t>
                        </m:r>
                      </m:sub>
                    </m:sSub>
                    <m:ctrlPr>
                      <w:rPr>
                        <w:rFonts w:ascii="Cambria Math" w:hAnsi="Cambria Math"/>
                        <w:i/>
                        <w:szCs w:val="24"/>
                      </w:rPr>
                    </m:ctrlPr>
                  </m:den>
                </m:f>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k-1</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k-1</m:t>
                        </m:r>
                      </m:sup>
                    </m:sSubSup>
                  </m:e>
                </m:d>
                <m:r>
                  <w:rPr>
                    <w:rFonts w:ascii="Cambria Math" w:hAnsi="Cambria Math"/>
                    <w:szCs w:val="24"/>
                  </w:rPr>
                  <m:t>+</m:t>
                </m:r>
                <m:f>
                  <m:fPr>
                    <m:ctrlPr>
                      <w:rPr>
                        <w:rFonts w:ascii="Cambria Math" w:hAnsi="Cambria Math"/>
                        <w:szCs w:val="24"/>
                      </w:rPr>
                    </m:ctrlPr>
                  </m:fPr>
                  <m:num>
                    <m:r>
                      <m:rPr>
                        <m:sty m:val="p"/>
                      </m:rPr>
                      <w:rPr>
                        <w:rFonts w:ascii="Cambria Math" w:hAnsi="Cambria Math" w:hint="eastAsia"/>
                        <w:szCs w:val="24"/>
                      </w:rPr>
                      <m:t>Δ</m:t>
                    </m:r>
                    <m:r>
                      <w:rPr>
                        <w:rFonts w:ascii="Cambria Math" w:hAnsi="Cambria Math"/>
                        <w:szCs w:val="24"/>
                      </w:rPr>
                      <m:t>t</m:t>
                    </m:r>
                    <m:ctrlPr>
                      <w:rPr>
                        <w:rFonts w:ascii="Cambria Math" w:hAnsi="Cambria Math"/>
                        <w:i/>
                        <w:szCs w:val="24"/>
                      </w:rPr>
                    </m:ctrlPr>
                  </m:num>
                  <m:den>
                    <m:sSub>
                      <m:sSubPr>
                        <m:ctrlPr>
                          <w:rPr>
                            <w:rFonts w:ascii="Cambria Math" w:hAnsi="Cambria Math"/>
                            <w:i/>
                            <w:szCs w:val="24"/>
                          </w:rPr>
                        </m:ctrlPr>
                      </m:sSubPr>
                      <m:e>
                        <m:r>
                          <m:rPr>
                            <m:sty m:val="p"/>
                          </m:rPr>
                          <w:rPr>
                            <w:rFonts w:ascii="Cambria Math" w:hAnsi="Cambria Math"/>
                            <w:szCs w:val="24"/>
                          </w:rPr>
                          <m:t>τ</m:t>
                        </m:r>
                      </m:e>
                      <m:sub>
                        <m:r>
                          <w:rPr>
                            <w:rFonts w:ascii="Cambria Math" w:hAnsi="Cambria Math"/>
                            <w:szCs w:val="24"/>
                          </w:rPr>
                          <m:t>3</m:t>
                        </m:r>
                      </m:sub>
                    </m:sSub>
                    <m:ctrlPr>
                      <w:rPr>
                        <w:rFonts w:ascii="Cambria Math" w:hAnsi="Cambria Math"/>
                        <w:i/>
                        <w:szCs w:val="24"/>
                      </w:rPr>
                    </m:ctrlPr>
                  </m:den>
                </m:f>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a</m:t>
                        </m:r>
                      </m:e>
                      <m:sub>
                        <m:r>
                          <w:rPr>
                            <w:rFonts w:ascii="Cambria Math" w:hAnsi="Cambria Math"/>
                            <w:szCs w:val="24"/>
                          </w:rPr>
                          <m:t>1</m:t>
                        </m:r>
                      </m:sub>
                    </m:sSub>
                    <m:sSup>
                      <m:sSupPr>
                        <m:ctrlPr>
                          <w:rPr>
                            <w:rFonts w:ascii="Cambria Math" w:hAnsi="Cambria Math"/>
                            <w:i/>
                            <w:szCs w:val="24"/>
                          </w:rPr>
                        </m:ctrlPr>
                      </m:sSupPr>
                      <m:e>
                        <m:r>
                          <w:rPr>
                            <w:rFonts w:ascii="Cambria Math" w:hAnsi="Cambria Math"/>
                            <w:szCs w:val="24"/>
                          </w:rPr>
                          <m:t>S</m:t>
                        </m:r>
                      </m:e>
                      <m:sup>
                        <m:r>
                          <w:rPr>
                            <w:rFonts w:ascii="Cambria Math" w:hAnsi="Cambria Math"/>
                            <w:szCs w:val="24"/>
                          </w:rPr>
                          <m:t>k-1</m:t>
                        </m:r>
                      </m:sup>
                    </m:sSup>
                    <m:r>
                      <w:rPr>
                        <w:rFonts w:ascii="Cambria Math" w:hAnsi="Cambria Math"/>
                        <w:szCs w:val="24"/>
                      </w:rPr>
                      <m:t>+</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2</m:t>
                        </m:r>
                      </m:sub>
                    </m:sSub>
                    <m:sSup>
                      <m:sSupPr>
                        <m:ctrlPr>
                          <w:rPr>
                            <w:rFonts w:ascii="Cambria Math" w:hAnsi="Cambria Math"/>
                            <w:i/>
                            <w:szCs w:val="24"/>
                          </w:rPr>
                        </m:ctrlPr>
                      </m:sSupPr>
                      <m:e>
                        <m:r>
                          <w:rPr>
                            <w:rFonts w:ascii="Cambria Math" w:hAnsi="Cambria Math"/>
                            <w:szCs w:val="24"/>
                          </w:rPr>
                          <m:t>S</m:t>
                        </m:r>
                      </m:e>
                      <m:sup>
                        <m:r>
                          <w:rPr>
                            <w:rFonts w:ascii="Cambria Math" w:hAnsi="Cambria Math"/>
                            <w:szCs w:val="24"/>
                          </w:rPr>
                          <m:t>k-</m:t>
                        </m:r>
                        <m:sSup>
                          <m:sSupPr>
                            <m:ctrlPr>
                              <w:rPr>
                                <w:rFonts w:ascii="Cambria Math" w:hAnsi="Cambria Math"/>
                                <w:i/>
                                <w:szCs w:val="24"/>
                              </w:rPr>
                            </m:ctrlPr>
                          </m:sSupPr>
                          <m:e>
                            <m:r>
                              <w:rPr>
                                <w:rFonts w:ascii="Cambria Math" w:hAnsi="Cambria Math"/>
                                <w:szCs w:val="24"/>
                              </w:rPr>
                              <m:t>1</m:t>
                            </m:r>
                          </m:e>
                          <m:sup>
                            <m:r>
                              <w:rPr>
                                <w:rFonts w:ascii="Cambria Math" w:hAnsi="Cambria Math"/>
                                <w:szCs w:val="24"/>
                              </w:rPr>
                              <m:t>2</m:t>
                            </m:r>
                          </m:sup>
                        </m:sSup>
                      </m:sup>
                    </m:sSup>
                  </m:e>
                </m:d>
                <m:r>
                  <w:rPr>
                    <w:rFonts w:ascii="Cambria Math" w:hAnsi="Cambria Math"/>
                    <w:szCs w:val="24"/>
                  </w:rPr>
                  <m:t>+</m:t>
                </m:r>
                <m:f>
                  <m:fPr>
                    <m:ctrlPr>
                      <w:rPr>
                        <w:rFonts w:ascii="Cambria Math" w:hAnsi="Cambria Math"/>
                        <w:szCs w:val="24"/>
                      </w:rPr>
                    </m:ctrlPr>
                  </m:fPr>
                  <m:num>
                    <m:r>
                      <m:rPr>
                        <m:sty m:val="p"/>
                      </m:rPr>
                      <w:rPr>
                        <w:rFonts w:ascii="Cambria Math" w:hAnsi="Cambria Math" w:hint="eastAsia"/>
                        <w:szCs w:val="24"/>
                      </w:rPr>
                      <m:t>Δ</m:t>
                    </m:r>
                    <m:r>
                      <w:rPr>
                        <w:rFonts w:ascii="Cambria Math" w:hAnsi="Cambria Math"/>
                        <w:szCs w:val="24"/>
                      </w:rPr>
                      <m:t>t</m:t>
                    </m:r>
                    <m:ctrlPr>
                      <w:rPr>
                        <w:rFonts w:ascii="Cambria Math" w:hAnsi="Cambria Math"/>
                        <w:i/>
                        <w:szCs w:val="24"/>
                      </w:rPr>
                    </m:ctrlPr>
                  </m:num>
                  <m:den>
                    <m:sSub>
                      <m:sSubPr>
                        <m:ctrlPr>
                          <w:rPr>
                            <w:rFonts w:ascii="Cambria Math" w:hAnsi="Cambria Math"/>
                            <w:i/>
                            <w:szCs w:val="24"/>
                          </w:rPr>
                        </m:ctrlPr>
                      </m:sSubPr>
                      <m:e>
                        <m:r>
                          <m:rPr>
                            <m:sty m:val="p"/>
                          </m:rPr>
                          <w:rPr>
                            <w:rFonts w:ascii="Cambria Math" w:hAnsi="Cambria Math"/>
                            <w:szCs w:val="24"/>
                          </w:rPr>
                          <m:t>τ</m:t>
                        </m:r>
                      </m:e>
                      <m:sub>
                        <m:r>
                          <w:rPr>
                            <w:rFonts w:ascii="Cambria Math" w:hAnsi="Cambria Math"/>
                            <w:szCs w:val="24"/>
                          </w:rPr>
                          <m:t>3</m:t>
                        </m:r>
                      </m:sub>
                    </m:sSub>
                    <m:ctrlPr>
                      <w:rPr>
                        <w:rFonts w:ascii="Cambria Math" w:hAnsi="Cambria Math"/>
                        <w:i/>
                        <w:szCs w:val="24"/>
                      </w:rPr>
                    </m:ctrlPr>
                  </m:den>
                </m:f>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o</m:t>
                        </m:r>
                      </m:sub>
                      <m:sup>
                        <m:r>
                          <w:rPr>
                            <w:rFonts w:ascii="Cambria Math" w:hAnsi="Cambria Math"/>
                            <w:szCs w:val="24"/>
                          </w:rPr>
                          <m:t>k-1</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k-1</m:t>
                        </m:r>
                      </m:sup>
                    </m:sSubSup>
                  </m:e>
                </m:d>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b</m:t>
                        </m:r>
                      </m:e>
                      <m:sub>
                        <m:r>
                          <w:rPr>
                            <w:rFonts w:ascii="Cambria Math" w:hAnsi="Cambria Math"/>
                            <w:szCs w:val="24"/>
                          </w:rPr>
                          <m:t>1</m:t>
                        </m:r>
                      </m:sub>
                    </m:sSub>
                    <m:sSup>
                      <m:sSupPr>
                        <m:ctrlPr>
                          <w:rPr>
                            <w:rFonts w:ascii="Cambria Math" w:hAnsi="Cambria Math"/>
                            <w:i/>
                            <w:szCs w:val="24"/>
                          </w:rPr>
                        </m:ctrlPr>
                      </m:sSupPr>
                      <m:e>
                        <m:r>
                          <w:rPr>
                            <w:rFonts w:ascii="Cambria Math" w:hAnsi="Cambria Math"/>
                            <w:szCs w:val="24"/>
                          </w:rPr>
                          <m:t>W</m:t>
                        </m:r>
                      </m:e>
                      <m:sup>
                        <m:r>
                          <w:rPr>
                            <w:rFonts w:ascii="Cambria Math" w:hAnsi="Cambria Math"/>
                            <w:szCs w:val="24"/>
                          </w:rPr>
                          <m:t>k-1</m:t>
                        </m:r>
                      </m:sup>
                    </m:sSup>
                    <m:r>
                      <w:rPr>
                        <w:rFonts w:ascii="Cambria Math" w:hAnsi="Cambria Math"/>
                        <w:szCs w:val="24"/>
                      </w:rPr>
                      <m:t>+</m:t>
                    </m:r>
                    <m:sSub>
                      <m:sSubPr>
                        <m:ctrlPr>
                          <w:rPr>
                            <w:rFonts w:ascii="Cambria Math" w:hAnsi="Cambria Math"/>
                            <w:i/>
                            <w:szCs w:val="24"/>
                          </w:rPr>
                        </m:ctrlPr>
                      </m:sSubPr>
                      <m:e>
                        <m:r>
                          <w:rPr>
                            <w:rFonts w:ascii="Cambria Math" w:hAnsi="Cambria Math"/>
                            <w:szCs w:val="24"/>
                          </w:rPr>
                          <m:t>b</m:t>
                        </m:r>
                      </m:e>
                      <m:sub>
                        <m:r>
                          <w:rPr>
                            <w:rFonts w:ascii="Cambria Math" w:hAnsi="Cambria Math"/>
                            <w:szCs w:val="24"/>
                          </w:rPr>
                          <m:t>2</m:t>
                        </m:r>
                      </m:sub>
                    </m:sSub>
                    <m:sSup>
                      <m:sSupPr>
                        <m:ctrlPr>
                          <w:rPr>
                            <w:rFonts w:ascii="Cambria Math" w:hAnsi="Cambria Math"/>
                            <w:i/>
                            <w:szCs w:val="24"/>
                          </w:rPr>
                        </m:ctrlPr>
                      </m:sSupPr>
                      <m:e>
                        <m:r>
                          <w:rPr>
                            <w:rFonts w:ascii="Cambria Math" w:hAnsi="Cambria Math"/>
                            <w:szCs w:val="24"/>
                          </w:rPr>
                          <m:t>W</m:t>
                        </m:r>
                      </m:e>
                      <m:sup>
                        <m:r>
                          <w:rPr>
                            <w:rFonts w:ascii="Cambria Math" w:hAnsi="Cambria Math"/>
                            <w:szCs w:val="24"/>
                          </w:rPr>
                          <m:t>k-</m:t>
                        </m:r>
                        <m:sSup>
                          <m:sSupPr>
                            <m:ctrlPr>
                              <w:rPr>
                                <w:rFonts w:ascii="Cambria Math" w:hAnsi="Cambria Math"/>
                                <w:i/>
                                <w:szCs w:val="24"/>
                              </w:rPr>
                            </m:ctrlPr>
                          </m:sSupPr>
                          <m:e>
                            <m:r>
                              <w:rPr>
                                <w:rFonts w:ascii="Cambria Math" w:hAnsi="Cambria Math"/>
                                <w:szCs w:val="24"/>
                              </w:rPr>
                              <m:t>1</m:t>
                            </m:r>
                          </m:e>
                          <m:sup>
                            <m:r>
                              <w:rPr>
                                <w:rFonts w:ascii="Cambria Math" w:hAnsi="Cambria Math"/>
                                <w:szCs w:val="24"/>
                              </w:rPr>
                              <m:t>2</m:t>
                            </m:r>
                          </m:sup>
                        </m:sSup>
                      </m:sup>
                    </m:sSup>
                  </m:e>
                </m:d>
                <m:r>
                  <w:rPr>
                    <w:rFonts w:ascii="Cambria Math" w:hAnsi="Cambria Math"/>
                    <w:szCs w:val="24"/>
                  </w:rPr>
                  <m:t>+</m:t>
                </m:r>
                <m:f>
                  <m:fPr>
                    <m:ctrlPr>
                      <w:rPr>
                        <w:rFonts w:ascii="Cambria Math" w:hAnsi="Cambria Math"/>
                        <w:szCs w:val="24"/>
                      </w:rPr>
                    </m:ctrlPr>
                  </m:fPr>
                  <m:num>
                    <m:r>
                      <m:rPr>
                        <m:sty m:val="p"/>
                      </m:rPr>
                      <w:rPr>
                        <w:rFonts w:ascii="Cambria Math" w:hAnsi="Cambria Math" w:hint="eastAsia"/>
                        <w:szCs w:val="24"/>
                      </w:rPr>
                      <m:t>Δ</m:t>
                    </m:r>
                    <m:r>
                      <w:rPr>
                        <w:rFonts w:ascii="Cambria Math" w:hAnsi="Cambria Math"/>
                        <w:szCs w:val="24"/>
                      </w:rPr>
                      <m:t>t</m:t>
                    </m:r>
                    <m:ctrlPr>
                      <w:rPr>
                        <w:rFonts w:ascii="Cambria Math" w:hAnsi="Cambria Math"/>
                        <w:i/>
                        <w:szCs w:val="24"/>
                      </w:rPr>
                    </m:ctrlPr>
                  </m:num>
                  <m:den>
                    <m:sSub>
                      <m:sSubPr>
                        <m:ctrlPr>
                          <w:rPr>
                            <w:rFonts w:ascii="Cambria Math" w:hAnsi="Cambria Math"/>
                            <w:i/>
                            <w:szCs w:val="24"/>
                          </w:rPr>
                        </m:ctrlPr>
                      </m:sSubPr>
                      <m:e>
                        <m:r>
                          <m:rPr>
                            <m:sty m:val="p"/>
                          </m:rPr>
                          <w:rPr>
                            <w:rFonts w:ascii="Cambria Math" w:hAnsi="Cambria Math"/>
                            <w:szCs w:val="24"/>
                          </w:rPr>
                          <m:t>τ</m:t>
                        </m:r>
                      </m:e>
                      <m:sub>
                        <m:r>
                          <w:rPr>
                            <w:rFonts w:ascii="Cambria Math" w:hAnsi="Cambria Math"/>
                            <w:szCs w:val="24"/>
                          </w:rPr>
                          <m:t>3</m:t>
                        </m:r>
                      </m:sub>
                    </m:sSub>
                    <m:ctrlPr>
                      <w:rPr>
                        <w:rFonts w:ascii="Cambria Math" w:hAnsi="Cambria Math"/>
                        <w:i/>
                        <w:szCs w:val="24"/>
                      </w:rPr>
                    </m:ctrlPr>
                  </m:den>
                </m:f>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c</m:t>
                        </m:r>
                      </m:e>
                      <m:sub>
                        <m:r>
                          <w:rPr>
                            <w:rFonts w:ascii="Cambria Math" w:hAnsi="Cambria Math"/>
                            <w:szCs w:val="24"/>
                          </w:rPr>
                          <m:t>1</m:t>
                        </m:r>
                      </m:sub>
                    </m:sSub>
                    <m:sSup>
                      <m:sSupPr>
                        <m:ctrlPr>
                          <w:rPr>
                            <w:rFonts w:ascii="Cambria Math" w:hAnsi="Cambria Math"/>
                            <w:i/>
                            <w:szCs w:val="24"/>
                          </w:rPr>
                        </m:ctrlPr>
                      </m:sSupPr>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o</m:t>
                            </m:r>
                          </m:sub>
                        </m:sSub>
                      </m:e>
                      <m:sup>
                        <m:r>
                          <w:rPr>
                            <w:rFonts w:ascii="Cambria Math" w:hAnsi="Cambria Math"/>
                            <w:szCs w:val="24"/>
                          </w:rPr>
                          <m:t>k-1</m:t>
                        </m:r>
                      </m:sup>
                    </m:sSup>
                    <m:r>
                      <w:rPr>
                        <w:rFonts w:ascii="Cambria Math" w:hAnsi="Cambria Math"/>
                        <w:szCs w:val="24"/>
                      </w:rPr>
                      <m:t>+</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2</m:t>
                        </m:r>
                      </m:sub>
                    </m:sSub>
                    <m:sSup>
                      <m:sSupPr>
                        <m:ctrlPr>
                          <w:rPr>
                            <w:rFonts w:ascii="Cambria Math" w:hAnsi="Cambria Math"/>
                            <w:i/>
                            <w:szCs w:val="24"/>
                          </w:rPr>
                        </m:ctrlPr>
                      </m:sSupPr>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o</m:t>
                            </m:r>
                          </m:sub>
                        </m:sSub>
                      </m:e>
                      <m:sup>
                        <m:r>
                          <w:rPr>
                            <w:rFonts w:ascii="Cambria Math" w:hAnsi="Cambria Math"/>
                            <w:szCs w:val="24"/>
                          </w:rPr>
                          <m:t>k-</m:t>
                        </m:r>
                        <m:sSup>
                          <m:sSupPr>
                            <m:ctrlPr>
                              <w:rPr>
                                <w:rFonts w:ascii="Cambria Math" w:hAnsi="Cambria Math"/>
                                <w:i/>
                                <w:szCs w:val="24"/>
                              </w:rPr>
                            </m:ctrlPr>
                          </m:sSupPr>
                          <m:e>
                            <m:r>
                              <w:rPr>
                                <w:rFonts w:ascii="Cambria Math" w:hAnsi="Cambria Math"/>
                                <w:szCs w:val="24"/>
                              </w:rPr>
                              <m:t>1</m:t>
                            </m:r>
                          </m:e>
                          <m:sup>
                            <m:r>
                              <w:rPr>
                                <w:rFonts w:ascii="Cambria Math" w:hAnsi="Cambria Math"/>
                                <w:szCs w:val="24"/>
                              </w:rPr>
                              <m:t>2</m:t>
                            </m:r>
                          </m:sup>
                        </m:sSup>
                      </m:sup>
                    </m:sSup>
                  </m:e>
                </m:d>
                <m:r>
                  <w:rPr>
                    <w:rFonts w:ascii="Cambria Math" w:hAnsi="Cambria Math"/>
                    <w:szCs w:val="24"/>
                  </w:rPr>
                  <m:t>u+</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k-1</m:t>
                    </m:r>
                  </m:sup>
                </m:sSubSup>
                <m:r>
                  <m:rPr>
                    <m:sty m:val="p"/>
                  </m:rPr>
                  <w:rPr>
                    <w:rFonts w:ascii="Cambria Math" w:eastAsia="PMingLiU" w:hAnsi="Cambria Math"/>
                    <w:szCs w:val="24"/>
                  </w:rPr>
                  <m:t>for</m:t>
                </m:r>
                <m:r>
                  <w:rPr>
                    <w:rFonts w:ascii="Cambria Math" w:eastAsia="PMingLiU" w:hAnsi="Cambria Math"/>
                    <w:szCs w:val="24"/>
                  </w:rPr>
                  <m:t xml:space="preserve"> k=2,….</m:t>
                </m:r>
                <m:sSub>
                  <m:sSubPr>
                    <m:ctrlPr>
                      <w:rPr>
                        <w:rFonts w:ascii="Cambria Math" w:eastAsia="PMingLiU" w:hAnsi="Cambria Math"/>
                        <w:i/>
                        <w:szCs w:val="24"/>
                      </w:rPr>
                    </m:ctrlPr>
                  </m:sSubPr>
                  <m:e>
                    <m:r>
                      <w:rPr>
                        <w:rFonts w:ascii="Cambria Math" w:eastAsia="PMingLiU" w:hAnsi="Cambria Math"/>
                        <w:szCs w:val="24"/>
                      </w:rPr>
                      <m:t>N</m:t>
                    </m:r>
                  </m:e>
                  <m:sub>
                    <m:r>
                      <m:rPr>
                        <m:sty m:val="p"/>
                      </m:rPr>
                      <w:rPr>
                        <w:rFonts w:ascii="Cambria Math" w:eastAsia="PMingLiU" w:hAnsi="Cambria Math"/>
                        <w:szCs w:val="24"/>
                      </w:rPr>
                      <m:t>train</m:t>
                    </m:r>
                  </m:sub>
                </m:sSub>
              </m:oMath>
            </m:oMathPara>
          </w:p>
        </w:tc>
        <w:tc>
          <w:tcPr>
            <w:tcW w:w="481" w:type="pct"/>
            <w:vAlign w:val="center"/>
          </w:tcPr>
          <w:p w14:paraId="4F400576" w14:textId="28DE4FF1" w:rsidR="000215B4" w:rsidRPr="001533AA" w:rsidRDefault="000215B4" w:rsidP="002023DB">
            <w:pPr>
              <w:jc w:val="center"/>
              <w:rPr>
                <w:rFonts w:ascii="Times" w:hAnsi="Times"/>
                <w:szCs w:val="24"/>
              </w:rPr>
            </w:pPr>
            <w:bookmarkStart w:id="152" w:name="_Ref133061567"/>
            <w:r w:rsidRPr="001533AA">
              <w:rPr>
                <w:rFonts w:eastAsia="PMingLiU"/>
                <w:szCs w:val="24"/>
              </w:rPr>
              <w:t>(</w:t>
            </w:r>
            <w:r w:rsidRPr="001533AA">
              <w:rPr>
                <w:rFonts w:eastAsia="PMingLiU"/>
                <w:szCs w:val="24"/>
              </w:rPr>
              <w:fldChar w:fldCharType="begin"/>
            </w:r>
            <w:r w:rsidRPr="001533AA">
              <w:rPr>
                <w:rFonts w:eastAsia="PMingLiU"/>
                <w:szCs w:val="24"/>
              </w:rPr>
              <w:instrText xml:space="preserve"> SEQ equation \* ARABIC </w:instrText>
            </w:r>
            <w:r w:rsidRPr="001533AA">
              <w:rPr>
                <w:rFonts w:eastAsia="PMingLiU"/>
                <w:szCs w:val="24"/>
              </w:rPr>
              <w:fldChar w:fldCharType="separate"/>
            </w:r>
            <w:r w:rsidR="000E1725">
              <w:rPr>
                <w:rFonts w:eastAsia="PMingLiU"/>
                <w:noProof/>
                <w:szCs w:val="24"/>
              </w:rPr>
              <w:t>7</w:t>
            </w:r>
            <w:r w:rsidRPr="001533AA">
              <w:rPr>
                <w:rFonts w:eastAsia="PMingLiU"/>
                <w:szCs w:val="24"/>
              </w:rPr>
              <w:fldChar w:fldCharType="end"/>
            </w:r>
            <w:r w:rsidRPr="001533AA">
              <w:rPr>
                <w:rFonts w:eastAsia="PMingLiU"/>
                <w:szCs w:val="24"/>
              </w:rPr>
              <w:t>)</w:t>
            </w:r>
            <w:bookmarkEnd w:id="152"/>
          </w:p>
        </w:tc>
      </w:tr>
      <w:tr w:rsidR="000215B4" w14:paraId="1D317E18" w14:textId="77777777" w:rsidTr="00CF31B6">
        <w:tc>
          <w:tcPr>
            <w:tcW w:w="4519" w:type="pct"/>
          </w:tcPr>
          <w:p w14:paraId="36D435DF" w14:textId="77777777" w:rsidR="000215B4" w:rsidRPr="001533AA" w:rsidRDefault="00000000" w:rsidP="002023DB">
            <w:pPr>
              <w:rPr>
                <w:rFonts w:ascii="DengXian Light" w:eastAsia="SimHei" w:hAnsi="DengXian Light"/>
                <w:szCs w:val="24"/>
                <w:vertAlign w:val="subscript"/>
              </w:rPr>
            </w:pPr>
            <m:oMathPara>
              <m:oMath>
                <m:sSub>
                  <m:sSubPr>
                    <m:ctrlPr>
                      <w:rPr>
                        <w:rFonts w:ascii="Cambria Math" w:hAnsi="Cambria Math"/>
                        <w:i/>
                        <w:szCs w:val="24"/>
                        <w:vertAlign w:val="subscript"/>
                      </w:rPr>
                    </m:ctrlPr>
                  </m:sSubPr>
                  <m:e>
                    <m:r>
                      <w:rPr>
                        <w:rFonts w:ascii="Cambria Math" w:hAnsi="Cambria Math"/>
                        <w:szCs w:val="24"/>
                        <w:vertAlign w:val="subscript"/>
                      </w:rPr>
                      <m:t>a</m:t>
                    </m:r>
                  </m:e>
                  <m:sub>
                    <m:r>
                      <w:rPr>
                        <w:rFonts w:ascii="Cambria Math" w:hAnsi="Cambria Math"/>
                        <w:szCs w:val="24"/>
                        <w:vertAlign w:val="subscript"/>
                      </w:rPr>
                      <m:t>1</m:t>
                    </m:r>
                  </m:sub>
                </m:sSub>
                <m:r>
                  <m:rPr>
                    <m:sty m:val="p"/>
                  </m:rPr>
                  <w:rPr>
                    <w:rFonts w:ascii="Cambria Math" w:hAnsi="Cambria Math" w:hint="eastAsia"/>
                    <w:szCs w:val="24"/>
                    <w:vertAlign w:val="subscript"/>
                  </w:rPr>
                  <m:t>≥</m:t>
                </m:r>
                <m:r>
                  <w:rPr>
                    <w:rFonts w:ascii="Cambria Math" w:hAnsi="Cambria Math"/>
                    <w:szCs w:val="24"/>
                    <w:vertAlign w:val="subscript"/>
                  </w:rPr>
                  <m:t>0</m:t>
                </m:r>
              </m:oMath>
            </m:oMathPara>
          </w:p>
        </w:tc>
        <w:tc>
          <w:tcPr>
            <w:tcW w:w="481" w:type="pct"/>
            <w:vAlign w:val="center"/>
          </w:tcPr>
          <w:p w14:paraId="06238EFF" w14:textId="09E0EB9E" w:rsidR="000215B4" w:rsidRPr="001533AA" w:rsidRDefault="000215B4" w:rsidP="002023DB">
            <w:pPr>
              <w:jc w:val="center"/>
              <w:rPr>
                <w:rFonts w:ascii="Times" w:hAnsi="Times"/>
                <w:szCs w:val="24"/>
              </w:rPr>
            </w:pPr>
            <w:bookmarkStart w:id="153" w:name="_Ref133842946"/>
            <w:r w:rsidRPr="001533AA">
              <w:rPr>
                <w:rFonts w:ascii="Times" w:hAnsi="Times"/>
                <w:szCs w:val="24"/>
              </w:rPr>
              <w:t>(</w:t>
            </w:r>
            <w:r w:rsidRPr="001533AA">
              <w:rPr>
                <w:rFonts w:ascii="Times" w:hAnsi="Times"/>
                <w:szCs w:val="24"/>
              </w:rPr>
              <w:fldChar w:fldCharType="begin"/>
            </w:r>
            <w:r w:rsidRPr="001533AA">
              <w:rPr>
                <w:rFonts w:ascii="Times" w:hAnsi="Times"/>
                <w:szCs w:val="24"/>
              </w:rPr>
              <w:instrText xml:space="preserve"> SEQ equation \* ARABIC </w:instrText>
            </w:r>
            <w:r w:rsidRPr="001533AA">
              <w:rPr>
                <w:rFonts w:ascii="Times" w:hAnsi="Times"/>
                <w:szCs w:val="24"/>
              </w:rPr>
              <w:fldChar w:fldCharType="separate"/>
            </w:r>
            <w:r w:rsidR="000E1725">
              <w:rPr>
                <w:rFonts w:ascii="Times" w:hAnsi="Times"/>
                <w:noProof/>
                <w:szCs w:val="24"/>
              </w:rPr>
              <w:t>8</w:t>
            </w:r>
            <w:r w:rsidRPr="001533AA">
              <w:rPr>
                <w:rFonts w:ascii="Times" w:hAnsi="Times"/>
                <w:szCs w:val="24"/>
              </w:rPr>
              <w:fldChar w:fldCharType="end"/>
            </w:r>
            <w:r w:rsidRPr="001533AA">
              <w:rPr>
                <w:rFonts w:ascii="Times" w:hAnsi="Times"/>
                <w:szCs w:val="24"/>
              </w:rPr>
              <w:t>)</w:t>
            </w:r>
            <w:bookmarkEnd w:id="153"/>
          </w:p>
        </w:tc>
      </w:tr>
      <w:tr w:rsidR="000215B4" w14:paraId="2F15EEB1" w14:textId="77777777" w:rsidTr="00CF31B6">
        <w:tc>
          <w:tcPr>
            <w:tcW w:w="4519" w:type="pct"/>
          </w:tcPr>
          <w:p w14:paraId="0EBF0DB4" w14:textId="77777777" w:rsidR="000215B4" w:rsidRPr="001533AA" w:rsidRDefault="00000000" w:rsidP="002023DB">
            <w:pPr>
              <w:rPr>
                <w:rFonts w:eastAsia="PMingLiU"/>
                <w:szCs w:val="24"/>
              </w:rPr>
            </w:pPr>
            <m:oMathPara>
              <m:oMath>
                <m:sSub>
                  <m:sSubPr>
                    <m:ctrlPr>
                      <w:rPr>
                        <w:rFonts w:ascii="Cambria Math" w:hAnsi="Cambria Math"/>
                        <w:i/>
                        <w:szCs w:val="24"/>
                      </w:rPr>
                    </m:ctrlPr>
                  </m:sSubPr>
                  <m:e>
                    <m:r>
                      <w:rPr>
                        <w:rFonts w:ascii="Cambria Math" w:hAnsi="Cambria Math"/>
                        <w:szCs w:val="24"/>
                      </w:rPr>
                      <m:t>a</m:t>
                    </m:r>
                  </m:e>
                  <m:sub>
                    <m:r>
                      <w:rPr>
                        <w:rFonts w:ascii="Cambria Math" w:hAnsi="Cambria Math"/>
                        <w:szCs w:val="24"/>
                      </w:rPr>
                      <m:t>2</m:t>
                    </m:r>
                  </m:sub>
                </m:sSub>
                <m:r>
                  <m:rPr>
                    <m:sty m:val="p"/>
                  </m:rPr>
                  <w:rPr>
                    <w:rFonts w:ascii="Cambria Math" w:hAnsi="Cambria Math" w:hint="eastAsia"/>
                    <w:szCs w:val="24"/>
                  </w:rPr>
                  <m:t>≥</m:t>
                </m:r>
                <m:r>
                  <m:rPr>
                    <m:sty m:val="p"/>
                  </m:rPr>
                  <w:rPr>
                    <w:rFonts w:ascii="Cambria Math" w:hAnsi="Cambria Math"/>
                    <w:szCs w:val="24"/>
                  </w:rPr>
                  <m:t>-0.5</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1</m:t>
                    </m:r>
                  </m:sub>
                </m:sSub>
              </m:oMath>
            </m:oMathPara>
          </w:p>
        </w:tc>
        <w:tc>
          <w:tcPr>
            <w:tcW w:w="481" w:type="pct"/>
            <w:vAlign w:val="center"/>
          </w:tcPr>
          <w:p w14:paraId="527D6198" w14:textId="18387085" w:rsidR="000215B4" w:rsidRPr="001533AA" w:rsidRDefault="000215B4" w:rsidP="002023DB">
            <w:pPr>
              <w:jc w:val="center"/>
              <w:rPr>
                <w:rFonts w:ascii="Times" w:hAnsi="Times"/>
                <w:szCs w:val="24"/>
              </w:rPr>
            </w:pPr>
            <w:bookmarkStart w:id="154" w:name="_Ref133843022"/>
            <w:r w:rsidRPr="001533AA">
              <w:rPr>
                <w:rFonts w:ascii="Times" w:hAnsi="Times"/>
                <w:szCs w:val="24"/>
              </w:rPr>
              <w:t>(</w:t>
            </w:r>
            <w:r w:rsidRPr="001533AA">
              <w:rPr>
                <w:rFonts w:ascii="Times" w:hAnsi="Times"/>
                <w:szCs w:val="24"/>
              </w:rPr>
              <w:fldChar w:fldCharType="begin"/>
            </w:r>
            <w:r w:rsidRPr="001533AA">
              <w:rPr>
                <w:rFonts w:ascii="Times" w:hAnsi="Times"/>
                <w:szCs w:val="24"/>
              </w:rPr>
              <w:instrText xml:space="preserve"> SEQ equation \* ARABIC </w:instrText>
            </w:r>
            <w:r w:rsidRPr="001533AA">
              <w:rPr>
                <w:rFonts w:ascii="Times" w:hAnsi="Times"/>
                <w:szCs w:val="24"/>
              </w:rPr>
              <w:fldChar w:fldCharType="separate"/>
            </w:r>
            <w:r w:rsidR="000E1725">
              <w:rPr>
                <w:rFonts w:ascii="Times" w:hAnsi="Times"/>
                <w:noProof/>
                <w:szCs w:val="24"/>
              </w:rPr>
              <w:t>9</w:t>
            </w:r>
            <w:r w:rsidRPr="001533AA">
              <w:rPr>
                <w:rFonts w:ascii="Times" w:hAnsi="Times"/>
                <w:szCs w:val="24"/>
              </w:rPr>
              <w:fldChar w:fldCharType="end"/>
            </w:r>
            <w:r w:rsidRPr="001533AA">
              <w:rPr>
                <w:rFonts w:ascii="Times" w:hAnsi="Times"/>
                <w:szCs w:val="24"/>
              </w:rPr>
              <w:t>)</w:t>
            </w:r>
            <w:bookmarkEnd w:id="154"/>
          </w:p>
        </w:tc>
      </w:tr>
      <w:tr w:rsidR="000215B4" w14:paraId="6DA0D6FB" w14:textId="77777777" w:rsidTr="00CF31B6">
        <w:tc>
          <w:tcPr>
            <w:tcW w:w="4519" w:type="pct"/>
          </w:tcPr>
          <w:p w14:paraId="7772DA68" w14:textId="77777777" w:rsidR="000215B4" w:rsidRPr="001533AA" w:rsidRDefault="00000000" w:rsidP="002023DB">
            <w:pPr>
              <w:rPr>
                <w:szCs w:val="24"/>
              </w:rPr>
            </w:pPr>
            <m:oMathPara>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2</m:t>
                    </m:r>
                  </m:sub>
                </m:sSub>
                <m:r>
                  <m:rPr>
                    <m:sty m:val="p"/>
                  </m:rPr>
                  <w:rPr>
                    <w:rFonts w:ascii="Cambria Math" w:hAnsi="Cambria Math" w:hint="eastAsia"/>
                    <w:szCs w:val="24"/>
                  </w:rPr>
                  <m:t>≥</m:t>
                </m:r>
                <m:r>
                  <w:rPr>
                    <w:rFonts w:ascii="Cambria Math" w:hAnsi="Cambria Math"/>
                    <w:szCs w:val="24"/>
                  </w:rPr>
                  <m:t>0</m:t>
                </m:r>
              </m:oMath>
            </m:oMathPara>
          </w:p>
        </w:tc>
        <w:tc>
          <w:tcPr>
            <w:tcW w:w="481" w:type="pct"/>
            <w:vAlign w:val="center"/>
          </w:tcPr>
          <w:p w14:paraId="0C31CD62" w14:textId="7965A35E" w:rsidR="000215B4" w:rsidRPr="001533AA" w:rsidRDefault="000215B4" w:rsidP="002023DB">
            <w:pPr>
              <w:jc w:val="center"/>
              <w:rPr>
                <w:rFonts w:ascii="Times" w:hAnsi="Times"/>
                <w:szCs w:val="24"/>
              </w:rPr>
            </w:pPr>
            <w:bookmarkStart w:id="155" w:name="_Ref133843047"/>
            <w:r w:rsidRPr="001533AA">
              <w:rPr>
                <w:rFonts w:ascii="Times" w:hAnsi="Times"/>
                <w:szCs w:val="24"/>
              </w:rPr>
              <w:t>(</w:t>
            </w:r>
            <w:r w:rsidRPr="001533AA">
              <w:rPr>
                <w:rFonts w:ascii="Times" w:hAnsi="Times"/>
                <w:szCs w:val="24"/>
              </w:rPr>
              <w:fldChar w:fldCharType="begin"/>
            </w:r>
            <w:r w:rsidRPr="001533AA">
              <w:rPr>
                <w:rFonts w:ascii="Times" w:hAnsi="Times"/>
                <w:szCs w:val="24"/>
              </w:rPr>
              <w:instrText xml:space="preserve"> SEQ equation \* ARABIC </w:instrText>
            </w:r>
            <w:r w:rsidRPr="001533AA">
              <w:rPr>
                <w:rFonts w:ascii="Times" w:hAnsi="Times"/>
                <w:szCs w:val="24"/>
              </w:rPr>
              <w:fldChar w:fldCharType="separate"/>
            </w:r>
            <w:r w:rsidR="000E1725">
              <w:rPr>
                <w:rFonts w:ascii="Times" w:hAnsi="Times"/>
                <w:noProof/>
                <w:szCs w:val="24"/>
              </w:rPr>
              <w:t>10</w:t>
            </w:r>
            <w:r w:rsidRPr="001533AA">
              <w:rPr>
                <w:rFonts w:ascii="Times" w:hAnsi="Times"/>
                <w:szCs w:val="24"/>
              </w:rPr>
              <w:fldChar w:fldCharType="end"/>
            </w:r>
            <w:r w:rsidRPr="001533AA">
              <w:rPr>
                <w:rFonts w:ascii="Times" w:hAnsi="Times"/>
                <w:szCs w:val="24"/>
              </w:rPr>
              <w:t>)</w:t>
            </w:r>
            <w:bookmarkEnd w:id="155"/>
          </w:p>
        </w:tc>
      </w:tr>
      <w:tr w:rsidR="000215B4" w14:paraId="1A7D99F2" w14:textId="77777777" w:rsidTr="00CF31B6">
        <w:tc>
          <w:tcPr>
            <w:tcW w:w="4519" w:type="pct"/>
          </w:tcPr>
          <w:p w14:paraId="4E6445BB" w14:textId="77777777" w:rsidR="000215B4" w:rsidRPr="001533AA" w:rsidRDefault="00000000" w:rsidP="002023DB">
            <w:pPr>
              <w:rPr>
                <w:szCs w:val="24"/>
              </w:rPr>
            </w:pPr>
            <m:oMathPara>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1</m:t>
                    </m:r>
                  </m:sub>
                </m:sSub>
                <m:r>
                  <m:rPr>
                    <m:sty m:val="p"/>
                  </m:rPr>
                  <w:rPr>
                    <w:rFonts w:ascii="Cambria Math" w:hAnsi="Cambria Math" w:hint="eastAsia"/>
                    <w:szCs w:val="24"/>
                  </w:rPr>
                  <m:t>≤</m:t>
                </m:r>
                <m:r>
                  <w:rPr>
                    <w:rFonts w:ascii="Cambria Math" w:hAnsi="Cambria Math"/>
                    <w:szCs w:val="24"/>
                  </w:rPr>
                  <m:t>-120</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2</m:t>
                    </m:r>
                  </m:sub>
                </m:sSub>
              </m:oMath>
            </m:oMathPara>
          </w:p>
        </w:tc>
        <w:tc>
          <w:tcPr>
            <w:tcW w:w="481" w:type="pct"/>
            <w:vAlign w:val="center"/>
          </w:tcPr>
          <w:p w14:paraId="77D3FC29" w14:textId="6D735C8E" w:rsidR="000215B4" w:rsidRPr="001533AA" w:rsidRDefault="000215B4" w:rsidP="002023DB">
            <w:pPr>
              <w:jc w:val="center"/>
              <w:rPr>
                <w:rFonts w:ascii="Times" w:hAnsi="Times"/>
                <w:szCs w:val="24"/>
              </w:rPr>
            </w:pPr>
            <w:r w:rsidRPr="001533AA">
              <w:rPr>
                <w:rFonts w:ascii="Times" w:hAnsi="Times"/>
                <w:szCs w:val="24"/>
              </w:rPr>
              <w:t>(</w:t>
            </w:r>
            <w:r w:rsidRPr="001533AA">
              <w:rPr>
                <w:rFonts w:ascii="Times" w:hAnsi="Times"/>
                <w:szCs w:val="24"/>
              </w:rPr>
              <w:fldChar w:fldCharType="begin"/>
            </w:r>
            <w:r w:rsidRPr="001533AA">
              <w:rPr>
                <w:rFonts w:ascii="Times" w:hAnsi="Times"/>
                <w:szCs w:val="24"/>
              </w:rPr>
              <w:instrText xml:space="preserve"> SEQ equation \* ARABIC </w:instrText>
            </w:r>
            <w:r w:rsidRPr="001533AA">
              <w:rPr>
                <w:rFonts w:ascii="Times" w:hAnsi="Times"/>
                <w:szCs w:val="24"/>
              </w:rPr>
              <w:fldChar w:fldCharType="separate"/>
            </w:r>
            <w:r w:rsidR="000E1725">
              <w:rPr>
                <w:rFonts w:ascii="Times" w:hAnsi="Times"/>
                <w:noProof/>
                <w:szCs w:val="24"/>
              </w:rPr>
              <w:t>11</w:t>
            </w:r>
            <w:r w:rsidRPr="001533AA">
              <w:rPr>
                <w:rFonts w:ascii="Times" w:hAnsi="Times"/>
                <w:szCs w:val="24"/>
              </w:rPr>
              <w:fldChar w:fldCharType="end"/>
            </w:r>
            <w:r w:rsidRPr="001533AA">
              <w:rPr>
                <w:rFonts w:ascii="Times" w:hAnsi="Times"/>
                <w:szCs w:val="24"/>
              </w:rPr>
              <w:t>)</w:t>
            </w:r>
          </w:p>
        </w:tc>
      </w:tr>
      <w:tr w:rsidR="000215B4" w14:paraId="12083E38" w14:textId="77777777" w:rsidTr="00CF31B6">
        <w:tc>
          <w:tcPr>
            <w:tcW w:w="4519" w:type="pct"/>
          </w:tcPr>
          <w:p w14:paraId="5F87A5DD" w14:textId="77777777" w:rsidR="000215B4" w:rsidRPr="001533AA" w:rsidRDefault="00000000" w:rsidP="002023DB">
            <w:pPr>
              <w:rPr>
                <w:szCs w:val="24"/>
              </w:rPr>
            </w:pPr>
            <m:oMathPara>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1</m:t>
                    </m:r>
                  </m:sub>
                </m:sSub>
                <m:r>
                  <m:rPr>
                    <m:sty m:val="p"/>
                  </m:rPr>
                  <w:rPr>
                    <w:rFonts w:ascii="Cambria Math" w:hAnsi="Cambria Math" w:hint="eastAsia"/>
                    <w:szCs w:val="24"/>
                  </w:rPr>
                  <m:t>≥</m:t>
                </m:r>
                <m:r>
                  <w:rPr>
                    <w:rFonts w:ascii="Cambria Math" w:hAnsi="Cambria Math"/>
                    <w:szCs w:val="24"/>
                  </w:rPr>
                  <m:t>-140</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2</m:t>
                    </m:r>
                  </m:sub>
                </m:sSub>
                <m:r>
                  <w:rPr>
                    <w:rFonts w:ascii="Cambria Math" w:hAnsi="Cambria Math"/>
                    <w:szCs w:val="24"/>
                  </w:rPr>
                  <m:t>.</m:t>
                </m:r>
              </m:oMath>
            </m:oMathPara>
          </w:p>
        </w:tc>
        <w:tc>
          <w:tcPr>
            <w:tcW w:w="481" w:type="pct"/>
          </w:tcPr>
          <w:p w14:paraId="71F2FE07" w14:textId="1A21AAE4" w:rsidR="000215B4" w:rsidRPr="001533AA" w:rsidRDefault="000215B4" w:rsidP="002023DB">
            <w:pPr>
              <w:keepNext/>
              <w:jc w:val="center"/>
              <w:rPr>
                <w:rFonts w:ascii="Times" w:hAnsi="Times"/>
                <w:szCs w:val="24"/>
              </w:rPr>
            </w:pPr>
            <w:bookmarkStart w:id="156" w:name="_Ref133842947"/>
            <w:r w:rsidRPr="001533AA">
              <w:rPr>
                <w:rFonts w:ascii="Times" w:hAnsi="Times"/>
                <w:szCs w:val="24"/>
              </w:rPr>
              <w:t>(</w:t>
            </w:r>
            <w:r w:rsidRPr="001533AA">
              <w:rPr>
                <w:rFonts w:ascii="Times" w:hAnsi="Times"/>
                <w:szCs w:val="24"/>
              </w:rPr>
              <w:fldChar w:fldCharType="begin"/>
            </w:r>
            <w:r w:rsidRPr="001533AA">
              <w:rPr>
                <w:rFonts w:ascii="Times" w:hAnsi="Times"/>
                <w:szCs w:val="24"/>
              </w:rPr>
              <w:instrText xml:space="preserve"> SEQ equation \* ARABIC </w:instrText>
            </w:r>
            <w:r w:rsidRPr="001533AA">
              <w:rPr>
                <w:rFonts w:ascii="Times" w:hAnsi="Times"/>
                <w:szCs w:val="24"/>
              </w:rPr>
              <w:fldChar w:fldCharType="separate"/>
            </w:r>
            <w:r w:rsidR="000E1725">
              <w:rPr>
                <w:rFonts w:ascii="Times" w:hAnsi="Times"/>
                <w:noProof/>
                <w:szCs w:val="24"/>
              </w:rPr>
              <w:t>12</w:t>
            </w:r>
            <w:r w:rsidRPr="001533AA">
              <w:rPr>
                <w:rFonts w:ascii="Times" w:hAnsi="Times"/>
                <w:szCs w:val="24"/>
              </w:rPr>
              <w:fldChar w:fldCharType="end"/>
            </w:r>
            <w:r w:rsidRPr="001533AA">
              <w:rPr>
                <w:rFonts w:ascii="Times" w:hAnsi="Times"/>
                <w:szCs w:val="24"/>
              </w:rPr>
              <w:t>)</w:t>
            </w:r>
            <w:bookmarkEnd w:id="156"/>
          </w:p>
        </w:tc>
      </w:tr>
    </w:tbl>
    <w:p w14:paraId="61479E91" w14:textId="173571AE" w:rsidR="000215B4" w:rsidRDefault="000215B4" w:rsidP="000215B4">
      <w:r w:rsidRPr="001533AA">
        <w:rPr>
          <w:szCs w:val="24"/>
        </w:rPr>
        <w:t xml:space="preserve">Here, </w:t>
      </w:r>
      <w:r>
        <w:rPr>
          <w:szCs w:val="24"/>
        </w:rPr>
        <w:fldChar w:fldCharType="begin"/>
      </w:r>
      <w:r>
        <w:rPr>
          <w:szCs w:val="24"/>
        </w:rPr>
        <w:instrText xml:space="preserve"> REF _Ref133061561 \h </w:instrText>
      </w:r>
      <w:r>
        <w:rPr>
          <w:szCs w:val="24"/>
        </w:rPr>
      </w:r>
      <w:r>
        <w:rPr>
          <w:szCs w:val="24"/>
        </w:rPr>
        <w:fldChar w:fldCharType="separate"/>
      </w:r>
      <w:r w:rsidR="000E1725" w:rsidRPr="001533AA">
        <w:rPr>
          <w:rFonts w:eastAsia="PMingLiU"/>
          <w:szCs w:val="24"/>
        </w:rPr>
        <w:t>(</w:t>
      </w:r>
      <w:r w:rsidR="000E1725">
        <w:rPr>
          <w:rFonts w:eastAsia="PMingLiU"/>
          <w:noProof/>
          <w:szCs w:val="24"/>
        </w:rPr>
        <w:t>6</w:t>
      </w:r>
      <w:r w:rsidR="000E1725" w:rsidRPr="001533AA">
        <w:rPr>
          <w:rFonts w:eastAsia="PMingLiU"/>
          <w:szCs w:val="24"/>
        </w:rPr>
        <w:t>)</w:t>
      </w:r>
      <w:r>
        <w:rPr>
          <w:szCs w:val="24"/>
        </w:rPr>
        <w:fldChar w:fldCharType="end"/>
      </w:r>
      <w:r>
        <w:rPr>
          <w:szCs w:val="24"/>
        </w:rPr>
        <w:t xml:space="preserve"> </w:t>
      </w:r>
      <w:r>
        <w:rPr>
          <w:rFonts w:hint="eastAsia"/>
          <w:szCs w:val="24"/>
        </w:rPr>
        <w:t>and</w:t>
      </w:r>
      <w:r>
        <w:rPr>
          <w:szCs w:val="24"/>
        </w:rPr>
        <w:t xml:space="preserve"> </w:t>
      </w:r>
      <w:r>
        <w:rPr>
          <w:szCs w:val="24"/>
        </w:rPr>
        <w:fldChar w:fldCharType="begin"/>
      </w:r>
      <w:r>
        <w:rPr>
          <w:szCs w:val="24"/>
        </w:rPr>
        <w:instrText xml:space="preserve"> REF _Ref133061567 \h </w:instrText>
      </w:r>
      <w:r>
        <w:rPr>
          <w:szCs w:val="24"/>
        </w:rPr>
      </w:r>
      <w:r>
        <w:rPr>
          <w:szCs w:val="24"/>
        </w:rPr>
        <w:fldChar w:fldCharType="separate"/>
      </w:r>
      <w:r w:rsidR="000E1725" w:rsidRPr="001533AA">
        <w:rPr>
          <w:rFonts w:eastAsia="PMingLiU"/>
          <w:szCs w:val="24"/>
        </w:rPr>
        <w:t>(</w:t>
      </w:r>
      <w:r w:rsidR="000E1725">
        <w:rPr>
          <w:rFonts w:eastAsia="PMingLiU"/>
          <w:noProof/>
          <w:szCs w:val="24"/>
        </w:rPr>
        <w:t>7</w:t>
      </w:r>
      <w:r w:rsidR="000E1725" w:rsidRPr="001533AA">
        <w:rPr>
          <w:rFonts w:eastAsia="PMingLiU"/>
          <w:szCs w:val="24"/>
        </w:rPr>
        <w:t>)</w:t>
      </w:r>
      <w:r>
        <w:rPr>
          <w:szCs w:val="24"/>
        </w:rPr>
        <w:fldChar w:fldCharType="end"/>
      </w:r>
      <w:r>
        <w:rPr>
          <w:szCs w:val="24"/>
        </w:rPr>
        <w:t xml:space="preserve"> </w:t>
      </w:r>
      <w:r w:rsidRPr="001533AA">
        <w:rPr>
          <w:szCs w:val="24"/>
        </w:rPr>
        <w:t>are obtained from</w:t>
      </w:r>
      <w:r>
        <w:rPr>
          <w:szCs w:val="24"/>
        </w:rPr>
        <w:t xml:space="preserve"> </w:t>
      </w:r>
      <w:r w:rsidRPr="00544D05">
        <w:fldChar w:fldCharType="begin"/>
      </w:r>
      <w:r w:rsidRPr="00544D05">
        <w:instrText xml:space="preserve"> REF _Ref133842789 \h </w:instrText>
      </w:r>
      <w:r>
        <w:instrText xml:space="preserve"> \* MERGEFORMAT </w:instrText>
      </w:r>
      <w:r w:rsidRPr="00544D05">
        <w:fldChar w:fldCharType="separate"/>
      </w:r>
      <w:r w:rsidR="000E1725" w:rsidRPr="00544D05">
        <w:rPr>
          <w:szCs w:val="24"/>
        </w:rPr>
        <w:t>(</w:t>
      </w:r>
      <w:r w:rsidR="000E1725">
        <w:rPr>
          <w:noProof/>
          <w:szCs w:val="24"/>
        </w:rPr>
        <w:t>3</w:t>
      </w:r>
      <w:r w:rsidR="000E1725" w:rsidRPr="00544D05">
        <w:rPr>
          <w:szCs w:val="24"/>
        </w:rPr>
        <w:t>)</w:t>
      </w:r>
      <w:r w:rsidRPr="00544D05">
        <w:fldChar w:fldCharType="end"/>
      </w:r>
      <w:r w:rsidRPr="00544D05">
        <w:t xml:space="preserve"> and </w:t>
      </w:r>
      <w:r w:rsidRPr="00544D05">
        <w:fldChar w:fldCharType="begin"/>
      </w:r>
      <w:r w:rsidRPr="00544D05">
        <w:instrText xml:space="preserve"> REF _Ref133842791 \h </w:instrText>
      </w:r>
      <w:r>
        <w:instrText xml:space="preserve"> \* MERGEFORMAT </w:instrText>
      </w:r>
      <w:r w:rsidRPr="00544D05">
        <w:fldChar w:fldCharType="separate"/>
      </w:r>
      <w:r w:rsidR="000E1725">
        <w:t>(</w:t>
      </w:r>
      <w:r w:rsidR="000E1725">
        <w:rPr>
          <w:noProof/>
        </w:rPr>
        <w:t>4</w:t>
      </w:r>
      <w:r w:rsidR="000E1725">
        <w:t>)</w:t>
      </w:r>
      <w:r w:rsidRPr="00544D05">
        <w:fldChar w:fldCharType="end"/>
      </w:r>
      <w:r w:rsidRPr="001533AA">
        <w:rPr>
          <w:szCs w:val="24"/>
        </w:rPr>
        <w:t xml:space="preserve"> by discretization using the forwa</w:t>
      </w:r>
      <w:r>
        <w:t xml:space="preserve">rd Euler method. </w:t>
      </w:r>
      <w:r>
        <w:fldChar w:fldCharType="begin"/>
      </w:r>
      <w:r>
        <w:instrText xml:space="preserve"> REF _Ref133842946 \h </w:instrText>
      </w:r>
      <w:r>
        <w:fldChar w:fldCharType="separate"/>
      </w:r>
      <w:r w:rsidR="000E1725" w:rsidRPr="001533AA">
        <w:rPr>
          <w:rFonts w:ascii="Times" w:hAnsi="Times"/>
          <w:szCs w:val="24"/>
        </w:rPr>
        <w:t>(</w:t>
      </w:r>
      <w:r w:rsidR="000E1725">
        <w:rPr>
          <w:rFonts w:ascii="Times" w:hAnsi="Times"/>
          <w:noProof/>
          <w:szCs w:val="24"/>
        </w:rPr>
        <w:t>8</w:t>
      </w:r>
      <w:r w:rsidR="000E1725" w:rsidRPr="001533AA">
        <w:rPr>
          <w:rFonts w:ascii="Times" w:hAnsi="Times"/>
          <w:szCs w:val="24"/>
        </w:rPr>
        <w:t>)</w:t>
      </w:r>
      <w:r>
        <w:fldChar w:fldCharType="end"/>
      </w:r>
      <w:r>
        <w:t>-</w:t>
      </w:r>
      <w:r>
        <w:fldChar w:fldCharType="begin"/>
      </w:r>
      <w:r>
        <w:instrText xml:space="preserve"> REF _Ref133842947 \h </w:instrText>
      </w:r>
      <w:r>
        <w:fldChar w:fldCharType="separate"/>
      </w:r>
      <w:r w:rsidR="000E1725" w:rsidRPr="001533AA">
        <w:rPr>
          <w:rFonts w:ascii="Times" w:hAnsi="Times"/>
          <w:szCs w:val="24"/>
        </w:rPr>
        <w:t>(</w:t>
      </w:r>
      <w:r w:rsidR="000E1725">
        <w:rPr>
          <w:rFonts w:ascii="Times" w:hAnsi="Times"/>
          <w:noProof/>
          <w:szCs w:val="24"/>
        </w:rPr>
        <w:t>12</w:t>
      </w:r>
      <w:r w:rsidR="000E1725" w:rsidRPr="001533AA">
        <w:rPr>
          <w:rFonts w:ascii="Times" w:hAnsi="Times"/>
          <w:szCs w:val="24"/>
        </w:rPr>
        <w:t>)</w:t>
      </w:r>
      <w:r>
        <w:fldChar w:fldCharType="end"/>
      </w:r>
      <w:r>
        <w:t xml:space="preserve"> are added to ensure the identified parameters are realistic, which we now explain in detail.</w:t>
      </w:r>
    </w:p>
    <w:p w14:paraId="139B11AC" w14:textId="338D31D1" w:rsidR="000215B4" w:rsidRPr="00C321F1" w:rsidRDefault="000215B4" w:rsidP="000215B4">
      <w:r>
        <w:t>The Constraints</w:t>
      </w:r>
      <w:r w:rsidRPr="001533AA">
        <w:rPr>
          <w:szCs w:val="24"/>
        </w:rPr>
        <w:t xml:space="preserve"> </w:t>
      </w:r>
      <w:r>
        <w:rPr>
          <w:szCs w:val="24"/>
        </w:rPr>
        <w:fldChar w:fldCharType="begin"/>
      </w:r>
      <w:r>
        <w:rPr>
          <w:szCs w:val="24"/>
        </w:rPr>
        <w:instrText xml:space="preserve"> REF _Ref133842946 \h </w:instrText>
      </w:r>
      <w:r>
        <w:rPr>
          <w:szCs w:val="24"/>
        </w:rPr>
      </w:r>
      <w:r>
        <w:rPr>
          <w:szCs w:val="24"/>
        </w:rPr>
        <w:fldChar w:fldCharType="separate"/>
      </w:r>
      <w:r w:rsidR="000E1725" w:rsidRPr="001533AA">
        <w:rPr>
          <w:rFonts w:ascii="Times" w:hAnsi="Times"/>
          <w:szCs w:val="24"/>
        </w:rPr>
        <w:t>(</w:t>
      </w:r>
      <w:r w:rsidR="000E1725">
        <w:rPr>
          <w:rFonts w:ascii="Times" w:hAnsi="Times"/>
          <w:noProof/>
          <w:szCs w:val="24"/>
        </w:rPr>
        <w:t>8</w:t>
      </w:r>
      <w:r w:rsidR="000E1725" w:rsidRPr="001533AA">
        <w:rPr>
          <w:rFonts w:ascii="Times" w:hAnsi="Times"/>
          <w:szCs w:val="24"/>
        </w:rPr>
        <w:t>)</w:t>
      </w:r>
      <w:r>
        <w:rPr>
          <w:szCs w:val="24"/>
        </w:rPr>
        <w:fldChar w:fldCharType="end"/>
      </w:r>
      <w:r>
        <w:rPr>
          <w:szCs w:val="24"/>
        </w:rPr>
        <w:t xml:space="preserve"> and </w:t>
      </w:r>
      <w:r>
        <w:rPr>
          <w:szCs w:val="24"/>
        </w:rPr>
        <w:fldChar w:fldCharType="begin"/>
      </w:r>
      <w:r>
        <w:rPr>
          <w:szCs w:val="24"/>
        </w:rPr>
        <w:instrText xml:space="preserve"> REF _Ref133843022 \h </w:instrText>
      </w:r>
      <w:r>
        <w:rPr>
          <w:szCs w:val="24"/>
        </w:rPr>
      </w:r>
      <w:r>
        <w:rPr>
          <w:szCs w:val="24"/>
        </w:rPr>
        <w:fldChar w:fldCharType="separate"/>
      </w:r>
      <w:r w:rsidR="000E1725" w:rsidRPr="001533AA">
        <w:rPr>
          <w:rFonts w:ascii="Times" w:hAnsi="Times"/>
          <w:szCs w:val="24"/>
        </w:rPr>
        <w:t>(</w:t>
      </w:r>
      <w:r w:rsidR="000E1725">
        <w:rPr>
          <w:rFonts w:ascii="Times" w:hAnsi="Times"/>
          <w:noProof/>
          <w:szCs w:val="24"/>
        </w:rPr>
        <w:t>9</w:t>
      </w:r>
      <w:r w:rsidR="000E1725" w:rsidRPr="001533AA">
        <w:rPr>
          <w:rFonts w:ascii="Times" w:hAnsi="Times"/>
          <w:szCs w:val="24"/>
        </w:rPr>
        <w:t>)</w:t>
      </w:r>
      <w:r>
        <w:rPr>
          <w:szCs w:val="24"/>
        </w:rPr>
        <w:fldChar w:fldCharType="end"/>
      </w:r>
      <w:r>
        <w:rPr>
          <w:szCs w:val="24"/>
        </w:rPr>
        <w:t xml:space="preserve"> </w:t>
      </w:r>
      <w:r>
        <w:t xml:space="preserve">are motivated by the fact that the solar impact </w:t>
      </w:r>
      <m:oMath>
        <m:f>
          <m:fPr>
            <m:ctrlPr>
              <w:rPr>
                <w:rFonts w:ascii="Cambria Math" w:hAnsi="Cambria Math"/>
              </w:rPr>
            </m:ctrlPr>
          </m:fPr>
          <m:num>
            <m:r>
              <w:rPr>
                <w:rFonts w:ascii="Cambria Math" w:hAnsi="Cambria Math"/>
              </w:rPr>
              <m:t>1</m:t>
            </m:r>
            <m:ctrlPr>
              <w:rPr>
                <w:rFonts w:ascii="Cambria Math" w:hAnsi="Cambria Math"/>
                <w:i/>
              </w:rPr>
            </m:ctrlPr>
          </m:num>
          <m:den>
            <m:sSub>
              <m:sSubPr>
                <m:ctrlPr>
                  <w:rPr>
                    <w:rFonts w:ascii="Cambria Math" w:hAnsi="Cambria Math"/>
                    <w:i/>
                  </w:rPr>
                </m:ctrlPr>
              </m:sSubPr>
              <m:e>
                <m:r>
                  <w:rPr>
                    <w:rFonts w:ascii="Cambria Math" w:hAnsi="Cambria Math"/>
                  </w:rPr>
                  <m:t>τ</m:t>
                </m:r>
              </m:e>
              <m:sub>
                <m:r>
                  <w:rPr>
                    <w:rFonts w:ascii="Cambria Math" w:hAnsi="Cambria Math"/>
                  </w:rPr>
                  <m:t>3</m:t>
                </m:r>
              </m:sub>
            </m:sSub>
            <m:ctrlPr>
              <w:rPr>
                <w:rFonts w:ascii="Cambria Math" w:hAnsi="Cambria Math"/>
                <w:i/>
              </w:rPr>
            </m:ctrlPr>
          </m:den>
        </m:f>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S+</m:t>
            </m:r>
            <m:sSub>
              <m:sSubPr>
                <m:ctrlPr>
                  <w:rPr>
                    <w:rFonts w:ascii="Cambria Math" w:hAnsi="Cambria Math"/>
                    <w:i/>
                  </w:rPr>
                </m:ctrlPr>
              </m:sSubPr>
              <m:e>
                <m:r>
                  <w:rPr>
                    <w:rFonts w:ascii="Cambria Math" w:hAnsi="Cambria Math"/>
                  </w:rPr>
                  <m:t>a</m:t>
                </m:r>
              </m:e>
              <m:sub>
                <m:r>
                  <w:rPr>
                    <w:rFonts w:ascii="Cambria Math" w:hAnsi="Cambria Math"/>
                  </w:rPr>
                  <m:t>2</m:t>
                </m:r>
              </m:sub>
            </m:sSub>
            <m:sSup>
              <m:sSupPr>
                <m:ctrlPr>
                  <w:rPr>
                    <w:rFonts w:ascii="Cambria Math" w:hAnsi="Cambria Math"/>
                    <w:i/>
                  </w:rPr>
                </m:ctrlPr>
              </m:sSupPr>
              <m:e>
                <m:r>
                  <w:rPr>
                    <w:rFonts w:ascii="Cambria Math" w:hAnsi="Cambria Math"/>
                  </w:rPr>
                  <m:t>S</m:t>
                </m:r>
              </m:e>
              <m:sup>
                <m:r>
                  <w:rPr>
                    <w:rFonts w:ascii="Cambria Math" w:hAnsi="Cambria Math"/>
                  </w:rPr>
                  <m:t>2</m:t>
                </m:r>
              </m:sup>
            </m:sSup>
          </m:e>
        </m:d>
      </m:oMath>
      <w:r>
        <w:rPr>
          <w:rFonts w:hint="eastAsia"/>
        </w:rPr>
        <w:t xml:space="preserve"> </w:t>
      </w:r>
      <w:r>
        <w:t xml:space="preserve">to temperature dynamics should always be a positive, increasing function in solar irradiation </w:t>
      </w:r>
      <m:oMath>
        <m:r>
          <w:rPr>
            <w:rFonts w:ascii="Cambria Math" w:hAnsi="Cambria Math"/>
          </w:rPr>
          <m:t>S</m:t>
        </m:r>
      </m:oMath>
      <w:r>
        <w:rPr>
          <w:rFonts w:hint="eastAsia"/>
        </w:rPr>
        <w:t>,</w:t>
      </w:r>
      <w:r>
        <w:t xml:space="preserve"> from 0 to </w:t>
      </w:r>
      <m:oMath>
        <m:sSub>
          <m:sSubPr>
            <m:ctrlPr>
              <w:rPr>
                <w:rFonts w:ascii="Cambria Math" w:hAnsi="Cambria Math"/>
                <w:i/>
              </w:rPr>
            </m:ctrlPr>
          </m:sSubPr>
          <m:e>
            <m:r>
              <w:rPr>
                <w:rFonts w:ascii="Cambria Math" w:hAnsi="Cambria Math"/>
              </w:rPr>
              <m:t>S</m:t>
            </m:r>
          </m:e>
          <m:sub>
            <m:r>
              <w:rPr>
                <w:rFonts w:ascii="Cambria Math" w:hAnsi="Cambria Math"/>
              </w:rPr>
              <m:t>max</m:t>
            </m:r>
          </m:sub>
        </m:sSub>
      </m:oMath>
      <w:r>
        <w:t xml:space="preserve"> (maximum solar irradiation). Among all parabolas defined by </w:t>
      </w:r>
      <m:oMath>
        <m:f>
          <m:fPr>
            <m:ctrlPr>
              <w:rPr>
                <w:rFonts w:ascii="Cambria Math" w:hAnsi="Cambria Math"/>
              </w:rPr>
            </m:ctrlPr>
          </m:fPr>
          <m:num>
            <m:r>
              <w:rPr>
                <w:rFonts w:ascii="Cambria Math" w:hAnsi="Cambria Math"/>
              </w:rPr>
              <m:t>1</m:t>
            </m:r>
            <m:ctrlPr>
              <w:rPr>
                <w:rFonts w:ascii="Cambria Math" w:hAnsi="Cambria Math"/>
                <w:i/>
              </w:rPr>
            </m:ctrlPr>
          </m:num>
          <m:den>
            <m:sSub>
              <m:sSubPr>
                <m:ctrlPr>
                  <w:rPr>
                    <w:rFonts w:ascii="Cambria Math" w:hAnsi="Cambria Math"/>
                    <w:i/>
                  </w:rPr>
                </m:ctrlPr>
              </m:sSubPr>
              <m:e>
                <m:r>
                  <w:rPr>
                    <w:rFonts w:ascii="Cambria Math" w:hAnsi="Cambria Math"/>
                  </w:rPr>
                  <m:t>τ</m:t>
                </m:r>
              </m:e>
              <m:sub>
                <m:r>
                  <w:rPr>
                    <w:rFonts w:ascii="Cambria Math" w:hAnsi="Cambria Math"/>
                  </w:rPr>
                  <m:t>3</m:t>
                </m:r>
              </m:sub>
            </m:sSub>
            <m:ctrlPr>
              <w:rPr>
                <w:rFonts w:ascii="Cambria Math" w:hAnsi="Cambria Math"/>
                <w:i/>
              </w:rPr>
            </m:ctrlPr>
          </m:den>
        </m:f>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S+</m:t>
            </m:r>
            <m:sSub>
              <m:sSubPr>
                <m:ctrlPr>
                  <w:rPr>
                    <w:rFonts w:ascii="Cambria Math" w:hAnsi="Cambria Math"/>
                    <w:i/>
                  </w:rPr>
                </m:ctrlPr>
              </m:sSubPr>
              <m:e>
                <m:r>
                  <w:rPr>
                    <w:rFonts w:ascii="Cambria Math" w:hAnsi="Cambria Math"/>
                  </w:rPr>
                  <m:t>a</m:t>
                </m:r>
              </m:e>
              <m:sub>
                <m:r>
                  <w:rPr>
                    <w:rFonts w:ascii="Cambria Math" w:hAnsi="Cambria Math"/>
                  </w:rPr>
                  <m:t>2</m:t>
                </m:r>
              </m:sub>
            </m:sSub>
            <m:sSup>
              <m:sSupPr>
                <m:ctrlPr>
                  <w:rPr>
                    <w:rFonts w:ascii="Cambria Math" w:hAnsi="Cambria Math"/>
                    <w:i/>
                  </w:rPr>
                </m:ctrlPr>
              </m:sSupPr>
              <m:e>
                <m:r>
                  <w:rPr>
                    <w:rFonts w:ascii="Cambria Math" w:hAnsi="Cambria Math"/>
                  </w:rPr>
                  <m:t>S</m:t>
                </m:r>
              </m:e>
              <m:sup>
                <m:r>
                  <w:rPr>
                    <w:rFonts w:ascii="Cambria Math" w:hAnsi="Cambria Math"/>
                  </w:rPr>
                  <m:t>2</m:t>
                </m:r>
              </m:sup>
            </m:sSup>
          </m:e>
        </m:d>
      </m:oMath>
      <w:r>
        <w:t xml:space="preserve">, which are demonstrated in </w:t>
      </w:r>
      <w:r>
        <w:fldChar w:fldCharType="begin"/>
      </w:r>
      <w:r>
        <w:instrText xml:space="preserve"> REF _Ref133582862 \h </w:instrText>
      </w:r>
      <w:r>
        <w:fldChar w:fldCharType="separate"/>
      </w:r>
      <w:r w:rsidR="000E1725" w:rsidRPr="007C19BD">
        <w:t xml:space="preserve">Figure </w:t>
      </w:r>
      <w:r w:rsidR="000E1725">
        <w:rPr>
          <w:noProof/>
        </w:rPr>
        <w:t>3</w:t>
      </w:r>
      <w:r w:rsidR="000E1725">
        <w:t>.</w:t>
      </w:r>
      <w:r w:rsidR="000E1725">
        <w:rPr>
          <w:noProof/>
        </w:rPr>
        <w:t>2</w:t>
      </w:r>
      <w:r>
        <w:fldChar w:fldCharType="end"/>
      </w:r>
      <w:r>
        <w:t xml:space="preserve"> (a), only the red or green solid curve satisfies this fact. We then have inequalities </w:t>
      </w:r>
      <m:oMath>
        <m:sSub>
          <m:sSubPr>
            <m:ctrlPr>
              <w:rPr>
                <w:rFonts w:ascii="Cambria Math" w:hAnsi="Cambria Math"/>
                <w:i/>
              </w:rPr>
            </m:ctrlPr>
          </m:sSubPr>
          <m:e>
            <m:r>
              <w:rPr>
                <w:rFonts w:ascii="Cambria Math" w:hAnsi="Cambria Math"/>
              </w:rPr>
              <m:t>a</m:t>
            </m:r>
          </m:e>
          <m:sub>
            <m:r>
              <w:rPr>
                <w:rFonts w:ascii="Cambria Math" w:hAnsi="Cambria Math"/>
              </w:rPr>
              <m:t>2</m:t>
            </m:r>
          </m:sub>
        </m:sSub>
        <m:r>
          <m:rPr>
            <m:sty m:val="p"/>
          </m:rPr>
          <w:rPr>
            <w:rFonts w:ascii="Cambria Math" w:hAnsi="Cambria Math" w:hint="eastAsia"/>
          </w:rPr>
          <m:t>≤</m:t>
        </m:r>
        <m:r>
          <w:rPr>
            <w:rFonts w:ascii="Cambria Math" w:hAnsi="Cambria Math"/>
          </w:rPr>
          <m:t>0</m:t>
        </m:r>
      </m:oMath>
      <w:r>
        <w:rPr>
          <w:rFonts w:hint="eastAsia"/>
        </w:rPr>
        <w:t xml:space="preserve"> </w:t>
      </w:r>
      <w:r>
        <w:t xml:space="preserve">and </w:t>
      </w:r>
      <m:oMath>
        <m:f>
          <m:fPr>
            <m:ctrlPr>
              <w:rPr>
                <w:rFonts w:ascii="Cambria Math" w:hAnsi="Cambria Math"/>
              </w:rPr>
            </m:ctrlPr>
          </m:fPr>
          <m:num>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ctrlPr>
              <w:rPr>
                <w:rFonts w:ascii="Cambria Math" w:hAnsi="Cambria Math"/>
                <w:i/>
              </w:rPr>
            </m:ctrlPr>
          </m:num>
          <m:den>
            <m:r>
              <w:rPr>
                <w:rFonts w:ascii="Cambria Math" w:hAnsi="Cambria Math"/>
              </w:rPr>
              <m:t>2</m:t>
            </m:r>
            <m:sSub>
              <m:sSubPr>
                <m:ctrlPr>
                  <w:rPr>
                    <w:rFonts w:ascii="Cambria Math" w:hAnsi="Cambria Math"/>
                    <w:i/>
                  </w:rPr>
                </m:ctrlPr>
              </m:sSubPr>
              <m:e>
                <m:r>
                  <w:rPr>
                    <w:rFonts w:ascii="Cambria Math" w:hAnsi="Cambria Math"/>
                  </w:rPr>
                  <m:t>a</m:t>
                </m:r>
              </m:e>
              <m:sub>
                <m:r>
                  <w:rPr>
                    <w:rFonts w:ascii="Cambria Math" w:hAnsi="Cambria Math"/>
                  </w:rPr>
                  <m:t>2</m:t>
                </m:r>
              </m:sub>
            </m:sSub>
            <m:ctrlPr>
              <w:rPr>
                <w:rFonts w:ascii="Cambria Math" w:hAnsi="Cambria Math"/>
                <w:i/>
              </w:rPr>
            </m:ctrlPr>
          </m:den>
        </m:f>
        <m:r>
          <m:rPr>
            <m:sty m:val="p"/>
          </m:rPr>
          <w:rPr>
            <w:rFonts w:ascii="Cambria Math" w:hAnsi="Cambria Math" w:hint="eastAsia"/>
          </w:rPr>
          <m:t>≤</m:t>
        </m:r>
        <m:r>
          <w:rPr>
            <w:rFonts w:ascii="Cambria Math" w:hAnsi="Cambria Math"/>
          </w:rPr>
          <m:t>0</m:t>
        </m:r>
      </m:oMath>
      <w:r>
        <w:t xml:space="preserve"> (green curve), or </w:t>
      </w:r>
      <m:oMath>
        <m:sSub>
          <m:sSubPr>
            <m:ctrlPr>
              <w:rPr>
                <w:rFonts w:ascii="Cambria Math" w:hAnsi="Cambria Math"/>
                <w:i/>
              </w:rPr>
            </m:ctrlPr>
          </m:sSubPr>
          <m:e>
            <m:r>
              <w:rPr>
                <w:rFonts w:ascii="Cambria Math" w:hAnsi="Cambria Math"/>
              </w:rPr>
              <m:t>a</m:t>
            </m:r>
          </m:e>
          <m:sub>
            <m:r>
              <w:rPr>
                <w:rFonts w:ascii="Cambria Math" w:hAnsi="Cambria Math"/>
              </w:rPr>
              <m:t>2</m:t>
            </m:r>
          </m:sub>
        </m:sSub>
        <m:r>
          <m:rPr>
            <m:sty m:val="p"/>
          </m:rPr>
          <w:rPr>
            <w:rFonts w:ascii="Cambria Math" w:hAnsi="Cambria Math" w:hint="eastAsia"/>
          </w:rPr>
          <m:t>≥</m:t>
        </m:r>
        <m:r>
          <w:rPr>
            <w:rFonts w:ascii="Cambria Math" w:hAnsi="Cambria Math"/>
          </w:rPr>
          <m:t>0</m:t>
        </m:r>
      </m:oMath>
      <w:r>
        <w:t xml:space="preserve"> and</w:t>
      </w:r>
      <m:oMath>
        <m:r>
          <w:rPr>
            <w:rFonts w:ascii="Cambria Math" w:hAnsi="Cambria Math"/>
          </w:rPr>
          <m:t xml:space="preserve"> </m:t>
        </m:r>
        <m:f>
          <m:fPr>
            <m:ctrlPr>
              <w:rPr>
                <w:rFonts w:ascii="Cambria Math" w:hAnsi="Cambria Math"/>
              </w:rPr>
            </m:ctrlPr>
          </m:fPr>
          <m:num>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ctrlPr>
              <w:rPr>
                <w:rFonts w:ascii="Cambria Math" w:hAnsi="Cambria Math"/>
                <w:i/>
              </w:rPr>
            </m:ctrlPr>
          </m:num>
          <m:den>
            <m:r>
              <w:rPr>
                <w:rFonts w:ascii="Cambria Math" w:hAnsi="Cambria Math"/>
              </w:rPr>
              <m:t>2</m:t>
            </m:r>
            <m:sSub>
              <m:sSubPr>
                <m:ctrlPr>
                  <w:rPr>
                    <w:rFonts w:ascii="Cambria Math" w:hAnsi="Cambria Math"/>
                    <w:i/>
                  </w:rPr>
                </m:ctrlPr>
              </m:sSubPr>
              <m:e>
                <m:r>
                  <w:rPr>
                    <w:rFonts w:ascii="Cambria Math" w:hAnsi="Cambria Math"/>
                  </w:rPr>
                  <m:t>a</m:t>
                </m:r>
              </m:e>
              <m:sub>
                <m:r>
                  <w:rPr>
                    <w:rFonts w:ascii="Cambria Math" w:hAnsi="Cambria Math"/>
                  </w:rPr>
                  <m:t>2</m:t>
                </m:r>
              </m:sub>
            </m:sSub>
            <m:ctrlPr>
              <w:rPr>
                <w:rFonts w:ascii="Cambria Math" w:hAnsi="Cambria Math"/>
                <w:i/>
              </w:rPr>
            </m:ctrlPr>
          </m:den>
        </m:f>
        <m:r>
          <m:rPr>
            <m:sty m:val="p"/>
          </m:rPr>
          <w:rPr>
            <w:rFonts w:ascii="Cambria Math" w:hAnsi="Cambria Math" w:hint="eastAsia"/>
          </w:rPr>
          <m:t>≥</m:t>
        </m:r>
        <m:r>
          <w:rPr>
            <w:rFonts w:ascii="Cambria Math" w:hAnsi="Cambria Math"/>
          </w:rPr>
          <m:t>1</m:t>
        </m:r>
      </m:oMath>
      <w:r>
        <w:t xml:space="preserve"> (red curve since solar irradiation is normalized). This leads to constraints</w:t>
      </w:r>
      <w:r w:rsidRPr="00920203">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r>
              <m:rPr>
                <m:sty m:val="p"/>
              </m:rPr>
              <w:rPr>
                <w:rFonts w:ascii="Cambria Math" w:hAnsi="Cambria Math" w:hint="eastAsia"/>
              </w:rPr>
              <m:t>≥</m:t>
            </m:r>
            <m:r>
              <w:rPr>
                <w:rFonts w:ascii="Cambria Math" w:hAnsi="Cambria Math"/>
              </w:rPr>
              <m:t>0</m:t>
            </m:r>
            <m:r>
              <m:rPr>
                <m:sty m:val="p"/>
              </m:rPr>
              <w:rPr>
                <w:rFonts w:ascii="Cambria Math" w:hAnsi="Cambria Math" w:hint="eastAsia"/>
              </w:rPr>
              <m:t>∧</m:t>
            </m:r>
            <m:sSub>
              <m:sSubPr>
                <m:ctrlPr>
                  <w:rPr>
                    <w:rFonts w:ascii="Cambria Math" w:hAnsi="Cambria Math"/>
                    <w:i/>
                  </w:rPr>
                </m:ctrlPr>
              </m:sSubPr>
              <m:e>
                <m:r>
                  <w:rPr>
                    <w:rFonts w:ascii="Cambria Math" w:hAnsi="Cambria Math"/>
                  </w:rPr>
                  <m:t>a</m:t>
                </m:r>
                <m:ctrlPr>
                  <w:rPr>
                    <w:rFonts w:ascii="Cambria Math" w:hAnsi="Cambria Math"/>
                  </w:rPr>
                </m:ctrlPr>
              </m:e>
              <m:sub>
                <m:r>
                  <w:rPr>
                    <w:rFonts w:ascii="Cambria Math" w:hAnsi="Cambria Math"/>
                  </w:rPr>
                  <m:t>1</m:t>
                </m:r>
              </m:sub>
            </m:sSub>
            <m:r>
              <m:rPr>
                <m:sty m:val="p"/>
              </m:rPr>
              <w:rPr>
                <w:rFonts w:ascii="Cambria Math" w:hAnsi="Cambria Math" w:hint="eastAsia"/>
              </w:rPr>
              <m:t>≥</m:t>
            </m:r>
            <m:r>
              <w:rPr>
                <w:rFonts w:ascii="Cambria Math" w:hAnsi="Cambria Math"/>
              </w:rPr>
              <m:t>0</m:t>
            </m:r>
          </m:e>
        </m:d>
        <m:r>
          <m:rPr>
            <m:sty m:val="p"/>
          </m:rPr>
          <w:rPr>
            <w:rFonts w:ascii="Cambria Math" w:hAnsi="Cambria Math" w:hint="eastAsia"/>
          </w:rPr>
          <m:t>∨</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r>
              <m:rPr>
                <m:sty m:val="p"/>
              </m:rPr>
              <w:rPr>
                <w:rFonts w:ascii="Cambria Math" w:hAnsi="Cambria Math" w:hint="eastAsia"/>
              </w:rPr>
              <m:t>≤</m:t>
            </m:r>
            <m:r>
              <w:rPr>
                <w:rFonts w:ascii="Cambria Math" w:hAnsi="Cambria Math"/>
              </w:rPr>
              <m:t>0</m:t>
            </m:r>
            <m:r>
              <m:rPr>
                <m:sty m:val="p"/>
              </m:rPr>
              <w:rPr>
                <w:rFonts w:ascii="Cambria Math" w:hAnsi="Cambria Math" w:hint="eastAsia"/>
              </w:rPr>
              <m:t>∧</m:t>
            </m:r>
            <m:sSub>
              <m:sSubPr>
                <m:ctrlPr>
                  <w:rPr>
                    <w:rFonts w:ascii="Cambria Math" w:hAnsi="Cambria Math"/>
                    <w:i/>
                  </w:rPr>
                </m:ctrlPr>
              </m:sSubPr>
              <m:e>
                <m:r>
                  <w:rPr>
                    <w:rFonts w:ascii="Cambria Math" w:hAnsi="Cambria Math"/>
                  </w:rPr>
                  <m:t>a</m:t>
                </m:r>
                <m:ctrlPr>
                  <w:rPr>
                    <w:rFonts w:ascii="Cambria Math" w:hAnsi="Cambria Math"/>
                  </w:rPr>
                </m:ctrlPr>
              </m:e>
              <m:sub>
                <m:r>
                  <w:rPr>
                    <w:rFonts w:ascii="Cambria Math" w:hAnsi="Cambria Math"/>
                  </w:rPr>
                  <m:t>1</m:t>
                </m:r>
              </m:sub>
            </m:sSub>
            <m:r>
              <m:rPr>
                <m:sty m:val="p"/>
              </m:rPr>
              <w:rPr>
                <w:rFonts w:ascii="Cambria Math" w:hAnsi="Cambria Math" w:hint="eastAsia"/>
              </w:rPr>
              <m:t>≥</m:t>
            </m:r>
            <m:r>
              <w:rPr>
                <w:rFonts w:ascii="Cambria Math" w:hAnsi="Cambria Math"/>
              </w:rPr>
              <m:t>-2</m:t>
            </m:r>
            <m:sSub>
              <m:sSubPr>
                <m:ctrlPr>
                  <w:rPr>
                    <w:rFonts w:ascii="Cambria Math" w:hAnsi="Cambria Math"/>
                    <w:i/>
                  </w:rPr>
                </m:ctrlPr>
              </m:sSubPr>
              <m:e>
                <m:r>
                  <w:rPr>
                    <w:rFonts w:ascii="Cambria Math" w:hAnsi="Cambria Math"/>
                  </w:rPr>
                  <m:t>a</m:t>
                </m:r>
              </m:e>
              <m:sub>
                <m:r>
                  <w:rPr>
                    <w:rFonts w:ascii="Cambria Math" w:hAnsi="Cambria Math"/>
                  </w:rPr>
                  <m:t>2</m:t>
                </m:r>
              </m:sub>
            </m:sSub>
          </m:e>
        </m:d>
      </m:oMath>
      <w:r>
        <w:t xml:space="preserve">, </w:t>
      </w:r>
      <w:r w:rsidRPr="003C3CBF">
        <w:t xml:space="preserve">where </w:t>
      </w:r>
      <m:oMath>
        <m:r>
          <m:rPr>
            <m:sty m:val="p"/>
          </m:rPr>
          <w:rPr>
            <w:rFonts w:ascii="Cambria Math" w:hAnsi="Cambria Math" w:hint="eastAsia"/>
          </w:rPr>
          <m:t>∧</m:t>
        </m:r>
      </m:oMath>
      <w:r w:rsidRPr="003C3CBF">
        <w:rPr>
          <w:rFonts w:hint="eastAsia"/>
        </w:rPr>
        <w:t xml:space="preserve"> </w:t>
      </w:r>
      <w:r>
        <w:t>meaning</w:t>
      </w:r>
      <w:r w:rsidRPr="003C3CBF">
        <w:t xml:space="preserve"> </w:t>
      </w:r>
      <w:r>
        <w:t>"</w:t>
      </w:r>
      <w:r w:rsidRPr="003C3CBF">
        <w:t>and</w:t>
      </w:r>
      <w:r>
        <w:t>"</w:t>
      </w:r>
      <w:r w:rsidRPr="003C3CBF">
        <w:rPr>
          <w:rFonts w:hint="eastAsia"/>
        </w:rPr>
        <w:t>,</w:t>
      </w:r>
      <w:r w:rsidRPr="003C3CBF">
        <w:t xml:space="preserve"> </w:t>
      </w:r>
      <m:oMath>
        <m:r>
          <m:rPr>
            <m:sty m:val="p"/>
          </m:rPr>
          <w:rPr>
            <w:rFonts w:ascii="Cambria Math" w:hAnsi="Cambria Math" w:hint="eastAsia"/>
          </w:rPr>
          <m:t>∨</m:t>
        </m:r>
      </m:oMath>
      <w:r w:rsidRPr="003C3CBF">
        <w:rPr>
          <w:rFonts w:hint="eastAsia"/>
        </w:rPr>
        <w:t xml:space="preserve"> </w:t>
      </w:r>
      <w:r>
        <w:t>meaning</w:t>
      </w:r>
      <w:r w:rsidRPr="003C3CBF">
        <w:t xml:space="preserve"> </w:t>
      </w:r>
      <w:r>
        <w:t>"</w:t>
      </w:r>
      <w:r w:rsidRPr="003C3CBF">
        <w:t>or</w:t>
      </w:r>
      <w:r>
        <w:t>."</w:t>
      </w:r>
      <w:r w:rsidRPr="00920203">
        <w:t xml:space="preserve"> </w:t>
      </w:r>
      <w:r>
        <w:lastRenderedPageBreak/>
        <w:t>However,</w:t>
      </w:r>
      <w:r w:rsidRPr="00920203">
        <w:t xml:space="preserve"> a logical </w:t>
      </w:r>
      <w:r>
        <w:t>"</w:t>
      </w:r>
      <w:r w:rsidRPr="00920203">
        <w:t>or</w:t>
      </w:r>
      <w:r>
        <w:t>"</w:t>
      </w:r>
      <w:r w:rsidRPr="00920203">
        <w:t xml:space="preserve"> constraint may require introducing </w:t>
      </w:r>
      <w:r>
        <w:t xml:space="preserve">new </w:t>
      </w:r>
      <w:r w:rsidRPr="00920203">
        <w:t xml:space="preserve">variables </w:t>
      </w:r>
      <w:r>
        <w:t>in</w:t>
      </w:r>
      <w:r w:rsidRPr="00920203">
        <w:t xml:space="preserve"> </w:t>
      </w:r>
      <w:r>
        <w:t xml:space="preserve">the </w:t>
      </w:r>
      <w:r w:rsidRPr="00920203">
        <w:t>optimization problem</w:t>
      </w:r>
      <w:r>
        <w:t xml:space="preserve"> formulation</w:t>
      </w:r>
      <w:r w:rsidRPr="00920203">
        <w:t>. Fortunately, a reformulation is possible in this case.</w:t>
      </w:r>
      <w:r w:rsidRPr="003C3CBF">
        <w:t xml:space="preserve"> As s</w:t>
      </w:r>
      <w:r w:rsidRPr="00062919">
        <w:t xml:space="preserve">hown in </w:t>
      </w:r>
      <w:r w:rsidR="00E1040C">
        <w:fldChar w:fldCharType="begin"/>
      </w:r>
      <w:r w:rsidR="00E1040C">
        <w:instrText xml:space="preserve"> REF _Ref133582862 \h </w:instrText>
      </w:r>
      <w:r w:rsidR="00E1040C">
        <w:fldChar w:fldCharType="separate"/>
      </w:r>
      <w:r w:rsidR="000E1725" w:rsidRPr="007C19BD">
        <w:t xml:space="preserve">Figure </w:t>
      </w:r>
      <w:r w:rsidR="000E1725">
        <w:rPr>
          <w:noProof/>
        </w:rPr>
        <w:t>3</w:t>
      </w:r>
      <w:r w:rsidR="000E1725">
        <w:t>.</w:t>
      </w:r>
      <w:r w:rsidR="000E1725">
        <w:rPr>
          <w:noProof/>
        </w:rPr>
        <w:t>2</w:t>
      </w:r>
      <w:r w:rsidR="00E1040C">
        <w:fldChar w:fldCharType="end"/>
      </w:r>
      <w:r w:rsidRPr="00062919">
        <w:t>(b)</w:t>
      </w:r>
      <w:r>
        <w:t>, t</w:t>
      </w:r>
      <w:r w:rsidRPr="00062919">
        <w:t xml:space="preserve">he </w:t>
      </w:r>
      <w:r>
        <w:t xml:space="preserve">union </w:t>
      </w:r>
      <w:r w:rsidRPr="00062919">
        <w:t>of green and red area</w:t>
      </w:r>
      <w:r>
        <w:t>s (associated with the green and red curves) i</w:t>
      </w:r>
      <w:r w:rsidRPr="00062919">
        <w:t xml:space="preserve">s also the intersection of </w:t>
      </w:r>
      <w:r>
        <w:t xml:space="preserve">two gray-shaded areas on the right </w:t>
      </w:r>
      <w:r w:rsidRPr="00062919">
        <w:t>(</w:t>
      </w:r>
      <m:oMath>
        <m:sSub>
          <m:sSubPr>
            <m:ctrlPr>
              <w:rPr>
                <w:rFonts w:ascii="Cambria Math" w:hAnsi="Cambria Math"/>
                <w:i/>
              </w:rPr>
            </m:ctrlPr>
          </m:sSubPr>
          <m:e>
            <m:r>
              <w:rPr>
                <w:rFonts w:ascii="Cambria Math" w:hAnsi="Cambria Math"/>
              </w:rPr>
              <m:t>a</m:t>
            </m:r>
          </m:e>
          <m:sub>
            <m:r>
              <w:rPr>
                <w:rFonts w:ascii="Cambria Math" w:hAnsi="Cambria Math"/>
              </w:rPr>
              <m:t>1</m:t>
            </m:r>
          </m:sub>
        </m:sSub>
        <m:r>
          <m:rPr>
            <m:sty m:val="p"/>
          </m:rPr>
          <w:rPr>
            <w:rFonts w:ascii="Cambria Math" w:hAnsi="Cambria Math" w:hint="eastAsia"/>
          </w:rPr>
          <m:t>≥</m:t>
        </m:r>
        <m:r>
          <w:rPr>
            <w:rFonts w:ascii="Cambria Math" w:hAnsi="Cambria Math"/>
          </w:rPr>
          <m:t>0</m:t>
        </m:r>
      </m:oMath>
      <w:r>
        <w:rPr>
          <w:rFonts w:hint="eastAsia"/>
        </w:rPr>
        <w:t xml:space="preserve"> </w:t>
      </w:r>
      <w:r>
        <w:t xml:space="preserve">and </w:t>
      </w:r>
      <m:oMath>
        <m:sSub>
          <m:sSubPr>
            <m:ctrlPr>
              <w:rPr>
                <w:rFonts w:ascii="Cambria Math" w:hAnsi="Cambria Math"/>
                <w:i/>
              </w:rPr>
            </m:ctrlPr>
          </m:sSubPr>
          <m:e>
            <m:r>
              <w:rPr>
                <w:rFonts w:ascii="Cambria Math" w:hAnsi="Cambria Math"/>
              </w:rPr>
              <m:t>a</m:t>
            </m:r>
          </m:e>
          <m:sub>
            <m:r>
              <w:rPr>
                <w:rFonts w:ascii="Cambria Math" w:hAnsi="Cambria Math"/>
              </w:rPr>
              <m:t>1</m:t>
            </m:r>
          </m:sub>
        </m:sSub>
        <m:r>
          <m:rPr>
            <m:sty m:val="p"/>
          </m:rPr>
          <w:rPr>
            <w:rFonts w:ascii="Cambria Math" w:hAnsi="Cambria Math" w:hint="eastAsia"/>
          </w:rPr>
          <m:t>≥</m:t>
        </m:r>
        <m:r>
          <w:rPr>
            <w:rFonts w:ascii="Cambria Math" w:hAnsi="Cambria Math"/>
          </w:rPr>
          <m:t>-2</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oMath>
      <w:r>
        <w:t>, which</w:t>
      </w:r>
      <w:r w:rsidRPr="00062919">
        <w:t xml:space="preserve"> </w:t>
      </w:r>
      <w:r>
        <w:t>leads to</w:t>
      </w:r>
      <w:r w:rsidRPr="00062919">
        <w:t xml:space="preserve"> </w:t>
      </w:r>
      <w:r>
        <w:t>C</w:t>
      </w:r>
      <w:r w:rsidRPr="00062919">
        <w:t>onstraint</w:t>
      </w:r>
      <w:r>
        <w:t xml:space="preserve"> </w:t>
      </w:r>
      <w:r>
        <w:rPr>
          <w:szCs w:val="24"/>
        </w:rPr>
        <w:fldChar w:fldCharType="begin"/>
      </w:r>
      <w:r>
        <w:rPr>
          <w:szCs w:val="24"/>
        </w:rPr>
        <w:instrText xml:space="preserve"> REF _Ref133842946 \h </w:instrText>
      </w:r>
      <w:r>
        <w:rPr>
          <w:szCs w:val="24"/>
        </w:rPr>
      </w:r>
      <w:r>
        <w:rPr>
          <w:szCs w:val="24"/>
        </w:rPr>
        <w:fldChar w:fldCharType="separate"/>
      </w:r>
      <w:r w:rsidR="000E1725" w:rsidRPr="001533AA">
        <w:rPr>
          <w:rFonts w:ascii="Times" w:hAnsi="Times"/>
          <w:szCs w:val="24"/>
        </w:rPr>
        <w:t>(</w:t>
      </w:r>
      <w:r w:rsidR="000E1725">
        <w:rPr>
          <w:rFonts w:ascii="Times" w:hAnsi="Times"/>
          <w:noProof/>
          <w:szCs w:val="24"/>
        </w:rPr>
        <w:t>8</w:t>
      </w:r>
      <w:r w:rsidR="000E1725" w:rsidRPr="001533AA">
        <w:rPr>
          <w:rFonts w:ascii="Times" w:hAnsi="Times"/>
          <w:szCs w:val="24"/>
        </w:rPr>
        <w:t>)</w:t>
      </w:r>
      <w:r>
        <w:rPr>
          <w:szCs w:val="24"/>
        </w:rPr>
        <w:fldChar w:fldCharType="end"/>
      </w:r>
      <w:r>
        <w:rPr>
          <w:szCs w:val="24"/>
        </w:rPr>
        <w:t xml:space="preserve"> and </w:t>
      </w:r>
      <w:r>
        <w:rPr>
          <w:szCs w:val="24"/>
        </w:rPr>
        <w:fldChar w:fldCharType="begin"/>
      </w:r>
      <w:r>
        <w:rPr>
          <w:szCs w:val="24"/>
        </w:rPr>
        <w:instrText xml:space="preserve"> REF _Ref133843022 \h </w:instrText>
      </w:r>
      <w:r>
        <w:rPr>
          <w:szCs w:val="24"/>
        </w:rPr>
      </w:r>
      <w:r>
        <w:rPr>
          <w:szCs w:val="24"/>
        </w:rPr>
        <w:fldChar w:fldCharType="separate"/>
      </w:r>
      <w:r w:rsidR="000E1725" w:rsidRPr="001533AA">
        <w:rPr>
          <w:rFonts w:ascii="Times" w:hAnsi="Times"/>
          <w:szCs w:val="24"/>
        </w:rPr>
        <w:t>(</w:t>
      </w:r>
      <w:r w:rsidR="000E1725">
        <w:rPr>
          <w:rFonts w:ascii="Times" w:hAnsi="Times"/>
          <w:noProof/>
          <w:szCs w:val="24"/>
        </w:rPr>
        <w:t>9</w:t>
      </w:r>
      <w:r w:rsidR="000E1725" w:rsidRPr="001533AA">
        <w:rPr>
          <w:rFonts w:ascii="Times" w:hAnsi="Times"/>
          <w:szCs w:val="24"/>
        </w:rPr>
        <w:t>)</w:t>
      </w:r>
      <w:r>
        <w:rPr>
          <w:szCs w:val="24"/>
        </w:rPr>
        <w:fldChar w:fldCharType="end"/>
      </w:r>
      <w:r w:rsidRPr="00062919">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7"/>
        <w:gridCol w:w="5603"/>
      </w:tblGrid>
      <w:tr w:rsidR="000215B4" w14:paraId="00F5934D" w14:textId="77777777" w:rsidTr="00AF3671">
        <w:trPr>
          <w:trHeight w:val="3552"/>
        </w:trPr>
        <w:tc>
          <w:tcPr>
            <w:tcW w:w="3397" w:type="dxa"/>
          </w:tcPr>
          <w:p w14:paraId="3F01A3AA" w14:textId="77777777" w:rsidR="000215B4" w:rsidRDefault="000215B4" w:rsidP="002023DB">
            <w:pPr>
              <w:jc w:val="center"/>
            </w:pPr>
            <w:bookmarkStart w:id="157" w:name="_Toc132122463"/>
            <w:bookmarkStart w:id="158" w:name="_Toc132122587"/>
            <w:r>
              <w:rPr>
                <w:noProof/>
              </w:rPr>
              <w:drawing>
                <wp:inline distT="0" distB="0" distL="0" distR="0" wp14:anchorId="7DD85A39" wp14:editId="700A4347">
                  <wp:extent cx="2078765" cy="1490345"/>
                  <wp:effectExtent l="0" t="0" r="0" b="0"/>
                  <wp:docPr id="45" name="Picture 45"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hart, diagram&#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088696" cy="1497465"/>
                          </a:xfrm>
                          <a:prstGeom prst="rect">
                            <a:avLst/>
                          </a:prstGeom>
                          <a:noFill/>
                          <a:ln>
                            <a:noFill/>
                          </a:ln>
                        </pic:spPr>
                      </pic:pic>
                    </a:graphicData>
                  </a:graphic>
                </wp:inline>
              </w:drawing>
            </w:r>
          </w:p>
          <w:p w14:paraId="3CF082BB" w14:textId="77777777" w:rsidR="000215B4" w:rsidRDefault="000215B4" w:rsidP="002023DB">
            <w:pPr>
              <w:pStyle w:val="21Subfigurecaption"/>
              <w:jc w:val="center"/>
            </w:pPr>
            <w:r>
              <w:t>The solar impact verses the solar irradiation</w:t>
            </w:r>
          </w:p>
        </w:tc>
        <w:tc>
          <w:tcPr>
            <w:tcW w:w="5603" w:type="dxa"/>
            <w:vAlign w:val="center"/>
          </w:tcPr>
          <w:p w14:paraId="71D40ED5" w14:textId="77777777" w:rsidR="000215B4" w:rsidRDefault="000215B4" w:rsidP="002023DB">
            <w:pPr>
              <w:jc w:val="center"/>
            </w:pPr>
            <w:r>
              <w:rPr>
                <w:noProof/>
              </w:rPr>
              <w:drawing>
                <wp:inline distT="0" distB="0" distL="0" distR="0" wp14:anchorId="54C3DD53" wp14:editId="790E8D98">
                  <wp:extent cx="3264161" cy="1894205"/>
                  <wp:effectExtent l="0" t="0" r="0" b="0"/>
                  <wp:docPr id="40834604" name="Picture 4083460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68350" cy="1896636"/>
                          </a:xfrm>
                          <a:prstGeom prst="rect">
                            <a:avLst/>
                          </a:prstGeom>
                        </pic:spPr>
                      </pic:pic>
                    </a:graphicData>
                  </a:graphic>
                </wp:inline>
              </w:drawing>
            </w:r>
          </w:p>
          <w:p w14:paraId="6F49E57B" w14:textId="77777777" w:rsidR="000215B4" w:rsidRDefault="000215B4" w:rsidP="002023DB">
            <w:pPr>
              <w:pStyle w:val="21Subfigurecaption"/>
              <w:jc w:val="center"/>
              <w:rPr>
                <w:lang w:eastAsia="zh-CN"/>
              </w:rPr>
            </w:pPr>
            <w:r>
              <w:t xml:space="preserve">Cone of the feasible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oMath>
            <w:r>
              <w:rPr>
                <w:rFonts w:hint="eastAsia"/>
              </w:rPr>
              <w:t xml:space="preserve"> </w:t>
            </w:r>
            <w:r>
              <w:t>is the union of green and red shaded area (left) or the intersection of two gray areas (right).</w:t>
            </w:r>
          </w:p>
        </w:tc>
      </w:tr>
      <w:tr w:rsidR="000215B4" w14:paraId="702D8652" w14:textId="77777777" w:rsidTr="00AF3671">
        <w:tc>
          <w:tcPr>
            <w:tcW w:w="9000" w:type="dxa"/>
            <w:gridSpan w:val="2"/>
          </w:tcPr>
          <w:p w14:paraId="6820AEF0" w14:textId="77777777" w:rsidR="000215B4" w:rsidRDefault="000215B4" w:rsidP="002023DB">
            <w:pPr>
              <w:jc w:val="center"/>
              <w:rPr>
                <w:rFonts w:eastAsia="PMingLiU"/>
                <w:noProof/>
              </w:rPr>
            </w:pPr>
            <w:r>
              <w:rPr>
                <w:rFonts w:hint="eastAsia"/>
                <w:noProof/>
              </w:rPr>
              <w:drawing>
                <wp:inline distT="0" distB="0" distL="0" distR="0" wp14:anchorId="3E5AF542" wp14:editId="427FB453">
                  <wp:extent cx="4901866" cy="2134073"/>
                  <wp:effectExtent l="0" t="0" r="0" b="0"/>
                  <wp:docPr id="189" name="Picture 18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descr="A picture containing diagram&#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4901866" cy="2134073"/>
                          </a:xfrm>
                          <a:prstGeom prst="rect">
                            <a:avLst/>
                          </a:prstGeom>
                          <a:noFill/>
                          <a:ln>
                            <a:noFill/>
                          </a:ln>
                        </pic:spPr>
                      </pic:pic>
                    </a:graphicData>
                  </a:graphic>
                </wp:inline>
              </w:drawing>
            </w:r>
          </w:p>
          <w:p w14:paraId="48E40F58" w14:textId="77777777" w:rsidR="000215B4" w:rsidRPr="00004D0F" w:rsidRDefault="000215B4" w:rsidP="002023DB">
            <w:pPr>
              <w:pStyle w:val="21Subfigurecaption"/>
              <w:keepNext/>
              <w:jc w:val="center"/>
            </w:pPr>
            <w:r w:rsidRPr="00004D0F">
              <w:t xml:space="preserve">Possible shape of the quadratic equation for </w:t>
            </w:r>
            <w:r>
              <w:t>AC output</w:t>
            </w:r>
            <w:r w:rsidRPr="00004D0F">
              <w:t>.</w:t>
            </w:r>
          </w:p>
        </w:tc>
      </w:tr>
    </w:tbl>
    <w:p w14:paraId="1D86F273" w14:textId="54FBB22C" w:rsidR="000215B4" w:rsidRPr="007C19BD" w:rsidRDefault="000215B4" w:rsidP="000215B4">
      <w:pPr>
        <w:pStyle w:val="13FigureCaption"/>
      </w:pPr>
      <w:bookmarkStart w:id="159" w:name="_Ref133582862"/>
      <w:bookmarkStart w:id="160" w:name="_Toc141349911"/>
      <w:r w:rsidRPr="007C19BD">
        <w:t xml:space="preserve">Figure </w:t>
      </w:r>
      <w:fldSimple w:instr=" STYLEREF 1 \s ">
        <w:r w:rsidR="000E1725">
          <w:rPr>
            <w:noProof/>
          </w:rPr>
          <w:t>3</w:t>
        </w:r>
      </w:fldSimple>
      <w:r w:rsidR="005445E0">
        <w:t>.</w:t>
      </w:r>
      <w:fldSimple w:instr=" SEQ Figure \* ARABIC \s 1 ">
        <w:r w:rsidR="000E1725">
          <w:rPr>
            <w:noProof/>
          </w:rPr>
          <w:t>2</w:t>
        </w:r>
      </w:fldSimple>
      <w:bookmarkEnd w:id="159"/>
      <w:r w:rsidRPr="007C19BD">
        <w:t xml:space="preserve"> Physics constraints explained for system identification process.</w:t>
      </w:r>
      <w:bookmarkEnd w:id="160"/>
    </w:p>
    <w:p w14:paraId="5D0FE697" w14:textId="49CFA9EC" w:rsidR="000215B4" w:rsidRPr="003C513A" w:rsidRDefault="000215B4" w:rsidP="000215B4">
      <w:r>
        <w:t xml:space="preserve">The Constraints </w:t>
      </w:r>
      <w:r>
        <w:fldChar w:fldCharType="begin"/>
      </w:r>
      <w:r>
        <w:instrText xml:space="preserve"> REF _Ref133843047 \h </w:instrText>
      </w:r>
      <w:r>
        <w:fldChar w:fldCharType="separate"/>
      </w:r>
      <w:r w:rsidR="000E1725" w:rsidRPr="001533AA">
        <w:rPr>
          <w:rFonts w:ascii="Times" w:hAnsi="Times"/>
          <w:szCs w:val="24"/>
        </w:rPr>
        <w:t>(</w:t>
      </w:r>
      <w:r w:rsidR="000E1725">
        <w:rPr>
          <w:rFonts w:ascii="Times" w:hAnsi="Times"/>
          <w:noProof/>
          <w:szCs w:val="24"/>
        </w:rPr>
        <w:t>10</w:t>
      </w:r>
      <w:r w:rsidR="000E1725" w:rsidRPr="001533AA">
        <w:rPr>
          <w:rFonts w:ascii="Times" w:hAnsi="Times"/>
          <w:szCs w:val="24"/>
        </w:rPr>
        <w:t>)</w:t>
      </w:r>
      <w:r>
        <w:fldChar w:fldCharType="end"/>
      </w:r>
      <w:r>
        <w:t>-</w:t>
      </w:r>
      <w:r>
        <w:fldChar w:fldCharType="begin"/>
      </w:r>
      <w:r>
        <w:instrText xml:space="preserve"> REF _Ref133842947 \h </w:instrText>
      </w:r>
      <w:r>
        <w:fldChar w:fldCharType="separate"/>
      </w:r>
      <w:r w:rsidR="000E1725" w:rsidRPr="001533AA">
        <w:rPr>
          <w:rFonts w:ascii="Times" w:hAnsi="Times"/>
          <w:szCs w:val="24"/>
        </w:rPr>
        <w:t>(</w:t>
      </w:r>
      <w:r w:rsidR="000E1725">
        <w:rPr>
          <w:rFonts w:ascii="Times" w:hAnsi="Times"/>
          <w:noProof/>
          <w:szCs w:val="24"/>
        </w:rPr>
        <w:t>12</w:t>
      </w:r>
      <w:r w:rsidR="000E1725" w:rsidRPr="001533AA">
        <w:rPr>
          <w:rFonts w:ascii="Times" w:hAnsi="Times"/>
          <w:szCs w:val="24"/>
        </w:rPr>
        <w:t>)</w:t>
      </w:r>
      <w:r>
        <w:fldChar w:fldCharType="end"/>
      </w:r>
      <w:r>
        <w:t xml:space="preserve"> are motivated by the fact that the AC output impact </w:t>
      </w:r>
      <m:oMath>
        <m:f>
          <m:fPr>
            <m:ctrlPr>
              <w:rPr>
                <w:rFonts w:ascii="Cambria Math" w:hAnsi="Cambria Math"/>
              </w:rPr>
            </m:ctrlPr>
          </m:fPr>
          <m:num>
            <m:r>
              <w:rPr>
                <w:rFonts w:ascii="Cambria Math" w:hAnsi="Cambria Math"/>
              </w:rPr>
              <m:t>1</m:t>
            </m:r>
            <m:ctrlPr>
              <w:rPr>
                <w:rFonts w:ascii="Cambria Math" w:hAnsi="Cambria Math"/>
                <w:i/>
              </w:rPr>
            </m:ctrlPr>
          </m:num>
          <m:den>
            <m:sSub>
              <m:sSubPr>
                <m:ctrlPr>
                  <w:rPr>
                    <w:rFonts w:ascii="Cambria Math" w:hAnsi="Cambria Math"/>
                    <w:i/>
                  </w:rPr>
                </m:ctrlPr>
              </m:sSubPr>
              <m:e>
                <m:r>
                  <w:rPr>
                    <w:rFonts w:ascii="Cambria Math" w:hAnsi="Cambria Math"/>
                  </w:rPr>
                  <m:t>τ</m:t>
                </m:r>
              </m:e>
              <m:sub>
                <m:r>
                  <w:rPr>
                    <w:rFonts w:ascii="Cambria Math" w:hAnsi="Cambria Math"/>
                  </w:rPr>
                  <m:t>3</m:t>
                </m:r>
              </m:sub>
            </m:sSub>
            <m:ctrlPr>
              <w:rPr>
                <w:rFonts w:ascii="Cambria Math" w:hAnsi="Cambria Math"/>
                <w:i/>
              </w:rPr>
            </m:ctrlPr>
          </m:den>
        </m:f>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sSubSup>
              <m:sSubSupPr>
                <m:ctrlPr>
                  <w:rPr>
                    <w:rFonts w:ascii="Cambria Math" w:hAnsi="Cambria Math"/>
                    <w:i/>
                  </w:rPr>
                </m:ctrlPr>
              </m:sSubSupPr>
              <m:e>
                <m:r>
                  <w:rPr>
                    <w:rFonts w:ascii="Cambria Math" w:hAnsi="Cambria Math"/>
                  </w:rPr>
                  <m:t>T</m:t>
                </m:r>
              </m:e>
              <m:sub>
                <m:r>
                  <w:rPr>
                    <w:rFonts w:ascii="Cambria Math" w:hAnsi="Cambria Math"/>
                  </w:rPr>
                  <m:t>o</m:t>
                </m:r>
              </m:sub>
              <m:sup>
                <m:r>
                  <w:rPr>
                    <w:rFonts w:ascii="Cambria Math" w:hAnsi="Cambria Math"/>
                  </w:rPr>
                  <m:t>2</m:t>
                </m:r>
              </m:sup>
            </m:sSubSup>
          </m:e>
        </m:d>
        <m:r>
          <w:rPr>
            <w:rFonts w:ascii="Cambria Math" w:hAnsi="Cambria Math"/>
          </w:rPr>
          <m:t>u</m:t>
        </m:r>
      </m:oMath>
      <w:r>
        <w:rPr>
          <w:rFonts w:hint="eastAsia"/>
        </w:rPr>
        <w:t xml:space="preserve"> </w:t>
      </w:r>
      <w:r>
        <w:t xml:space="preserve">to the temperature dynamics should always be a negative, increasing </w:t>
      </w:r>
      <w:r>
        <w:lastRenderedPageBreak/>
        <w:t xml:space="preserve">function in outdoor air temperature </w:t>
      </w:r>
      <m:oMath>
        <m:sSub>
          <m:sSubPr>
            <m:ctrlPr>
              <w:rPr>
                <w:rFonts w:ascii="Cambria Math" w:hAnsi="Cambria Math"/>
                <w:i/>
              </w:rPr>
            </m:ctrlPr>
          </m:sSubPr>
          <m:e>
            <m:r>
              <w:rPr>
                <w:rFonts w:ascii="Cambria Math" w:hAnsi="Cambria Math"/>
              </w:rPr>
              <m:t>T</m:t>
            </m:r>
          </m:e>
          <m:sub>
            <m:r>
              <w:rPr>
                <w:rFonts w:ascii="Cambria Math" w:hAnsi="Cambria Math"/>
              </w:rPr>
              <m:t>o</m:t>
            </m:r>
          </m:sub>
        </m:sSub>
      </m:oMath>
      <w:r>
        <w:t xml:space="preserve"> from 70</w:t>
      </w:r>
      <m:oMath>
        <m:r>
          <w:rPr>
            <w:rFonts w:ascii="Cambria Math" w:hAnsi="Cambria Math"/>
          </w:rPr>
          <m:t>℉</m:t>
        </m:r>
      </m:oMath>
      <w:r>
        <w:rPr>
          <w:rFonts w:hint="eastAsia"/>
        </w:rPr>
        <w:t xml:space="preserve"> </w:t>
      </w:r>
      <w:r>
        <w:t>to 120</w:t>
      </w:r>
      <m:oMath>
        <m:r>
          <w:rPr>
            <w:rFonts w:ascii="Cambria Math" w:hAnsi="Cambria Math"/>
          </w:rPr>
          <m:t>℉</m:t>
        </m:r>
      </m:oMath>
      <w:r>
        <w:t xml:space="preserve"> (light green shaded area), the typical summer outdoor air temperature condition. This is because once the outdoor air, which can be considered as the air entering the condenser, gets higher, the condensation temperature gets higher, reducing the AC output. As shown in </w:t>
      </w:r>
      <w:r w:rsidR="00E1040C">
        <w:fldChar w:fldCharType="begin"/>
      </w:r>
      <w:r w:rsidR="00E1040C">
        <w:instrText xml:space="preserve"> REF _Ref133582862 \h </w:instrText>
      </w:r>
      <w:r w:rsidR="00E1040C">
        <w:fldChar w:fldCharType="separate"/>
      </w:r>
      <w:r w:rsidR="000E1725" w:rsidRPr="007C19BD">
        <w:t xml:space="preserve">Figure </w:t>
      </w:r>
      <w:r w:rsidR="000E1725">
        <w:rPr>
          <w:noProof/>
        </w:rPr>
        <w:t>3</w:t>
      </w:r>
      <w:r w:rsidR="000E1725">
        <w:t>.</w:t>
      </w:r>
      <w:r w:rsidR="000E1725">
        <w:rPr>
          <w:noProof/>
        </w:rPr>
        <w:t>2</w:t>
      </w:r>
      <w:r w:rsidR="00E1040C">
        <w:fldChar w:fldCharType="end"/>
      </w:r>
      <w:r>
        <w:t xml:space="preserve">(c), the red curve satisfies this fact, which leads to Constraints </w:t>
      </w:r>
      <w:r>
        <w:fldChar w:fldCharType="begin"/>
      </w:r>
      <w:r>
        <w:instrText xml:space="preserve"> REF _Ref133843047 \h </w:instrText>
      </w:r>
      <w:r>
        <w:fldChar w:fldCharType="separate"/>
      </w:r>
      <w:r w:rsidR="000E1725" w:rsidRPr="001533AA">
        <w:rPr>
          <w:rFonts w:ascii="Times" w:hAnsi="Times"/>
          <w:szCs w:val="24"/>
        </w:rPr>
        <w:t>(</w:t>
      </w:r>
      <w:r w:rsidR="000E1725">
        <w:rPr>
          <w:rFonts w:ascii="Times" w:hAnsi="Times"/>
          <w:noProof/>
          <w:szCs w:val="24"/>
        </w:rPr>
        <w:t>10</w:t>
      </w:r>
      <w:r w:rsidR="000E1725" w:rsidRPr="001533AA">
        <w:rPr>
          <w:rFonts w:ascii="Times" w:hAnsi="Times"/>
          <w:szCs w:val="24"/>
        </w:rPr>
        <w:t>)</w:t>
      </w:r>
      <w:r>
        <w:fldChar w:fldCharType="end"/>
      </w:r>
      <w:r>
        <w:t>-</w:t>
      </w:r>
      <w:r>
        <w:fldChar w:fldCharType="begin"/>
      </w:r>
      <w:r>
        <w:instrText xml:space="preserve"> REF _Ref133842947 \h </w:instrText>
      </w:r>
      <w:r>
        <w:fldChar w:fldCharType="separate"/>
      </w:r>
      <w:r w:rsidR="000E1725" w:rsidRPr="001533AA">
        <w:rPr>
          <w:rFonts w:ascii="Times" w:hAnsi="Times"/>
          <w:szCs w:val="24"/>
        </w:rPr>
        <w:t>(</w:t>
      </w:r>
      <w:r w:rsidR="000E1725">
        <w:rPr>
          <w:rFonts w:ascii="Times" w:hAnsi="Times"/>
          <w:noProof/>
          <w:szCs w:val="24"/>
        </w:rPr>
        <w:t>12</w:t>
      </w:r>
      <w:r w:rsidR="000E1725" w:rsidRPr="001533AA">
        <w:rPr>
          <w:rFonts w:ascii="Times" w:hAnsi="Times"/>
          <w:szCs w:val="24"/>
        </w:rPr>
        <w:t>)</w:t>
      </w:r>
      <w:r>
        <w:fldChar w:fldCharType="end"/>
      </w:r>
      <w:r>
        <w:t xml:space="preserve">.  </w:t>
      </w:r>
    </w:p>
    <w:p w14:paraId="460E0D44" w14:textId="77777777" w:rsidR="000215B4" w:rsidRDefault="000215B4" w:rsidP="000215B4">
      <w:pPr>
        <w:pStyle w:val="Heading3"/>
      </w:pPr>
      <w:bookmarkStart w:id="161" w:name="_Toc133542358"/>
      <w:bookmarkStart w:id="162" w:name="_Toc141991687"/>
      <w:r>
        <w:rPr>
          <w:rFonts w:hint="eastAsia"/>
        </w:rPr>
        <w:t>H</w:t>
      </w:r>
      <w:r>
        <w:t>VAC system power estimation</w:t>
      </w:r>
      <w:bookmarkEnd w:id="161"/>
      <w:bookmarkEnd w:id="162"/>
    </w:p>
    <w:p w14:paraId="241FBE73" w14:textId="7DC9EEC5" w:rsidR="000215B4" w:rsidRDefault="000215B4" w:rsidP="000215B4">
      <w:r>
        <w:rPr>
          <w:rFonts w:hint="eastAsia"/>
        </w:rPr>
        <w:t>I</w:t>
      </w:r>
      <w:r>
        <w:t>n Section</w:t>
      </w:r>
      <w:r w:rsidR="00E1040C">
        <w:t xml:space="preserve"> </w:t>
      </w:r>
      <w:r w:rsidR="00E1040C">
        <w:fldChar w:fldCharType="begin"/>
      </w:r>
      <w:r w:rsidR="00E1040C">
        <w:instrText xml:space="preserve"> REF _Ref139414065 \n \h </w:instrText>
      </w:r>
      <w:r w:rsidR="00E1040C">
        <w:fldChar w:fldCharType="separate"/>
      </w:r>
      <w:r w:rsidR="000E1725">
        <w:t>3.3.2</w:t>
      </w:r>
      <w:r w:rsidR="00E1040C">
        <w:fldChar w:fldCharType="end"/>
      </w:r>
      <w:r>
        <w:t>, we have discussed the modeling of the thermal dynamics of homes, i.e., the model describes the heat transfer between the outside environment, building envelope, and indoor space. Although modeling such dynamics is a crucial part of understanding the behavior of the HVAC system, we also need to consider other parts of the HVAC system</w:t>
      </w:r>
      <w:r>
        <w:rPr>
          <w:rFonts w:ascii="Arial" w:hAnsi="Arial" w:cs="Arial"/>
          <w:color w:val="4D5156"/>
          <w:sz w:val="21"/>
          <w:shd w:val="clear" w:color="auto" w:fill="FFFFFF"/>
        </w:rPr>
        <w:t>—</w:t>
      </w:r>
      <w:r>
        <w:t xml:space="preserve">its power estimation. In this section, we will discuss the modeling of the HVAC system power consumption, which is an important procedure for achieving minimum energy or cost in optimal control. </w:t>
      </w:r>
    </w:p>
    <w:p w14:paraId="70DA05F6" w14:textId="77777777" w:rsidR="000215B4" w:rsidRDefault="000215B4" w:rsidP="000215B4">
      <w:r>
        <w:t>In general, a common AC system</w:t>
      </w:r>
      <w:r w:rsidRPr="009D7908">
        <w:t xml:space="preserve"> </w:t>
      </w:r>
      <w:r>
        <w:t>in a residential building consists of</w:t>
      </w:r>
      <w:r w:rsidRPr="009D7908">
        <w:t xml:space="preserve"> an outdoor </w:t>
      </w:r>
      <w:r>
        <w:t>unit</w:t>
      </w:r>
      <w:r w:rsidRPr="009D7908">
        <w:t xml:space="preserve"> and an indoor unit</w:t>
      </w:r>
      <w:r>
        <w:t>, where the</w:t>
      </w:r>
      <w:r w:rsidRPr="009D7908">
        <w:t xml:space="preserve"> power</w:t>
      </w:r>
      <w:r>
        <w:t xml:space="preserve"> of the indoor (</w:t>
      </w:r>
      <m:oMath>
        <m:sSub>
          <m:sSubPr>
            <m:ctrlPr>
              <w:rPr>
                <w:rFonts w:ascii="Cambria Math" w:hAnsi="Cambria Math"/>
                <w:i/>
              </w:rPr>
            </m:ctrlPr>
          </m:sSubPr>
          <m:e>
            <m:r>
              <w:rPr>
                <w:rFonts w:ascii="Cambria Math" w:hAnsi="Cambria Math"/>
              </w:rPr>
              <m:t>P</m:t>
            </m:r>
          </m:e>
          <m:sub>
            <m:r>
              <m:rPr>
                <m:nor/>
              </m:rPr>
              <w:rPr>
                <w:rFonts w:ascii="Cambria Math" w:hAnsi="Cambria Math"/>
              </w:rPr>
              <m:t>indoor</m:t>
            </m:r>
          </m:sub>
        </m:sSub>
      </m:oMath>
      <w:r>
        <w:t>) unit</w:t>
      </w:r>
      <w:r w:rsidRPr="009D7908">
        <w:t xml:space="preserve"> is relatively constant</w:t>
      </w:r>
      <w:r>
        <w:t xml:space="preserve"> and the power of the outdoor unit (</w:t>
      </w:r>
      <m:oMath>
        <m:sSub>
          <m:sSubPr>
            <m:ctrlPr>
              <w:rPr>
                <w:rFonts w:ascii="Cambria Math" w:hAnsi="Cambria Math"/>
                <w:i/>
              </w:rPr>
            </m:ctrlPr>
          </m:sSubPr>
          <m:e>
            <m:r>
              <w:rPr>
                <w:rFonts w:ascii="Cambria Math" w:hAnsi="Cambria Math"/>
              </w:rPr>
              <m:t>P</m:t>
            </m:r>
          </m:e>
          <m:sub>
            <m:r>
              <m:rPr>
                <m:nor/>
              </m:rPr>
              <w:rPr>
                <w:rFonts w:ascii="Cambria Math" w:hAnsi="Cambria Math"/>
              </w:rPr>
              <m:t>outdoor</m:t>
            </m:r>
          </m:sub>
        </m:sSub>
      </m:oMath>
      <w:r>
        <w:t>) may affected by</w:t>
      </w:r>
      <w:r w:rsidRPr="009D7908">
        <w:t xml:space="preserve"> two factors</w:t>
      </w:r>
      <w:r>
        <w:t>: the</w:t>
      </w:r>
      <w:r w:rsidRPr="009D7908">
        <w:t xml:space="preserve"> wet bulb temperature of the air entering the evaporator, and the temperature </w:t>
      </w:r>
      <w:r>
        <w:t xml:space="preserve">of the air </w:t>
      </w:r>
      <w:r w:rsidRPr="009D7908">
        <w:t xml:space="preserve">entering the condenser. </w:t>
      </w:r>
      <w:r>
        <w:rPr>
          <w:rFonts w:hint="eastAsia"/>
        </w:rPr>
        <w:t>If</w:t>
      </w:r>
      <w:r>
        <w:t xml:space="preserve"> the outdoor unit is placed in the outdoor and the indoor unit is placed inside the building, the indoor air can be considered as the air entering the evaporator and the outdoor air can be considered as the air entering the condenser. Therefore, </w:t>
      </w:r>
      <m:oMath>
        <m:sSub>
          <m:sSubPr>
            <m:ctrlPr>
              <w:rPr>
                <w:rFonts w:ascii="Cambria Math" w:hAnsi="Cambria Math"/>
                <w:i/>
              </w:rPr>
            </m:ctrlPr>
          </m:sSubPr>
          <m:e>
            <m:r>
              <w:rPr>
                <w:rFonts w:ascii="Cambria Math" w:hAnsi="Cambria Math"/>
              </w:rPr>
              <m:t>P</m:t>
            </m:r>
          </m:e>
          <m:sub>
            <m:r>
              <m:rPr>
                <m:nor/>
              </m:rPr>
              <w:rPr>
                <w:rFonts w:ascii="Cambria Math" w:hAnsi="Cambria Math"/>
              </w:rPr>
              <m:t>outdoor</m:t>
            </m:r>
          </m:sub>
        </m:sSub>
      </m:oMath>
      <w:r>
        <w:t xml:space="preserve"> is a function in </w:t>
      </w:r>
      <m:oMath>
        <m:sSub>
          <m:sSubPr>
            <m:ctrlPr>
              <w:rPr>
                <w:rFonts w:ascii="Cambria Math" w:hAnsi="Cambria Math"/>
                <w:i/>
              </w:rPr>
            </m:ctrlPr>
          </m:sSubPr>
          <m:e>
            <m:r>
              <w:rPr>
                <w:rFonts w:ascii="Cambria Math" w:hAnsi="Cambria Math"/>
              </w:rPr>
              <m:t>T</m:t>
            </m:r>
          </m:e>
          <m:sub>
            <m:r>
              <w:rPr>
                <w:rFonts w:ascii="Cambria Math" w:hAnsi="Cambria Math"/>
              </w:rPr>
              <m:t>in,wet</m:t>
            </m:r>
          </m:sub>
        </m:sSub>
      </m:oMath>
      <w:r>
        <w:t xml:space="preserve"> (indoor air wet blub </w:t>
      </w:r>
      <w:r>
        <w:lastRenderedPageBreak/>
        <w:t xml:space="preserve">temperature) and </w:t>
      </w:r>
      <m:oMath>
        <m:sSub>
          <m:sSubPr>
            <m:ctrlPr>
              <w:rPr>
                <w:rFonts w:ascii="Cambria Math" w:hAnsi="Cambria Math"/>
                <w:i/>
              </w:rPr>
            </m:ctrlPr>
          </m:sSubPr>
          <m:e>
            <m:r>
              <w:rPr>
                <w:rFonts w:ascii="Cambria Math" w:hAnsi="Cambria Math"/>
              </w:rPr>
              <m:t>T</m:t>
            </m:r>
          </m:e>
          <m:sub>
            <m:r>
              <w:rPr>
                <w:rFonts w:ascii="Cambria Math" w:hAnsi="Cambria Math"/>
              </w:rPr>
              <m:t>o</m:t>
            </m:r>
          </m:sub>
        </m:sSub>
      </m:oMath>
      <w:r>
        <w:rPr>
          <w:rFonts w:hint="eastAsia"/>
        </w:rPr>
        <w:t xml:space="preserve"> </w:t>
      </w:r>
      <w:r>
        <w:t>(outdoor air temperature). However,</w:t>
      </w:r>
      <w:r w:rsidRPr="009D7908">
        <w:t xml:space="preserve"> </w:t>
      </w:r>
      <w:r>
        <w:t xml:space="preserve">same as the reason for only use the outdoor air as the dependent variable of the AC output to the temperature dynamics, we neglect the impact of </w:t>
      </w:r>
      <m:oMath>
        <m:sSub>
          <m:sSubPr>
            <m:ctrlPr>
              <w:rPr>
                <w:rFonts w:ascii="Cambria Math" w:hAnsi="Cambria Math"/>
                <w:i/>
              </w:rPr>
            </m:ctrlPr>
          </m:sSubPr>
          <m:e>
            <m:r>
              <w:rPr>
                <w:rFonts w:ascii="Cambria Math" w:hAnsi="Cambria Math"/>
              </w:rPr>
              <m:t>T</m:t>
            </m:r>
          </m:e>
          <m:sub>
            <m:r>
              <w:rPr>
                <w:rFonts w:ascii="Cambria Math" w:hAnsi="Cambria Math"/>
              </w:rPr>
              <m:t>in,wet</m:t>
            </m:r>
          </m:sub>
        </m:sSub>
      </m:oMath>
      <w:r w:rsidRPr="009D7908">
        <w:t>. In this study, we conduct third</w:t>
      </w:r>
      <w:r>
        <w:t>-</w:t>
      </w:r>
      <w:r w:rsidRPr="009D7908">
        <w:t>order polynomial regression to estimate the outdoor unit power</w:t>
      </w:r>
      <w:r>
        <w:t xml:space="preserve"> and constant value for indoor air unit power: </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2"/>
        <w:gridCol w:w="1098"/>
      </w:tblGrid>
      <w:tr w:rsidR="000215B4" w:rsidRPr="00B4798A" w14:paraId="62198B08" w14:textId="77777777" w:rsidTr="00AF3671">
        <w:trPr>
          <w:trHeight w:val="814"/>
        </w:trPr>
        <w:tc>
          <w:tcPr>
            <w:tcW w:w="8262" w:type="dxa"/>
            <w:vAlign w:val="center"/>
          </w:tcPr>
          <w:p w14:paraId="77239371" w14:textId="77777777" w:rsidR="000215B4" w:rsidRPr="00E54D3A" w:rsidRDefault="00000000" w:rsidP="002023DB">
            <w:pPr>
              <w:rPr>
                <w:rFonts w:eastAsiaTheme="minorEastAsia"/>
                <w:i/>
                <w:shd w:val="clear" w:color="auto" w:fill="F8F9FA"/>
              </w:rPr>
            </w:pPr>
            <m:oMathPara>
              <m:oMath>
                <m:sSup>
                  <m:sSupPr>
                    <m:ctrlPr>
                      <w:rPr>
                        <w:rFonts w:ascii="Cambria Math" w:hAnsi="Cambria Math"/>
                        <w:shd w:val="clear" w:color="auto" w:fill="F8F9FA"/>
                      </w:rPr>
                    </m:ctrlPr>
                  </m:sSupPr>
                  <m:e>
                    <m:sSub>
                      <m:sSubPr>
                        <m:ctrlPr>
                          <w:rPr>
                            <w:rFonts w:ascii="Cambria Math" w:hAnsi="Cambria Math"/>
                            <w:shd w:val="clear" w:color="auto" w:fill="F8F9FA"/>
                          </w:rPr>
                        </m:ctrlPr>
                      </m:sSubPr>
                      <m:e>
                        <m:r>
                          <m:rPr>
                            <m:sty m:val="p"/>
                          </m:rPr>
                          <w:rPr>
                            <w:rFonts w:ascii="Cambria Math" w:hAnsi="Cambria Math"/>
                            <w:shd w:val="clear" w:color="auto" w:fill="F8F9FA"/>
                          </w:rPr>
                          <m:t>P</m:t>
                        </m:r>
                      </m:e>
                      <m:sub>
                        <m:r>
                          <m:rPr>
                            <m:nor/>
                          </m:rPr>
                          <w:rPr>
                            <w:rFonts w:ascii="Cambria Math" w:hAnsi="Cambria Math"/>
                            <w:shd w:val="clear" w:color="auto" w:fill="F8F9FA"/>
                          </w:rPr>
                          <m:t>HVAC</m:t>
                        </m:r>
                      </m:sub>
                    </m:sSub>
                  </m:e>
                  <m:sup>
                    <m:r>
                      <w:rPr>
                        <w:rFonts w:ascii="Cambria Math" w:hAnsi="Cambria Math"/>
                        <w:shd w:val="clear" w:color="auto" w:fill="F8F9FA"/>
                      </w:rPr>
                      <m:t xml:space="preserve"> </m:t>
                    </m:r>
                  </m:sup>
                </m:sSup>
                <m:r>
                  <w:rPr>
                    <w:rFonts w:ascii="Cambria Math" w:hAnsi="Cambria Math"/>
                    <w:shd w:val="clear" w:color="auto" w:fill="F8F9FA"/>
                  </w:rPr>
                  <m:t>=</m:t>
                </m:r>
                <m:sSub>
                  <m:sSubPr>
                    <m:ctrlPr>
                      <w:rPr>
                        <w:rFonts w:ascii="Cambria Math" w:hAnsi="Cambria Math"/>
                        <w:shd w:val="clear" w:color="auto" w:fill="F8F9FA"/>
                      </w:rPr>
                    </m:ctrlPr>
                  </m:sSubPr>
                  <m:e>
                    <m:r>
                      <w:rPr>
                        <w:rFonts w:ascii="Cambria Math" w:hAnsi="Cambria Math"/>
                        <w:shd w:val="clear" w:color="auto" w:fill="F8F9FA"/>
                      </w:rPr>
                      <m:t>A</m:t>
                    </m:r>
                  </m:e>
                  <m:sub>
                    <m:r>
                      <w:rPr>
                        <w:rFonts w:ascii="Cambria Math" w:hAnsi="Cambria Math"/>
                        <w:shd w:val="clear" w:color="auto" w:fill="F8F9FA"/>
                      </w:rPr>
                      <m:t>1</m:t>
                    </m:r>
                  </m:sub>
                </m:sSub>
                <m:sSubSup>
                  <m:sSubSupPr>
                    <m:ctrlPr>
                      <w:rPr>
                        <w:rFonts w:ascii="Cambria Math" w:hAnsi="Cambria Math"/>
                        <w:i/>
                        <w:shd w:val="clear" w:color="auto" w:fill="F8F9FA"/>
                      </w:rPr>
                    </m:ctrlPr>
                  </m:sSubSupPr>
                  <m:e>
                    <m:r>
                      <w:rPr>
                        <w:rFonts w:ascii="Cambria Math" w:hAnsi="Cambria Math"/>
                        <w:shd w:val="clear" w:color="auto" w:fill="F8F9FA"/>
                      </w:rPr>
                      <m:t>T</m:t>
                    </m:r>
                  </m:e>
                  <m:sub>
                    <m:r>
                      <w:rPr>
                        <w:rFonts w:ascii="Cambria Math" w:hAnsi="Cambria Math"/>
                        <w:shd w:val="clear" w:color="auto" w:fill="F8F9FA"/>
                      </w:rPr>
                      <m:t>o</m:t>
                    </m:r>
                  </m:sub>
                  <m:sup>
                    <m:r>
                      <w:rPr>
                        <w:rFonts w:ascii="Cambria Math" w:hAnsi="Cambria Math"/>
                        <w:shd w:val="clear" w:color="auto" w:fill="F8F9FA"/>
                      </w:rPr>
                      <m:t xml:space="preserve"> </m:t>
                    </m:r>
                  </m:sup>
                </m:sSubSup>
                <m:r>
                  <w:rPr>
                    <w:rFonts w:ascii="Cambria Math" w:hAnsi="Cambria Math"/>
                    <w:shd w:val="clear" w:color="auto" w:fill="F8F9FA"/>
                  </w:rPr>
                  <m:t>+</m:t>
                </m:r>
                <m:sSub>
                  <m:sSubPr>
                    <m:ctrlPr>
                      <w:rPr>
                        <w:rFonts w:ascii="Cambria Math" w:hAnsi="Cambria Math"/>
                        <w:shd w:val="clear" w:color="auto" w:fill="F8F9FA"/>
                      </w:rPr>
                    </m:ctrlPr>
                  </m:sSubPr>
                  <m:e>
                    <m:r>
                      <w:rPr>
                        <w:rFonts w:ascii="Cambria Math" w:hAnsi="Cambria Math"/>
                        <w:shd w:val="clear" w:color="auto" w:fill="F8F9FA"/>
                      </w:rPr>
                      <m:t>A</m:t>
                    </m:r>
                  </m:e>
                  <m:sub>
                    <m:r>
                      <w:rPr>
                        <w:rFonts w:ascii="Cambria Math" w:hAnsi="Cambria Math"/>
                        <w:shd w:val="clear" w:color="auto" w:fill="F8F9FA"/>
                      </w:rPr>
                      <m:t>2</m:t>
                    </m:r>
                  </m:sub>
                </m:sSub>
                <m:sSubSup>
                  <m:sSubSupPr>
                    <m:ctrlPr>
                      <w:rPr>
                        <w:rFonts w:ascii="Cambria Math" w:hAnsi="Cambria Math"/>
                        <w:i/>
                        <w:shd w:val="clear" w:color="auto" w:fill="F8F9FA"/>
                      </w:rPr>
                    </m:ctrlPr>
                  </m:sSubSupPr>
                  <m:e>
                    <m:r>
                      <w:rPr>
                        <w:rFonts w:ascii="Cambria Math" w:hAnsi="Cambria Math"/>
                        <w:shd w:val="clear" w:color="auto" w:fill="F8F9FA"/>
                      </w:rPr>
                      <m:t>T</m:t>
                    </m:r>
                  </m:e>
                  <m:sub>
                    <m:r>
                      <w:rPr>
                        <w:rFonts w:ascii="Cambria Math" w:hAnsi="Cambria Math"/>
                        <w:shd w:val="clear" w:color="auto" w:fill="F8F9FA"/>
                      </w:rPr>
                      <m:t>o</m:t>
                    </m:r>
                  </m:sub>
                  <m:sup>
                    <m:sSup>
                      <m:sSupPr>
                        <m:ctrlPr>
                          <w:rPr>
                            <w:rFonts w:ascii="Cambria Math" w:hAnsi="Cambria Math"/>
                            <w:i/>
                            <w:shd w:val="clear" w:color="auto" w:fill="F8F9FA"/>
                          </w:rPr>
                        </m:ctrlPr>
                      </m:sSupPr>
                      <m:e>
                        <m:r>
                          <w:rPr>
                            <w:rFonts w:ascii="Cambria Math" w:hAnsi="Cambria Math"/>
                            <w:shd w:val="clear" w:color="auto" w:fill="F8F9FA"/>
                          </w:rPr>
                          <m:t xml:space="preserve"> </m:t>
                        </m:r>
                      </m:e>
                      <m:sup>
                        <m:r>
                          <w:rPr>
                            <w:rFonts w:ascii="Cambria Math" w:hAnsi="Cambria Math"/>
                            <w:shd w:val="clear" w:color="auto" w:fill="F8F9FA"/>
                          </w:rPr>
                          <m:t>2</m:t>
                        </m:r>
                      </m:sup>
                    </m:sSup>
                  </m:sup>
                </m:sSubSup>
                <m:r>
                  <w:rPr>
                    <w:rFonts w:ascii="Cambria Math" w:hAnsi="Cambria Math"/>
                    <w:shd w:val="clear" w:color="auto" w:fill="F8F9FA"/>
                  </w:rPr>
                  <m:t>+</m:t>
                </m:r>
                <m:sSub>
                  <m:sSubPr>
                    <m:ctrlPr>
                      <w:rPr>
                        <w:rFonts w:ascii="Cambria Math" w:hAnsi="Cambria Math"/>
                        <w:shd w:val="clear" w:color="auto" w:fill="F8F9FA"/>
                      </w:rPr>
                    </m:ctrlPr>
                  </m:sSubPr>
                  <m:e>
                    <m:r>
                      <w:rPr>
                        <w:rFonts w:ascii="Cambria Math" w:hAnsi="Cambria Math"/>
                        <w:shd w:val="clear" w:color="auto" w:fill="F8F9FA"/>
                      </w:rPr>
                      <m:t>A</m:t>
                    </m:r>
                  </m:e>
                  <m:sub>
                    <m:r>
                      <w:rPr>
                        <w:rFonts w:ascii="Cambria Math" w:hAnsi="Cambria Math"/>
                        <w:shd w:val="clear" w:color="auto" w:fill="F8F9FA"/>
                      </w:rPr>
                      <m:t>3</m:t>
                    </m:r>
                  </m:sub>
                </m:sSub>
                <m:sSubSup>
                  <m:sSubSupPr>
                    <m:ctrlPr>
                      <w:rPr>
                        <w:rFonts w:ascii="Cambria Math" w:hAnsi="Cambria Math"/>
                        <w:i/>
                        <w:shd w:val="clear" w:color="auto" w:fill="F8F9FA"/>
                      </w:rPr>
                    </m:ctrlPr>
                  </m:sSubSupPr>
                  <m:e>
                    <m:r>
                      <w:rPr>
                        <w:rFonts w:ascii="Cambria Math" w:hAnsi="Cambria Math"/>
                        <w:shd w:val="clear" w:color="auto" w:fill="F8F9FA"/>
                      </w:rPr>
                      <m:t>T</m:t>
                    </m:r>
                  </m:e>
                  <m:sub>
                    <m:r>
                      <w:rPr>
                        <w:rFonts w:ascii="Cambria Math" w:hAnsi="Cambria Math"/>
                        <w:shd w:val="clear" w:color="auto" w:fill="F8F9FA"/>
                      </w:rPr>
                      <m:t>o</m:t>
                    </m:r>
                  </m:sub>
                  <m:sup>
                    <m:sSup>
                      <m:sSupPr>
                        <m:ctrlPr>
                          <w:rPr>
                            <w:rFonts w:ascii="Cambria Math" w:hAnsi="Cambria Math"/>
                            <w:i/>
                            <w:shd w:val="clear" w:color="auto" w:fill="F8F9FA"/>
                          </w:rPr>
                        </m:ctrlPr>
                      </m:sSupPr>
                      <m:e>
                        <m:r>
                          <w:rPr>
                            <w:rFonts w:ascii="Cambria Math" w:hAnsi="Cambria Math"/>
                            <w:shd w:val="clear" w:color="auto" w:fill="F8F9FA"/>
                          </w:rPr>
                          <m:t xml:space="preserve"> </m:t>
                        </m:r>
                      </m:e>
                      <m:sup>
                        <m:r>
                          <w:rPr>
                            <w:rFonts w:ascii="Cambria Math" w:hAnsi="Cambria Math"/>
                            <w:shd w:val="clear" w:color="auto" w:fill="F8F9FA"/>
                          </w:rPr>
                          <m:t>3</m:t>
                        </m:r>
                      </m:sup>
                    </m:sSup>
                  </m:sup>
                </m:sSubSup>
                <m:r>
                  <w:rPr>
                    <w:rFonts w:ascii="Cambria Math" w:hAnsi="Cambria Math"/>
                    <w:shd w:val="clear" w:color="auto" w:fill="F8F9FA"/>
                  </w:rPr>
                  <m:t>+</m:t>
                </m:r>
                <m:sSub>
                  <m:sSubPr>
                    <m:ctrlPr>
                      <w:rPr>
                        <w:rFonts w:ascii="Cambria Math" w:hAnsi="Cambria Math"/>
                        <w:shd w:val="clear" w:color="auto" w:fill="F8F9FA"/>
                      </w:rPr>
                    </m:ctrlPr>
                  </m:sSubPr>
                  <m:e>
                    <m:r>
                      <w:rPr>
                        <w:rFonts w:ascii="Cambria Math" w:hAnsi="Cambria Math"/>
                        <w:shd w:val="clear" w:color="auto" w:fill="F8F9FA"/>
                      </w:rPr>
                      <m:t>A</m:t>
                    </m:r>
                  </m:e>
                  <m:sub>
                    <m:r>
                      <w:rPr>
                        <w:rFonts w:ascii="Cambria Math" w:hAnsi="Cambria Math"/>
                        <w:shd w:val="clear" w:color="auto" w:fill="F8F9FA"/>
                      </w:rPr>
                      <m:t>4</m:t>
                    </m:r>
                  </m:sub>
                </m:sSub>
                <m:r>
                  <w:rPr>
                    <w:rFonts w:ascii="Cambria Math" w:hAnsi="Cambria Math"/>
                    <w:shd w:val="clear" w:color="auto" w:fill="F8F9FA"/>
                  </w:rPr>
                  <m:t>+</m:t>
                </m:r>
                <m:sSub>
                  <m:sSubPr>
                    <m:ctrlPr>
                      <w:rPr>
                        <w:rFonts w:ascii="Cambria Math" w:hAnsi="Cambria Math"/>
                        <w:shd w:val="clear" w:color="auto" w:fill="F8F9FA"/>
                      </w:rPr>
                    </m:ctrlPr>
                  </m:sSubPr>
                  <m:e>
                    <m:r>
                      <w:rPr>
                        <w:rFonts w:ascii="Cambria Math" w:hAnsi="Cambria Math"/>
                        <w:shd w:val="clear" w:color="auto" w:fill="F8F9FA"/>
                      </w:rPr>
                      <m:t>P</m:t>
                    </m:r>
                  </m:e>
                  <m:sub>
                    <m:r>
                      <m:rPr>
                        <m:sty m:val="p"/>
                      </m:rPr>
                      <w:rPr>
                        <w:rFonts w:ascii="Cambria Math" w:hAnsi="Cambria Math"/>
                        <w:shd w:val="clear" w:color="auto" w:fill="F8F9FA"/>
                      </w:rPr>
                      <m:t>indoor</m:t>
                    </m:r>
                  </m:sub>
                </m:sSub>
              </m:oMath>
            </m:oMathPara>
          </w:p>
        </w:tc>
        <w:tc>
          <w:tcPr>
            <w:tcW w:w="738" w:type="dxa"/>
            <w:vAlign w:val="center"/>
          </w:tcPr>
          <w:p w14:paraId="2ADC579A" w14:textId="6CE816E4" w:rsidR="000215B4" w:rsidRPr="00B4798A" w:rsidRDefault="000215B4" w:rsidP="002023DB">
            <w:bookmarkStart w:id="163" w:name="_Ref133072118"/>
            <w:r>
              <w:t>(</w:t>
            </w:r>
            <w:r>
              <w:fldChar w:fldCharType="begin"/>
            </w:r>
            <w:r>
              <w:instrText>SEQ equation \* ARABIC</w:instrText>
            </w:r>
            <w:r>
              <w:fldChar w:fldCharType="separate"/>
            </w:r>
            <w:r w:rsidR="000E1725">
              <w:rPr>
                <w:noProof/>
              </w:rPr>
              <w:t>13</w:t>
            </w:r>
            <w:r>
              <w:fldChar w:fldCharType="end"/>
            </w:r>
            <w:r>
              <w:t>)</w:t>
            </w:r>
            <w:bookmarkEnd w:id="163"/>
            <w:r>
              <w:t xml:space="preserve"> </w:t>
            </w:r>
          </w:p>
        </w:tc>
      </w:tr>
    </w:tbl>
    <w:p w14:paraId="08F794D1" w14:textId="77777777" w:rsidR="000215B4" w:rsidRDefault="000215B4" w:rsidP="000215B4">
      <w:pPr>
        <w:pStyle w:val="Heading2"/>
      </w:pPr>
      <w:bookmarkStart w:id="164" w:name="_Toc133542359"/>
      <w:bookmarkStart w:id="165" w:name="_Toc141991688"/>
      <w:bookmarkEnd w:id="157"/>
      <w:bookmarkEnd w:id="158"/>
      <w:r>
        <w:t>Water Heater Modeling</w:t>
      </w:r>
      <w:bookmarkEnd w:id="164"/>
      <w:bookmarkEnd w:id="165"/>
    </w:p>
    <w:p w14:paraId="1D14C06A" w14:textId="77777777" w:rsidR="000215B4" w:rsidRDefault="000215B4" w:rsidP="000215B4">
      <w:pPr>
        <w:pStyle w:val="Heading3"/>
      </w:pPr>
      <w:bookmarkStart w:id="166" w:name="_Toc141991689"/>
      <w:r>
        <w:t xml:space="preserve">Reduced-order </w:t>
      </w:r>
      <w:r>
        <w:rPr>
          <w:rFonts w:hint="eastAsia"/>
        </w:rPr>
        <w:t>R</w:t>
      </w:r>
      <w:r>
        <w:t>C-based gray-box model of water heater thermal dynamics</w:t>
      </w:r>
      <w:bookmarkEnd w:id="166"/>
      <w:r>
        <w:t xml:space="preserve"> </w:t>
      </w:r>
    </w:p>
    <w:p w14:paraId="4026559C" w14:textId="21D00087" w:rsidR="000215B4" w:rsidRDefault="000215B4" w:rsidP="000215B4">
      <w:r>
        <w:t>Besides electricity, water is another important medium that connects energy consumption in a residential building.</w:t>
      </w:r>
      <w:r>
        <w:rPr>
          <w:spacing w:val="6"/>
        </w:rPr>
        <w:t xml:space="preserve"> </w:t>
      </w:r>
      <w:r>
        <w:t>F</w:t>
      </w:r>
      <w:r>
        <w:rPr>
          <w:spacing w:val="-3"/>
        </w:rPr>
        <w:t>or</w:t>
      </w:r>
      <w:r>
        <w:rPr>
          <w:spacing w:val="-10"/>
        </w:rPr>
        <w:t xml:space="preserve"> </w:t>
      </w:r>
      <w:r>
        <w:t>example,</w:t>
      </w:r>
      <w:r>
        <w:rPr>
          <w:spacing w:val="-11"/>
        </w:rPr>
        <w:t xml:space="preserve"> a </w:t>
      </w:r>
      <w:r>
        <w:t>clothes</w:t>
      </w:r>
      <w:r>
        <w:rPr>
          <w:spacing w:val="-11"/>
        </w:rPr>
        <w:t xml:space="preserve"> </w:t>
      </w:r>
      <w:r>
        <w:t>washer withdraws</w:t>
      </w:r>
      <w:r>
        <w:rPr>
          <w:spacing w:val="-13"/>
        </w:rPr>
        <w:t xml:space="preserve"> </w:t>
      </w:r>
      <w:r>
        <w:t>hot</w:t>
      </w:r>
      <w:r>
        <w:rPr>
          <w:spacing w:val="-13"/>
        </w:rPr>
        <w:t xml:space="preserve"> </w:t>
      </w:r>
      <w:r>
        <w:t>water</w:t>
      </w:r>
      <w:r>
        <w:rPr>
          <w:spacing w:val="-13"/>
        </w:rPr>
        <w:t xml:space="preserve"> </w:t>
      </w:r>
      <w:r>
        <w:t>from</w:t>
      </w:r>
      <w:r>
        <w:rPr>
          <w:spacing w:val="-13"/>
        </w:rPr>
        <w:t xml:space="preserve"> </w:t>
      </w:r>
      <w:r>
        <w:t>a</w:t>
      </w:r>
      <w:r>
        <w:rPr>
          <w:spacing w:val="-13"/>
        </w:rPr>
        <w:t xml:space="preserve"> </w:t>
      </w:r>
      <w:r>
        <w:rPr>
          <w:spacing w:val="-3"/>
        </w:rPr>
        <w:t>hot</w:t>
      </w:r>
      <w:r>
        <w:rPr>
          <w:spacing w:val="-13"/>
        </w:rPr>
        <w:t xml:space="preserve"> </w:t>
      </w:r>
      <w:r>
        <w:t>water</w:t>
      </w:r>
      <w:r>
        <w:rPr>
          <w:spacing w:val="-12"/>
        </w:rPr>
        <w:t xml:space="preserve"> </w:t>
      </w:r>
      <w:r>
        <w:t>tank;</w:t>
      </w:r>
      <w:r>
        <w:rPr>
          <w:spacing w:val="-12"/>
        </w:rPr>
        <w:t xml:space="preserve"> </w:t>
      </w:r>
      <w:r>
        <w:t>a</w:t>
      </w:r>
      <w:r>
        <w:rPr>
          <w:spacing w:val="-13"/>
        </w:rPr>
        <w:t xml:space="preserve"> </w:t>
      </w:r>
      <w:r>
        <w:t>hot</w:t>
      </w:r>
      <w:r>
        <w:rPr>
          <w:spacing w:val="-13"/>
        </w:rPr>
        <w:t xml:space="preserve"> </w:t>
      </w:r>
      <w:r>
        <w:t>water</w:t>
      </w:r>
      <w:r>
        <w:rPr>
          <w:spacing w:val="-13"/>
        </w:rPr>
        <w:t xml:space="preserve"> </w:t>
      </w:r>
      <w:r>
        <w:t>tank</w:t>
      </w:r>
      <w:r>
        <w:rPr>
          <w:spacing w:val="-13"/>
        </w:rPr>
        <w:t xml:space="preserve"> </w:t>
      </w:r>
      <w:r>
        <w:t>releases</w:t>
      </w:r>
      <w:r>
        <w:rPr>
          <w:spacing w:val="-13"/>
        </w:rPr>
        <w:t xml:space="preserve"> </w:t>
      </w:r>
      <w:r>
        <w:t>heat</w:t>
      </w:r>
      <w:r>
        <w:rPr>
          <w:spacing w:val="-13"/>
        </w:rPr>
        <w:t xml:space="preserve"> </w:t>
      </w:r>
      <w:r>
        <w:t>to</w:t>
      </w:r>
      <w:r>
        <w:rPr>
          <w:spacing w:val="-12"/>
        </w:rPr>
        <w:t xml:space="preserve"> </w:t>
      </w:r>
      <w:r>
        <w:t>the indoor space, air</w:t>
      </w:r>
      <w:r>
        <w:rPr>
          <w:spacing w:val="-13"/>
        </w:rPr>
        <w:t xml:space="preserve"> </w:t>
      </w:r>
      <w:r>
        <w:t>temperature</w:t>
      </w:r>
      <w:r>
        <w:rPr>
          <w:spacing w:val="-13"/>
        </w:rPr>
        <w:t xml:space="preserve"> </w:t>
      </w:r>
      <w:r>
        <w:t>of</w:t>
      </w:r>
      <w:r>
        <w:rPr>
          <w:spacing w:val="-13"/>
        </w:rPr>
        <w:t xml:space="preserve"> </w:t>
      </w:r>
      <w:r>
        <w:t xml:space="preserve">which is determined </w:t>
      </w:r>
      <w:r>
        <w:rPr>
          <w:spacing w:val="-3"/>
        </w:rPr>
        <w:t xml:space="preserve">by </w:t>
      </w:r>
      <w:r>
        <w:t xml:space="preserve">the </w:t>
      </w:r>
      <w:r>
        <w:rPr>
          <w:spacing w:val="-9"/>
        </w:rPr>
        <w:t xml:space="preserve">HVAC </w:t>
      </w:r>
      <w:r>
        <w:t>system. Therefore, a model that can provide accurate prediction and capable to be easily modified to adjust to different physical scenarios (e.g., coupling effects), such as</w:t>
      </w:r>
      <w:r>
        <w:rPr>
          <w:spacing w:val="3"/>
        </w:rPr>
        <w:t xml:space="preserve"> </w:t>
      </w:r>
      <w:r>
        <w:t>the</w:t>
      </w:r>
      <w:r>
        <w:rPr>
          <w:spacing w:val="-15"/>
        </w:rPr>
        <w:t xml:space="preserve"> </w:t>
      </w:r>
      <w:r>
        <w:rPr>
          <w:spacing w:val="-4"/>
        </w:rPr>
        <w:t>RC</w:t>
      </w:r>
      <w:r>
        <w:rPr>
          <w:spacing w:val="-15"/>
        </w:rPr>
        <w:t xml:space="preserve"> </w:t>
      </w:r>
      <w:r>
        <w:t>network</w:t>
      </w:r>
      <w:r>
        <w:rPr>
          <w:spacing w:val="-15"/>
        </w:rPr>
        <w:t xml:space="preserve"> model used in this study, </w:t>
      </w:r>
      <w:r>
        <w:t xml:space="preserve">is a popular choice for water heater modeling </w:t>
      </w:r>
      <w:r>
        <w:fldChar w:fldCharType="begin"/>
      </w:r>
      <w:r w:rsidR="0082416B">
        <w:instrText xml:space="preserve"> ADDIN ZOTERO_ITEM CSL_CITATION {"citationID":"a5dh3onv9h","properties":{"formattedCitation":"[105\\uc0\\u8211{}107]","plainCitation":"[105–107]","noteIndex":0},"citationItems":[{"id":514,"uris":["http://zotero.org/users/5659608/items/XZG22HB3"],"itemData":{"id":514,"type":"paper-conference","container-title":"2012 25th IEEE Canadian Conference on Electrical and Computer Engineering (CCECE)","DOI":"10.1109/CCECE.2012.6334885","event-place":"Montreal, QC","ISBN":"978-1-4673-1433-6","language":"English","note":"Citation Key: shaadParameterIdentificationThermal2012","page":"1–5","publisher":"IEEE","publisher-place":"Montreal, QC","title":"Parameter identification of thermal models for domestic electric water heaters in a direct load control program","author":[{"family":"Shaad","given":"M."},{"family":"Momeni","given":"A."},{"family":"Diduch","given":"C. P."},{"family":"Kaye","given":"M."},{"family":"Chang","given":"L."}],"issued":{"date-parts":[["2012",4]]},"citation-key":"shaadParameterIdentificationThermal2012"}},{"id":1897,"uris":["http://zotero.org/users/5659608/items/8RRLH4ZF"],"itemData":{"id":1897,"type":"article-journal","abstract":"Simultaneous activation of demand side flexibility on thermostatically controlled loads will cause adverse impacts later in the form of rebounds. Distribution system operators must know the characterisation of the impact, as they are responsible for voltage quality of power delivery and suffer the loss of lifespan of network components due to overloading. In this paper, characterising parameters for flexibility activation on electric water heaters (EWHs) are proposed and flexibility potentials are computed considering smart activation methods for the Norwegian scenario. The proposed parameters are rebound percentage, delay, ramp rates, second peak distance, activation error, flexible power, and temperature deviation. Four scenarios with different levels of flexible power and activation time are developed in the Norwegian context for quantification of the flexibility potentials and the parameters. The highest average flexible power potential is 53.9% at 8:00 a.m. for a duration of 61 min. EWHs flexibility activation can serve as Frequency Containment Reserves (FCR) at peak demand hours with high ramp-up and ramp-down rates of 48.5% and 23.8% per minute and as Frequency Restoration Reserves (FRR) during non-peak hours.","container-title":"Energy","DOI":"10.1016/j.energy.2021.121490","ISSN":"0360-5442","journalAbbreviation":"Energy","language":"en","page":"121490","source":"ScienceDirect","title":"Electric water heater flexibility potential and activation impact in system operator perspective – Norwegian scenario case study","volume":"236","author":[{"family":"Lakshmanan","given":"Venkatachalam"},{"family":"Sæle","given":"Hanne"},{"family":"Degefa","given":"Merkebu Zenebe"}],"issued":{"date-parts":[["2021",12,1]]},"citation-key":"lakshmananElectricWaterHeater2021"},"label":"page"},{"id":1273,"uris":["http://zotero.org/users/5659608/items/KR2D5PRY"],"itemData":{"id":1273,"type":"article-journal","abstract":"Electricity used to heat water represents 9% of residential demand in the USA and can be 40% in other countries. Hourly residential use of hot water is often anti-coincident with the peak generation of electricity, presenting an opportunity for reducing consumer costs under dynamic pricing during the afternoon generation peak. We have examined the effects of three strategies on customer costs under dynamic pricing: timed power interruption (long used by certain utilities), a price-sensitive thermostat, and a double period setback timer. Systems which lower the water temperature set points are as economical as power interruption systems, and result in higher minimum water temperature. Our model predicts that a setback thermostat will keep the tank water warmer than a load interruption timer with very similar electricity use. The setback thermostat and the more complex price-sensitive thermostat achieve similar water temperatures and consumer savings.","container-title":"Carnegie Mellon Electricity Industry Center Working Paper","language":"en","source":"Zotero","title":"Consumer Strategies for Controlling Electric Water Heaters under Dynamic Pricing","author":[{"family":"Goh","given":"Chong Hock K"},{"family":"Apt","given":"Jay"}],"issued":{"date-parts":[["2004",2]]},"citation-key":"gohConsumerStrategiesControlling2004"}}],"schema":"https://github.com/citation-style-language/schema/raw/master/csl-citation.json"} </w:instrText>
      </w:r>
      <w:r>
        <w:fldChar w:fldCharType="separate"/>
      </w:r>
      <w:r w:rsidR="0082416B" w:rsidRPr="0082416B">
        <w:rPr>
          <w:kern w:val="0"/>
          <w:szCs w:val="24"/>
        </w:rPr>
        <w:t>[105–107]</w:t>
      </w:r>
      <w:r>
        <w:fldChar w:fldCharType="end"/>
      </w:r>
      <w:r>
        <w:t xml:space="preserve">. </w:t>
      </w:r>
    </w:p>
    <w:p w14:paraId="19AF16DE" w14:textId="77777777" w:rsidR="000215B4" w:rsidRDefault="000215B4" w:rsidP="000215B4">
      <w:pPr>
        <w:jc w:val="center"/>
      </w:pPr>
      <w:r w:rsidRPr="00ED0F5A">
        <w:rPr>
          <w:noProof/>
        </w:rPr>
        <w:drawing>
          <wp:inline distT="0" distB="0" distL="0" distR="0" wp14:anchorId="3835BBB4" wp14:editId="006EC348">
            <wp:extent cx="3417759" cy="2606184"/>
            <wp:effectExtent l="0" t="0" r="0" b="0"/>
            <wp:docPr id="1244608743" name="Picture 1244608743" descr="图片包含 图示&#10;&#10;描述已自动生成">
              <a:extLst xmlns:a="http://schemas.openxmlformats.org/drawingml/2006/main">
                <a:ext uri="{FF2B5EF4-FFF2-40B4-BE49-F238E27FC236}">
                  <a16:creationId xmlns:a16="http://schemas.microsoft.com/office/drawing/2014/main" id="{288AEDE5-80E6-49ED-9DF2-C4C392FA28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图片包含 图示&#10;&#10;描述已自动生成">
                      <a:extLst>
                        <a:ext uri="{FF2B5EF4-FFF2-40B4-BE49-F238E27FC236}">
                          <a16:creationId xmlns:a16="http://schemas.microsoft.com/office/drawing/2014/main" id="{288AEDE5-80E6-49ED-9DF2-C4C392FA28B6}"/>
                        </a:ext>
                      </a:extLst>
                    </pic:cNvPr>
                    <pic:cNvPicPr>
                      <a:picLocks noChangeAspect="1"/>
                    </pic:cNvPicPr>
                  </pic:nvPicPr>
                  <pic:blipFill>
                    <a:blip r:embed="rId29"/>
                    <a:stretch>
                      <a:fillRect/>
                    </a:stretch>
                  </pic:blipFill>
                  <pic:spPr>
                    <a:xfrm>
                      <a:off x="0" y="0"/>
                      <a:ext cx="3417759" cy="2606184"/>
                    </a:xfrm>
                    <a:prstGeom prst="rect">
                      <a:avLst/>
                    </a:prstGeom>
                  </pic:spPr>
                </pic:pic>
              </a:graphicData>
            </a:graphic>
          </wp:inline>
        </w:drawing>
      </w:r>
    </w:p>
    <w:p w14:paraId="6D0D0A47" w14:textId="5D48A6EC" w:rsidR="000215B4" w:rsidRDefault="000215B4" w:rsidP="000215B4">
      <w:pPr>
        <w:pStyle w:val="13FigureCaption"/>
      </w:pPr>
      <w:bookmarkStart w:id="167" w:name="_Ref139414089"/>
      <w:bookmarkStart w:id="168" w:name="_Toc141349912"/>
      <w:r>
        <w:lastRenderedPageBreak/>
        <w:t xml:space="preserve">Figure </w:t>
      </w:r>
      <w:fldSimple w:instr=" STYLEREF 1 \s ">
        <w:r w:rsidR="000E1725">
          <w:rPr>
            <w:noProof/>
          </w:rPr>
          <w:t>3</w:t>
        </w:r>
      </w:fldSimple>
      <w:r w:rsidR="005445E0">
        <w:t>.</w:t>
      </w:r>
      <w:fldSimple w:instr=" SEQ Figure \* ARABIC \s 1 ">
        <w:r w:rsidR="000E1725">
          <w:rPr>
            <w:noProof/>
          </w:rPr>
          <w:t>3</w:t>
        </w:r>
      </w:fldSimple>
      <w:bookmarkEnd w:id="167"/>
      <w:r>
        <w:t xml:space="preserve"> Water heater heat and water flow</w:t>
      </w:r>
      <w:bookmarkEnd w:id="168"/>
    </w:p>
    <w:p w14:paraId="28503883" w14:textId="66D5FDE9" w:rsidR="000215B4" w:rsidRPr="00CB321B" w:rsidRDefault="00E1040C" w:rsidP="000215B4">
      <w:pPr>
        <w:ind w:firstLine="0"/>
      </w:pPr>
      <w:r>
        <w:rPr>
          <w:spacing w:val="4"/>
        </w:rPr>
        <w:fldChar w:fldCharType="begin"/>
      </w:r>
      <w:r>
        <w:rPr>
          <w:spacing w:val="4"/>
        </w:rPr>
        <w:instrText xml:space="preserve"> REF _Ref139414089 \h </w:instrText>
      </w:r>
      <w:r>
        <w:rPr>
          <w:spacing w:val="4"/>
        </w:rPr>
      </w:r>
      <w:r>
        <w:rPr>
          <w:spacing w:val="4"/>
        </w:rPr>
        <w:fldChar w:fldCharType="separate"/>
      </w:r>
      <w:r w:rsidR="000E1725">
        <w:t xml:space="preserve">Figure </w:t>
      </w:r>
      <w:r w:rsidR="000E1725">
        <w:rPr>
          <w:noProof/>
        </w:rPr>
        <w:t>3</w:t>
      </w:r>
      <w:r w:rsidR="000E1725">
        <w:t>.</w:t>
      </w:r>
      <w:r w:rsidR="000E1725">
        <w:rPr>
          <w:noProof/>
        </w:rPr>
        <w:t>3</w:t>
      </w:r>
      <w:r>
        <w:rPr>
          <w:spacing w:val="4"/>
        </w:rPr>
        <w:fldChar w:fldCharType="end"/>
      </w:r>
      <w:r>
        <w:rPr>
          <w:spacing w:val="4"/>
        </w:rPr>
        <w:t xml:space="preserve"> </w:t>
      </w:r>
      <w:r w:rsidR="000215B4">
        <w:rPr>
          <w:spacing w:val="4"/>
        </w:rPr>
        <w:t xml:space="preserve">demonstrates energy and water transfer from the water tank to the environment. </w:t>
      </w:r>
      <w:r w:rsidR="000215B4">
        <w:t>Additionally,</w:t>
      </w:r>
      <w:r w:rsidR="000215B4">
        <w:rPr>
          <w:spacing w:val="-12"/>
        </w:rPr>
        <w:t xml:space="preserve"> </w:t>
      </w:r>
      <w:r w:rsidR="000215B4">
        <w:rPr>
          <w:spacing w:val="-3"/>
        </w:rPr>
        <w:t>it is</w:t>
      </w:r>
      <w:r w:rsidR="000215B4">
        <w:rPr>
          <w:spacing w:val="-12"/>
        </w:rPr>
        <w:t xml:space="preserve"> </w:t>
      </w:r>
      <w:r w:rsidR="000215B4">
        <w:t>assumed</w:t>
      </w:r>
      <w:r w:rsidR="000215B4">
        <w:rPr>
          <w:spacing w:val="-12"/>
        </w:rPr>
        <w:t xml:space="preserve"> </w:t>
      </w:r>
      <w:r w:rsidR="000215B4">
        <w:t>the</w:t>
      </w:r>
      <w:r w:rsidR="000215B4">
        <w:rPr>
          <w:spacing w:val="-12"/>
        </w:rPr>
        <w:t xml:space="preserve"> </w:t>
      </w:r>
      <w:r w:rsidR="000215B4">
        <w:t>water</w:t>
      </w:r>
      <w:r w:rsidR="000215B4">
        <w:rPr>
          <w:spacing w:val="-11"/>
        </w:rPr>
        <w:t xml:space="preserve"> </w:t>
      </w:r>
      <w:r w:rsidR="000215B4">
        <w:t>heater</w:t>
      </w:r>
      <w:r w:rsidR="000215B4">
        <w:rPr>
          <w:spacing w:val="-12"/>
        </w:rPr>
        <w:t xml:space="preserve"> </w:t>
      </w:r>
      <w:r w:rsidR="000215B4">
        <w:t>is exposed</w:t>
      </w:r>
      <w:r w:rsidR="000215B4">
        <w:rPr>
          <w:spacing w:val="-4"/>
        </w:rPr>
        <w:t xml:space="preserve"> </w:t>
      </w:r>
      <w:r w:rsidR="000215B4">
        <w:t>to</w:t>
      </w:r>
      <w:r w:rsidR="000215B4">
        <w:rPr>
          <w:spacing w:val="-3"/>
        </w:rPr>
        <w:t xml:space="preserve"> </w:t>
      </w:r>
      <w:r w:rsidR="000215B4">
        <w:t>the</w:t>
      </w:r>
      <w:r w:rsidR="000215B4">
        <w:rPr>
          <w:spacing w:val="-4"/>
        </w:rPr>
        <w:t xml:space="preserve"> </w:t>
      </w:r>
      <w:r w:rsidR="000215B4">
        <w:t>indoor</w:t>
      </w:r>
      <w:r w:rsidR="000215B4">
        <w:rPr>
          <w:spacing w:val="-3"/>
        </w:rPr>
        <w:t xml:space="preserve"> </w:t>
      </w:r>
      <w:r w:rsidR="000215B4">
        <w:t>air</w:t>
      </w:r>
      <w:r w:rsidR="000215B4">
        <w:rPr>
          <w:spacing w:val="-3"/>
        </w:rPr>
        <w:t xml:space="preserve"> </w:t>
      </w:r>
      <w:r w:rsidR="000215B4">
        <w:t>temperature,</w:t>
      </w:r>
      <w:r w:rsidR="000215B4">
        <w:rPr>
          <w:spacing w:val="-3"/>
        </w:rPr>
        <w:t xml:space="preserve"> </w:t>
      </w:r>
      <w:r w:rsidR="000215B4">
        <w:t>and</w:t>
      </w:r>
      <w:r w:rsidR="000215B4">
        <w:rPr>
          <w:spacing w:val="-3"/>
        </w:rPr>
        <w:t xml:space="preserve"> </w:t>
      </w:r>
      <w:r w:rsidR="000215B4">
        <w:t>the</w:t>
      </w:r>
      <w:r w:rsidR="000215B4">
        <w:rPr>
          <w:spacing w:val="-4"/>
        </w:rPr>
        <w:t xml:space="preserve"> </w:t>
      </w:r>
      <w:r w:rsidR="000215B4">
        <w:t>changing</w:t>
      </w:r>
      <w:r w:rsidR="000215B4">
        <w:rPr>
          <w:spacing w:val="-2"/>
        </w:rPr>
        <w:t xml:space="preserve"> </w:t>
      </w:r>
      <w:r w:rsidR="000215B4">
        <w:t>indoor</w:t>
      </w:r>
      <w:r w:rsidR="000215B4">
        <w:rPr>
          <w:spacing w:val="-4"/>
        </w:rPr>
        <w:t xml:space="preserve"> </w:t>
      </w:r>
      <w:r w:rsidR="000215B4">
        <w:t>air</w:t>
      </w:r>
      <w:r w:rsidR="000215B4">
        <w:rPr>
          <w:spacing w:val="-3"/>
        </w:rPr>
        <w:t xml:space="preserve"> </w:t>
      </w:r>
      <w:r w:rsidR="000215B4">
        <w:t>temperature</w:t>
      </w:r>
      <w:r w:rsidR="000215B4">
        <w:rPr>
          <w:spacing w:val="-10"/>
        </w:rPr>
        <w:t xml:space="preserve"> </w:t>
      </w:r>
      <m:oMath>
        <m:sSub>
          <m:sSubPr>
            <m:ctrlPr>
              <w:rPr>
                <w:rFonts w:ascii="Cambria Math" w:hAnsi="Cambria Math"/>
                <w:i/>
                <w:spacing w:val="-10"/>
              </w:rPr>
            </m:ctrlPr>
          </m:sSubPr>
          <m:e>
            <m:r>
              <w:rPr>
                <w:rFonts w:ascii="Cambria Math" w:hAnsi="Cambria Math"/>
                <w:spacing w:val="-10"/>
              </w:rPr>
              <m:t>T</m:t>
            </m:r>
          </m:e>
          <m:sub>
            <m:r>
              <w:rPr>
                <w:rFonts w:ascii="Cambria Math" w:hAnsi="Cambria Math"/>
                <w:spacing w:val="-10"/>
              </w:rPr>
              <m:t>in</m:t>
            </m:r>
          </m:sub>
        </m:sSub>
      </m:oMath>
      <w:r w:rsidR="000215B4">
        <w:rPr>
          <w:rFonts w:hint="eastAsia"/>
          <w:spacing w:val="-10"/>
        </w:rPr>
        <w:t xml:space="preserve"> </w:t>
      </w:r>
      <w:r w:rsidR="000215B4">
        <w:t>influences</w:t>
      </w:r>
      <w:r w:rsidR="000215B4">
        <w:rPr>
          <w:spacing w:val="-3"/>
        </w:rPr>
        <w:t xml:space="preserve"> </w:t>
      </w:r>
      <w:r w:rsidR="000215B4">
        <w:t>the</w:t>
      </w:r>
      <w:r w:rsidR="000215B4">
        <w:rPr>
          <w:spacing w:val="-4"/>
        </w:rPr>
        <w:t xml:space="preserve"> </w:t>
      </w:r>
      <w:r w:rsidR="000215B4">
        <w:t>thermal</w:t>
      </w:r>
      <w:r w:rsidR="000215B4">
        <w:rPr>
          <w:spacing w:val="-2"/>
        </w:rPr>
        <w:t xml:space="preserve"> </w:t>
      </w:r>
      <w:r w:rsidR="000215B4">
        <w:t>leakage</w:t>
      </w:r>
      <w:r w:rsidR="000215B4">
        <w:rPr>
          <w:spacing w:val="-4"/>
        </w:rPr>
        <w:t xml:space="preserve"> </w:t>
      </w:r>
      <w:r w:rsidR="000215B4">
        <w:t>of</w:t>
      </w:r>
      <w:r w:rsidR="000215B4">
        <w:rPr>
          <w:spacing w:val="-3"/>
        </w:rPr>
        <w:t xml:space="preserve"> </w:t>
      </w:r>
      <w:r w:rsidR="000215B4">
        <w:t xml:space="preserve">the hot water tank. </w:t>
      </w:r>
      <w:r w:rsidR="000215B4">
        <w:rPr>
          <w:rFonts w:hint="eastAsia"/>
        </w:rPr>
        <w:t>Let</w:t>
      </w:r>
      <w:r w:rsidR="000215B4">
        <w:t>’</w:t>
      </w:r>
      <w:r w:rsidR="000215B4">
        <w:rPr>
          <w:rFonts w:hint="eastAsia"/>
        </w:rPr>
        <w:t>s</w:t>
      </w:r>
      <w:r w:rsidR="000215B4">
        <w:t xml:space="preserve"> use </w:t>
      </w:r>
      <m:oMath>
        <m:r>
          <w:rPr>
            <w:rFonts w:ascii="Cambria Math" w:hAnsi="Cambria Math"/>
          </w:rPr>
          <m:t>t</m:t>
        </m:r>
      </m:oMath>
      <w:r w:rsidR="000215B4">
        <w:rPr>
          <w:rFonts w:hint="eastAsia"/>
        </w:rPr>
        <w:t xml:space="preserve"> </w:t>
      </w:r>
      <w:r w:rsidR="000215B4">
        <w:t>denotes time, the first-order RC-based gray-box water heater model is as</w:t>
      </w:r>
      <w:r w:rsidR="000215B4">
        <w:rPr>
          <w:spacing w:val="10"/>
        </w:rPr>
        <w:t xml:space="preserve"> </w:t>
      </w:r>
      <w:r w:rsidR="000215B4">
        <w:rPr>
          <w:spacing w:val="-3"/>
        </w:rPr>
        <w:t xml:space="preserve">following:  </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2"/>
        <w:gridCol w:w="1098"/>
      </w:tblGrid>
      <w:tr w:rsidR="000215B4" w:rsidRPr="00B4798A" w14:paraId="1838D6FA" w14:textId="77777777" w:rsidTr="00AF3671">
        <w:trPr>
          <w:trHeight w:val="899"/>
        </w:trPr>
        <w:tc>
          <w:tcPr>
            <w:tcW w:w="8262" w:type="dxa"/>
            <w:vAlign w:val="center"/>
          </w:tcPr>
          <w:p w14:paraId="2894B0AA" w14:textId="77777777" w:rsidR="000215B4" w:rsidRPr="00E45AFA" w:rsidRDefault="00000000" w:rsidP="002023DB">
            <w:pPr>
              <w:rPr>
                <w:rFonts w:eastAsiaTheme="minorEastAsia"/>
              </w:rPr>
            </w:pPr>
            <m:oMathPara>
              <m:oMath>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wh</m:t>
                    </m:r>
                  </m:sub>
                </m:sSub>
                <m:f>
                  <m:fPr>
                    <m:ctrlPr>
                      <w:rPr>
                        <w:rFonts w:ascii="Cambria Math" w:hAnsi="Cambria Math" w:cs="Cambria Math"/>
                      </w:rPr>
                    </m:ctrlPr>
                  </m:fPr>
                  <m:num>
                    <m:r>
                      <m:rPr>
                        <m:sty m:val="p"/>
                      </m:rPr>
                      <w:rPr>
                        <w:rFonts w:ascii="Cambria Math" w:hAnsi="Cambria Math" w:cs="Cambria Math"/>
                      </w:rPr>
                      <m:t>d</m:t>
                    </m:r>
                    <m:sSub>
                      <m:sSubPr>
                        <m:ctrlPr>
                          <w:rPr>
                            <w:rFonts w:ascii="Cambria Math" w:hAnsi="Cambria Math" w:cs="Cambria Math"/>
                          </w:rPr>
                        </m:ctrlPr>
                      </m:sSubPr>
                      <m:e>
                        <m:r>
                          <m:rPr>
                            <m:sty m:val="p"/>
                          </m:rPr>
                          <w:rPr>
                            <w:rFonts w:ascii="Cambria Math" w:hAnsi="Cambria Math" w:cs="Cambria Math"/>
                          </w:rPr>
                          <m:t>T</m:t>
                        </m:r>
                      </m:e>
                      <m:sub>
                        <m:r>
                          <m:rPr>
                            <m:sty m:val="p"/>
                          </m:rPr>
                          <w:rPr>
                            <w:rFonts w:ascii="Cambria Math" w:hAnsi="Cambria Math" w:cs="Cambria Math"/>
                          </w:rPr>
                          <m:t>wh</m:t>
                        </m:r>
                      </m:sub>
                    </m:sSub>
                  </m:num>
                  <m:den>
                    <m:r>
                      <m:rPr>
                        <m:sty m:val="p"/>
                      </m:rPr>
                      <w:rPr>
                        <w:rFonts w:ascii="Cambria Math" w:hAnsi="Cambria Math" w:cs="Cambria Math"/>
                      </w:rPr>
                      <m:t>dt</m:t>
                    </m:r>
                  </m:den>
                </m:f>
                <m:r>
                  <m:rPr>
                    <m:sty m:val="p"/>
                  </m:rPr>
                  <w:rPr>
                    <w:rFonts w:ascii="Cambria Math" w:hAnsi="Cambria Math"/>
                  </w:rPr>
                  <m:t>=</m:t>
                </m:r>
                <m:f>
                  <m:fPr>
                    <m:ctrlPr>
                      <w:rPr>
                        <w:rFonts w:ascii="Cambria Math" w:hAnsi="Cambria Math" w:cs="Cambria Math"/>
                      </w:rPr>
                    </m:ctrlPr>
                  </m:fPr>
                  <m:num>
                    <m:r>
                      <m:rPr>
                        <m:sty m:val="p"/>
                      </m:rPr>
                      <w:rPr>
                        <w:rFonts w:ascii="Cambria Math" w:hAnsi="Cambria Math"/>
                      </w:rPr>
                      <m:t>1</m:t>
                    </m:r>
                    <m:ctrlPr>
                      <w:rPr>
                        <w:rFonts w:ascii="Cambria Math" w:hAnsi="Cambria Math"/>
                      </w:rPr>
                    </m:ctrlPr>
                  </m:num>
                  <m:den>
                    <m:sSub>
                      <m:sSubPr>
                        <m:ctrlPr>
                          <w:rPr>
                            <w:rFonts w:ascii="Cambria Math" w:hAnsi="Cambria Math"/>
                          </w:rPr>
                        </m:ctrlPr>
                      </m:sSubPr>
                      <m:e>
                        <m:r>
                          <m:rPr>
                            <m:sty m:val="p"/>
                          </m:rPr>
                          <w:rPr>
                            <w:rFonts w:ascii="Cambria Math" w:hAnsi="Cambria Math"/>
                          </w:rPr>
                          <m:t>R</m:t>
                        </m:r>
                      </m:e>
                      <m:sub>
                        <m:r>
                          <m:rPr>
                            <m:sty m:val="p"/>
                          </m:rPr>
                          <w:rPr>
                            <w:rFonts w:ascii="Cambria Math" w:hAnsi="Cambria Math"/>
                          </w:rPr>
                          <m:t>wh</m:t>
                        </m:r>
                      </m:sub>
                    </m:sSub>
                    <m:ctrlPr>
                      <w:rPr>
                        <w:rFonts w:ascii="Cambria Math" w:hAnsi="Cambria Math"/>
                      </w:rPr>
                    </m:ctrlPr>
                  </m:den>
                </m:f>
                <m:d>
                  <m:dPr>
                    <m:ctrlPr>
                      <w:rPr>
                        <w:rFonts w:ascii="Cambria Math" w:hAnsi="Cambria Math"/>
                      </w:rPr>
                    </m:ctrlPr>
                  </m:dPr>
                  <m:e>
                    <m:sSub>
                      <m:sSubPr>
                        <m:ctrlPr>
                          <w:rPr>
                            <w:rFonts w:ascii="Cambria Math" w:hAnsi="Cambria Math"/>
                            <w:i/>
                          </w:rPr>
                        </m:ctrlPr>
                      </m:sSubPr>
                      <m:e>
                        <m:r>
                          <w:rPr>
                            <w:rFonts w:ascii="Cambria Math" w:hAnsi="Cambria Math"/>
                          </w:rPr>
                          <m:t>T</m:t>
                        </m:r>
                      </m:e>
                      <m:sub>
                        <m:r>
                          <w:rPr>
                            <w:rFonts w:ascii="Cambria Math" w:hAnsi="Cambria Math"/>
                          </w:rPr>
                          <m:t>room</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wh</m:t>
                        </m:r>
                      </m:sub>
                    </m:sSub>
                  </m:e>
                </m:d>
                <m:r>
                  <m:rPr>
                    <m:sty m:val="p"/>
                  </m:rPr>
                  <w:rPr>
                    <w:rFonts w:ascii="Cambria Math" w:hAnsi="Cambria Math"/>
                  </w:rPr>
                  <m:t>+ρ</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W</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inlet</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wh</m:t>
                        </m:r>
                      </m:sub>
                    </m:sSub>
                  </m:e>
                </m:d>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wh</m:t>
                    </m:r>
                  </m:sub>
                </m:sSub>
                <m:r>
                  <m:rPr>
                    <m:sty m:val="p"/>
                  </m:rPr>
                  <w:rPr>
                    <w:rFonts w:ascii="Cambria Math" w:hAnsi="Cambria Math"/>
                  </w:rPr>
                  <m:t>,</m:t>
                </m:r>
                <m:r>
                  <m:rPr>
                    <m:nor/>
                  </m:rPr>
                  <w:rPr>
                    <w:rFonts w:ascii="Cambria Math"/>
                  </w:rPr>
                  <m:t xml:space="preserve"> </m:t>
                </m:r>
              </m:oMath>
            </m:oMathPara>
          </w:p>
        </w:tc>
        <w:tc>
          <w:tcPr>
            <w:tcW w:w="738" w:type="dxa"/>
            <w:vAlign w:val="center"/>
          </w:tcPr>
          <w:p w14:paraId="6B4A30A3" w14:textId="7BA844B2" w:rsidR="000215B4" w:rsidRPr="00B4798A" w:rsidRDefault="000215B4" w:rsidP="002023DB">
            <w:bookmarkStart w:id="169" w:name="_Ref127385655"/>
            <w:r>
              <w:rPr>
                <w:rFonts w:hint="eastAsia"/>
              </w:rPr>
              <w:t>(</w:t>
            </w:r>
            <w:r>
              <w:fldChar w:fldCharType="begin"/>
            </w:r>
            <w:r>
              <w:instrText>SEQ Equation \* ARABIC</w:instrText>
            </w:r>
            <w:r>
              <w:fldChar w:fldCharType="separate"/>
            </w:r>
            <w:r w:rsidR="000E1725">
              <w:rPr>
                <w:noProof/>
              </w:rPr>
              <w:t>14</w:t>
            </w:r>
            <w:r>
              <w:fldChar w:fldCharType="end"/>
            </w:r>
            <w:r>
              <w:t>)</w:t>
            </w:r>
            <w:bookmarkEnd w:id="169"/>
          </w:p>
        </w:tc>
      </w:tr>
    </w:tbl>
    <w:p w14:paraId="579BEEBD" w14:textId="77777777" w:rsidR="000215B4" w:rsidRDefault="000215B4" w:rsidP="000215B4">
      <w:r w:rsidRPr="00957713">
        <w:t>Where</w:t>
      </w:r>
      <w:r>
        <w:t xml:space="preserve"> </w:t>
      </w:r>
      <m:oMath>
        <m:sSub>
          <m:sSubPr>
            <m:ctrlPr>
              <w:rPr>
                <w:rFonts w:ascii="Cambria Math" w:hAnsi="Cambria Math"/>
                <w:i/>
              </w:rPr>
            </m:ctrlPr>
          </m:sSubPr>
          <m:e>
            <m:r>
              <w:rPr>
                <w:rFonts w:ascii="Cambria Math" w:hAnsi="Cambria Math"/>
              </w:rPr>
              <m:t>T</m:t>
            </m:r>
          </m:e>
          <m:sub>
            <m:r>
              <w:rPr>
                <w:rFonts w:ascii="Cambria Math" w:hAnsi="Cambria Math"/>
              </w:rPr>
              <m:t>wh</m:t>
            </m:r>
          </m:sub>
        </m:sSub>
      </m:oMath>
      <w:r>
        <w:t xml:space="preserve"> </w:t>
      </w:r>
      <w:r w:rsidRPr="00957713">
        <w:t xml:space="preserve">is the temperature of the water inside the tank; </w:t>
      </w:r>
      <m:oMath>
        <m:sSub>
          <m:sSubPr>
            <m:ctrlPr>
              <w:rPr>
                <w:rFonts w:ascii="Cambria Math" w:hAnsi="Cambria Math"/>
                <w:i/>
                <w:vertAlign w:val="subscript"/>
              </w:rPr>
            </m:ctrlPr>
          </m:sSubPr>
          <m:e>
            <m:r>
              <w:rPr>
                <w:rFonts w:ascii="Cambria Math" w:hAnsi="Cambria Math"/>
                <w:vertAlign w:val="subscript"/>
              </w:rPr>
              <m:t>R</m:t>
            </m:r>
          </m:e>
          <m:sub>
            <m:r>
              <w:rPr>
                <w:rFonts w:ascii="Cambria Math" w:hAnsi="Cambria Math"/>
                <w:vertAlign w:val="subscript"/>
              </w:rPr>
              <m:t>wh</m:t>
            </m:r>
          </m:sub>
        </m:sSub>
      </m:oMath>
      <w:r w:rsidRPr="00957713">
        <w:t xml:space="preserve"> </w:t>
      </w:r>
      <w:r>
        <w:t xml:space="preserve">is the thermal resistance of the water heater (equals to </w:t>
      </w:r>
      <m:oMath>
        <m:r>
          <w:rPr>
            <w:rFonts w:ascii="Cambria Math" w:hAnsi="Cambria Math"/>
          </w:rPr>
          <m:t>R/A</m:t>
        </m:r>
      </m:oMath>
      <w:r>
        <w:rPr>
          <w:rFonts w:hint="eastAsia"/>
        </w:rPr>
        <w:t xml:space="preserve"> </w:t>
      </w:r>
      <w:r>
        <w:t xml:space="preserve">where R refers to a common used measure for thermal resistance of water heater, called R-value, and A refers to the water tank surface area); </w:t>
      </w:r>
      <m:oMath>
        <m:sSub>
          <m:sSubPr>
            <m:ctrlPr>
              <w:rPr>
                <w:rFonts w:ascii="Cambria Math" w:hAnsi="Cambria Math"/>
              </w:rPr>
            </m:ctrlPr>
          </m:sSubPr>
          <m:e>
            <m:r>
              <m:rPr>
                <m:sty m:val="p"/>
              </m:rPr>
              <w:rPr>
                <w:rFonts w:ascii="Cambria Math" w:hAnsi="Cambria Math"/>
              </w:rPr>
              <m:t>C</m:t>
            </m:r>
          </m:e>
          <m:sub>
            <m:r>
              <w:rPr>
                <w:rFonts w:ascii="Cambria Math" w:hAnsi="Cambria Math"/>
              </w:rPr>
              <m:t>wh</m:t>
            </m:r>
          </m:sub>
        </m:sSub>
      </m:oMath>
      <w:r w:rsidRPr="00957713">
        <w:t xml:space="preserve"> </w:t>
      </w:r>
      <w:r>
        <w:t>is</w:t>
      </w:r>
      <w:r w:rsidRPr="00957713">
        <w:t xml:space="preserve"> the </w:t>
      </w:r>
      <w:r>
        <w:t xml:space="preserve">thermal capacitance of the water heater, which equals to </w:t>
      </w:r>
      <m:oMath>
        <m:r>
          <m:rPr>
            <m:sty m:val="p"/>
          </m:rPr>
          <w:rPr>
            <w:rFonts w:ascii="Cambria Math" w:hAnsi="Cambria Math"/>
          </w:rPr>
          <m:t>ρ</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V</m:t>
        </m:r>
      </m:oMath>
      <w:r>
        <w:t>,</w:t>
      </w:r>
      <w:r w:rsidRPr="00957713">
        <w:t xml:space="preserve"> and</w:t>
      </w:r>
      <w:r>
        <w:rPr>
          <w:rFonts w:hint="eastAsia"/>
        </w:rPr>
        <w:t xml:space="preserve"> </w:t>
      </w:r>
      <m:oMath>
        <m:r>
          <m:rPr>
            <m:sty m:val="p"/>
          </m:rPr>
          <w:rPr>
            <w:rFonts w:ascii="Cambria Math" w:hAnsi="Cambria Math"/>
          </w:rPr>
          <m:t>ρ</m:t>
        </m:r>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,V</m:t>
        </m:r>
      </m:oMath>
      <w:r>
        <w:t xml:space="preserve"> refers to </w:t>
      </w:r>
      <w:r w:rsidRPr="00957713">
        <w:t xml:space="preserve">the density of water, the specific heat of water, the tank volume, respectively; In this study, we assume that once the hot water is withdrawn, cold water with temperature </w:t>
      </w:r>
      <m:oMath>
        <m:sSub>
          <m:sSubPr>
            <m:ctrlPr>
              <w:rPr>
                <w:rFonts w:ascii="Cambria Math" w:hAnsi="Cambria Math"/>
                <w:i/>
              </w:rPr>
            </m:ctrlPr>
          </m:sSubPr>
          <m:e>
            <m:r>
              <w:rPr>
                <w:rFonts w:ascii="Cambria Math" w:hAnsi="Cambria Math"/>
              </w:rPr>
              <m:t>T</m:t>
            </m:r>
          </m:e>
          <m:sub>
            <m:r>
              <w:rPr>
                <w:rFonts w:ascii="Cambria Math" w:hAnsi="Cambria Math"/>
              </w:rPr>
              <m:t>inlet</m:t>
            </m:r>
          </m:sub>
        </m:sSub>
        <m:r>
          <w:rPr>
            <w:rFonts w:ascii="Cambria Math" w:hAnsi="Cambria Math"/>
          </w:rPr>
          <m:t xml:space="preserve"> </m:t>
        </m:r>
      </m:oMath>
      <w:r w:rsidRPr="00957713">
        <w:t xml:space="preserve">will enter the tank, and </w:t>
      </w:r>
      <w:r>
        <w:t>h</w:t>
      </w:r>
      <w:r w:rsidRPr="00957713">
        <w:t xml:space="preserve">ere we assume that </w:t>
      </w:r>
      <m:oMath>
        <m:sSubSup>
          <m:sSubSupPr>
            <m:ctrlPr>
              <w:rPr>
                <w:rFonts w:ascii="Cambria Math" w:hAnsi="Cambria Math"/>
                <w:i/>
              </w:rPr>
            </m:ctrlPr>
          </m:sSubSupPr>
          <m:e>
            <m:r>
              <w:rPr>
                <w:rFonts w:ascii="Cambria Math" w:hAnsi="Cambria Math"/>
              </w:rPr>
              <m:t>T</m:t>
            </m:r>
          </m:e>
          <m:sub>
            <m:r>
              <w:rPr>
                <w:rFonts w:ascii="Cambria Math" w:hAnsi="Cambria Math"/>
              </w:rPr>
              <m:t>room</m:t>
            </m:r>
          </m:sub>
          <m:sup>
            <m:r>
              <w:rPr>
                <w:rFonts w:ascii="Cambria Math" w:hAnsi="Cambria Math"/>
              </w:rPr>
              <m:t xml:space="preserve"> </m:t>
            </m:r>
          </m:sup>
        </m:sSubSup>
      </m:oMath>
      <w:r w:rsidRPr="00957713">
        <w:t xml:space="preserve"> represents the indoor air temperature, which also equals </w:t>
      </w:r>
      <m:oMath>
        <m:sSubSup>
          <m:sSubSupPr>
            <m:ctrlPr>
              <w:rPr>
                <w:rFonts w:ascii="Cambria Math" w:hAnsi="Cambria Math"/>
                <w:i/>
              </w:rPr>
            </m:ctrlPr>
          </m:sSubSupPr>
          <m:e>
            <m:r>
              <w:rPr>
                <w:rFonts w:ascii="Cambria Math" w:hAnsi="Cambria Math"/>
              </w:rPr>
              <m:t>T</m:t>
            </m:r>
          </m:e>
          <m:sub>
            <m:r>
              <w:rPr>
                <w:rFonts w:ascii="Cambria Math" w:hAnsi="Cambria Math"/>
              </w:rPr>
              <m:t>in</m:t>
            </m:r>
          </m:sub>
          <m:sup>
            <m:r>
              <w:rPr>
                <w:rFonts w:ascii="Cambria Math" w:hAnsi="Cambria Math"/>
              </w:rPr>
              <m:t xml:space="preserve"> </m:t>
            </m:r>
          </m:sup>
        </m:sSubSup>
      </m:oMath>
      <w:r w:rsidRPr="00957713">
        <w:t xml:space="preserve"> for the HVAC system</w:t>
      </w:r>
      <w:r>
        <w:t xml:space="preserve">; </w:t>
      </w:r>
      <w:r>
        <w:softHyphen/>
      </w:r>
      <m:oMath>
        <m:sSub>
          <m:sSubPr>
            <m:ctrlPr>
              <w:rPr>
                <w:rFonts w:ascii="Cambria Math" w:hAnsi="Cambria Math"/>
                <w:i/>
              </w:rPr>
            </m:ctrlPr>
          </m:sSubPr>
          <m:e>
            <m:r>
              <w:rPr>
                <w:rFonts w:ascii="Cambria Math" w:hAnsi="Cambria Math"/>
              </w:rPr>
              <m:t>Q</m:t>
            </m:r>
          </m:e>
          <m:sub>
            <m:r>
              <w:rPr>
                <w:rFonts w:ascii="Cambria Math" w:hAnsi="Cambria Math"/>
              </w:rPr>
              <m:t>wh</m:t>
            </m:r>
          </m:sub>
        </m:sSub>
      </m:oMath>
      <w:r>
        <w:t xml:space="preserve"> is the power consumption of the water heater. </w:t>
      </w:r>
    </w:p>
    <w:p w14:paraId="1422B22A" w14:textId="77777777" w:rsidR="000215B4" w:rsidRDefault="000215B4" w:rsidP="000215B4">
      <w:pPr>
        <w:pStyle w:val="Heading3"/>
      </w:pPr>
      <w:bookmarkStart w:id="170" w:name="_Toc141991690"/>
      <w:r>
        <w:t>P</w:t>
      </w:r>
      <w:r>
        <w:rPr>
          <w:rFonts w:hint="eastAsia"/>
        </w:rPr>
        <w:t>arameter</w:t>
      </w:r>
      <w:r>
        <w:t xml:space="preserve"> </w:t>
      </w:r>
      <w:r>
        <w:rPr>
          <w:rFonts w:hint="eastAsia"/>
        </w:rPr>
        <w:t>identification</w:t>
      </w:r>
      <w:r>
        <w:t xml:space="preserve"> for water heater model</w:t>
      </w:r>
      <w:bookmarkEnd w:id="170"/>
    </w:p>
    <w:p w14:paraId="12199F25" w14:textId="77777777" w:rsidR="000215B4" w:rsidRDefault="000215B4" w:rsidP="000215B4">
      <w:pPr>
        <w:rPr>
          <w:rStyle w:val="12FigureFormatSelectafigureandclickonthisstyleChar"/>
        </w:rPr>
      </w:pPr>
      <w:r>
        <w:t>Since the water heater system has a simpler heat transfer process (i.e., it is first-order and has less variables) than the HVAC system, a Least-square method is used in the training process.</w:t>
      </w:r>
      <w:r w:rsidRPr="00144A78">
        <w:rPr>
          <w:rStyle w:val="12FigureFormatSelectafigureandclickonthisstyleChar"/>
        </w:rPr>
        <w:t xml:space="preserve"> </w:t>
      </w:r>
    </w:p>
    <w:p w14:paraId="7BFB1685" w14:textId="77777777" w:rsidR="000215B4" w:rsidRDefault="000215B4" w:rsidP="000215B4">
      <w:pPr>
        <w:rPr>
          <w:rFonts w:eastAsia="Calibri"/>
          <w:szCs w:val="22"/>
        </w:rPr>
      </w:pPr>
      <w:r>
        <w:rPr>
          <w:rFonts w:eastAsia="Calibri"/>
          <w:szCs w:val="22"/>
        </w:rPr>
        <w:t xml:space="preserve">Before introduced the formulation of Least-sqaure method, let’s </w:t>
      </w:r>
      <m:oMath>
        <m:r>
          <w:rPr>
            <w:rFonts w:ascii="Cambria Math" w:eastAsia="Calibri" w:hAnsi="Cambria Math"/>
            <w:szCs w:val="22"/>
          </w:rPr>
          <m:t>k</m:t>
        </m:r>
      </m:oMath>
      <w:r>
        <w:rPr>
          <w:rFonts w:eastAsia="Calibri" w:hint="eastAsia"/>
          <w:szCs w:val="22"/>
        </w:rPr>
        <w:t xml:space="preserve"> </w:t>
      </w:r>
      <w:r>
        <w:rPr>
          <w:rFonts w:eastAsia="Calibri"/>
          <w:szCs w:val="22"/>
        </w:rPr>
        <w:t xml:space="preserve">denotes time step, and the </w:t>
      </w:r>
      <w:r>
        <w:t>first-order RC-based gray-box</w:t>
      </w:r>
      <w:r>
        <w:rPr>
          <w:rFonts w:eastAsia="Calibri"/>
          <w:szCs w:val="22"/>
        </w:rPr>
        <w:t xml:space="preserve"> water heater model is given by:</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2"/>
        <w:gridCol w:w="1098"/>
      </w:tblGrid>
      <w:tr w:rsidR="000215B4" w:rsidRPr="006C1DCB" w14:paraId="7F41E4D1" w14:textId="77777777" w:rsidTr="00AF3671">
        <w:trPr>
          <w:trHeight w:val="899"/>
        </w:trPr>
        <w:tc>
          <w:tcPr>
            <w:tcW w:w="8262" w:type="dxa"/>
            <w:vAlign w:val="center"/>
          </w:tcPr>
          <w:p w14:paraId="6A9BE27A" w14:textId="77777777" w:rsidR="000215B4" w:rsidRPr="004B192C" w:rsidRDefault="00000000" w:rsidP="002023DB">
            <w:pPr>
              <w:rPr>
                <w:rFonts w:ascii="Cambria Math" w:eastAsia="Calibri" w:hAnsi="Cambria Math"/>
                <w:i/>
              </w:rPr>
            </w:pPr>
            <m:oMath>
              <m:f>
                <m:fPr>
                  <m:ctrlPr>
                    <w:rPr>
                      <w:rFonts w:ascii="Cambria Math" w:hAnsi="Cambria Math"/>
                      <w:sz w:val="21"/>
                      <w:szCs w:val="16"/>
                    </w:rPr>
                  </m:ctrlPr>
                </m:fPr>
                <m:num>
                  <m:sSubSup>
                    <m:sSubSupPr>
                      <m:ctrlPr>
                        <w:rPr>
                          <w:rFonts w:ascii="Cambria Math" w:hAnsi="Cambria Math" w:cs="Cambria Math"/>
                          <w:i/>
                          <w:sz w:val="21"/>
                          <w:szCs w:val="16"/>
                        </w:rPr>
                      </m:ctrlPr>
                    </m:sSubSupPr>
                    <m:e>
                      <m:r>
                        <w:rPr>
                          <w:rFonts w:ascii="Cambria Math" w:hAnsi="Cambria Math" w:cs="Cambria Math"/>
                          <w:sz w:val="21"/>
                          <w:szCs w:val="16"/>
                        </w:rPr>
                        <m:t>T</m:t>
                      </m:r>
                      <m:ctrlPr>
                        <w:rPr>
                          <w:rFonts w:ascii="Cambria Math" w:hAnsi="Cambria Math" w:cs="Cambria Math"/>
                          <w:sz w:val="21"/>
                          <w:szCs w:val="16"/>
                        </w:rPr>
                      </m:ctrlPr>
                    </m:e>
                    <m:sub>
                      <m:r>
                        <w:rPr>
                          <w:rFonts w:ascii="Cambria Math" w:hAnsi="Cambria Math" w:cs="Cambria Math"/>
                          <w:sz w:val="21"/>
                          <w:szCs w:val="16"/>
                        </w:rPr>
                        <m:t>w</m:t>
                      </m:r>
                      <m:r>
                        <m:rPr>
                          <m:sty m:val="p"/>
                        </m:rPr>
                        <w:rPr>
                          <w:rFonts w:ascii="Cambria Math" w:hAnsi="Cambria Math" w:cs="Cambria Math"/>
                          <w:sz w:val="21"/>
                          <w:szCs w:val="16"/>
                        </w:rPr>
                        <m:t>h</m:t>
                      </m:r>
                      <m:ctrlPr>
                        <w:rPr>
                          <w:rFonts w:ascii="Cambria Math" w:hAnsi="Cambria Math" w:cs="Cambria Math"/>
                          <w:sz w:val="21"/>
                          <w:szCs w:val="16"/>
                        </w:rPr>
                      </m:ctrlPr>
                    </m:sub>
                    <m:sup>
                      <m:r>
                        <w:rPr>
                          <w:rFonts w:ascii="Cambria Math" w:hAnsi="Cambria Math" w:cs="Cambria Math"/>
                          <w:sz w:val="21"/>
                          <w:szCs w:val="16"/>
                        </w:rPr>
                        <m:t>k</m:t>
                      </m:r>
                    </m:sup>
                  </m:sSubSup>
                  <m:r>
                    <w:rPr>
                      <w:rFonts w:ascii="Cambria Math" w:hAnsi="Cambria Math" w:cs="Cambria Math"/>
                      <w:sz w:val="21"/>
                      <w:szCs w:val="16"/>
                    </w:rPr>
                    <m:t>-</m:t>
                  </m:r>
                  <m:sSubSup>
                    <m:sSubSupPr>
                      <m:ctrlPr>
                        <w:rPr>
                          <w:rFonts w:ascii="Cambria Math" w:hAnsi="Cambria Math" w:cs="Cambria Math"/>
                          <w:i/>
                          <w:sz w:val="21"/>
                          <w:szCs w:val="16"/>
                        </w:rPr>
                      </m:ctrlPr>
                    </m:sSubSupPr>
                    <m:e>
                      <m:r>
                        <w:rPr>
                          <w:rFonts w:ascii="Cambria Math" w:hAnsi="Cambria Math" w:cs="Cambria Math"/>
                          <w:sz w:val="21"/>
                          <w:szCs w:val="16"/>
                        </w:rPr>
                        <m:t>T</m:t>
                      </m:r>
                    </m:e>
                    <m:sub>
                      <m:r>
                        <w:rPr>
                          <w:rFonts w:ascii="Cambria Math" w:hAnsi="Cambria Math" w:cs="Cambria Math"/>
                          <w:sz w:val="21"/>
                          <w:szCs w:val="16"/>
                        </w:rPr>
                        <m:t>wh</m:t>
                      </m:r>
                    </m:sub>
                    <m:sup>
                      <m:r>
                        <w:rPr>
                          <w:rFonts w:ascii="Cambria Math" w:hAnsi="Cambria Math" w:cs="Cambria Math"/>
                          <w:sz w:val="21"/>
                          <w:szCs w:val="16"/>
                        </w:rPr>
                        <m:t>k-1</m:t>
                      </m:r>
                    </m:sup>
                  </m:sSubSup>
                </m:num>
                <m:den>
                  <m:r>
                    <w:rPr>
                      <w:rFonts w:ascii="Cambria Math" w:hAnsi="Cambria Math"/>
                      <w:sz w:val="21"/>
                      <w:szCs w:val="16"/>
                    </w:rPr>
                    <m:t>∆ t</m:t>
                  </m:r>
                </m:den>
              </m:f>
              <m:r>
                <m:rPr>
                  <m:sty m:val="p"/>
                </m:rPr>
                <w:rPr>
                  <w:rFonts w:ascii="Cambria Math" w:hAnsi="Cambria Math"/>
                  <w:sz w:val="21"/>
                  <w:szCs w:val="16"/>
                </w:rPr>
                <m:t>=</m:t>
              </m:r>
              <m:f>
                <m:fPr>
                  <m:ctrlPr>
                    <w:rPr>
                      <w:rFonts w:ascii="Cambria Math" w:hAnsi="Cambria Math" w:cs="Cambria Math"/>
                      <w:sz w:val="21"/>
                      <w:szCs w:val="16"/>
                    </w:rPr>
                  </m:ctrlPr>
                </m:fPr>
                <m:num>
                  <m:r>
                    <w:rPr>
                      <w:rFonts w:ascii="Cambria Math" w:hAnsi="Cambria Math" w:cs="Cambria Math"/>
                      <w:sz w:val="21"/>
                      <w:szCs w:val="16"/>
                    </w:rPr>
                    <m:t>1</m:t>
                  </m:r>
                  <m:ctrlPr>
                    <w:rPr>
                      <w:rFonts w:ascii="Cambria Math" w:hAnsi="Cambria Math"/>
                      <w:sz w:val="21"/>
                      <w:szCs w:val="16"/>
                    </w:rPr>
                  </m:ctrlPr>
                </m:num>
                <m:den>
                  <m:r>
                    <w:rPr>
                      <w:rFonts w:ascii="Cambria Math" w:hAnsi="Cambria Math"/>
                      <w:sz w:val="21"/>
                      <w:szCs w:val="16"/>
                    </w:rPr>
                    <m:t>α</m:t>
                  </m:r>
                  <m:ctrlPr>
                    <w:rPr>
                      <w:rFonts w:ascii="Cambria Math" w:hAnsi="Cambria Math"/>
                      <w:sz w:val="21"/>
                      <w:szCs w:val="16"/>
                    </w:rPr>
                  </m:ctrlPr>
                </m:den>
              </m:f>
              <m:d>
                <m:dPr>
                  <m:ctrlPr>
                    <w:rPr>
                      <w:rFonts w:ascii="Cambria Math" w:hAnsi="Cambria Math"/>
                      <w:sz w:val="21"/>
                      <w:szCs w:val="16"/>
                    </w:rPr>
                  </m:ctrlPr>
                </m:dPr>
                <m:e>
                  <m:sSubSup>
                    <m:sSubSupPr>
                      <m:ctrlPr>
                        <w:rPr>
                          <w:rFonts w:ascii="Cambria Math" w:hAnsi="Cambria Math"/>
                          <w:i/>
                          <w:sz w:val="21"/>
                          <w:szCs w:val="16"/>
                        </w:rPr>
                      </m:ctrlPr>
                    </m:sSubSupPr>
                    <m:e>
                      <m:r>
                        <w:rPr>
                          <w:rFonts w:ascii="Cambria Math" w:hAnsi="Cambria Math"/>
                          <w:sz w:val="21"/>
                          <w:szCs w:val="16"/>
                        </w:rPr>
                        <m:t>T</m:t>
                      </m:r>
                    </m:e>
                    <m:sub>
                      <m:r>
                        <w:rPr>
                          <w:rFonts w:ascii="Cambria Math" w:hAnsi="Cambria Math"/>
                          <w:sz w:val="21"/>
                          <w:szCs w:val="16"/>
                        </w:rPr>
                        <m:t>in</m:t>
                      </m:r>
                    </m:sub>
                    <m:sup>
                      <m:r>
                        <w:rPr>
                          <w:rFonts w:ascii="Cambria Math" w:hAnsi="Cambria Math"/>
                          <w:sz w:val="21"/>
                          <w:szCs w:val="16"/>
                        </w:rPr>
                        <m:t>k-1</m:t>
                      </m:r>
                    </m:sup>
                  </m:sSubSup>
                  <m:r>
                    <w:rPr>
                      <w:rFonts w:ascii="Cambria Math" w:hAnsi="Cambria Math"/>
                      <w:sz w:val="21"/>
                      <w:szCs w:val="16"/>
                    </w:rPr>
                    <m:t>-</m:t>
                  </m:r>
                  <m:sSubSup>
                    <m:sSubSupPr>
                      <m:ctrlPr>
                        <w:rPr>
                          <w:rFonts w:ascii="Cambria Math" w:hAnsi="Cambria Math" w:cs="Cambria Math"/>
                          <w:i/>
                          <w:sz w:val="21"/>
                          <w:szCs w:val="16"/>
                        </w:rPr>
                      </m:ctrlPr>
                    </m:sSubSupPr>
                    <m:e>
                      <m:r>
                        <w:rPr>
                          <w:rFonts w:ascii="Cambria Math" w:hAnsi="Cambria Math" w:cs="Cambria Math"/>
                          <w:sz w:val="21"/>
                          <w:szCs w:val="16"/>
                        </w:rPr>
                        <m:t>T</m:t>
                      </m:r>
                    </m:e>
                    <m:sub>
                      <m:r>
                        <w:rPr>
                          <w:rFonts w:ascii="Cambria Math" w:hAnsi="Cambria Math" w:cs="Cambria Math"/>
                          <w:sz w:val="21"/>
                          <w:szCs w:val="16"/>
                        </w:rPr>
                        <m:t>wh</m:t>
                      </m:r>
                    </m:sub>
                    <m:sup>
                      <m:r>
                        <w:rPr>
                          <w:rFonts w:ascii="Cambria Math" w:hAnsi="Cambria Math" w:cs="Cambria Math"/>
                          <w:sz w:val="21"/>
                          <w:szCs w:val="16"/>
                        </w:rPr>
                        <m:t>k-1</m:t>
                      </m:r>
                    </m:sup>
                  </m:sSubSup>
                </m:e>
              </m:d>
              <m:r>
                <m:rPr>
                  <m:sty m:val="p"/>
                </m:rPr>
                <w:rPr>
                  <w:rFonts w:ascii="Cambria Math" w:hAnsi="Cambria Math"/>
                  <w:sz w:val="21"/>
                  <w:szCs w:val="16"/>
                </w:rPr>
                <m:t>+</m:t>
              </m:r>
              <m:f>
                <m:fPr>
                  <m:ctrlPr>
                    <w:rPr>
                      <w:rFonts w:ascii="Cambria Math" w:hAnsi="Cambria Math" w:cs="Cambria Math"/>
                      <w:sz w:val="21"/>
                      <w:szCs w:val="16"/>
                    </w:rPr>
                  </m:ctrlPr>
                </m:fPr>
                <m:num>
                  <m:r>
                    <w:rPr>
                      <w:rFonts w:ascii="Cambria Math" w:hAnsi="Cambria Math" w:cs="Cambria Math"/>
                      <w:sz w:val="21"/>
                      <w:szCs w:val="16"/>
                    </w:rPr>
                    <m:t xml:space="preserve"> 1</m:t>
                  </m:r>
                  <m:ctrlPr>
                    <w:rPr>
                      <w:rFonts w:ascii="Cambria Math" w:hAnsi="Cambria Math"/>
                      <w:sz w:val="21"/>
                      <w:szCs w:val="16"/>
                    </w:rPr>
                  </m:ctrlPr>
                </m:num>
                <m:den>
                  <m:r>
                    <w:rPr>
                      <w:rFonts w:ascii="Cambria Math" w:hAnsi="Cambria Math"/>
                      <w:sz w:val="21"/>
                      <w:szCs w:val="16"/>
                    </w:rPr>
                    <m:t>β</m:t>
                  </m:r>
                  <m:ctrlPr>
                    <w:rPr>
                      <w:rFonts w:ascii="Cambria Math" w:hAnsi="Cambria Math"/>
                      <w:sz w:val="21"/>
                      <w:szCs w:val="16"/>
                    </w:rPr>
                  </m:ctrlPr>
                </m:den>
              </m:f>
              <m:r>
                <w:rPr>
                  <w:rFonts w:ascii="Cambria Math" w:hAnsi="Cambria Math"/>
                  <w:sz w:val="21"/>
                  <w:szCs w:val="16"/>
                </w:rPr>
                <m:t>ρ</m:t>
              </m:r>
              <m:sSub>
                <m:sSubPr>
                  <m:ctrlPr>
                    <w:rPr>
                      <w:rFonts w:ascii="Cambria Math" w:hAnsi="Cambria Math"/>
                      <w:i/>
                      <w:sz w:val="21"/>
                      <w:szCs w:val="16"/>
                    </w:rPr>
                  </m:ctrlPr>
                </m:sSubPr>
                <m:e>
                  <m:r>
                    <w:rPr>
                      <w:rFonts w:ascii="Cambria Math" w:hAnsi="Cambria Math"/>
                      <w:sz w:val="21"/>
                      <w:szCs w:val="16"/>
                    </w:rPr>
                    <m:t>C</m:t>
                  </m:r>
                </m:e>
                <m:sub>
                  <m:r>
                    <w:rPr>
                      <w:rFonts w:ascii="Cambria Math" w:hAnsi="Cambria Math"/>
                      <w:sz w:val="21"/>
                      <w:szCs w:val="16"/>
                    </w:rPr>
                    <m:t>p</m:t>
                  </m:r>
                </m:sub>
              </m:sSub>
              <m:r>
                <w:rPr>
                  <w:rFonts w:ascii="Cambria Math" w:hAnsi="Cambria Math"/>
                  <w:sz w:val="21"/>
                  <w:szCs w:val="16"/>
                </w:rPr>
                <m:t>W</m:t>
              </m:r>
              <m:d>
                <m:dPr>
                  <m:ctrlPr>
                    <w:rPr>
                      <w:rFonts w:ascii="Cambria Math" w:hAnsi="Cambria Math"/>
                      <w:i/>
                      <w:sz w:val="21"/>
                      <w:szCs w:val="16"/>
                    </w:rPr>
                  </m:ctrlPr>
                </m:dPr>
                <m:e>
                  <m:sSubSup>
                    <m:sSubSupPr>
                      <m:ctrlPr>
                        <w:rPr>
                          <w:rFonts w:ascii="Cambria Math" w:hAnsi="Cambria Math"/>
                          <w:i/>
                          <w:sz w:val="21"/>
                          <w:szCs w:val="16"/>
                        </w:rPr>
                      </m:ctrlPr>
                    </m:sSubSupPr>
                    <m:e>
                      <m:r>
                        <w:rPr>
                          <w:rFonts w:ascii="Cambria Math" w:hAnsi="Cambria Math"/>
                          <w:sz w:val="21"/>
                          <w:szCs w:val="16"/>
                        </w:rPr>
                        <m:t>T</m:t>
                      </m:r>
                    </m:e>
                    <m:sub>
                      <m:r>
                        <w:rPr>
                          <w:rFonts w:ascii="Cambria Math" w:hAnsi="Cambria Math"/>
                          <w:sz w:val="21"/>
                          <w:szCs w:val="16"/>
                        </w:rPr>
                        <m:t>inlet</m:t>
                      </m:r>
                    </m:sub>
                    <m:sup>
                      <m:r>
                        <w:rPr>
                          <w:rFonts w:ascii="Cambria Math" w:hAnsi="Cambria Math"/>
                          <w:sz w:val="21"/>
                          <w:szCs w:val="16"/>
                        </w:rPr>
                        <m:t>k-1</m:t>
                      </m:r>
                    </m:sup>
                  </m:sSubSup>
                  <m:r>
                    <w:rPr>
                      <w:rFonts w:ascii="Cambria Math" w:hAnsi="Cambria Math"/>
                      <w:sz w:val="21"/>
                      <w:szCs w:val="16"/>
                    </w:rPr>
                    <m:t>-</m:t>
                  </m:r>
                  <m:sSubSup>
                    <m:sSubSupPr>
                      <m:ctrlPr>
                        <w:rPr>
                          <w:rFonts w:ascii="Cambria Math" w:hAnsi="Cambria Math" w:cs="Cambria Math"/>
                          <w:i/>
                          <w:sz w:val="21"/>
                          <w:szCs w:val="16"/>
                        </w:rPr>
                      </m:ctrlPr>
                    </m:sSubSupPr>
                    <m:e>
                      <m:r>
                        <w:rPr>
                          <w:rFonts w:ascii="Cambria Math" w:hAnsi="Cambria Math" w:cs="Cambria Math"/>
                          <w:sz w:val="21"/>
                          <w:szCs w:val="16"/>
                        </w:rPr>
                        <m:t>T</m:t>
                      </m:r>
                    </m:e>
                    <m:sub>
                      <m:r>
                        <w:rPr>
                          <w:rFonts w:ascii="Cambria Math" w:hAnsi="Cambria Math" w:cs="Cambria Math"/>
                          <w:sz w:val="21"/>
                          <w:szCs w:val="16"/>
                        </w:rPr>
                        <m:t>wh</m:t>
                      </m:r>
                    </m:sub>
                    <m:sup>
                      <m:r>
                        <w:rPr>
                          <w:rFonts w:ascii="Cambria Math" w:hAnsi="Cambria Math" w:cs="Cambria Math"/>
                          <w:sz w:val="21"/>
                          <w:szCs w:val="16"/>
                        </w:rPr>
                        <m:t>k-1</m:t>
                      </m:r>
                    </m:sup>
                  </m:sSubSup>
                </m:e>
              </m:d>
              <m:r>
                <w:rPr>
                  <w:rFonts w:ascii="Cambria Math" w:hAnsi="Cambria Math"/>
                  <w:sz w:val="21"/>
                  <w:szCs w:val="16"/>
                </w:rPr>
                <m:t>+</m:t>
              </m:r>
              <m:sSubSup>
                <m:sSubSupPr>
                  <m:ctrlPr>
                    <w:rPr>
                      <w:rFonts w:ascii="Cambria Math" w:hAnsi="Cambria Math"/>
                      <w:i/>
                      <w:sz w:val="21"/>
                      <w:szCs w:val="16"/>
                    </w:rPr>
                  </m:ctrlPr>
                </m:sSubSupPr>
                <m:e>
                  <m:f>
                    <m:fPr>
                      <m:ctrlPr>
                        <w:rPr>
                          <w:rFonts w:ascii="Cambria Math" w:hAnsi="Cambria Math" w:cs="Cambria Math"/>
                          <w:sz w:val="21"/>
                          <w:szCs w:val="16"/>
                        </w:rPr>
                      </m:ctrlPr>
                    </m:fPr>
                    <m:num>
                      <m:r>
                        <w:rPr>
                          <w:rFonts w:ascii="Cambria Math" w:hAnsi="Cambria Math" w:cs="Cambria Math"/>
                          <w:sz w:val="21"/>
                          <w:szCs w:val="16"/>
                        </w:rPr>
                        <m:t>1</m:t>
                      </m:r>
                      <m:ctrlPr>
                        <w:rPr>
                          <w:rFonts w:ascii="Cambria Math" w:hAnsi="Cambria Math"/>
                          <w:sz w:val="21"/>
                          <w:szCs w:val="16"/>
                        </w:rPr>
                      </m:ctrlPr>
                    </m:num>
                    <m:den>
                      <m:r>
                        <w:rPr>
                          <w:rFonts w:ascii="Cambria Math" w:hAnsi="Cambria Math"/>
                          <w:sz w:val="21"/>
                          <w:szCs w:val="16"/>
                        </w:rPr>
                        <m:t>β</m:t>
                      </m:r>
                      <m:ctrlPr>
                        <w:rPr>
                          <w:rFonts w:ascii="Cambria Math" w:hAnsi="Cambria Math"/>
                          <w:sz w:val="21"/>
                          <w:szCs w:val="16"/>
                        </w:rPr>
                      </m:ctrlPr>
                    </m:den>
                  </m:f>
                  <m:r>
                    <w:rPr>
                      <w:rFonts w:ascii="Cambria Math" w:hAnsi="Cambria Math"/>
                      <w:sz w:val="21"/>
                      <w:szCs w:val="16"/>
                    </w:rPr>
                    <m:t>Q</m:t>
                  </m:r>
                </m:e>
                <m:sub>
                  <m:r>
                    <w:rPr>
                      <w:rFonts w:ascii="Cambria Math" w:hAnsi="Cambria Math"/>
                      <w:sz w:val="21"/>
                      <w:szCs w:val="16"/>
                    </w:rPr>
                    <m:t>wh</m:t>
                  </m:r>
                </m:sub>
                <m:sup>
                  <m:r>
                    <w:rPr>
                      <w:rFonts w:ascii="Cambria Math" w:hAnsi="Cambria Math"/>
                      <w:sz w:val="21"/>
                      <w:szCs w:val="16"/>
                    </w:rPr>
                    <m:t>k-1</m:t>
                  </m:r>
                </m:sup>
              </m:sSubSup>
              <m:r>
                <w:rPr>
                  <w:rFonts w:ascii="Cambria Math" w:hAnsi="Cambria Math"/>
                  <w:sz w:val="21"/>
                  <w:szCs w:val="16"/>
                </w:rPr>
                <m:t xml:space="preserve"> </m:t>
              </m:r>
              <m:r>
                <m:rPr>
                  <m:sty m:val="p"/>
                </m:rPr>
                <w:rPr>
                  <w:rFonts w:ascii="Cambria Math" w:hAnsi="Cambria Math"/>
                  <w:sz w:val="21"/>
                  <w:szCs w:val="16"/>
                </w:rPr>
                <m:t xml:space="preserve"> for</m:t>
              </m:r>
              <m:r>
                <w:rPr>
                  <w:rFonts w:ascii="Cambria Math" w:hAnsi="Cambria Math"/>
                  <w:sz w:val="21"/>
                  <w:szCs w:val="16"/>
                </w:rPr>
                <m:t xml:space="preserve"> k = 2,…N</m:t>
              </m:r>
              <m:r>
                <m:rPr>
                  <m:sty m:val="p"/>
                </m:rPr>
                <w:rPr>
                  <w:rFonts w:ascii="Cambria Math" w:hAnsi="Cambria Math"/>
                  <w:sz w:val="21"/>
                  <w:szCs w:val="16"/>
                </w:rPr>
                <m:t>,</m:t>
              </m:r>
            </m:oMath>
            <w:r w:rsidR="000215B4">
              <w:rPr>
                <w:rFonts w:eastAsia="Calibri" w:hint="eastAsia"/>
              </w:rPr>
              <w:t xml:space="preserve"> </w:t>
            </w:r>
          </w:p>
        </w:tc>
        <w:tc>
          <w:tcPr>
            <w:tcW w:w="738" w:type="dxa"/>
            <w:vAlign w:val="center"/>
          </w:tcPr>
          <w:p w14:paraId="794C4D64" w14:textId="7ABF8DFB" w:rsidR="000215B4" w:rsidRPr="00B21B27" w:rsidRDefault="000215B4" w:rsidP="002023DB">
            <w:pPr>
              <w:pStyle w:val="Caption"/>
              <w:rPr>
                <w:rFonts w:ascii="Times New Roman" w:hAnsi="Times New Roman" w:cs="Times New Roman"/>
                <w:sz w:val="24"/>
                <w:szCs w:val="24"/>
              </w:rPr>
            </w:pPr>
            <w:bookmarkStart w:id="171" w:name="_Ref133843136"/>
            <w:bookmarkStart w:id="172" w:name="_Ref133843139"/>
            <w:r>
              <w:rPr>
                <w:rFonts w:ascii="Times New Roman" w:hAnsi="Times New Roman" w:cs="Times New Roman"/>
                <w:sz w:val="24"/>
                <w:szCs w:val="24"/>
              </w:rPr>
              <w:t>(</w:t>
            </w:r>
            <w:r w:rsidRPr="00B21B27">
              <w:rPr>
                <w:rFonts w:ascii="Times New Roman" w:hAnsi="Times New Roman" w:cs="Times New Roman"/>
                <w:sz w:val="24"/>
                <w:szCs w:val="24"/>
              </w:rPr>
              <w:fldChar w:fldCharType="begin"/>
            </w:r>
            <w:r w:rsidRPr="00B21B27">
              <w:rPr>
                <w:rFonts w:ascii="Times New Roman" w:hAnsi="Times New Roman" w:cs="Times New Roman"/>
                <w:sz w:val="24"/>
                <w:szCs w:val="24"/>
              </w:rPr>
              <w:instrText xml:space="preserve"> SEQ equation \* ARABIC </w:instrText>
            </w:r>
            <w:r w:rsidRPr="00B21B27">
              <w:rPr>
                <w:rFonts w:ascii="Times New Roman" w:hAnsi="Times New Roman" w:cs="Times New Roman"/>
                <w:sz w:val="24"/>
                <w:szCs w:val="24"/>
              </w:rPr>
              <w:fldChar w:fldCharType="separate"/>
            </w:r>
            <w:r w:rsidR="000E1725">
              <w:rPr>
                <w:rFonts w:ascii="Times New Roman" w:hAnsi="Times New Roman" w:cs="Times New Roman"/>
                <w:noProof/>
                <w:sz w:val="24"/>
                <w:szCs w:val="24"/>
              </w:rPr>
              <w:t>15</w:t>
            </w:r>
            <w:r w:rsidRPr="00B21B27">
              <w:rPr>
                <w:rFonts w:ascii="Times New Roman" w:hAnsi="Times New Roman" w:cs="Times New Roman"/>
                <w:sz w:val="24"/>
                <w:szCs w:val="24"/>
              </w:rPr>
              <w:fldChar w:fldCharType="end"/>
            </w:r>
            <w:bookmarkEnd w:id="171"/>
            <w:r>
              <w:rPr>
                <w:rFonts w:ascii="Times New Roman" w:hAnsi="Times New Roman" w:cs="Times New Roman"/>
                <w:sz w:val="24"/>
                <w:szCs w:val="24"/>
              </w:rPr>
              <w:t>)</w:t>
            </w:r>
            <w:bookmarkEnd w:id="172"/>
          </w:p>
        </w:tc>
      </w:tr>
    </w:tbl>
    <w:p w14:paraId="1DF430EC" w14:textId="075807CD" w:rsidR="000215B4" w:rsidRPr="00EF7995" w:rsidRDefault="000215B4" w:rsidP="000215B4">
      <w:pPr>
        <w:ind w:firstLine="0"/>
        <w:rPr>
          <w:noProof/>
        </w:rPr>
      </w:pPr>
      <w:r>
        <w:rPr>
          <w:rFonts w:eastAsia="Calibri" w:hint="eastAsia"/>
        </w:rPr>
        <w:t>w</w:t>
      </w:r>
      <w:r>
        <w:rPr>
          <w:rFonts w:eastAsia="Calibri"/>
        </w:rPr>
        <w:t xml:space="preserve">here </w:t>
      </w:r>
      <m:oMath>
        <m:r>
          <w:rPr>
            <w:rFonts w:ascii="Cambria Math" w:eastAsia="Calibri" w:hAnsi="Cambria Math"/>
          </w:rPr>
          <m:t>α</m:t>
        </m:r>
        <m:r>
          <w:rPr>
            <w:rFonts w:ascii="Cambria Math" w:eastAsia="Calibri" w:hAnsi="Cambria Math" w:hint="eastAsia"/>
          </w:rPr>
          <m:t xml:space="preserve"> </m:t>
        </m:r>
      </m:oMath>
      <w:r>
        <w:rPr>
          <w:rFonts w:eastAsia="Calibri" w:hint="eastAsia"/>
        </w:rPr>
        <w:t>r</w:t>
      </w:r>
      <w:r>
        <w:rPr>
          <w:rFonts w:eastAsia="Calibri"/>
        </w:rPr>
        <w:t xml:space="preserve">efers to an unknown parameter equals to </w:t>
      </w:r>
      <m:oMath>
        <m:sSub>
          <m:sSubPr>
            <m:ctrlPr>
              <w:rPr>
                <w:rFonts w:ascii="Cambria Math" w:eastAsia="Calibri" w:hAnsi="Cambria Math"/>
                <w:i/>
                <w:kern w:val="0"/>
                <w:szCs w:val="20"/>
              </w:rPr>
            </m:ctrlPr>
          </m:sSubPr>
          <m:e>
            <m:r>
              <w:rPr>
                <w:rFonts w:ascii="Cambria Math" w:eastAsia="Calibri" w:hAnsi="Cambria Math"/>
              </w:rPr>
              <m:t>C</m:t>
            </m:r>
            <m:ctrlPr>
              <w:rPr>
                <w:rFonts w:ascii="Cambria Math" w:eastAsia="Calibri" w:hAnsi="Cambria Math"/>
                <w:i/>
              </w:rPr>
            </m:ctrlPr>
          </m:e>
          <m:sub>
            <m:r>
              <w:rPr>
                <w:rFonts w:ascii="Cambria Math" w:eastAsia="Calibri" w:hAnsi="Cambria Math"/>
              </w:rPr>
              <m:t>wh</m:t>
            </m:r>
          </m:sub>
        </m:sSub>
        <m:sSub>
          <m:sSubPr>
            <m:ctrlPr>
              <w:rPr>
                <w:rFonts w:ascii="Cambria Math" w:eastAsia="Calibri" w:hAnsi="Cambria Math"/>
                <w:i/>
                <w:kern w:val="0"/>
                <w:szCs w:val="20"/>
              </w:rPr>
            </m:ctrlPr>
          </m:sSubPr>
          <m:e>
            <m:r>
              <w:rPr>
                <w:rFonts w:ascii="Cambria Math" w:eastAsia="Calibri" w:hAnsi="Cambria Math"/>
              </w:rPr>
              <m:t>R</m:t>
            </m:r>
            <m:ctrlPr>
              <w:rPr>
                <w:rFonts w:ascii="Cambria Math" w:eastAsia="Calibri" w:hAnsi="Cambria Math"/>
                <w:i/>
              </w:rPr>
            </m:ctrlPr>
          </m:e>
          <m:sub>
            <m:r>
              <w:rPr>
                <w:rFonts w:ascii="Cambria Math" w:eastAsia="Calibri" w:hAnsi="Cambria Math"/>
              </w:rPr>
              <m:t>wh</m:t>
            </m:r>
          </m:sub>
        </m:sSub>
      </m:oMath>
      <w:r>
        <w:rPr>
          <w:rFonts w:eastAsia="Calibri"/>
        </w:rPr>
        <w:t xml:space="preserve">, </w:t>
      </w:r>
      <m:oMath>
        <m:r>
          <w:rPr>
            <w:rFonts w:ascii="Cambria Math" w:eastAsia="Calibri" w:hAnsi="Cambria Math"/>
          </w:rPr>
          <m:t>β</m:t>
        </m:r>
      </m:oMath>
      <w:r>
        <w:rPr>
          <w:rFonts w:eastAsia="Calibri"/>
        </w:rPr>
        <w:t xml:space="preserve"> refers to an unknown parameter equals to </w:t>
      </w:r>
      <m:oMath>
        <m:sSub>
          <m:sSubPr>
            <m:ctrlPr>
              <w:rPr>
                <w:rFonts w:ascii="Cambria Math" w:eastAsia="Calibri" w:hAnsi="Cambria Math"/>
                <w:i/>
                <w:kern w:val="0"/>
                <w:szCs w:val="20"/>
              </w:rPr>
            </m:ctrlPr>
          </m:sSubPr>
          <m:e>
            <m:r>
              <w:rPr>
                <w:rFonts w:ascii="Cambria Math" w:eastAsia="Calibri" w:hAnsi="Cambria Math"/>
              </w:rPr>
              <m:t>C</m:t>
            </m:r>
            <m:ctrlPr>
              <w:rPr>
                <w:rFonts w:ascii="Cambria Math" w:eastAsia="Calibri" w:hAnsi="Cambria Math"/>
                <w:i/>
              </w:rPr>
            </m:ctrlPr>
          </m:e>
          <m:sub>
            <m:r>
              <w:rPr>
                <w:rFonts w:ascii="Cambria Math" w:eastAsia="Calibri" w:hAnsi="Cambria Math"/>
              </w:rPr>
              <m:t>wh</m:t>
            </m:r>
          </m:sub>
        </m:sSub>
      </m:oMath>
      <w:r>
        <w:rPr>
          <w:rFonts w:eastAsia="Calibri" w:hint="eastAsia"/>
        </w:rPr>
        <w:t>,</w:t>
      </w:r>
      <w:r>
        <w:rPr>
          <w:rFonts w:eastAsia="Calibri"/>
        </w:rPr>
        <w:t xml:space="preserve"> and </w:t>
      </w:r>
      <m:oMath>
        <m:r>
          <w:rPr>
            <w:rFonts w:ascii="Cambria Math" w:eastAsia="Calibri" w:hAnsi="Cambria Math"/>
          </w:rPr>
          <m:t>N</m:t>
        </m:r>
        <m:r>
          <w:rPr>
            <w:rFonts w:ascii="Cambria Math" w:eastAsia="Calibri" w:hAnsi="Cambria Math" w:hint="eastAsia"/>
          </w:rPr>
          <m:t xml:space="preserve"> </m:t>
        </m:r>
      </m:oMath>
      <w:r>
        <w:rPr>
          <w:rFonts w:eastAsia="Calibri" w:hint="eastAsia"/>
        </w:rPr>
        <w:t>r</w:t>
      </w:r>
      <w:r>
        <w:rPr>
          <w:rFonts w:eastAsia="Calibri"/>
        </w:rPr>
        <w:t xml:space="preserve">efers to the number of training data points. Equation </w:t>
      </w:r>
      <w:r>
        <w:fldChar w:fldCharType="begin"/>
      </w:r>
      <w:r>
        <w:instrText xml:space="preserve"> REF _Ref133843139 \h </w:instrText>
      </w:r>
      <w:r>
        <w:fldChar w:fldCharType="separate"/>
      </w:r>
      <w:r w:rsidR="000E1725">
        <w:rPr>
          <w:szCs w:val="24"/>
        </w:rPr>
        <w:t>(</w:t>
      </w:r>
      <w:r w:rsidR="000E1725">
        <w:rPr>
          <w:noProof/>
          <w:szCs w:val="24"/>
        </w:rPr>
        <w:t>15</w:t>
      </w:r>
      <w:r w:rsidR="000E1725">
        <w:rPr>
          <w:szCs w:val="24"/>
        </w:rPr>
        <w:t>)</w:t>
      </w:r>
      <w:r>
        <w:fldChar w:fldCharType="end"/>
      </w:r>
      <w:r>
        <w:rPr>
          <w:noProof/>
        </w:rPr>
        <w:t xml:space="preserve"> can be rewritten into a form of </w:t>
      </w:r>
      <m:oMath>
        <m:r>
          <w:rPr>
            <w:rFonts w:ascii="Cambria Math" w:hAnsi="Cambria Math"/>
            <w:noProof/>
          </w:rPr>
          <m:t>X</m:t>
        </m:r>
        <m:r>
          <m:rPr>
            <m:sty m:val="p"/>
          </m:rPr>
          <w:rPr>
            <w:rFonts w:ascii="Cambria Math" w:hAnsi="Cambria Math"/>
            <w:noProof/>
          </w:rPr>
          <m:t>β</m:t>
        </m:r>
        <m:r>
          <w:rPr>
            <w:rFonts w:ascii="Cambria Math" w:hAnsi="Cambria Math"/>
            <w:noProof/>
          </w:rPr>
          <m:t>= Y</m:t>
        </m:r>
      </m:oMath>
      <w:r>
        <w:rPr>
          <w:noProof/>
        </w:rPr>
        <w:t xml:space="preserve">: </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2"/>
        <w:gridCol w:w="1098"/>
      </w:tblGrid>
      <w:tr w:rsidR="000215B4" w:rsidRPr="001B59E2" w14:paraId="6C224955" w14:textId="77777777" w:rsidTr="00AF3671">
        <w:trPr>
          <w:trHeight w:val="899"/>
        </w:trPr>
        <w:tc>
          <w:tcPr>
            <w:tcW w:w="8262" w:type="dxa"/>
            <w:vAlign w:val="center"/>
          </w:tcPr>
          <w:p w14:paraId="3C057F1D" w14:textId="77777777" w:rsidR="000215B4" w:rsidRPr="004B192C" w:rsidRDefault="000215B4" w:rsidP="002D050F">
            <w:pPr>
              <w:jc w:val="center"/>
              <w:rPr>
                <w:rFonts w:eastAsiaTheme="minorEastAsia"/>
                <w:iCs/>
                <w:noProof/>
              </w:rPr>
            </w:pPr>
            <w:r w:rsidRPr="00521C9F">
              <w:rPr>
                <w:iCs/>
                <w:noProof/>
              </w:rPr>
              <w:drawing>
                <wp:inline distT="0" distB="0" distL="0" distR="0" wp14:anchorId="3446614C" wp14:editId="0B0F66AC">
                  <wp:extent cx="3669951" cy="833932"/>
                  <wp:effectExtent l="0" t="0" r="6985" b="4445"/>
                  <wp:docPr id="10" name="Picture 10" descr="A picture containing text, font, diagram,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font, diagram, white&#10;&#10;Description automatically generated"/>
                          <pic:cNvPicPr/>
                        </pic:nvPicPr>
                        <pic:blipFill>
                          <a:blip r:embed="rId30"/>
                          <a:stretch>
                            <a:fillRect/>
                          </a:stretch>
                        </pic:blipFill>
                        <pic:spPr>
                          <a:xfrm>
                            <a:off x="0" y="0"/>
                            <a:ext cx="3680885" cy="836417"/>
                          </a:xfrm>
                          <a:prstGeom prst="rect">
                            <a:avLst/>
                          </a:prstGeom>
                        </pic:spPr>
                      </pic:pic>
                    </a:graphicData>
                  </a:graphic>
                </wp:inline>
              </w:drawing>
            </w:r>
          </w:p>
        </w:tc>
        <w:tc>
          <w:tcPr>
            <w:tcW w:w="738" w:type="dxa"/>
            <w:vAlign w:val="center"/>
          </w:tcPr>
          <w:p w14:paraId="39EA49E9" w14:textId="1B68886A" w:rsidR="000215B4" w:rsidRPr="00B21B27" w:rsidRDefault="000215B4" w:rsidP="002023DB">
            <w:pPr>
              <w:pStyle w:val="Caption"/>
              <w:rPr>
                <w:rFonts w:ascii="Times New Roman" w:eastAsia="Calibri" w:hAnsi="Times New Roman" w:cs="Times New Roman"/>
                <w:sz w:val="24"/>
                <w:szCs w:val="24"/>
              </w:rPr>
            </w:pPr>
            <w:r w:rsidRPr="00B21B27">
              <w:rPr>
                <w:rFonts w:ascii="Times New Roman" w:eastAsia="Calibri" w:hAnsi="Times New Roman" w:cs="Times New Roman"/>
                <w:sz w:val="24"/>
                <w:szCs w:val="24"/>
              </w:rPr>
              <w:t>(</w:t>
            </w:r>
            <w:r w:rsidRPr="00B21B27">
              <w:rPr>
                <w:rFonts w:ascii="Times New Roman" w:eastAsia="Calibri" w:hAnsi="Times New Roman" w:cs="Times New Roman"/>
                <w:sz w:val="24"/>
                <w:szCs w:val="24"/>
              </w:rPr>
              <w:fldChar w:fldCharType="begin"/>
            </w:r>
            <w:r w:rsidRPr="00B21B27">
              <w:rPr>
                <w:rFonts w:ascii="Times New Roman" w:eastAsia="Calibri" w:hAnsi="Times New Roman" w:cs="Times New Roman"/>
                <w:sz w:val="24"/>
                <w:szCs w:val="24"/>
              </w:rPr>
              <w:instrText xml:space="preserve"> SEQ equation \* ARABIC </w:instrText>
            </w:r>
            <w:r w:rsidRPr="00B21B27">
              <w:rPr>
                <w:rFonts w:ascii="Times New Roman" w:eastAsia="Calibri" w:hAnsi="Times New Roman" w:cs="Times New Roman"/>
                <w:sz w:val="24"/>
                <w:szCs w:val="24"/>
              </w:rPr>
              <w:fldChar w:fldCharType="separate"/>
            </w:r>
            <w:r w:rsidR="000E1725">
              <w:rPr>
                <w:rFonts w:ascii="Times New Roman" w:eastAsia="Calibri" w:hAnsi="Times New Roman" w:cs="Times New Roman"/>
                <w:noProof/>
                <w:sz w:val="24"/>
                <w:szCs w:val="24"/>
              </w:rPr>
              <w:t>16</w:t>
            </w:r>
            <w:r w:rsidRPr="00B21B27">
              <w:rPr>
                <w:rFonts w:ascii="Times New Roman" w:eastAsia="Calibri" w:hAnsi="Times New Roman" w:cs="Times New Roman"/>
                <w:sz w:val="24"/>
                <w:szCs w:val="24"/>
              </w:rPr>
              <w:fldChar w:fldCharType="end"/>
            </w:r>
            <w:r w:rsidRPr="00B21B27">
              <w:rPr>
                <w:rFonts w:ascii="Times New Roman" w:eastAsia="Calibri" w:hAnsi="Times New Roman" w:cs="Times New Roman"/>
                <w:sz w:val="24"/>
                <w:szCs w:val="24"/>
              </w:rPr>
              <w:t>)</w:t>
            </w:r>
          </w:p>
        </w:tc>
      </w:tr>
    </w:tbl>
    <w:p w14:paraId="7A642BF9" w14:textId="77777777" w:rsidR="000215B4" w:rsidRPr="00C474D3" w:rsidRDefault="000215B4" w:rsidP="000215B4">
      <w:pPr>
        <w:ind w:firstLine="0"/>
      </w:pPr>
      <w:bookmarkStart w:id="173" w:name="_Toc133542360"/>
      <w:r w:rsidRPr="00623535">
        <w:t xml:space="preserve">where the Least square solution is </w:t>
      </w:r>
      <m:oMath>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T</m:t>
                    </m:r>
                  </m:sup>
                </m:sSup>
                <m:r>
                  <w:rPr>
                    <w:rFonts w:ascii="Cambria Math" w:hAnsi="Cambria Math"/>
                  </w:rPr>
                  <m:t>X</m:t>
                </m:r>
              </m:e>
            </m:d>
          </m:e>
          <m:sup>
            <m:r>
              <w:rPr>
                <w:rFonts w:ascii="Cambria Math" w:hAnsi="Cambria Math"/>
              </w:rPr>
              <m:t>-1</m:t>
            </m:r>
          </m:sup>
        </m:sSup>
        <m:sSup>
          <m:sSupPr>
            <m:ctrlPr>
              <w:rPr>
                <w:rFonts w:ascii="Cambria Math" w:hAnsi="Cambria Math"/>
                <w:i/>
              </w:rPr>
            </m:ctrlPr>
          </m:sSupPr>
          <m:e>
            <m:r>
              <w:rPr>
                <w:rFonts w:ascii="Cambria Math" w:hAnsi="Cambria Math"/>
              </w:rPr>
              <m:t>X</m:t>
            </m:r>
          </m:e>
          <m:sup>
            <m:r>
              <w:rPr>
                <w:rFonts w:ascii="Cambria Math" w:hAnsi="Cambria Math"/>
              </w:rPr>
              <m:t>T</m:t>
            </m:r>
          </m:sup>
        </m:sSup>
        <m:r>
          <w:rPr>
            <w:rFonts w:ascii="Cambria Math" w:hAnsi="Cambria Math"/>
          </w:rPr>
          <m:t>Y</m:t>
        </m:r>
      </m:oMath>
      <w:r w:rsidRPr="00623535">
        <w:t>.</w:t>
      </w:r>
      <w:r>
        <w:t xml:space="preserve">  </w:t>
      </w:r>
    </w:p>
    <w:p w14:paraId="6FF7F773" w14:textId="77777777" w:rsidR="000215B4" w:rsidRDefault="000215B4" w:rsidP="000215B4">
      <w:pPr>
        <w:pStyle w:val="Heading2"/>
      </w:pPr>
      <w:bookmarkStart w:id="174" w:name="_Toc141991691"/>
      <w:r>
        <w:rPr>
          <w:rFonts w:hint="eastAsia"/>
        </w:rPr>
        <w:t>Short</w:t>
      </w:r>
      <w:r>
        <w:t>-term PV Power Generation Prediction</w:t>
      </w:r>
      <w:bookmarkEnd w:id="173"/>
      <w:bookmarkEnd w:id="174"/>
      <w:r>
        <w:t xml:space="preserve">  </w:t>
      </w:r>
    </w:p>
    <w:p w14:paraId="16DCEAB2" w14:textId="43A9896F" w:rsidR="000215B4" w:rsidRDefault="000215B4" w:rsidP="000215B4">
      <w:r>
        <w:rPr>
          <w:rFonts w:hint="eastAsia"/>
        </w:rPr>
        <w:t>I</w:t>
      </w:r>
      <w:r>
        <w:t xml:space="preserve">n this section, the methodology of the ensemble framework to forecast short-term PV power generation is discussed. One of the most popular implementations of Gradient Boosting Decision Tree, LigthGBM, is adopted to forecast PV power generation. Compared to other machine learning or deep neural network models, LightGBM uses less memory and usually has a higher training </w:t>
      </w:r>
      <w:r w:rsidRPr="000D5672">
        <w:t>efficiency</w:t>
      </w:r>
      <w:r>
        <w:t xml:space="preserve"> </w:t>
      </w:r>
      <w:r>
        <w:fldChar w:fldCharType="begin"/>
      </w:r>
      <w:r w:rsidR="0082416B">
        <w:instrText xml:space="preserve"> ADDIN ZOTERO_ITEM CSL_CITATION {"citationID":"adh2odv3lv","properties":{"formattedCitation":"[108]","plainCitation":"[108]","noteIndex":0},"citationItems":[{"id":1561,"uris":["http://zotero.org/users/5659608/items/VS99RLHQ"],"itemData":{"id":1561,"type":"chapter","container-title":"Advances in neural information processing systems 30","note":"Citation Key: NIPS2017_7062","page":"4765–4774","publisher":"Curran Associates, Inc.","title":"A unified approach to interpreting model predictions","URL":"http://papers.nips.cc/paper/7062-a-unified-approach-to-interpreting-model-predictions.pdf","author":[{"family":"Lundberg","given":"Scott M"},{"family":"Lee","given":"Su-In"}],"editor":[{"family":"Guyon","given":"I."},{"family":"Luxburg","given":"U. V."},{"family":"Bengio","given":"S."},{"family":"Wallach","given":"H."},{"family":"Fergus","given":"R."},{"family":"Vishwanathan","given":"S."},{"family":"Garnett","given":"R."}],"issued":{"date-parts":[["2017"]]},"citation-key":"NIPS2017_7062"}}],"schema":"https://github.com/citation-style-language/schema/raw/master/csl-citation.json"} </w:instrText>
      </w:r>
      <w:r>
        <w:fldChar w:fldCharType="separate"/>
      </w:r>
      <w:r w:rsidR="0082416B" w:rsidRPr="0082416B">
        <w:t>[108]</w:t>
      </w:r>
      <w:r>
        <w:fldChar w:fldCharType="end"/>
      </w:r>
      <w:r w:rsidRPr="000D5672">
        <w:t>.</w:t>
      </w:r>
      <w:r>
        <w:t xml:space="preserve"> </w:t>
      </w:r>
      <w:r>
        <w:fldChar w:fldCharType="begin"/>
      </w:r>
      <w:r>
        <w:instrText xml:space="preserve"> REF _Ref133446938 \h </w:instrText>
      </w:r>
      <w:r>
        <w:fldChar w:fldCharType="separate"/>
      </w:r>
      <w:r w:rsidR="000E1725">
        <w:t xml:space="preserve">Figure </w:t>
      </w:r>
      <w:r w:rsidR="000E1725">
        <w:rPr>
          <w:noProof/>
        </w:rPr>
        <w:t>3</w:t>
      </w:r>
      <w:r w:rsidR="000E1725">
        <w:t>.</w:t>
      </w:r>
      <w:r w:rsidR="000E1725">
        <w:rPr>
          <w:noProof/>
        </w:rPr>
        <w:t>4</w:t>
      </w:r>
      <w:r>
        <w:fldChar w:fldCharType="end"/>
      </w:r>
      <w:r>
        <w:t xml:space="preserve"> shows the schematic outline of the prediction framework. First, the residential PV generation and the metrological dataset are collected from different data sources (data sources will be introduced in Section </w:t>
      </w:r>
      <w:r>
        <w:fldChar w:fldCharType="begin"/>
      </w:r>
      <w:r>
        <w:instrText xml:space="preserve"> REF _Ref133437353 \n \h </w:instrText>
      </w:r>
      <w:r>
        <w:fldChar w:fldCharType="separate"/>
      </w:r>
      <w:r w:rsidR="000E1725">
        <w:t>3.6</w:t>
      </w:r>
      <w:r>
        <w:fldChar w:fldCharType="end"/>
      </w:r>
      <w:r>
        <w:t xml:space="preserve">). Then, original data are preprocessed, and features are calculated. In this process, a training and a test dataset are carefully split. Next, the SHAP value then used to conduct a feature selection. Further, a grid-search method and a k-fold validation are employed to optimize the hyperparameters. Finally, the tunned model will be </w:t>
      </w:r>
      <w:r w:rsidR="00E1040C">
        <w:t>evaluated using</w:t>
      </w:r>
      <w:r>
        <w:t xml:space="preserve"> the test dataset. </w:t>
      </w:r>
    </w:p>
    <w:p w14:paraId="34246224" w14:textId="77777777" w:rsidR="000215B4" w:rsidRDefault="000215B4" w:rsidP="00623535">
      <w:pPr>
        <w:pStyle w:val="12FigureFormatSelectafigureandclickonthisstyle"/>
      </w:pPr>
      <w:r>
        <w:rPr>
          <w:noProof/>
        </w:rPr>
        <w:lastRenderedPageBreak/>
        <w:drawing>
          <wp:inline distT="0" distB="0" distL="0" distR="0" wp14:anchorId="68E28D17" wp14:editId="564BA12E">
            <wp:extent cx="5731510" cy="1558710"/>
            <wp:effectExtent l="0" t="0" r="0" b="0"/>
            <wp:docPr id="1889192694" name="Picture 1889192694" descr="A picture containing screenshot, tex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192694" name="Picture 1889192694" descr="A picture containing screenshot, text, fon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1558710"/>
                    </a:xfrm>
                    <a:prstGeom prst="rect">
                      <a:avLst/>
                    </a:prstGeom>
                  </pic:spPr>
                </pic:pic>
              </a:graphicData>
            </a:graphic>
          </wp:inline>
        </w:drawing>
      </w:r>
    </w:p>
    <w:p w14:paraId="72D5D0BF" w14:textId="31196146" w:rsidR="000215B4" w:rsidRPr="00D4032A" w:rsidRDefault="000215B4" w:rsidP="000215B4">
      <w:pPr>
        <w:pStyle w:val="13FigureCaption"/>
        <w:rPr>
          <w:rFonts w:eastAsiaTheme="minorEastAsia"/>
        </w:rPr>
      </w:pPr>
      <w:bookmarkStart w:id="175" w:name="_Ref133446938"/>
      <w:bookmarkStart w:id="176" w:name="_Toc141349913"/>
      <w:r>
        <w:t xml:space="preserve">Figure </w:t>
      </w:r>
      <w:fldSimple w:instr=" STYLEREF 1 \s ">
        <w:r w:rsidR="000E1725">
          <w:rPr>
            <w:noProof/>
          </w:rPr>
          <w:t>3</w:t>
        </w:r>
      </w:fldSimple>
      <w:r w:rsidR="005445E0">
        <w:t>.</w:t>
      </w:r>
      <w:fldSimple w:instr=" SEQ Figure \* ARABIC \s 1 ">
        <w:r w:rsidR="000E1725">
          <w:rPr>
            <w:noProof/>
          </w:rPr>
          <w:t>4</w:t>
        </w:r>
      </w:fldSimple>
      <w:bookmarkEnd w:id="175"/>
      <w:r>
        <w:t xml:space="preserve"> The schematic diagram of PV power generation prediction</w:t>
      </w:r>
      <w:bookmarkEnd w:id="176"/>
      <w:r>
        <w:t xml:space="preserve"> </w:t>
      </w:r>
    </w:p>
    <w:p w14:paraId="0FB62F25" w14:textId="77777777" w:rsidR="000215B4" w:rsidRDefault="000215B4" w:rsidP="000215B4">
      <w:pPr>
        <w:pStyle w:val="Heading3"/>
      </w:pPr>
      <w:bookmarkStart w:id="177" w:name="_Ref133493519"/>
      <w:bookmarkStart w:id="178" w:name="_Toc133542361"/>
      <w:bookmarkStart w:id="179" w:name="_Toc141991692"/>
      <w:r>
        <w:t>Data preprocessing</w:t>
      </w:r>
      <w:bookmarkEnd w:id="177"/>
      <w:bookmarkEnd w:id="178"/>
      <w:bookmarkEnd w:id="179"/>
    </w:p>
    <w:p w14:paraId="5B3B4660" w14:textId="5E51DCAC" w:rsidR="000215B4" w:rsidRDefault="000215B4" w:rsidP="000215B4">
      <w:r>
        <w:t>In this study, six-month datasets of a residential rooftop PV power generation and the historical metrological dataset are obtained from the data sources. To make the proposed automation system work as soon as possible after installation, a random continuous three days of each month are selected as the test dataset, which mimics any time of the year that the automation system is installed, whereas the previous two-month data of this randomly selected days are used for training and validating the developed model. Weather forecast is the only input of this model, and the output of this model is the PV power generation in W</w:t>
      </w:r>
      <w:r w:rsidR="005445E0">
        <w:t>att</w:t>
      </w:r>
      <w:r>
        <w:t xml:space="preserve">. </w:t>
      </w:r>
    </w:p>
    <w:p w14:paraId="0C07C9F6" w14:textId="77777777" w:rsidR="000215B4" w:rsidRDefault="000215B4" w:rsidP="000215B4">
      <w:r>
        <w:t xml:space="preserve">Since the PV power generation dataset is collected from a real system, it is necessary to preprocess some abnormal data that may be caused by system or sensor faults before training the model. First, the days with no observable solar but still has PV power generation are removed (the rare case that the PV panel still have small currents generated through thermal effects or other mechanism are neglected). Afterward, the days with almost constant PV power generation throughout the day are filtered out, utilizing the fact that very small standard </w:t>
      </w:r>
      <w:r>
        <w:lastRenderedPageBreak/>
        <w:t xml:space="preserve">deviations in PV power generation within a whole day of such days may occur (i.e., “no change” in generation throughout the day under normal solar radiation). </w:t>
      </w:r>
    </w:p>
    <w:p w14:paraId="21DBAA3A" w14:textId="77777777" w:rsidR="000215B4" w:rsidRDefault="000215B4" w:rsidP="000215B4">
      <w:pPr>
        <w:pStyle w:val="Heading3"/>
      </w:pPr>
      <w:bookmarkStart w:id="180" w:name="_Toc133542362"/>
      <w:bookmarkStart w:id="181" w:name="_Toc141991693"/>
      <w:r>
        <w:rPr>
          <w:rFonts w:hint="eastAsia"/>
        </w:rPr>
        <w:t>F</w:t>
      </w:r>
      <w:r>
        <w:t>eature selection</w:t>
      </w:r>
      <w:bookmarkEnd w:id="180"/>
      <w:bookmarkEnd w:id="181"/>
    </w:p>
    <w:p w14:paraId="031E2DF8" w14:textId="77777777" w:rsidR="000215B4" w:rsidRDefault="000215B4" w:rsidP="000215B4">
      <w:r>
        <w:rPr>
          <w:rFonts w:hint="eastAsia"/>
        </w:rPr>
        <w:t>T</w:t>
      </w:r>
      <w:r>
        <w:t xml:space="preserve">he original meteorological dataset (input dataset) includes a total of ten different parameters such as air temperature, global horizontal irradiance (Ghi) and wind speed. In addition, time information includes hours, months, years and seasons of the forecasted days are calculated based on the given timestamps and are added into input dataset as well. Among these meteorological parameters, wind direction in units of degrees may not be a good model input. For example, the model may treat </w:t>
      </w:r>
      <m:oMath>
        <m:r>
          <w:rPr>
            <w:rFonts w:ascii="Cambria Math" w:hAnsi="Cambria Math"/>
          </w:rPr>
          <m:t>0</m:t>
        </m:r>
        <m:r>
          <m:rPr>
            <m:sty m:val="p"/>
          </m:rPr>
          <w:rPr>
            <w:rFonts w:ascii="Cambria Math" w:hAnsi="Cambria Math" w:hint="eastAsia"/>
          </w:rPr>
          <m:t>°</m:t>
        </m:r>
      </m:oMath>
      <w:r>
        <w:rPr>
          <w:rFonts w:hint="eastAsia"/>
        </w:rPr>
        <w:t xml:space="preserve"> </w:t>
      </w:r>
      <w:r>
        <w:t xml:space="preserve">and </w:t>
      </w:r>
      <m:oMath>
        <m:r>
          <w:rPr>
            <w:rFonts w:ascii="Cambria Math" w:hAnsi="Cambria Math"/>
          </w:rPr>
          <m:t>360</m:t>
        </m:r>
        <m:r>
          <m:rPr>
            <m:sty m:val="p"/>
          </m:rPr>
          <w:rPr>
            <w:rFonts w:ascii="Cambria Math" w:hAnsi="Cambria Math" w:hint="eastAsia"/>
          </w:rPr>
          <m:t>°</m:t>
        </m:r>
      </m:oMath>
      <w:r>
        <w:rPr>
          <w:rFonts w:hint="eastAsia"/>
        </w:rPr>
        <w:t xml:space="preserve"> </w:t>
      </w:r>
      <w:r>
        <w:t xml:space="preserve">differently but they represents the same meaning in reality. To make the model easier to understand this input dataset, the wind vectors </w:t>
      </w:r>
      <m:oMath>
        <m:sSub>
          <m:sSubPr>
            <m:ctrlPr>
              <w:rPr>
                <w:rFonts w:ascii="Cambria Math" w:hAnsi="Cambria Math"/>
                <w:i/>
              </w:rPr>
            </m:ctrlPr>
          </m:sSubPr>
          <m:e>
            <m:r>
              <w:rPr>
                <w:rFonts w:ascii="Cambria Math" w:hAnsi="Cambria Math"/>
              </w:rPr>
              <m:t>W</m:t>
            </m:r>
          </m:e>
          <m:sub>
            <m:r>
              <w:rPr>
                <w:rFonts w:ascii="Cambria Math" w:hAnsi="Cambria Math"/>
              </w:rPr>
              <m:t>x</m:t>
            </m:r>
          </m:sub>
        </m:sSub>
      </m:oMath>
      <w:r>
        <w:rPr>
          <w:rFonts w:hint="eastAsia"/>
        </w:rPr>
        <w:t xml:space="preserve"> </w:t>
      </w:r>
      <w:r>
        <w:t xml:space="preserve">and </w:t>
      </w:r>
      <m:oMath>
        <m:sSub>
          <m:sSubPr>
            <m:ctrlPr>
              <w:rPr>
                <w:rFonts w:ascii="Cambria Math" w:hAnsi="Cambria Math"/>
                <w:i/>
              </w:rPr>
            </m:ctrlPr>
          </m:sSubPr>
          <m:e>
            <m:r>
              <w:rPr>
                <w:rFonts w:ascii="Cambria Math" w:hAnsi="Cambria Math"/>
              </w:rPr>
              <m:t>W</m:t>
            </m:r>
          </m:e>
          <m:sub>
            <m:r>
              <w:rPr>
                <w:rFonts w:ascii="Cambria Math" w:hAnsi="Cambria Math"/>
              </w:rPr>
              <m:t>y</m:t>
            </m:r>
          </m:sub>
        </m:sSub>
      </m:oMath>
      <w:r>
        <w:t xml:space="preserve"> are calculated by using the following equations:</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2"/>
        <w:gridCol w:w="1098"/>
      </w:tblGrid>
      <w:tr w:rsidR="000215B4" w:rsidRPr="00B4798A" w14:paraId="0FC8776A" w14:textId="77777777" w:rsidTr="00AF3671">
        <w:trPr>
          <w:trHeight w:val="739"/>
        </w:trPr>
        <w:tc>
          <w:tcPr>
            <w:tcW w:w="8262" w:type="dxa"/>
            <w:vAlign w:val="center"/>
          </w:tcPr>
          <w:p w14:paraId="37D62DBB" w14:textId="77777777" w:rsidR="000215B4" w:rsidRPr="008E59AE" w:rsidRDefault="00000000" w:rsidP="002023DB">
            <w:pPr>
              <w:rPr>
                <w:rFonts w:eastAsiaTheme="minorEastAsia"/>
                <w:vertAlign w:val="subscript"/>
              </w:rPr>
            </w:pPr>
            <m:oMathPara>
              <m:oMath>
                <m:sSub>
                  <m:sSubPr>
                    <m:ctrlPr>
                      <w:rPr>
                        <w:rFonts w:ascii="Cambria Math" w:hAnsi="Cambria Math"/>
                        <w:i/>
                        <w:vertAlign w:val="subscript"/>
                      </w:rPr>
                    </m:ctrlPr>
                  </m:sSubPr>
                  <m:e>
                    <m:r>
                      <w:rPr>
                        <w:rFonts w:ascii="Cambria Math" w:hAnsi="Cambria Math"/>
                        <w:vertAlign w:val="subscript"/>
                      </w:rPr>
                      <m:t>W</m:t>
                    </m:r>
                  </m:e>
                  <m:sub>
                    <m:r>
                      <w:rPr>
                        <w:rFonts w:ascii="Cambria Math" w:hAnsi="Cambria Math"/>
                        <w:vertAlign w:val="subscript"/>
                      </w:rPr>
                      <m:t>x</m:t>
                    </m:r>
                  </m:sub>
                </m:sSub>
                <m:d>
                  <m:dPr>
                    <m:ctrlPr>
                      <w:rPr>
                        <w:rFonts w:ascii="Cambria Math" w:hAnsi="Cambria Math"/>
                        <w:i/>
                        <w:vertAlign w:val="subscript"/>
                      </w:rPr>
                    </m:ctrlPr>
                  </m:dPr>
                  <m:e>
                    <m:r>
                      <w:rPr>
                        <w:rFonts w:ascii="Cambria Math" w:hAnsi="Cambria Math"/>
                        <w:vertAlign w:val="subscript"/>
                      </w:rPr>
                      <m:t>t</m:t>
                    </m:r>
                  </m:e>
                </m:d>
                <m:r>
                  <w:rPr>
                    <w:rFonts w:ascii="Cambria Math" w:hAnsi="Cambria Math"/>
                    <w:vertAlign w:val="subscript"/>
                  </w:rPr>
                  <m:t>=W</m:t>
                </m:r>
                <m:d>
                  <m:dPr>
                    <m:ctrlPr>
                      <w:rPr>
                        <w:rFonts w:ascii="Cambria Math" w:hAnsi="Cambria Math"/>
                        <w:i/>
                        <w:vertAlign w:val="subscript"/>
                      </w:rPr>
                    </m:ctrlPr>
                  </m:dPr>
                  <m:e>
                    <m:r>
                      <w:rPr>
                        <w:rFonts w:ascii="Cambria Math" w:hAnsi="Cambria Math"/>
                        <w:vertAlign w:val="subscript"/>
                      </w:rPr>
                      <m:t>t</m:t>
                    </m:r>
                  </m:e>
                </m:d>
                <m:r>
                  <w:rPr>
                    <w:rFonts w:ascii="Cambria Math" w:hAnsi="Cambria Math"/>
                    <w:vertAlign w:val="subscript"/>
                  </w:rPr>
                  <m:t xml:space="preserve"> cos</m:t>
                </m:r>
                <m:d>
                  <m:dPr>
                    <m:ctrlPr>
                      <w:rPr>
                        <w:rFonts w:ascii="Cambria Math" w:hAnsi="Cambria Math"/>
                        <w:i/>
                        <w:vertAlign w:val="subscript"/>
                      </w:rPr>
                    </m:ctrlPr>
                  </m:dPr>
                  <m:e>
                    <m:r>
                      <m:rPr>
                        <m:sty m:val="p"/>
                      </m:rPr>
                      <w:rPr>
                        <w:rFonts w:ascii="Cambria Math" w:hAnsi="Cambria Math"/>
                        <w:vertAlign w:val="subscript"/>
                      </w:rPr>
                      <m:t>θ</m:t>
                    </m:r>
                    <m:d>
                      <m:dPr>
                        <m:ctrlPr>
                          <w:rPr>
                            <w:rFonts w:ascii="Cambria Math" w:hAnsi="Cambria Math"/>
                            <w:i/>
                            <w:vertAlign w:val="subscript"/>
                          </w:rPr>
                        </m:ctrlPr>
                      </m:dPr>
                      <m:e>
                        <m:r>
                          <w:rPr>
                            <w:rFonts w:ascii="Cambria Math" w:hAnsi="Cambria Math"/>
                            <w:vertAlign w:val="subscript"/>
                          </w:rPr>
                          <m:t>t</m:t>
                        </m:r>
                      </m:e>
                    </m:d>
                  </m:e>
                </m:d>
              </m:oMath>
            </m:oMathPara>
          </w:p>
        </w:tc>
        <w:tc>
          <w:tcPr>
            <w:tcW w:w="738" w:type="dxa"/>
            <w:vAlign w:val="center"/>
          </w:tcPr>
          <w:p w14:paraId="2EA51FFA" w14:textId="0DEEA097" w:rsidR="000215B4" w:rsidRPr="00B4798A" w:rsidRDefault="000215B4" w:rsidP="002023DB">
            <w:r w:rsidRPr="00B4798A">
              <w:t>(</w:t>
            </w:r>
            <w:r w:rsidRPr="00B4798A">
              <w:fldChar w:fldCharType="begin"/>
            </w:r>
            <w:r w:rsidRPr="00B4798A">
              <w:instrText>SEQ Equation \* ARABIC</w:instrText>
            </w:r>
            <w:r w:rsidRPr="00B4798A">
              <w:fldChar w:fldCharType="separate"/>
            </w:r>
            <w:r w:rsidR="000E1725">
              <w:rPr>
                <w:noProof/>
              </w:rPr>
              <w:t>17</w:t>
            </w:r>
            <w:r w:rsidRPr="00B4798A">
              <w:fldChar w:fldCharType="end"/>
            </w:r>
            <w:r w:rsidRPr="00B4798A">
              <w:t>)</w:t>
            </w:r>
          </w:p>
        </w:tc>
      </w:tr>
      <w:tr w:rsidR="000215B4" w:rsidRPr="00B4798A" w14:paraId="1D5D0976" w14:textId="77777777" w:rsidTr="00AF3671">
        <w:tc>
          <w:tcPr>
            <w:tcW w:w="8262" w:type="dxa"/>
            <w:vAlign w:val="center"/>
          </w:tcPr>
          <w:p w14:paraId="1899DCD3" w14:textId="77777777" w:rsidR="000215B4" w:rsidRPr="008E59AE" w:rsidRDefault="00000000" w:rsidP="002023DB">
            <w:pPr>
              <w:rPr>
                <w:rFonts w:eastAsiaTheme="minorEastAsia"/>
                <w:vertAlign w:val="subscript"/>
              </w:rPr>
            </w:pPr>
            <m:oMathPara>
              <m:oMath>
                <m:sSub>
                  <m:sSubPr>
                    <m:ctrlPr>
                      <w:rPr>
                        <w:rFonts w:ascii="Cambria Math" w:hAnsi="Cambria Math"/>
                        <w:i/>
                        <w:vertAlign w:val="subscript"/>
                      </w:rPr>
                    </m:ctrlPr>
                  </m:sSubPr>
                  <m:e>
                    <m:r>
                      <w:rPr>
                        <w:rFonts w:ascii="Cambria Math" w:hAnsi="Cambria Math"/>
                        <w:vertAlign w:val="subscript"/>
                      </w:rPr>
                      <m:t>W</m:t>
                    </m:r>
                  </m:e>
                  <m:sub>
                    <m:r>
                      <w:rPr>
                        <w:rFonts w:ascii="Cambria Math" w:hAnsi="Cambria Math"/>
                        <w:vertAlign w:val="subscript"/>
                      </w:rPr>
                      <m:t>y</m:t>
                    </m:r>
                  </m:sub>
                </m:sSub>
                <m:d>
                  <m:dPr>
                    <m:ctrlPr>
                      <w:rPr>
                        <w:rFonts w:ascii="Cambria Math" w:hAnsi="Cambria Math"/>
                        <w:i/>
                        <w:vertAlign w:val="subscript"/>
                      </w:rPr>
                    </m:ctrlPr>
                  </m:dPr>
                  <m:e>
                    <m:r>
                      <w:rPr>
                        <w:rFonts w:ascii="Cambria Math" w:hAnsi="Cambria Math"/>
                        <w:vertAlign w:val="subscript"/>
                      </w:rPr>
                      <m:t>t</m:t>
                    </m:r>
                  </m:e>
                </m:d>
                <m:r>
                  <w:rPr>
                    <w:rFonts w:ascii="Cambria Math" w:hAnsi="Cambria Math"/>
                    <w:vertAlign w:val="subscript"/>
                  </w:rPr>
                  <m:t>=W</m:t>
                </m:r>
                <m:d>
                  <m:dPr>
                    <m:ctrlPr>
                      <w:rPr>
                        <w:rFonts w:ascii="Cambria Math" w:hAnsi="Cambria Math"/>
                        <w:i/>
                        <w:vertAlign w:val="subscript"/>
                      </w:rPr>
                    </m:ctrlPr>
                  </m:dPr>
                  <m:e>
                    <m:r>
                      <w:rPr>
                        <w:rFonts w:ascii="Cambria Math" w:hAnsi="Cambria Math"/>
                        <w:vertAlign w:val="subscript"/>
                      </w:rPr>
                      <m:t>t</m:t>
                    </m:r>
                  </m:e>
                </m:d>
                <m:r>
                  <w:rPr>
                    <w:rFonts w:ascii="Cambria Math" w:hAnsi="Cambria Math"/>
                    <w:vertAlign w:val="subscript"/>
                  </w:rPr>
                  <m:t xml:space="preserve"> sin</m:t>
                </m:r>
                <m:d>
                  <m:dPr>
                    <m:ctrlPr>
                      <w:rPr>
                        <w:rFonts w:ascii="Cambria Math" w:hAnsi="Cambria Math"/>
                        <w:i/>
                        <w:vertAlign w:val="subscript"/>
                      </w:rPr>
                    </m:ctrlPr>
                  </m:dPr>
                  <m:e>
                    <m:r>
                      <m:rPr>
                        <m:sty m:val="p"/>
                      </m:rPr>
                      <w:rPr>
                        <w:rFonts w:ascii="Cambria Math" w:hAnsi="Cambria Math"/>
                        <w:vertAlign w:val="subscript"/>
                      </w:rPr>
                      <m:t>θ</m:t>
                    </m:r>
                    <m:d>
                      <m:dPr>
                        <m:ctrlPr>
                          <w:rPr>
                            <w:rFonts w:ascii="Cambria Math" w:hAnsi="Cambria Math"/>
                            <w:i/>
                            <w:vertAlign w:val="subscript"/>
                          </w:rPr>
                        </m:ctrlPr>
                      </m:dPr>
                      <m:e>
                        <m:r>
                          <w:rPr>
                            <w:rFonts w:ascii="Cambria Math" w:hAnsi="Cambria Math"/>
                            <w:vertAlign w:val="subscript"/>
                          </w:rPr>
                          <m:t>t</m:t>
                        </m:r>
                      </m:e>
                    </m:d>
                  </m:e>
                </m:d>
              </m:oMath>
            </m:oMathPara>
          </w:p>
        </w:tc>
        <w:tc>
          <w:tcPr>
            <w:tcW w:w="738" w:type="dxa"/>
            <w:vAlign w:val="center"/>
          </w:tcPr>
          <w:p w14:paraId="61B950C9" w14:textId="5BEC715F" w:rsidR="000215B4" w:rsidRPr="00B4798A" w:rsidRDefault="000215B4" w:rsidP="002023DB">
            <w:r w:rsidRPr="00B4798A">
              <w:t>(</w:t>
            </w:r>
            <w:r w:rsidRPr="00B4798A">
              <w:fldChar w:fldCharType="begin"/>
            </w:r>
            <w:r w:rsidRPr="00B4798A">
              <w:instrText>SEQ Equation \* ARABIC</w:instrText>
            </w:r>
            <w:r w:rsidRPr="00B4798A">
              <w:fldChar w:fldCharType="separate"/>
            </w:r>
            <w:r w:rsidR="000E1725">
              <w:rPr>
                <w:noProof/>
              </w:rPr>
              <w:t>18</w:t>
            </w:r>
            <w:r w:rsidRPr="00B4798A">
              <w:fldChar w:fldCharType="end"/>
            </w:r>
            <w:r w:rsidRPr="00B4798A">
              <w:t>)</w:t>
            </w:r>
          </w:p>
        </w:tc>
      </w:tr>
    </w:tbl>
    <w:p w14:paraId="1540B090" w14:textId="77777777" w:rsidR="000215B4" w:rsidRDefault="000215B4" w:rsidP="000215B4">
      <w:pPr>
        <w:ind w:firstLine="0"/>
      </w:pPr>
      <w:r>
        <w:t xml:space="preserve">where </w:t>
      </w:r>
      <m:oMath>
        <m:r>
          <m:rPr>
            <m:sty m:val="p"/>
          </m:rPr>
          <w:rPr>
            <w:rFonts w:ascii="Cambria Math" w:hAnsi="Cambria Math"/>
          </w:rPr>
          <m:t>θ</m:t>
        </m:r>
        <m:d>
          <m:dPr>
            <m:ctrlPr>
              <w:rPr>
                <w:rFonts w:ascii="Cambria Math" w:hAnsi="Cambria Math"/>
              </w:rPr>
            </m:ctrlPr>
          </m:dPr>
          <m:e>
            <m:r>
              <m:rPr>
                <m:sty m:val="p"/>
              </m:rPr>
              <w:rPr>
                <w:rFonts w:ascii="Cambria Math" w:hAnsi="Cambria Math"/>
              </w:rPr>
              <m:t>t</m:t>
            </m:r>
          </m:e>
        </m:d>
      </m:oMath>
      <w:r>
        <w:rPr>
          <w:rFonts w:hint="eastAsia"/>
        </w:rPr>
        <w:t xml:space="preserve"> </w:t>
      </w:r>
      <w:r>
        <w:t xml:space="preserve">and </w:t>
      </w:r>
      <m:oMath>
        <m:r>
          <w:rPr>
            <w:rFonts w:ascii="Cambria Math" w:hAnsi="Cambria Math"/>
          </w:rPr>
          <m:t>W</m:t>
        </m:r>
        <m:d>
          <m:dPr>
            <m:ctrlPr>
              <w:rPr>
                <w:rFonts w:ascii="Cambria Math" w:hAnsi="Cambria Math"/>
                <w:i/>
              </w:rPr>
            </m:ctrlPr>
          </m:dPr>
          <m:e>
            <m:r>
              <w:rPr>
                <w:rFonts w:ascii="Cambria Math" w:hAnsi="Cambria Math"/>
              </w:rPr>
              <m:t>t</m:t>
            </m:r>
          </m:e>
        </m:d>
      </m:oMath>
      <w:r>
        <w:rPr>
          <w:rFonts w:hint="eastAsia"/>
        </w:rPr>
        <w:t xml:space="preserve"> </w:t>
      </w:r>
      <w:r>
        <w:t xml:space="preserve">represents the wind degree and wind speed at time </w:t>
      </w:r>
      <m:oMath>
        <m:r>
          <w:rPr>
            <w:rFonts w:ascii="Cambria Math" w:hAnsi="Cambria Math"/>
          </w:rPr>
          <m:t>t</m:t>
        </m:r>
      </m:oMath>
      <w:r>
        <w:rPr>
          <w:rFonts w:hint="eastAsia"/>
        </w:rPr>
        <w:t>.</w:t>
      </w:r>
      <w:r>
        <w:t xml:space="preserve"> </w:t>
      </w:r>
    </w:p>
    <w:p w14:paraId="6DC23CBB" w14:textId="040D87F5" w:rsidR="000215B4" w:rsidRDefault="000215B4" w:rsidP="000215B4">
      <w:r>
        <w:t xml:space="preserve">The train dataset mentioned in Section </w:t>
      </w:r>
      <w:r>
        <w:fldChar w:fldCharType="begin"/>
      </w:r>
      <w:r>
        <w:instrText xml:space="preserve"> REF _Ref133493519 \r \h </w:instrText>
      </w:r>
      <w:r>
        <w:fldChar w:fldCharType="separate"/>
      </w:r>
      <w:r w:rsidR="000E1725">
        <w:t>3.5.1</w:t>
      </w:r>
      <w:r>
        <w:fldChar w:fldCharType="end"/>
      </w:r>
      <w:r>
        <w:t xml:space="preserve"> is then divided into the first 80% as training set and the last 20% as validation dataset for feature selection purpose. Since the training dataset is in less than a two-month period, it is necessary to eliminate irrelevant features to prevent overfitting issue. A state-of-the-art feature explanation approach called Shapley Additive exPlanations (SHAP), which is based on cooperative game theory and is first proposed by Lundberg and Lee </w:t>
      </w:r>
      <w:r>
        <w:fldChar w:fldCharType="begin"/>
      </w:r>
      <w:r w:rsidR="0082416B">
        <w:instrText xml:space="preserve"> ADDIN ZOTERO_ITEM CSL_CITATION {"citationID":"a113eemjbka","properties":{"formattedCitation":"[108]","plainCitation":"[108]","noteIndex":0},"citationItems":[{"id":1561,"uris":["http://zotero.org/users/5659608/items/VS99RLHQ"],"itemData":{"id":1561,"type":"chapter","container-title":"Advances in neural information processing systems 30","note":"Citation Key: NIPS2017_7062","page":"4765–4774","publisher":"Curran Associates, Inc.","title":"A unified approach to interpreting model predictions","URL":"http://papers.nips.cc/paper/7062-a-unified-approach-to-interpreting-model-predictions.pdf","author":[{"family":"Lundberg","given":"Scott M"},{"family":"Lee","given":"Su-In"}],"editor":[{"family":"Guyon","given":"I."},{"family":"Luxburg","given":"U. V."},{"family":"Bengio","given":"S."},{"family":"Wallach","given":"H."},{"family":"Fergus","given":"R."},{"family":"Vishwanathan","given":"S."},{"family":"Garnett","given":"R."}],"issued":{"date-parts":[["2017"]]},"citation-key":"NIPS2017_7062"}}],"schema":"https://github.com/citation-style-language/schema/raw/master/csl-citation.json"} </w:instrText>
      </w:r>
      <w:r>
        <w:fldChar w:fldCharType="separate"/>
      </w:r>
      <w:r w:rsidR="0082416B" w:rsidRPr="0082416B">
        <w:t>[108]</w:t>
      </w:r>
      <w:r>
        <w:fldChar w:fldCharType="end"/>
      </w:r>
      <w:r>
        <w:t xml:space="preserve">, is utilized in the feature selection stage. </w:t>
      </w:r>
      <w:r>
        <w:rPr>
          <w:rFonts w:hint="eastAsia"/>
        </w:rPr>
        <w:t>T</w:t>
      </w:r>
      <w:r>
        <w:t xml:space="preserve">he SHAP </w:t>
      </w:r>
      <w:r>
        <w:lastRenderedPageBreak/>
        <w:t xml:space="preserve">explains the contribution of each feature to the prediction </w:t>
      </w:r>
      <w:r w:rsidRPr="00B3089B">
        <w:rPr>
          <w:i/>
          <w:iCs/>
        </w:rPr>
        <w:t>in each data point</w:t>
      </w:r>
      <w:r>
        <w:t>. Since SHAP conducts the calculation based on the model, it is less sensitive to input features, even if they are correlated with each other (e.g., air temperature and hour of the day in this case). The details information and of SHAP and its application on energy estimation can be found</w:t>
      </w:r>
      <w:r w:rsidR="009E6794">
        <w:t xml:space="preserve"> </w:t>
      </w:r>
      <w:r>
        <w:t>in</w:t>
      </w:r>
      <w:r w:rsidR="00193C01">
        <w:t xml:space="preserve"> </w:t>
      </w:r>
      <w:r>
        <w:fldChar w:fldCharType="begin"/>
      </w:r>
      <w:r w:rsidR="0082416B">
        <w:instrText xml:space="preserve"> ADDIN ZOTERO_ITEM CSL_CITATION {"citationID":"a1ak7q1mqul","properties":{"formattedCitation":"[108\\uc0\\u8211{}111]","plainCitation":"[108–111]","noteIndex":0},"citationItems":[{"id":1561,"uris":["http://zotero.org/users/5659608/items/VS99RLHQ"],"itemData":{"id":1561,"type":"chapter","container-title":"Advances in neural information processing systems 30","note":"Citation Key: NIPS2017_7062","page":"4765–4774","publisher":"Curran Associates, Inc.","title":"A unified approach to interpreting model predictions","URL":"http://papers.nips.cc/paper/7062-a-unified-approach-to-interpreting-model-predictions.pdf","author":[{"family":"Lundberg","given":"Scott M"},{"family":"Lee","given":"Su-In"}],"editor":[{"family":"Guyon","given":"I."},{"family":"Luxburg","given":"U. V."},{"family":"Bengio","given":"S."},{"family":"Wallach","given":"H."},{"family":"Fergus","given":"R."},{"family":"Vishwanathan","given":"S."},{"family":"Garnett","given":"R."}],"issued":{"date-parts":[["2017"]]},"citation-key":"NIPS2017_7062"}},{"id":1879,"uris":["http://zotero.org/users/5659608/items/6ZZ8T62U"],"itemData":{"id":1879,"type":"article-journal","abstract":"In the US, the increasing electricity demand lays massive pressure on national grids. Demand response (DR) programs provide an economical way to avoid electrical blackouts by incentivizing end-consumers to reduce their demand during peak hours and emergencies. However, the estimation of the power demand shaving capacity (PSC) (i.e., the amount of power demand that can be curtailed) of buildings is often inaccurate in the current practice because it only relies on oversimplified building design specifications. Moreover, existing estimation models of PSC either require detailed information (e.g., thermal resistance value) that are not readily available and hard to acquire, or that are building/system-specific and hard to scale up. In this study, the authors implemented the state-of-the-art feature explanation approach to identify key variables by evaluating the contribution of all related variables extracted from previous DR research efforts and current practices of DR programs. By identifying key variables, the authors attempted to find the sweet spot of PSC estimation models that can ensure accuracy, generality, and scalability. The proposed data-driven PSC estimation model using only key variables (47% reduction from all identified information items) and trained using 28 different buildings showed 81% better performance as compared with the benchmark of the current practice.","container-title":"Journal of Construction Engineering and Management","DOI":"10.1061/(ASCE)CO.1943-7862.0001949","ISSN":"1943-7862","issue":"1","language":"EN","license":"© 2020 American Society of Civil Engineers","note":"publisher: American Society of Civil Engineers","page":"04020146","source":"ASCE","title":"Key Variables in Determining Energy Shaving Capacity of Buildings during Demand Response Events","volume":"147","author":[{"family":"Yu","given":"Xinran"},{"family":"Ergan","given":"Semiha"}],"issued":{"date-parts":[["2021",1,1]]},"citation-key":"yuKeyVariablesDetermining2021"}},{"id":1885,"uris":["http://zotero.org/users/5659608/items/9ITWX7UA"],"itemData":{"id":1885,"type":"article-journal","abstract":"In the field of landscape epidemiology, the contribution of machine learning (ML) to modeling of epidemiological risk scenarios presents itself as a good alternative. This study aims to break with the ”black box” paradigm that underlies the application of automatic learning techniques by using SHAP to determine the contribution of each variable in ML models applied to geospatial health, using the prevalence of hookworms, intestinal parasites, in Ethiopia, where they are widely distributed; the country bears the third-highest burden of hookworm in Sub-Saharan Africa. XGBoost software was used, a very popular ML model, to fit and analyze the data. The Python SHAP library was used to understand the importance in the trained model, of the variables for predictions. The description of the contribution of these variables on a particular prediction was obtained, using different types of plot methods. The results show that the ML models are superior to the classical statistical models; not only demonstrating similar results but also explaining, by using the SHAP package, the influence and interactions between the variables in the generated models. This analysis provides information to help understand the epidemiological problem presented and provides a tool for similar studies.","container-title":"Infectious Disease Modelling","DOI":"10.1016/j.idm.2022.01.004","ISSN":"2468-0427","issue":"1","journalAbbreviation":"Infectious Disease Modelling","language":"en","page":"262-276","source":"ScienceDirect","title":"Feature importance: Opening a soil-transmitted helminth machine learning model via SHAP","title-short":"Feature importance","volume":"7","author":[{"family":"Scavuzzo","given":"Carlos Matias"},{"family":"Scavuzzo","given":"Juan Manuel"},{"family":"Campero","given":"Micaela Natalia"},{"family":"Anegagrie","given":"Melaku"},{"family":"Aramendia","given":"Aranzazu Amor"},{"family":"Benito","given":"Agustín"},{"family":"Periago","given":"Victoria"}],"issued":{"date-parts":[["2022",3,1]]},"citation-key":"scavuzzoFeatureImportanceOpening2022"}},{"id":1889,"uris":["http://zotero.org/users/5659608/items/23P25GLR"],"itemData":{"id":1889,"type":"article","abstract":"This paper presents advanced analysis of state-of-the-art Machine Learning (ML) model with explainable AI (XAI) tools – namely SHAP (Shapley Additive exPlanations). The model analyzed is a deep neural network (DNN) predicting heat demand in Warsaw District Heating Network – the largest district heating network in EU. The aim of this analysis was twofold. First, to validate the predictive model itself by verifying whether it has identified correct relationships between the input data and the target (heat demand). Second, to test advanced use of SHAP in practice, on a real-world data and production-used model. There are only very few examples described in the literature in energy industry and most present very basic usage. Since the analyzed model belongs to a class of energy demand forecasting models that share many common features, the workflow presented may be considered a guideline on how to use SHAP with such class of ML predictive models. The paper shows that SHAP can be used on demand forecasting models to provide practical insights on inner workings of these models which can be used to asses their reliability and plan further development","DOI":"10.2139/ssrn.4007107","event-place":"Rochester, NY","genre":"SSRN Scholarly Paper","language":"en","number":"4007107","publisher-place":"Rochester, NY","source":"Social Science Research Network","title":"Dataset Level Explanation of Heat Demand Forecasting Ann with Shap","URL":"https://papers.ssrn.com/abstract=4007107","author":[{"family":"Białek","given":"Jakub"},{"family":"Bujalski","given":"Wojciech"},{"family":"Wojdan","given":"Konrad"},{"family":"Guzek","given":"Michał"},{"family":"Kurek","given":"Teresa"}],"accessed":{"date-parts":[["2023",4,27]]},"issued":{"date-parts":[["2022",2,15]]},"citation-key":"bialekDatasetLevelExplanation2022"}}],"schema":"https://github.com/citation-style-language/schema/raw/master/csl-citation.json"} </w:instrText>
      </w:r>
      <w:r>
        <w:fldChar w:fldCharType="separate"/>
      </w:r>
      <w:r w:rsidR="0082416B" w:rsidRPr="0082416B">
        <w:rPr>
          <w:kern w:val="0"/>
          <w:szCs w:val="24"/>
        </w:rPr>
        <w:t>[108–111]</w:t>
      </w:r>
      <w:r>
        <w:fldChar w:fldCharType="end"/>
      </w:r>
      <w:r>
        <w:t xml:space="preserve">, respectively. Finally, the features corresponding with top ten mean absolute SHAP values are selected. </w:t>
      </w:r>
    </w:p>
    <w:p w14:paraId="4FA0C985" w14:textId="77777777" w:rsidR="000215B4" w:rsidRDefault="000215B4" w:rsidP="000215B4">
      <w:pPr>
        <w:pStyle w:val="Heading3"/>
      </w:pPr>
      <w:bookmarkStart w:id="182" w:name="_Toc133542363"/>
      <w:bookmarkStart w:id="183" w:name="_Toc141991694"/>
      <w:r>
        <w:t>Hyperparameter tunning</w:t>
      </w:r>
      <w:bookmarkEnd w:id="182"/>
      <w:bookmarkEnd w:id="183"/>
      <w:r>
        <w:t xml:space="preserve"> </w:t>
      </w:r>
    </w:p>
    <w:p w14:paraId="665FC942" w14:textId="65D8A35C" w:rsidR="000215B4" w:rsidRPr="00AC6F6D" w:rsidRDefault="000215B4" w:rsidP="000215B4">
      <w:r>
        <w:rPr>
          <w:rFonts w:hint="eastAsia"/>
        </w:rPr>
        <w:t>T</w:t>
      </w:r>
      <w:r>
        <w:t xml:space="preserve">o investigate the best lightGBM model, the grid search method is used to find out best hyperparameter combination and K-fold cross validation is used to validate the model performance. The hyperparameters tested in the grid search method </w:t>
      </w:r>
      <w:r w:rsidR="007A6199">
        <w:t>are</w:t>
      </w:r>
      <w:r>
        <w:t xml:space="preserve"> n_estimator represents the number of boosting iterations (i.e., number of trees) that will be performed; max_depth represents the maximum depth of the decision trees in the training; num_leaves represents the maximum number of leaves in one tree; and learning_rate represents the step size taken during the algorithm updates the weights of the model. </w:t>
      </w:r>
      <w:r>
        <w:fldChar w:fldCharType="begin"/>
      </w:r>
      <w:r>
        <w:instrText xml:space="preserve"> REF _Ref133527050 \h </w:instrText>
      </w:r>
      <w:r>
        <w:fldChar w:fldCharType="separate"/>
      </w:r>
      <w:r w:rsidR="000E1725">
        <w:t xml:space="preserve">Table </w:t>
      </w:r>
      <w:r w:rsidR="000E1725">
        <w:rPr>
          <w:noProof/>
        </w:rPr>
        <w:t>3</w:t>
      </w:r>
      <w:r w:rsidR="000E1725">
        <w:t>.</w:t>
      </w:r>
      <w:r w:rsidR="000E1725">
        <w:rPr>
          <w:noProof/>
        </w:rPr>
        <w:t>2</w:t>
      </w:r>
      <w:r>
        <w:fldChar w:fldCharType="end"/>
      </w:r>
      <w:r>
        <w:t xml:space="preserve"> shows the possible values of each hyperparameter, and 72 (2</w:t>
      </w:r>
      <m:oMath>
        <m:r>
          <m:rPr>
            <m:sty m:val="p"/>
          </m:rPr>
          <w:rPr>
            <w:rFonts w:ascii="Cambria Math" w:hAnsi="Cambria Math" w:hint="eastAsia"/>
          </w:rPr>
          <m:t>×</m:t>
        </m:r>
        <m:r>
          <w:rPr>
            <w:rFonts w:ascii="Cambria Math" w:hAnsi="Cambria Math"/>
          </w:rPr>
          <m:t>3</m:t>
        </m:r>
        <m:r>
          <m:rPr>
            <m:sty m:val="p"/>
          </m:rPr>
          <w:rPr>
            <w:rFonts w:ascii="Cambria Math" w:hAnsi="Cambria Math" w:hint="eastAsia"/>
          </w:rPr>
          <m:t>×</m:t>
        </m:r>
        <m:r>
          <w:rPr>
            <w:rFonts w:ascii="Cambria Math" w:hAnsi="Cambria Math"/>
          </w:rPr>
          <m:t>4</m:t>
        </m:r>
        <m:r>
          <m:rPr>
            <m:sty m:val="p"/>
          </m:rPr>
          <w:rPr>
            <w:rFonts w:ascii="Cambria Math" w:hAnsi="Cambria Math" w:hint="eastAsia"/>
          </w:rPr>
          <m:t>×</m:t>
        </m:r>
        <m:r>
          <w:rPr>
            <w:rFonts w:ascii="Cambria Math" w:hAnsi="Cambria Math"/>
          </w:rPr>
          <m:t>3=72</m:t>
        </m:r>
      </m:oMath>
      <w:r>
        <w:t xml:space="preserve">) combinations of hyperparameter are tested in the grid search. </w:t>
      </w:r>
    </w:p>
    <w:p w14:paraId="03B8CFEF" w14:textId="40E05754" w:rsidR="000215B4" w:rsidRDefault="000215B4" w:rsidP="00410CB0">
      <w:pPr>
        <w:pStyle w:val="15TableTitle"/>
      </w:pPr>
      <w:bookmarkStart w:id="184" w:name="_Ref133527050"/>
      <w:bookmarkStart w:id="185" w:name="_Toc141343897"/>
      <w:r>
        <w:t xml:space="preserve">Table </w:t>
      </w:r>
      <w:fldSimple w:instr=" STYLEREF 1 \s ">
        <w:r w:rsidR="000E1725">
          <w:rPr>
            <w:noProof/>
          </w:rPr>
          <w:t>3</w:t>
        </w:r>
      </w:fldSimple>
      <w:r w:rsidR="00146A55">
        <w:t>.</w:t>
      </w:r>
      <w:fldSimple w:instr=" SEQ Table \* ARABIC \s 1 ">
        <w:r w:rsidR="000E1725">
          <w:rPr>
            <w:noProof/>
          </w:rPr>
          <w:t>2</w:t>
        </w:r>
      </w:fldSimple>
      <w:bookmarkEnd w:id="184"/>
      <w:r>
        <w:t xml:space="preserve"> Possible values of hyperparameters used in the grid search</w:t>
      </w:r>
      <w:bookmarkEnd w:id="185"/>
    </w:p>
    <w:tbl>
      <w:tblPr>
        <w:tblStyle w:val="TableGrid"/>
        <w:tblW w:w="8995" w:type="dxa"/>
        <w:tblLook w:val="04A0" w:firstRow="1" w:lastRow="0" w:firstColumn="1" w:lastColumn="0" w:noHBand="0" w:noVBand="1"/>
      </w:tblPr>
      <w:tblGrid>
        <w:gridCol w:w="1885"/>
        <w:gridCol w:w="2898"/>
        <w:gridCol w:w="2142"/>
        <w:gridCol w:w="2070"/>
      </w:tblGrid>
      <w:tr w:rsidR="000215B4" w14:paraId="777268FD" w14:textId="77777777" w:rsidTr="00AF3671">
        <w:tc>
          <w:tcPr>
            <w:tcW w:w="1885" w:type="dxa"/>
          </w:tcPr>
          <w:p w14:paraId="640DA6F7" w14:textId="77777777" w:rsidR="000215B4" w:rsidRDefault="000215B4" w:rsidP="002023DB">
            <w:pPr>
              <w:ind w:firstLine="0"/>
            </w:pPr>
            <w:r>
              <w:rPr>
                <w:rFonts w:hint="eastAsia"/>
              </w:rPr>
              <w:t>n</w:t>
            </w:r>
            <w:r>
              <w:t>_estimators</w:t>
            </w:r>
          </w:p>
        </w:tc>
        <w:tc>
          <w:tcPr>
            <w:tcW w:w="2898" w:type="dxa"/>
          </w:tcPr>
          <w:p w14:paraId="7ACB32D6" w14:textId="77777777" w:rsidR="000215B4" w:rsidRDefault="000215B4" w:rsidP="002023DB">
            <w:pPr>
              <w:ind w:firstLine="0"/>
            </w:pPr>
            <w:r>
              <w:rPr>
                <w:rFonts w:hint="eastAsia"/>
              </w:rPr>
              <w:t>[</w:t>
            </w:r>
            <w:r>
              <w:t>100,200]</w:t>
            </w:r>
          </w:p>
        </w:tc>
        <w:tc>
          <w:tcPr>
            <w:tcW w:w="2142" w:type="dxa"/>
          </w:tcPr>
          <w:p w14:paraId="606A252A" w14:textId="77777777" w:rsidR="000215B4" w:rsidRDefault="000215B4" w:rsidP="002023DB">
            <w:pPr>
              <w:ind w:firstLine="0"/>
            </w:pPr>
            <w:r>
              <w:rPr>
                <w:rFonts w:hint="eastAsia"/>
              </w:rPr>
              <w:t>m</w:t>
            </w:r>
            <w:r>
              <w:t>ax_depth</w:t>
            </w:r>
          </w:p>
        </w:tc>
        <w:tc>
          <w:tcPr>
            <w:tcW w:w="2070" w:type="dxa"/>
          </w:tcPr>
          <w:p w14:paraId="6320ABF9" w14:textId="77777777" w:rsidR="000215B4" w:rsidRDefault="000215B4" w:rsidP="002023DB">
            <w:pPr>
              <w:ind w:firstLine="0"/>
            </w:pPr>
            <w:r>
              <w:rPr>
                <w:rFonts w:hint="eastAsia"/>
              </w:rPr>
              <w:t>[</w:t>
            </w:r>
            <w:r>
              <w:t>10,20,40]</w:t>
            </w:r>
          </w:p>
        </w:tc>
      </w:tr>
      <w:tr w:rsidR="000215B4" w14:paraId="1030E7E3" w14:textId="77777777" w:rsidTr="00AF3671">
        <w:tc>
          <w:tcPr>
            <w:tcW w:w="1885" w:type="dxa"/>
          </w:tcPr>
          <w:p w14:paraId="7B32A393" w14:textId="77777777" w:rsidR="000215B4" w:rsidRDefault="000215B4" w:rsidP="002023DB">
            <w:pPr>
              <w:ind w:firstLine="0"/>
            </w:pPr>
            <w:r>
              <w:rPr>
                <w:rFonts w:hint="eastAsia"/>
              </w:rPr>
              <w:t>n</w:t>
            </w:r>
            <w:r>
              <w:t>um_leaves</w:t>
            </w:r>
          </w:p>
        </w:tc>
        <w:tc>
          <w:tcPr>
            <w:tcW w:w="2898" w:type="dxa"/>
          </w:tcPr>
          <w:p w14:paraId="60BA2D5F" w14:textId="77777777" w:rsidR="000215B4" w:rsidRPr="00745E04" w:rsidRDefault="000215B4" w:rsidP="002023DB">
            <w:pPr>
              <w:ind w:firstLine="0"/>
              <w:rPr>
                <w:rFonts w:ascii="Consolas" w:eastAsia="SimSun" w:hAnsi="Consolas" w:cs="SimSun"/>
                <w:color w:val="333333"/>
                <w:sz w:val="17"/>
                <w:szCs w:val="17"/>
              </w:rPr>
            </w:pPr>
            <w:r w:rsidRPr="008E5C4F">
              <w:rPr>
                <w:rFonts w:eastAsia="SimSun"/>
                <w:szCs w:val="24"/>
              </w:rPr>
              <w:t>[</w:t>
            </w:r>
            <w:r>
              <w:rPr>
                <w:rFonts w:eastAsia="SimSun"/>
                <w:szCs w:val="24"/>
              </w:rPr>
              <w:t>50,100,150,200</w:t>
            </w:r>
            <w:r w:rsidRPr="008E5C4F">
              <w:rPr>
                <w:rFonts w:eastAsia="SimSun"/>
                <w:szCs w:val="24"/>
              </w:rPr>
              <w:t>]</w:t>
            </w:r>
          </w:p>
        </w:tc>
        <w:tc>
          <w:tcPr>
            <w:tcW w:w="2142" w:type="dxa"/>
          </w:tcPr>
          <w:p w14:paraId="616B6FCC" w14:textId="77777777" w:rsidR="000215B4" w:rsidRDefault="000215B4" w:rsidP="002023DB">
            <w:pPr>
              <w:ind w:firstLine="0"/>
            </w:pPr>
            <w:r>
              <w:t>learning_rate</w:t>
            </w:r>
          </w:p>
        </w:tc>
        <w:tc>
          <w:tcPr>
            <w:tcW w:w="2070" w:type="dxa"/>
          </w:tcPr>
          <w:p w14:paraId="71ACE097" w14:textId="77777777" w:rsidR="000215B4" w:rsidRDefault="000215B4" w:rsidP="002023DB">
            <w:pPr>
              <w:ind w:firstLine="0"/>
            </w:pPr>
            <w:r>
              <w:rPr>
                <w:rFonts w:hint="eastAsia"/>
              </w:rPr>
              <w:t>[</w:t>
            </w:r>
            <w:r>
              <w:t>0.05,0.1,0.2]</w:t>
            </w:r>
          </w:p>
        </w:tc>
      </w:tr>
    </w:tbl>
    <w:p w14:paraId="3F3C99A6" w14:textId="65E505AE" w:rsidR="000215B4" w:rsidRDefault="000215B4" w:rsidP="000215B4">
      <w:r>
        <w:rPr>
          <w:rFonts w:hint="eastAsia"/>
        </w:rPr>
        <w:t>D</w:t>
      </w:r>
      <w:r>
        <w:t xml:space="preserve">ue to the size of the training dataset is limited, the K-fold cross validation is used to </w:t>
      </w:r>
      <w:r>
        <w:lastRenderedPageBreak/>
        <w:t xml:space="preserve">estimate each hyperparameter combination. By further dividing the whole train set into K-partition and selecting each partition as the new testing dataset and the rest as the new training dataset, the K-fold cross validation makes full use of the whole training dataset (two-month period) and meanwhile prevent the possible information leakage occur when using a fixed validation set </w:t>
      </w:r>
      <w:r>
        <w:fldChar w:fldCharType="begin"/>
      </w:r>
      <w:r w:rsidR="0082416B">
        <w:instrText xml:space="preserve"> ADDIN ZOTERO_ITEM CSL_CITATION {"citationID":"a18oi7u0fjk","properties":{"formattedCitation":"[112]","plainCitation":"[112]","noteIndex":0},"citationItems":[{"id":1891,"uris":["http://zotero.org/users/5659608/items/KNVMPGJC"],"itemData":{"id":1891,"type":"paper-conference","abstract":"Predicting photovoltaic power generation is one of the emphases of energy management system. In recent years, with the increasingly serious environmental pollution, the use of artificial intelligence technology to study the world's largest clean energy solar energy is of great significance. Other than the existing work, this paper proposes a fusion model based on LightGBM and LSTM to forecast short-term photovoltaic power generation. For obtaining the best prediction results, MLP is applied for dynamic weight allocation and combination to generate the prediction results. Based on the real photovoltaic power generation data collected by a photovoltaic power station in China, our model was compared with three traditional models, including XGBoost model, LightGBM model and LSTM model. Besides, the prediction results of four models in a day with enough light and four models in a day with less light are compared. The experiment result indicates that the model proposed in this paper has higher accuracy in short-term photovoltaic power generation forecast and It has good adaptability to the nonlinear feature of illumination.","container-title":"2020 5th International Conference on Power and Renewable Energy (ICPRE)","DOI":"10.1109/ICPRE51194.2020.9233298","event-title":"2020 5th International Conference on Power and Renewable Energy (ICPRE)","page":"543-547","source":"IEEE Xplore","title":"Short-Term Photovoltaic Power Generation Prediction Based on LightGBM-LSTM Model","author":[{"family":"Wang","given":"Zhen"},{"family":"Jia","given":"Li"}],"issued":{"date-parts":[["2020",9]]},"citation-key":"wangShortTermPhotovoltaicPower2020"}}],"schema":"https://github.com/citation-style-language/schema/raw/master/csl-citation.json"} </w:instrText>
      </w:r>
      <w:r>
        <w:fldChar w:fldCharType="separate"/>
      </w:r>
      <w:r w:rsidR="0082416B" w:rsidRPr="0082416B">
        <w:t>[112]</w:t>
      </w:r>
      <w:r>
        <w:fldChar w:fldCharType="end"/>
      </w:r>
      <w:r>
        <w:t>. Through iterations of all hyperparameter combinations in grid search, the average performance score for each combination (i.e., the average of the performance scores each K-fold test) will be recorded and compared, and the hyperparameter combination with the highest (or lowest) performance score will be selected as the best hyperparameter. In this study, the performance of the lightGBM is evaluated based on the root mean square error (RMSE):</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2"/>
        <w:gridCol w:w="1098"/>
      </w:tblGrid>
      <w:tr w:rsidR="000215B4" w:rsidRPr="00B4798A" w14:paraId="7154D929" w14:textId="77777777" w:rsidTr="00AF3671">
        <w:trPr>
          <w:trHeight w:val="687"/>
        </w:trPr>
        <w:tc>
          <w:tcPr>
            <w:tcW w:w="7992" w:type="dxa"/>
            <w:vAlign w:val="center"/>
          </w:tcPr>
          <w:p w14:paraId="12DF5943" w14:textId="77777777" w:rsidR="000215B4" w:rsidRPr="00337FC6" w:rsidRDefault="000215B4" w:rsidP="002023DB">
            <w:pPr>
              <w:rPr>
                <w:rFonts w:eastAsiaTheme="minorEastAsia"/>
                <w:vertAlign w:val="subscript"/>
              </w:rPr>
            </w:pPr>
            <m:oMathPara>
              <m:oMath>
                <m:r>
                  <w:rPr>
                    <w:rFonts w:ascii="Cambria Math" w:hAnsi="Cambria Math"/>
                    <w:vertAlign w:val="subscript"/>
                  </w:rPr>
                  <m:t>RMSE=</m:t>
                </m:r>
                <m:rad>
                  <m:radPr>
                    <m:degHide m:val="1"/>
                    <m:ctrlPr>
                      <w:rPr>
                        <w:rFonts w:ascii="Cambria Math" w:hAnsi="Cambria Math"/>
                        <w:vertAlign w:val="subscript"/>
                      </w:rPr>
                    </m:ctrlPr>
                  </m:radPr>
                  <m:deg>
                    <m:ctrlPr>
                      <w:rPr>
                        <w:rFonts w:ascii="Cambria Math" w:hAnsi="Cambria Math"/>
                        <w:i/>
                        <w:vertAlign w:val="subscript"/>
                      </w:rPr>
                    </m:ctrlPr>
                  </m:deg>
                  <m:e>
                    <m:f>
                      <m:fPr>
                        <m:ctrlPr>
                          <w:rPr>
                            <w:rFonts w:ascii="Cambria Math" w:hAnsi="Cambria Math"/>
                            <w:vertAlign w:val="subscript"/>
                          </w:rPr>
                        </m:ctrlPr>
                      </m:fPr>
                      <m:num>
                        <m:r>
                          <w:rPr>
                            <w:rFonts w:ascii="Cambria Math" w:hAnsi="Cambria Math"/>
                            <w:vertAlign w:val="subscript"/>
                          </w:rPr>
                          <m:t>1</m:t>
                        </m:r>
                        <m:ctrlPr>
                          <w:rPr>
                            <w:rFonts w:ascii="Cambria Math" w:hAnsi="Cambria Math"/>
                            <w:i/>
                            <w:vertAlign w:val="subscript"/>
                          </w:rPr>
                        </m:ctrlPr>
                      </m:num>
                      <m:den>
                        <m:r>
                          <w:rPr>
                            <w:rFonts w:ascii="Cambria Math" w:hAnsi="Cambria Math"/>
                            <w:vertAlign w:val="subscript"/>
                          </w:rPr>
                          <m:t>n</m:t>
                        </m:r>
                        <m:ctrlPr>
                          <w:rPr>
                            <w:rFonts w:ascii="Cambria Math" w:hAnsi="Cambria Math"/>
                            <w:i/>
                            <w:vertAlign w:val="subscript"/>
                          </w:rPr>
                        </m:ctrlPr>
                      </m:den>
                    </m:f>
                    <m:sSubSup>
                      <m:sSubSupPr>
                        <m:ctrlPr>
                          <w:rPr>
                            <w:rFonts w:ascii="Cambria Math" w:hAnsi="Cambria Math"/>
                            <w:i/>
                            <w:vertAlign w:val="subscript"/>
                          </w:rPr>
                        </m:ctrlPr>
                      </m:sSubSupPr>
                      <m:e>
                        <m:r>
                          <m:rPr>
                            <m:sty m:val="p"/>
                          </m:rPr>
                          <w:rPr>
                            <w:rFonts w:ascii="Cambria Math" w:hAnsi="Cambria Math" w:hint="eastAsia"/>
                            <w:vertAlign w:val="subscript"/>
                          </w:rPr>
                          <m:t>Σ</m:t>
                        </m:r>
                        <m:ctrlPr>
                          <w:rPr>
                            <w:rFonts w:ascii="Cambria Math" w:hAnsi="Cambria Math" w:hint="eastAsia"/>
                            <w:vertAlign w:val="subscript"/>
                          </w:rPr>
                        </m:ctrlPr>
                      </m:e>
                      <m:sub>
                        <m:r>
                          <w:rPr>
                            <w:rFonts w:ascii="Cambria Math" w:hAnsi="Cambria Math"/>
                            <w:vertAlign w:val="subscript"/>
                          </w:rPr>
                          <m:t>i=1</m:t>
                        </m:r>
                      </m:sub>
                      <m:sup>
                        <m:r>
                          <w:rPr>
                            <w:rFonts w:ascii="Cambria Math" w:hAnsi="Cambria Math"/>
                            <w:vertAlign w:val="subscript"/>
                          </w:rPr>
                          <m:t>n</m:t>
                        </m:r>
                      </m:sup>
                    </m:sSubSup>
                    <m:d>
                      <m:dPr>
                        <m:ctrlPr>
                          <w:rPr>
                            <w:rFonts w:ascii="Cambria Math" w:hAnsi="Cambria Math"/>
                            <w:i/>
                            <w:vertAlign w:val="subscript"/>
                          </w:rPr>
                        </m:ctrlPr>
                      </m:dPr>
                      <m:e>
                        <m:sSub>
                          <m:sSubPr>
                            <m:ctrlPr>
                              <w:rPr>
                                <w:rFonts w:ascii="Cambria Math" w:hAnsi="Cambria Math"/>
                                <w:i/>
                                <w:vertAlign w:val="subscript"/>
                              </w:rPr>
                            </m:ctrlPr>
                          </m:sSubPr>
                          <m:e>
                            <m:r>
                              <w:rPr>
                                <w:rFonts w:ascii="Cambria Math" w:hAnsi="Cambria Math"/>
                                <w:vertAlign w:val="subscript"/>
                              </w:rPr>
                              <m:t>y</m:t>
                            </m:r>
                          </m:e>
                          <m:sub>
                            <m:r>
                              <w:rPr>
                                <w:rFonts w:ascii="Cambria Math" w:hAnsi="Cambria Math"/>
                                <w:vertAlign w:val="subscript"/>
                              </w:rPr>
                              <m:t>i</m:t>
                            </m:r>
                          </m:sub>
                        </m:sSub>
                        <m:r>
                          <w:rPr>
                            <w:rFonts w:ascii="Cambria Math" w:hAnsi="Cambria Math"/>
                            <w:vertAlign w:val="subscript"/>
                          </w:rPr>
                          <m:t>-</m:t>
                        </m:r>
                        <m:acc>
                          <m:accPr>
                            <m:ctrlPr>
                              <w:rPr>
                                <w:rFonts w:ascii="Cambria Math" w:hAnsi="Cambria Math"/>
                                <w:vertAlign w:val="subscript"/>
                              </w:rPr>
                            </m:ctrlPr>
                          </m:accPr>
                          <m:e>
                            <m:sSub>
                              <m:sSubPr>
                                <m:ctrlPr>
                                  <w:rPr>
                                    <w:rFonts w:ascii="Cambria Math" w:hAnsi="Cambria Math"/>
                                    <w:i/>
                                    <w:vertAlign w:val="subscript"/>
                                  </w:rPr>
                                </m:ctrlPr>
                              </m:sSubPr>
                              <m:e>
                                <m:r>
                                  <w:rPr>
                                    <w:rFonts w:ascii="Cambria Math" w:hAnsi="Cambria Math"/>
                                    <w:vertAlign w:val="subscript"/>
                                  </w:rPr>
                                  <m:t>y</m:t>
                                </m:r>
                              </m:e>
                              <m:sub>
                                <m:r>
                                  <w:rPr>
                                    <w:rFonts w:ascii="Cambria Math" w:hAnsi="Cambria Math"/>
                                    <w:vertAlign w:val="subscript"/>
                                  </w:rPr>
                                  <m:t>i</m:t>
                                </m:r>
                              </m:sub>
                            </m:sSub>
                          </m:e>
                        </m:acc>
                      </m:e>
                    </m:d>
                  </m:e>
                </m:rad>
                <m:r>
                  <w:rPr>
                    <w:rFonts w:ascii="Cambria Math" w:hAnsi="Cambria Math"/>
                    <w:vertAlign w:val="subscript"/>
                  </w:rPr>
                  <m:t xml:space="preserve"> ,</m:t>
                </m:r>
              </m:oMath>
            </m:oMathPara>
          </w:p>
        </w:tc>
        <w:tc>
          <w:tcPr>
            <w:tcW w:w="1008" w:type="dxa"/>
            <w:vAlign w:val="center"/>
          </w:tcPr>
          <w:p w14:paraId="1D701EA8" w14:textId="51BE2F5E" w:rsidR="000215B4" w:rsidRPr="00B4798A" w:rsidRDefault="000215B4" w:rsidP="002023DB">
            <w:r w:rsidRPr="00B4798A">
              <w:t>(</w:t>
            </w:r>
            <w:r w:rsidRPr="00B4798A">
              <w:fldChar w:fldCharType="begin"/>
            </w:r>
            <w:r w:rsidRPr="00B4798A">
              <w:instrText>SEQ Equation \* ARABIC</w:instrText>
            </w:r>
            <w:r w:rsidRPr="00B4798A">
              <w:fldChar w:fldCharType="separate"/>
            </w:r>
            <w:r w:rsidR="000E1725">
              <w:rPr>
                <w:noProof/>
              </w:rPr>
              <w:t>19</w:t>
            </w:r>
            <w:r w:rsidRPr="00B4798A">
              <w:fldChar w:fldCharType="end"/>
            </w:r>
            <w:r w:rsidRPr="00B4798A">
              <w:t>)</w:t>
            </w:r>
          </w:p>
        </w:tc>
      </w:tr>
    </w:tbl>
    <w:p w14:paraId="5F1BFAB2" w14:textId="77777777" w:rsidR="000215B4" w:rsidRPr="00744E81" w:rsidRDefault="000215B4" w:rsidP="000215B4">
      <w:pPr>
        <w:ind w:firstLine="0"/>
      </w:pPr>
      <w:r>
        <w:t xml:space="preserve">Where </w:t>
      </w:r>
      <m:oMath>
        <m:r>
          <w:rPr>
            <w:rFonts w:ascii="Cambria Math" w:hAnsi="Cambria Math"/>
          </w:rPr>
          <m:t>n</m:t>
        </m:r>
      </m:oMath>
      <w:r>
        <w:rPr>
          <w:rFonts w:hint="eastAsia"/>
        </w:rPr>
        <w:t xml:space="preserve"> </w:t>
      </w:r>
      <w:r>
        <w:t xml:space="preserve">is the number of data points, and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Pr>
          <w:rFonts w:hint="eastAsia"/>
        </w:rPr>
        <w:t xml:space="preserve"> </w:t>
      </w:r>
      <w:r>
        <w:t xml:space="preserve">and </w:t>
      </w:r>
      <m:oMath>
        <m:acc>
          <m:accPr>
            <m:ctrlPr>
              <w:rPr>
                <w:rFonts w:ascii="Cambria Math" w:hAnsi="Cambria Math"/>
              </w:rPr>
            </m:ctrlPr>
          </m:accPr>
          <m:e>
            <m:sSub>
              <m:sSubPr>
                <m:ctrlPr>
                  <w:rPr>
                    <w:rFonts w:ascii="Cambria Math" w:hAnsi="Cambria Math"/>
                    <w:i/>
                  </w:rPr>
                </m:ctrlPr>
              </m:sSubPr>
              <m:e>
                <m:r>
                  <w:rPr>
                    <w:rFonts w:ascii="Cambria Math" w:hAnsi="Cambria Math"/>
                  </w:rPr>
                  <m:t>y</m:t>
                </m:r>
              </m:e>
              <m:sub>
                <m:r>
                  <w:rPr>
                    <w:rFonts w:ascii="Cambria Math" w:hAnsi="Cambria Math"/>
                  </w:rPr>
                  <m:t>i</m:t>
                </m:r>
              </m:sub>
            </m:sSub>
          </m:e>
        </m:acc>
      </m:oMath>
      <w:r>
        <w:rPr>
          <w:rFonts w:hint="eastAsia"/>
        </w:rPr>
        <w:t xml:space="preserve"> </w:t>
      </w:r>
      <w:r>
        <w:t xml:space="preserve">are the actual and predicted PV power generation. </w:t>
      </w:r>
    </w:p>
    <w:p w14:paraId="4F6D61CB" w14:textId="77777777" w:rsidR="000215B4" w:rsidRDefault="000215B4" w:rsidP="000215B4">
      <w:pPr>
        <w:pStyle w:val="Heading2"/>
      </w:pPr>
      <w:bookmarkStart w:id="186" w:name="_Ref133437353"/>
      <w:bookmarkStart w:id="187" w:name="_Toc133542364"/>
      <w:bookmarkStart w:id="188" w:name="_Toc141991695"/>
      <w:r>
        <w:rPr>
          <w:rFonts w:hint="eastAsia"/>
        </w:rPr>
        <w:t>M</w:t>
      </w:r>
      <w:r>
        <w:t>odel Validation</w:t>
      </w:r>
      <w:bookmarkEnd w:id="186"/>
      <w:bookmarkEnd w:id="187"/>
      <w:bookmarkEnd w:id="188"/>
    </w:p>
    <w:p w14:paraId="324D8E80" w14:textId="436C24D6" w:rsidR="000215B4" w:rsidRDefault="000215B4" w:rsidP="000215B4">
      <w:r>
        <w:rPr>
          <w:rFonts w:hint="eastAsia"/>
        </w:rPr>
        <w:t>I</w:t>
      </w:r>
      <w:r>
        <w:t xml:space="preserve">n this section, we present the model validation results. Firstly, a data acquisition system is introduced for a lab house located in Norman, Oklahoma, and then the HVAC system parameter identification results are included. Next, the procedure of retrofitting an electric water heater into a smart water heater is presented and the parameter identification results of the retrofitted water heater are also demonstrated. Finally, due to practical constraints, we validated our PV model using a real operation dataset collected from an open dataset. </w:t>
      </w:r>
      <w:r w:rsidR="005445E0">
        <w:t xml:space="preserve"> </w:t>
      </w:r>
      <w:r>
        <w:t xml:space="preserve"> </w:t>
      </w:r>
    </w:p>
    <w:p w14:paraId="64609199" w14:textId="77777777" w:rsidR="000215B4" w:rsidRPr="00E4254C" w:rsidRDefault="000215B4" w:rsidP="000215B4">
      <w:pPr>
        <w:pStyle w:val="Heading3"/>
      </w:pPr>
      <w:bookmarkStart w:id="189" w:name="_Toc133542365"/>
      <w:bookmarkStart w:id="190" w:name="_Toc141991696"/>
      <w:r>
        <w:rPr>
          <w:rFonts w:eastAsiaTheme="minorEastAsia"/>
        </w:rPr>
        <w:lastRenderedPageBreak/>
        <w:t>The Lab House and data sources</w:t>
      </w:r>
      <w:bookmarkEnd w:id="189"/>
      <w:bookmarkEnd w:id="190"/>
    </w:p>
    <w:p w14:paraId="67BE9743" w14:textId="698D958A" w:rsidR="000215B4" w:rsidRDefault="000215B4" w:rsidP="000215B4">
      <w:r w:rsidRPr="00545DCD">
        <w:t xml:space="preserve">The </w:t>
      </w:r>
      <w:r>
        <w:t>L</w:t>
      </w:r>
      <w:r w:rsidRPr="00545DCD">
        <w:t xml:space="preserve">ab </w:t>
      </w:r>
      <w:r>
        <w:t>H</w:t>
      </w:r>
      <w:r w:rsidRPr="00545DCD">
        <w:t xml:space="preserve">ouse is in Norman, OK, as shown in </w:t>
      </w:r>
      <w:r>
        <w:fldChar w:fldCharType="begin"/>
      </w:r>
      <w:r>
        <w:instrText xml:space="preserve"> REF _Ref133074046 \h </w:instrText>
      </w:r>
      <w:r>
        <w:fldChar w:fldCharType="separate"/>
      </w:r>
      <w:r w:rsidR="000E1725">
        <w:t xml:space="preserve">Figure </w:t>
      </w:r>
      <w:r w:rsidR="000E1725">
        <w:rPr>
          <w:noProof/>
        </w:rPr>
        <w:t>3</w:t>
      </w:r>
      <w:r w:rsidR="000E1725">
        <w:t>.</w:t>
      </w:r>
      <w:r w:rsidR="000E1725">
        <w:rPr>
          <w:noProof/>
        </w:rPr>
        <w:t>5</w:t>
      </w:r>
      <w:r>
        <w:fldChar w:fldCharType="end"/>
      </w:r>
      <w:r>
        <w:t xml:space="preserve"> (a). </w:t>
      </w:r>
      <w:r w:rsidRPr="00545DCD">
        <w:t>It is a single-family, one-story home with a floor area of 1,658 ft</w:t>
      </w:r>
      <w:r w:rsidRPr="002B3B93">
        <w:rPr>
          <w:rFonts w:asciiTheme="minorHAnsi" w:hAnsiTheme="minorHAnsi" w:cstheme="minorBidi"/>
          <w:szCs w:val="24"/>
        </w:rPr>
        <w:t>2</w:t>
      </w:r>
      <w:r w:rsidRPr="00545DCD">
        <w:t>, built in 1940. The home is equipped with 3.5 tons (42,000 Btu/h) of cooling capacity</w:t>
      </w:r>
      <w:r>
        <w:t>, 3 tons (36,000 Btu/h) of indoor unit,</w:t>
      </w:r>
      <w:r w:rsidRPr="00545DCD">
        <w:t xml:space="preserve"> and 1,400 cfm of air flow rate. </w:t>
      </w:r>
      <w:r>
        <w:t xml:space="preserve">As shown in subplots (b) and (c) in </w:t>
      </w:r>
      <w:r>
        <w:fldChar w:fldCharType="begin"/>
      </w:r>
      <w:r>
        <w:instrText xml:space="preserve"> REF _Ref133074046 \h </w:instrText>
      </w:r>
      <w:r>
        <w:fldChar w:fldCharType="separate"/>
      </w:r>
      <w:r w:rsidR="000E1725">
        <w:t xml:space="preserve">Figure </w:t>
      </w:r>
      <w:r w:rsidR="000E1725">
        <w:rPr>
          <w:noProof/>
        </w:rPr>
        <w:t>3</w:t>
      </w:r>
      <w:r w:rsidR="000E1725">
        <w:t>.</w:t>
      </w:r>
      <w:r w:rsidR="000E1725">
        <w:rPr>
          <w:noProof/>
        </w:rPr>
        <w:t>5</w:t>
      </w:r>
      <w:r>
        <w:fldChar w:fldCharType="end"/>
      </w:r>
      <w:r>
        <w:t>, the outdoor unit locates at the backyard of the Lab House and the indoor unit locates at the attic.</w:t>
      </w:r>
    </w:p>
    <w:p w14:paraId="15BDC8C6" w14:textId="77777777" w:rsidR="000215B4" w:rsidRDefault="000215B4" w:rsidP="00623535">
      <w:pPr>
        <w:pStyle w:val="12FigureFormatSelectafigureandclickonthisstyle"/>
      </w:pPr>
      <w:r>
        <w:rPr>
          <w:noProof/>
        </w:rPr>
        <w:lastRenderedPageBreak/>
        <w:drawing>
          <wp:inline distT="0" distB="0" distL="0" distR="0" wp14:anchorId="2E734092" wp14:editId="1680F93C">
            <wp:extent cx="5731510" cy="6174740"/>
            <wp:effectExtent l="0" t="0" r="2540" b="0"/>
            <wp:docPr id="19" name="Picture 19" descr="A picture containing outdoor, window, sky,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outdoor, window, sky, building&#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6174740"/>
                    </a:xfrm>
                    <a:prstGeom prst="rect">
                      <a:avLst/>
                    </a:prstGeom>
                  </pic:spPr>
                </pic:pic>
              </a:graphicData>
            </a:graphic>
          </wp:inline>
        </w:drawing>
      </w:r>
    </w:p>
    <w:p w14:paraId="2CCC08D5" w14:textId="377BB8BA" w:rsidR="000215B4" w:rsidRDefault="000215B4" w:rsidP="000215B4">
      <w:pPr>
        <w:pStyle w:val="13FigureCaption"/>
      </w:pPr>
      <w:bookmarkStart w:id="191" w:name="_Ref133074046"/>
      <w:bookmarkStart w:id="192" w:name="_Toc141349914"/>
      <w:r>
        <w:t xml:space="preserve">Figure </w:t>
      </w:r>
      <w:fldSimple w:instr=" STYLEREF 1 \s ">
        <w:r w:rsidR="000E1725">
          <w:rPr>
            <w:noProof/>
          </w:rPr>
          <w:t>3</w:t>
        </w:r>
      </w:fldSimple>
      <w:r w:rsidR="005445E0">
        <w:t>.</w:t>
      </w:r>
      <w:fldSimple w:instr=" SEQ Figure \* ARABIC \s 1 ">
        <w:r w:rsidR="000E1725">
          <w:rPr>
            <w:noProof/>
          </w:rPr>
          <w:t>5</w:t>
        </w:r>
      </w:fldSimple>
      <w:bookmarkEnd w:id="191"/>
      <w:r>
        <w:t xml:space="preserve"> Lab House information: (a) outside view of the front of the Lab House (b) an outdoor unit in the back yard of the Lab House (c) an indoor unit in the attic of the Lab House</w:t>
      </w:r>
      <w:bookmarkEnd w:id="192"/>
      <w:r>
        <w:t xml:space="preserve"> </w:t>
      </w:r>
    </w:p>
    <w:p w14:paraId="2A7B8FFF" w14:textId="77777777" w:rsidR="000215B4" w:rsidRDefault="000215B4" w:rsidP="000215B4">
      <w:pPr>
        <w:pStyle w:val="Heading4"/>
      </w:pPr>
      <w:bookmarkStart w:id="193" w:name="_Toc133542366"/>
      <w:bookmarkStart w:id="194" w:name="_Toc141991697"/>
      <w:r>
        <w:rPr>
          <w:rFonts w:hint="eastAsia"/>
        </w:rPr>
        <w:t>H</w:t>
      </w:r>
      <w:r>
        <w:t>VAC system data acquisition</w:t>
      </w:r>
      <w:bookmarkEnd w:id="193"/>
      <w:bookmarkEnd w:id="194"/>
    </w:p>
    <w:p w14:paraId="61500173" w14:textId="39067849" w:rsidR="000215B4" w:rsidRDefault="000215B4" w:rsidP="000215B4">
      <w:r>
        <w:t xml:space="preserve">The floor plan of the Lab House and the sensor locations is demonstrated in </w:t>
      </w:r>
      <w:r>
        <w:fldChar w:fldCharType="begin"/>
      </w:r>
      <w:r>
        <w:instrText xml:space="preserve"> REF _Ref133234177 \h </w:instrText>
      </w:r>
      <w:r>
        <w:fldChar w:fldCharType="separate"/>
      </w:r>
      <w:r w:rsidR="000E1725">
        <w:t xml:space="preserve">Figure </w:t>
      </w:r>
      <w:r w:rsidR="000E1725">
        <w:rPr>
          <w:noProof/>
        </w:rPr>
        <w:t>3</w:t>
      </w:r>
      <w:r w:rsidR="000E1725">
        <w:t>.</w:t>
      </w:r>
      <w:r w:rsidR="000E1725">
        <w:rPr>
          <w:noProof/>
        </w:rPr>
        <w:t>6</w:t>
      </w:r>
      <w:r>
        <w:fldChar w:fldCharType="end"/>
      </w:r>
      <w:r>
        <w:t xml:space="preserve"> (a). The entire three-bedroom and one-living-room house is equipped with sensors uniformly </w:t>
      </w:r>
      <w:r>
        <w:lastRenderedPageBreak/>
        <w:t>distribuend throughout the space. These data,</w:t>
      </w:r>
      <w:r w:rsidRPr="00545DCD">
        <w:t xml:space="preserve"> </w:t>
      </w:r>
      <w:r>
        <w:t xml:space="preserve">including </w:t>
      </w:r>
      <w:r w:rsidRPr="00545DCD">
        <w:t xml:space="preserve">air temperature </w:t>
      </w:r>
      <w:r>
        <w:t>and velocity entering and leaving</w:t>
      </w:r>
      <w:r w:rsidRPr="00545DCD">
        <w:t xml:space="preserve"> the </w:t>
      </w:r>
      <w:r>
        <w:t>key subcomponents</w:t>
      </w:r>
      <w:r w:rsidRPr="00545DCD">
        <w:t xml:space="preserve"> of the HVAC system, indoor </w:t>
      </w:r>
      <w:r>
        <w:t>air and wall surface</w:t>
      </w:r>
      <w:r w:rsidRPr="00545DCD">
        <w:t xml:space="preserve"> air temperature, and the power use </w:t>
      </w:r>
      <w:r>
        <w:t xml:space="preserve">in </w:t>
      </w:r>
      <w:r w:rsidRPr="00545DCD">
        <w:t>the entire house</w:t>
      </w:r>
      <w:r>
        <w:t>,</w:t>
      </w:r>
      <w:r w:rsidRPr="00545DCD">
        <w:t xml:space="preserve"> </w:t>
      </w:r>
      <w:r>
        <w:t>are</w:t>
      </w:r>
      <w:r w:rsidRPr="00545DCD">
        <w:t xml:space="preserve"> measured using </w:t>
      </w:r>
      <w:r>
        <w:t>different sensors</w:t>
      </w:r>
      <w:r w:rsidRPr="00545DCD">
        <w:t>, as shown in</w:t>
      </w:r>
      <w:r>
        <w:t xml:space="preserve"> </w:t>
      </w:r>
      <w:r>
        <w:fldChar w:fldCharType="begin"/>
      </w:r>
      <w:r>
        <w:instrText xml:space="preserve"> REF _Ref133234177 \h </w:instrText>
      </w:r>
      <w:r>
        <w:fldChar w:fldCharType="separate"/>
      </w:r>
      <w:r w:rsidR="000E1725">
        <w:t xml:space="preserve">Figure </w:t>
      </w:r>
      <w:r w:rsidR="000E1725">
        <w:rPr>
          <w:noProof/>
        </w:rPr>
        <w:t>3</w:t>
      </w:r>
      <w:r w:rsidR="000E1725">
        <w:t>.</w:t>
      </w:r>
      <w:r w:rsidR="000E1725">
        <w:rPr>
          <w:noProof/>
        </w:rPr>
        <w:t>6</w:t>
      </w:r>
      <w:r>
        <w:fldChar w:fldCharType="end"/>
      </w:r>
      <w:r>
        <w:t xml:space="preserve"> (a)</w:t>
      </w:r>
      <w:r w:rsidRPr="00545DCD">
        <w:t xml:space="preserve">. </w:t>
      </w:r>
      <w:r>
        <w:t xml:space="preserve">These data are logged in Raspberry Pis </w:t>
      </w:r>
      <w:r>
        <w:fldChar w:fldCharType="begin"/>
      </w:r>
      <w:r w:rsidR="0082416B">
        <w:instrText xml:space="preserve"> ADDIN ZOTERO_ITEM CSL_CITATION {"citationID":"a2jqor400q1","properties":{"formattedCitation":"[113]","plainCitation":"[113]","noteIndex":0},"citationItems":[{"id":1873,"uris":["http://zotero.org/users/5659608/items/IBNAW9QS"],"itemData":{"id":1873,"type":"webpage","abstract":"From industries large and small, to the kitchen table tinkerer, to the classroom coder, we make computing accessible and affordable for everybody.","container-title":"Raspberry Pi","language":"en-GB","title":"Raspberry Pi","URL":"https://www.raspberrypi.com/","author":[{"family":"Ltd","given":"Raspberry Pi"}],"accessed":{"date-parts":[["2023",4,24]]},"citation-key":"ltdRaspberryPi"}}],"schema":"https://github.com/citation-style-language/schema/raw/master/csl-citation.json"} </w:instrText>
      </w:r>
      <w:r>
        <w:fldChar w:fldCharType="separate"/>
      </w:r>
      <w:r w:rsidR="0082416B" w:rsidRPr="0082416B">
        <w:t>[113]</w:t>
      </w:r>
      <w:r>
        <w:fldChar w:fldCharType="end"/>
      </w:r>
      <w:r>
        <w:t xml:space="preserve">, which are connected to a data server (i.e., a Linux desktop) in the Lab House. </w:t>
      </w:r>
    </w:p>
    <w:p w14:paraId="5554947C" w14:textId="120DA85D" w:rsidR="000215B4" w:rsidRDefault="000215B4" w:rsidP="000215B4">
      <w:r>
        <w:t xml:space="preserve">The installation of these sensors aims to investigate sensor accuracy, sensor locations, and development of other applications. For the HVAC application, since it aims to explore the potential for practical implementation, we only utilize the data recorded by IoT (internet of things) devices that can be easily installed and connected to the network. Such IoT devices include a smart thermostat installed in the living room to measure the indoor air temperature, four built-in node sensors that paired to the smart thermostat to measure the four interior wall surface temperatures of the house, and a smart power meter inside the electrical panels to measure the power usage for both indoor and outdoor unit, as shown in </w:t>
      </w:r>
      <w:r>
        <w:fldChar w:fldCharType="begin"/>
      </w:r>
      <w:r>
        <w:instrText xml:space="preserve"> REF _Ref133234177 \h </w:instrText>
      </w:r>
      <w:r>
        <w:fldChar w:fldCharType="separate"/>
      </w:r>
      <w:r w:rsidR="000E1725">
        <w:t xml:space="preserve">Figure </w:t>
      </w:r>
      <w:r w:rsidR="000E1725">
        <w:rPr>
          <w:noProof/>
        </w:rPr>
        <w:t>3</w:t>
      </w:r>
      <w:r w:rsidR="000E1725">
        <w:t>.</w:t>
      </w:r>
      <w:r w:rsidR="000E1725">
        <w:rPr>
          <w:noProof/>
        </w:rPr>
        <w:t>6</w:t>
      </w:r>
      <w:r>
        <w:fldChar w:fldCharType="end"/>
      </w:r>
      <w:r>
        <w:t xml:space="preserve"> (b), (c) and (d), respectively. </w:t>
      </w:r>
    </w:p>
    <w:p w14:paraId="28D12E9E" w14:textId="558897B3" w:rsidR="000215B4" w:rsidRDefault="000215B4" w:rsidP="00F54419">
      <w:pPr>
        <w:jc w:val="center"/>
      </w:pPr>
      <w:r>
        <w:rPr>
          <w:rFonts w:hint="eastAsia"/>
        </w:rPr>
        <w:t>High</w:t>
      </w:r>
      <w:r>
        <w:t xml:space="preserve">-quality weather data is essential for parameter identification of the HVAC system. In this study, five-minute historical weather data in Norman, Oklahoma are obtained from Mesonet </w:t>
      </w:r>
      <w:r>
        <w:fldChar w:fldCharType="begin"/>
      </w:r>
      <w:r w:rsidR="0082416B">
        <w:instrText xml:space="preserve"> ADDIN ZOTERO_ITEM CSL_CITATION {"citationID":"a14blmmsd6q","properties":{"formattedCitation":"[114,115]","plainCitation":"[114,115]","noteIndex":0},"citationItems":[{"id":729,"uris":["http://zotero.org/users/5659608/items/U3DCQW7C"],"itemData":{"id":729,"type":"article-journal","abstract":"Established as a multipurpose network, the Oklahoma Mesonet operates more than 110 surface observing stations that send data every 5 min to an operations center for data quality assurance, product generation, and dissemination. Quality-assured data are available within 5 min of the observation time. Since 1994, the Oklahoma Mesonet has collected 3.5 billion weather and soil observations and produced millions of decision-making products for its customers.","container-title":"Journal of Atmospheric and Oceanic Technology","DOI":"10.1175/JTECH1976.1","ISSN":"1520-0426, 0739-0572","issue":"3","language":"en","page":"301-321","source":"DOI.org (Crossref)","title":"Statewide Monitoring of the Mesoscale Environment: A Technical Update on the Oklahoma Mesonet","title-short":"Statewide Monitoring of the Mesoscale Environment","volume":"24","author":[{"family":"McPherson","given":"Renee A."},{"family":"Fiebrich","given":"Christopher A."},{"family":"Crawford","given":"Kenneth C."},{"family":"Kilby","given":"James R."},{"family":"Grimsley","given":"David L."},{"family":"Martinez","given":"Janet E."},{"family":"Basara","given":"Jeffrey B."},{"family":"Illston","given":"Bradley G."},{"family":"Morris","given":"Dale A."},{"family":"Kloesel","given":"Kevin A."},{"family":"Melvin","given":"Andrea D."},{"family":"Shrivastava","given":"Himanshu"},{"family":"Wolfinbarger","given":"J. Michael"},{"family":"Bostic","given":"Jared P."},{"family":"Demko","given":"David B."},{"family":"Elliott","given":"Ronald L."},{"family":"Stadler","given":"Stephen J."},{"family":"Carlson","given":"J. D."},{"family":"Sutherland","given":"Albert J."}],"issued":{"date-parts":[["2007",3,1]]},"citation-key":"mcphersonStatewideMonitoringMesoscale2007"}},{"id":1429,"uris":["http://zotero.org/users/5659608/items/4BNT3A6H"],"itemData":{"id":1429,"type":"article-journal","abstract":"Abstract The Oklahoma mesonet is a joint project of Oklahoma State University and the University of Oklahoma. It is an automated network of 108 stations covering the state of Oklahoma. Each station measures air temperature, humidity, barometric pressure, wind speed and direction, rainfall, solar radiation, and soil temperatures. Each station transmits a data message every 15 min via a radio link to the nearest terminal of the Oklahoma Law Enforcement Telecommunications System that relays it to a central site in Norman, Oklahoma. The data message comprises three 5-min averages of most data (and one 15-min average of soil temperatures). The central site ingests the data, runs some quality assurance tests, archives the data, and disseminates it in real time to a broad community of users, primarily through a computerized bulletin board system. This manuscript provides a technical description of the Oklahoma mesonet including a complete description of the instrumentation. Sensor inaccuracy, resolution, height with respect to ground level, and method of exposure are discussed.","container-title":"Journal of Atmospheric and Oceanic Technology","DOI":"10.1175/1520-0426(1995)012&lt;0005:TOMATO&gt;2.0.CO;2","ISSN":"0739-0572, 1520-0426","issue":"1","language":"EN","note":"publisher: American Meteorological Society\nsection: Journal of Atmospheric and Oceanic Technology","page":"5-19","source":"journals.ametsoc.org","title":"The Oklahoma Mesonet: A Technical Overview","title-short":"The Oklahoma Mesonet","volume":"12","author":[{"family":"Brock","given":"Fred V."},{"family":"Crawford","given":"Kenneth C."},{"family":"Elliott","given":"Ronald L."},{"family":"Cuperus","given":"Gerrit W."},{"family":"Stadler","given":"Steven J."},{"family":"Johnson","given":"Howard L."},{"family":"Eilts","given":"Michael D."}],"issued":{"date-parts":[["1995",2,1]]},"citation-key":"brockOklahomaMesonetTechnical1995"}}],"schema":"https://github.com/citation-style-language/schema/raw/master/csl-citation.json"} </w:instrText>
      </w:r>
      <w:r>
        <w:fldChar w:fldCharType="separate"/>
      </w:r>
      <w:r w:rsidR="0082416B" w:rsidRPr="0082416B">
        <w:t>[114,115]</w:t>
      </w:r>
      <w:r>
        <w:fldChar w:fldCharType="end"/>
      </w:r>
      <w:r>
        <w:t xml:space="preserve"> data services. Taking into account that not every region has a free local weather data service like Mesont, we used the historical weather data provided by Solcast </w:t>
      </w:r>
      <w:r>
        <w:fldChar w:fldCharType="begin"/>
      </w:r>
      <w:r w:rsidR="0082416B">
        <w:instrText xml:space="preserve"> ADDIN ZOTERO_ITEM CSL_CITATION {"citationID":"ammn109grt","properties":{"formattedCitation":"[116]","plainCitation":"[116]","noteIndex":0},"citationItems":[{"id":1654,"uris":["http://zotero.org/users/5659608/items/YARD2WCM"],"itemData":{"id":1654,"type":"webpage","title":"Solar Forecasting Data","URL":"https://solcast.com","author":[{"family":"Solcast","given":""}],"accessed":{"date-parts":[["2023",3,2]]},"issued":{"date-parts":[["2018"]]},"citation-key":"solcastSolarForecastingData2018"}}],"schema":"https://github.com/citation-style-language/schema/raw/master/csl-citation.json"} </w:instrText>
      </w:r>
      <w:r>
        <w:fldChar w:fldCharType="separate"/>
      </w:r>
      <w:r w:rsidR="0082416B" w:rsidRPr="0082416B">
        <w:t>[116]</w:t>
      </w:r>
      <w:r>
        <w:fldChar w:fldCharType="end"/>
      </w:r>
      <w:r>
        <w:t xml:space="preserve"> and OpenWeather </w:t>
      </w:r>
      <w:r>
        <w:fldChar w:fldCharType="begin"/>
      </w:r>
      <w:r w:rsidR="0082416B">
        <w:instrText xml:space="preserve"> ADDIN ZOTERO_ITEM CSL_CITATION {"citationID":"a13j8tknkgg","properties":{"formattedCitation":"[117]","plainCitation":"[117]","noteIndex":0},"citationItems":[{"id":1536,"uris":["http://zotero.org/users/5659608/items/R5HGXRVI"],"itemData":{"id":1536,"type":"webpage","title":"Weather API - OpenWeatherMap","URL":"https://openweathermap.org/api","author":[{"family":"OpenWeatherMap","given":""}],"accessed":{"date-parts":[["2023",1,27]]},"issued":{"date-parts":[["2018"]]},"citation-key":"openweathermapWeatherAPIOpenWeatherMap2018"}}],"schema":"https://github.com/citation-style-language/schema/raw/master/csl-citation.json"} </w:instrText>
      </w:r>
      <w:r>
        <w:fldChar w:fldCharType="separate"/>
      </w:r>
      <w:r w:rsidR="0082416B" w:rsidRPr="0082416B">
        <w:t>[117]</w:t>
      </w:r>
      <w:r>
        <w:fldChar w:fldCharType="end"/>
      </w:r>
      <w:r>
        <w:t xml:space="preserve">. These two data sources have their advantages and disadvantages on data accuracy and services, since their comparison goes beyond the scope </w:t>
      </w:r>
      <w:r>
        <w:lastRenderedPageBreak/>
        <w:t xml:space="preserve">of this study, data source will only be referenced when they are used without accuracy comparison. Although all three data services are stable, preprocessing missing and abnormal data is still needed. In this study, second-order polynomial interpolation is used for handling the missing and abnormal data, which is a trade-off between computational effort and interpolation accuracy in real-time operation. </w:t>
      </w:r>
      <w:r>
        <w:rPr>
          <w:rFonts w:hint="eastAsia"/>
          <w:noProof/>
        </w:rPr>
        <w:drawing>
          <wp:inline distT="0" distB="0" distL="0" distR="0" wp14:anchorId="6CE61E41" wp14:editId="79790509">
            <wp:extent cx="5648770" cy="5916295"/>
            <wp:effectExtent l="0" t="0" r="3175" b="1905"/>
            <wp:docPr id="28" name="Picture 28" descr="A picture containing text, screenshot, parallel,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screenshot, parallel, design&#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50191" cy="5917783"/>
                    </a:xfrm>
                    <a:prstGeom prst="rect">
                      <a:avLst/>
                    </a:prstGeom>
                  </pic:spPr>
                </pic:pic>
              </a:graphicData>
            </a:graphic>
          </wp:inline>
        </w:drawing>
      </w:r>
    </w:p>
    <w:p w14:paraId="7BF62781" w14:textId="2125C08D" w:rsidR="000215B4" w:rsidRDefault="000215B4" w:rsidP="000B51ED">
      <w:pPr>
        <w:pStyle w:val="13FigureCaption"/>
      </w:pPr>
      <w:bookmarkStart w:id="195" w:name="_Ref133234177"/>
      <w:bookmarkStart w:id="196" w:name="_Toc141349915"/>
      <w:r>
        <w:lastRenderedPageBreak/>
        <w:t xml:space="preserve">Figure </w:t>
      </w:r>
      <w:fldSimple w:instr=" STYLEREF 1 \s ">
        <w:r w:rsidR="000E1725">
          <w:rPr>
            <w:noProof/>
          </w:rPr>
          <w:t>3</w:t>
        </w:r>
      </w:fldSimple>
      <w:r w:rsidR="005445E0">
        <w:t>.</w:t>
      </w:r>
      <w:fldSimple w:instr=" SEQ Figure \* ARABIC \s 1 ">
        <w:r w:rsidR="000E1725">
          <w:rPr>
            <w:noProof/>
          </w:rPr>
          <w:t>6</w:t>
        </w:r>
      </w:fldSimple>
      <w:bookmarkEnd w:id="195"/>
      <w:r>
        <w:t xml:space="preserve"> Lab House sensors: (a) the floor plan of the Lab House and sensor locations (b) a smart thermostats and thermal couples to measure indoor air temperature (c) a node sensor to measure interior wall surface temperature (d) a power meter inside the electrical panel.</w:t>
      </w:r>
      <w:bookmarkEnd w:id="196"/>
      <w:r>
        <w:t xml:space="preserve"> </w:t>
      </w:r>
    </w:p>
    <w:p w14:paraId="2D568457" w14:textId="77777777" w:rsidR="000215B4" w:rsidRDefault="000215B4" w:rsidP="000215B4">
      <w:pPr>
        <w:pStyle w:val="Heading4"/>
      </w:pPr>
      <w:bookmarkStart w:id="197" w:name="_Toc133542367"/>
      <w:bookmarkStart w:id="198" w:name="_Toc141991698"/>
      <w:r>
        <w:t>Retrofit a conventional electric water heater into a smart one</w:t>
      </w:r>
      <w:bookmarkEnd w:id="197"/>
      <w:bookmarkEnd w:id="198"/>
    </w:p>
    <w:p w14:paraId="6B1FB679" w14:textId="668DA48B" w:rsidR="000215B4" w:rsidRDefault="000215B4" w:rsidP="000215B4">
      <w:r>
        <w:t xml:space="preserve">A conventional 50-gallon, 4500-watt electric water heater </w:t>
      </w:r>
      <w:r>
        <w:fldChar w:fldCharType="begin"/>
      </w:r>
      <w:r w:rsidR="0082416B">
        <w:instrText xml:space="preserve"> ADDIN ZOTERO_ITEM CSL_CITATION {"citationID":"al58luar0b","properties":{"formattedCitation":"[118]","plainCitation":"[118]","noteIndex":0},"citationItems":[{"id":1866,"uris":["http://zotero.org/users/5659608/items/NBCLEWQQ"],"itemData":{"id":1866,"type":"webpage","abstract":"The Rheem Performance 50 Gal. Electric tall water heater provides an ample supply of hot water for households with 3 to 5 people. This unit comes with two 4500-Watt elements and an automatic thermostat","container-title":"The Home Depot","language":"en","title":"Rheem Performance 50 Gal. Tall 6 Year 4500/4500-Watt Elements Electric Tank Water Heater XE50T06ST45U1","URL":"https://www.homedepot.com/p/Rheem-Performance-50-Gal-Tall-6-Year-4500-4500-Watt-Elements-Electric-Tank-Water-Heater-XE50T06ST45U1/205810674","accessed":{"date-parts":[["2023",4,24]]},"citation-key":"RheemPerformance50"}}],"schema":"https://github.com/citation-style-language/schema/raw/master/csl-citation.json"} </w:instrText>
      </w:r>
      <w:r>
        <w:fldChar w:fldCharType="separate"/>
      </w:r>
      <w:r w:rsidR="0082416B" w:rsidRPr="0082416B">
        <w:t>[118]</w:t>
      </w:r>
      <w:r>
        <w:fldChar w:fldCharType="end"/>
      </w:r>
      <w:r>
        <w:t xml:space="preserve"> is also installed in attic of the Lab House to replace an old natural gas water heater. To integrate the water heater usage in the home energy management system discussed in</w:t>
      </w:r>
      <w:r w:rsidR="005445E0">
        <w:t xml:space="preserve"> Chapter </w:t>
      </w:r>
      <w:r w:rsidR="005445E0">
        <w:fldChar w:fldCharType="begin"/>
      </w:r>
      <w:r w:rsidR="005445E0">
        <w:instrText xml:space="preserve"> REF _Ref139415017 \n \h </w:instrText>
      </w:r>
      <w:r w:rsidR="005445E0">
        <w:fldChar w:fldCharType="separate"/>
      </w:r>
      <w:r w:rsidR="000E1725">
        <w:t>5</w:t>
      </w:r>
      <w:r w:rsidR="005445E0">
        <w:fldChar w:fldCharType="end"/>
      </w:r>
      <w:r>
        <w:t>, a proof-of-concept IoT system is developed to capture the hot water flow and temperature, as well as enable the remote water event scheduling, transforming a conventional electric water heater into a smart one</w:t>
      </w:r>
      <w:r>
        <w:rPr>
          <w:rFonts w:hint="eastAsia"/>
        </w:rPr>
        <w:t>.</w:t>
      </w:r>
      <w:r>
        <w:t xml:space="preserve"> The retrofitted water heater is shown in </w:t>
      </w:r>
      <w:r w:rsidR="005445E0">
        <w:fldChar w:fldCharType="begin"/>
      </w:r>
      <w:r w:rsidR="005445E0">
        <w:instrText xml:space="preserve"> REF _Ref139415106 \h </w:instrText>
      </w:r>
      <w:r w:rsidR="005445E0">
        <w:fldChar w:fldCharType="separate"/>
      </w:r>
      <w:r w:rsidR="000E1725">
        <w:t xml:space="preserve">Figure </w:t>
      </w:r>
      <w:r w:rsidR="000E1725">
        <w:rPr>
          <w:noProof/>
        </w:rPr>
        <w:t>3</w:t>
      </w:r>
      <w:r w:rsidR="000E1725">
        <w:t>.</w:t>
      </w:r>
      <w:r w:rsidR="000E1725">
        <w:rPr>
          <w:noProof/>
        </w:rPr>
        <w:t>7</w:t>
      </w:r>
      <w:r w:rsidR="005445E0">
        <w:fldChar w:fldCharType="end"/>
      </w:r>
      <w:r w:rsidR="005445E0">
        <w:t>.</w:t>
      </w:r>
    </w:p>
    <w:p w14:paraId="7CE5F154" w14:textId="77777777" w:rsidR="005445E0" w:rsidRDefault="000215B4" w:rsidP="00623535">
      <w:pPr>
        <w:pStyle w:val="12FigureFormatSelectafigureandclickonthisstyle"/>
      </w:pPr>
      <w:r>
        <w:rPr>
          <w:noProof/>
        </w:rPr>
        <w:lastRenderedPageBreak/>
        <w:drawing>
          <wp:inline distT="0" distB="0" distL="0" distR="0" wp14:anchorId="1596059D" wp14:editId="37620525">
            <wp:extent cx="5731510" cy="4580255"/>
            <wp:effectExtent l="0" t="0" r="2540" b="0"/>
            <wp:docPr id="30" name="Picture 30" descr="A picture containing indoor, machine, electrical wiring, home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indoor, machine, electrical wiring, home appliance&#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4580255"/>
                    </a:xfrm>
                    <a:prstGeom prst="rect">
                      <a:avLst/>
                    </a:prstGeom>
                  </pic:spPr>
                </pic:pic>
              </a:graphicData>
            </a:graphic>
          </wp:inline>
        </w:drawing>
      </w:r>
    </w:p>
    <w:p w14:paraId="62EBDFA3" w14:textId="004957B3" w:rsidR="000215B4" w:rsidRDefault="005445E0" w:rsidP="00F54419">
      <w:pPr>
        <w:pStyle w:val="13FigureCaption"/>
      </w:pPr>
      <w:bookmarkStart w:id="199" w:name="_Ref139415106"/>
      <w:bookmarkStart w:id="200" w:name="_Toc141349916"/>
      <w:r>
        <w:t xml:space="preserve">Figure </w:t>
      </w:r>
      <w:fldSimple w:instr=" STYLEREF 1 \s ">
        <w:r w:rsidR="000E1725">
          <w:rPr>
            <w:noProof/>
          </w:rPr>
          <w:t>3</w:t>
        </w:r>
      </w:fldSimple>
      <w:r>
        <w:t>.</w:t>
      </w:r>
      <w:fldSimple w:instr=" SEQ Figure \* ARABIC \s 1 ">
        <w:r w:rsidR="000E1725">
          <w:rPr>
            <w:noProof/>
          </w:rPr>
          <w:t>7</w:t>
        </w:r>
      </w:fldSimple>
      <w:bookmarkEnd w:id="199"/>
      <w:r>
        <w:t xml:space="preserve"> Retrofitted smart water heater system.</w:t>
      </w:r>
      <w:bookmarkEnd w:id="200"/>
      <w:r>
        <w:t xml:space="preserve"> </w:t>
      </w:r>
    </w:p>
    <w:p w14:paraId="0DEF675B" w14:textId="372C1062" w:rsidR="000215B4" w:rsidRDefault="000215B4" w:rsidP="000215B4">
      <w:r>
        <w:t xml:space="preserve">A flow meter and temperature sensors are installed and connected with a Raspberry Pi </w:t>
      </w:r>
      <w:r>
        <w:fldChar w:fldCharType="begin"/>
      </w:r>
      <w:r w:rsidR="0082416B">
        <w:instrText xml:space="preserve"> ADDIN ZOTERO_ITEM CSL_CITATION {"citationID":"a297eknmpah","properties":{"formattedCitation":"[113]","plainCitation":"[113]","noteIndex":0},"citationItems":[{"id":1873,"uris":["http://zotero.org/users/5659608/items/IBNAW9QS"],"itemData":{"id":1873,"type":"webpage","abstract":"From industries large and small, to the kitchen table tinkerer, to the classroom coder, we make computing accessible and affordable for everybody.","container-title":"Raspberry Pi","language":"en-GB","title":"Raspberry Pi","URL":"https://www.raspberrypi.com/","author":[{"family":"Ltd","given":"Raspberry Pi"}],"accessed":{"date-parts":[["2023",4,24]]},"citation-key":"ltdRaspberryPi"}}],"schema":"https://github.com/citation-style-language/schema/raw/master/csl-citation.json"} </w:instrText>
      </w:r>
      <w:r>
        <w:fldChar w:fldCharType="separate"/>
      </w:r>
      <w:r w:rsidR="0082416B" w:rsidRPr="0082416B">
        <w:t>[113]</w:t>
      </w:r>
      <w:r>
        <w:fldChar w:fldCharType="end"/>
      </w:r>
      <w:r>
        <w:t>, which serves as a data logger and connects to the data server (the Linux desktop) in the Lab House. Four T-type thermal couples are utilized to measure the upper element water temperature, bottom element water temperature, inlet and outlet temperature. The are located at the upper elements well, the lower element well, the hot water discharge, and the cold-water inlet of the water heater system</w:t>
      </w:r>
      <w:r w:rsidR="00D234CB">
        <w:t>,</w:t>
      </w:r>
      <w:r>
        <w:t xml:space="preserve"> </w:t>
      </w:r>
      <w:r w:rsidR="00D234CB">
        <w:t>respectively</w:t>
      </w:r>
      <w:r>
        <w:t xml:space="preserve">. To measure the hot water flow rate withdrawal from the hot water tank, a low flow polypropylene liquid flow meter </w:t>
      </w:r>
      <w:r>
        <w:fldChar w:fldCharType="begin"/>
      </w:r>
      <w:r w:rsidR="0082416B">
        <w:instrText xml:space="preserve"> ADDIN ZOTERO_ITEM CSL_CITATION {"citationID":"avqoiflmis","properties":{"formattedCitation":"[119]","plainCitation":"[119]","noteIndex":0},"citationItems":[{"id":1874,"uris":["http://zotero.org/users/5659608/items/UK8KF9XU"],"itemData":{"id":1874,"type":"webpage","abstract":"LOW FLOW POLYPROPYLENE AND  TFE LIQUID FLOW METERS","language":"en-in","title":"Low Flow Polypropylene and TFE Liquid Flow meters","URL":"https://in.omega.com/pptst/FPR301_302_303_304.html","accessed":{"date-parts":[["2023",4,24]]},"citation-key":"LowFlowPolypropylene"}}],"schema":"https://github.com/citation-style-language/schema/raw/master/csl-citation.json"} </w:instrText>
      </w:r>
      <w:r>
        <w:fldChar w:fldCharType="separate"/>
      </w:r>
      <w:r w:rsidR="0082416B" w:rsidRPr="0082416B">
        <w:t>[119]</w:t>
      </w:r>
      <w:r>
        <w:fldChar w:fldCharType="end"/>
      </w:r>
      <w:r>
        <w:t xml:space="preserve"> is installed at the </w:t>
      </w:r>
      <w:r>
        <w:lastRenderedPageBreak/>
        <w:t xml:space="preserve">hot water discharge. </w:t>
      </w:r>
    </w:p>
    <w:p w14:paraId="345CBA31" w14:textId="22F2B5E2" w:rsidR="000215B4" w:rsidRDefault="000215B4" w:rsidP="000215B4">
      <w:r>
        <w:t xml:space="preserve">To enable remote water event scheduling, a water scheduling system, including a Raspberry Pi controller, a two-position normally closed Solenoid Control Valve (SCV), a pressure independent </w:t>
      </w:r>
      <w:r>
        <w:rPr>
          <w:rFonts w:hint="eastAsia"/>
        </w:rPr>
        <w:t>Variable</w:t>
      </w:r>
      <w:r>
        <w:t xml:space="preserve"> Flow Control Valve (VFCV), and a web-based remote scheduling interface, is designed and installed. In the water scheduling system, a Raspberry Pi serves as a controller which offers analog and digital outputs that can trigger s</w:t>
      </w:r>
      <w:r w:rsidR="005445E0">
        <w:t>olid</w:t>
      </w:r>
      <w:r>
        <w:t xml:space="preserve"> state electric relay, which powers the SCV that controls the on/off of the hot water withdrawal. To achieve a precise flow rate for each water withdrawal, a VFCV is also installed which controls the water flow rate by adjusting its clip position based on an analogy signal from the Raspberry Pi controller. The web-based remote scheduling interface is a web application that can receive input from the user to conduct local or remote real-time water withdrawal schedules. </w:t>
      </w:r>
    </w:p>
    <w:p w14:paraId="645FC31D" w14:textId="77777777" w:rsidR="000215B4" w:rsidRDefault="000215B4" w:rsidP="000215B4">
      <w:pPr>
        <w:ind w:firstLine="0"/>
      </w:pPr>
      <w:r>
        <w:tab/>
        <w:t xml:space="preserve">Prior to the start of the test, at least three values (i.e., the start time, water draw (in gallons), and VFCV position (0 to 1.0)) are required to be entered into the web-based remote scheduling interface to complete a continuous water withdrawal process, which can be repeated multiple times. These signals will be immediately fed into different Python scripts and calculated into two control sequences, including volume control sequence sent to the SCV and flow rate control sequence sent to the VFCV. Once the </w:t>
      </w:r>
      <w:r>
        <w:rPr>
          <w:rFonts w:hint="eastAsia"/>
        </w:rPr>
        <w:t>time</w:t>
      </w:r>
      <w:r>
        <w:t xml:space="preserve"> reaches the scheduled start time in volume control sequence, an “on” signal is given to the SCV and starts to record the pulse count; once the number of pulses indicate that the total withdrawal volume has been reached, a “o</w:t>
      </w:r>
      <w:r>
        <w:rPr>
          <w:rFonts w:hint="eastAsia"/>
        </w:rPr>
        <w:t>ff</w:t>
      </w:r>
      <w:r>
        <w:t xml:space="preserve">” signal is given to the SCV. As the flow rate control sequence, the VFCV position (0 to 1) obtained </w:t>
      </w:r>
      <w:r>
        <w:lastRenderedPageBreak/>
        <w:t>from the web-based scheduling interface will be directly sent to a digital analogy converter (DAC) that convert this VFCV position to a 0-10 VDC analog command 60 seconds prior to the scheduled start time. Calibration to investigate the relationship between VFCV position and the actual water flowrate is needed because it can be affected by many factors other than VFCV characteristics.</w:t>
      </w:r>
    </w:p>
    <w:p w14:paraId="48CD1D28" w14:textId="77777777" w:rsidR="000215B4" w:rsidRDefault="000215B4" w:rsidP="000215B4">
      <w:pPr>
        <w:pStyle w:val="Heading4"/>
      </w:pPr>
      <w:bookmarkStart w:id="201" w:name="_Toc141991699"/>
      <w:r>
        <w:t>PV forecast data sources</w:t>
      </w:r>
      <w:bookmarkEnd w:id="201"/>
      <w:r>
        <w:t xml:space="preserve"> </w:t>
      </w:r>
    </w:p>
    <w:p w14:paraId="7FE45767" w14:textId="16621B12" w:rsidR="000215B4" w:rsidRDefault="000215B4" w:rsidP="000215B4">
      <w:pPr>
        <w:ind w:firstLine="0"/>
      </w:pPr>
      <w:r>
        <w:t xml:space="preserve">Due to limitations in the Lab House, a PV rooftop real time operation dataset is collected from </w:t>
      </w:r>
      <w:r w:rsidRPr="004B192C">
        <w:t>National Renewable Energy Laboratory's (NREL) PV Rooftop Database (PVRDB)</w:t>
      </w:r>
      <w:r>
        <w:t xml:space="preserve"> </w:t>
      </w:r>
      <w:r>
        <w:fldChar w:fldCharType="begin"/>
      </w:r>
      <w:r w:rsidR="0082416B">
        <w:instrText xml:space="preserve"> ADDIN ZOTERO_ITEM CSL_CITATION {"citationID":"a1sp31o8ade","properties":{"formattedCitation":"[120]","plainCitation":"[120]","noteIndex":0},"citationItems":[{"id":1896,"uris":["http://zotero.org/users/5659608/items/YKWDXXGL"],"itemData":{"id":1896,"type":"webpage","abstract":"The Open Energy Data Initiative (OEDI) is a searchable online software discovery platform and knowledge base, developed by NREL, and powered by OpenEI: Open Energy Information.","container-title":"OpenEI","language":"en","title":"Open Energy Data Initiative (OEDI)","URL":"https://data.openei.org/","accessed":{"date-parts":[["2023",4,30]]},"citation-key":"OpenEnergyData"}}],"schema":"https://github.com/citation-style-language/schema/raw/master/csl-citation.json"} </w:instrText>
      </w:r>
      <w:r>
        <w:fldChar w:fldCharType="separate"/>
      </w:r>
      <w:r w:rsidR="0082416B" w:rsidRPr="0082416B">
        <w:t>[120]</w:t>
      </w:r>
      <w:r>
        <w:fldChar w:fldCharType="end"/>
      </w:r>
      <w:r>
        <w:t xml:space="preserve">. The dataset includes PV rooftop real time operation data for both residential and commercial buildings for multiple years across US. </w:t>
      </w:r>
    </w:p>
    <w:p w14:paraId="75F9FC62" w14:textId="77777777" w:rsidR="000215B4" w:rsidRPr="00710B3A" w:rsidRDefault="000215B4" w:rsidP="000215B4">
      <w:pPr>
        <w:pStyle w:val="Heading3"/>
      </w:pPr>
      <w:bookmarkStart w:id="202" w:name="_Toc133542368"/>
      <w:bookmarkStart w:id="203" w:name="_Toc141991700"/>
      <w:r w:rsidRPr="00710B3A">
        <w:t xml:space="preserve">HVAC </w:t>
      </w:r>
      <w:r w:rsidRPr="00710B3A">
        <w:rPr>
          <w:rFonts w:eastAsiaTheme="minorEastAsia"/>
        </w:rPr>
        <w:t>parameter</w:t>
      </w:r>
      <w:r w:rsidRPr="00710B3A">
        <w:t xml:space="preserve"> identification results</w:t>
      </w:r>
      <w:bookmarkEnd w:id="202"/>
      <w:bookmarkEnd w:id="203"/>
      <w:r w:rsidRPr="00710B3A">
        <w:t xml:space="preserve"> </w:t>
      </w:r>
    </w:p>
    <w:p w14:paraId="15FB82FC" w14:textId="231F7055" w:rsidR="005445E0" w:rsidRDefault="005445E0" w:rsidP="002023DB">
      <w:r>
        <w:t xml:space="preserve">To identify the parameters of the 2R2C model, we solved the optimization problem stated in </w:t>
      </w:r>
      <w:r w:rsidR="00410CB0">
        <w:rPr>
          <w:szCs w:val="24"/>
        </w:rPr>
        <w:t>(</w:t>
      </w:r>
      <w:r w:rsidR="00410CB0">
        <w:rPr>
          <w:szCs w:val="24"/>
        </w:rPr>
        <w:fldChar w:fldCharType="begin"/>
      </w:r>
      <w:r w:rsidR="00410CB0">
        <w:rPr>
          <w:szCs w:val="24"/>
        </w:rPr>
        <w:instrText xml:space="preserve"> SEQ equation \* ARABIC </w:instrText>
      </w:r>
      <w:r w:rsidR="00410CB0">
        <w:rPr>
          <w:szCs w:val="24"/>
        </w:rPr>
        <w:fldChar w:fldCharType="separate"/>
      </w:r>
      <w:r w:rsidR="000E1725">
        <w:rPr>
          <w:noProof/>
          <w:szCs w:val="24"/>
        </w:rPr>
        <w:t>20</w:t>
      </w:r>
      <w:r w:rsidR="00410CB0">
        <w:rPr>
          <w:szCs w:val="24"/>
        </w:rPr>
        <w:fldChar w:fldCharType="end"/>
      </w:r>
      <w:r w:rsidR="00410CB0">
        <w:rPr>
          <w:szCs w:val="24"/>
        </w:rPr>
        <w:t>)</w:t>
      </w:r>
      <w:r w:rsidRPr="007F2881">
        <w:rPr>
          <w:color w:val="202124"/>
          <w:sz w:val="30"/>
          <w:szCs w:val="30"/>
          <w:shd w:val="clear" w:color="auto" w:fill="FFFFFF"/>
        </w:rPr>
        <w:t>–</w:t>
      </w:r>
      <w:r w:rsidR="00410CB0" w:rsidRPr="00410CB0">
        <w:rPr>
          <w:rFonts w:ascii="Times" w:hAnsi="Times"/>
          <w:szCs w:val="24"/>
        </w:rPr>
        <w:t xml:space="preserve"> </w:t>
      </w:r>
      <w:r w:rsidR="00410CB0" w:rsidRPr="001533AA">
        <w:rPr>
          <w:rFonts w:ascii="Times" w:hAnsi="Times"/>
          <w:szCs w:val="24"/>
        </w:rPr>
        <w:t>(</w:t>
      </w:r>
      <w:r w:rsidR="00410CB0" w:rsidRPr="001533AA">
        <w:rPr>
          <w:rFonts w:ascii="Times" w:hAnsi="Times"/>
          <w:szCs w:val="24"/>
        </w:rPr>
        <w:fldChar w:fldCharType="begin"/>
      </w:r>
      <w:r w:rsidR="00410CB0" w:rsidRPr="001533AA">
        <w:rPr>
          <w:rFonts w:ascii="Times" w:hAnsi="Times"/>
          <w:szCs w:val="24"/>
        </w:rPr>
        <w:instrText xml:space="preserve"> SEQ equation \* ARABIC </w:instrText>
      </w:r>
      <w:r w:rsidR="00410CB0" w:rsidRPr="001533AA">
        <w:rPr>
          <w:rFonts w:ascii="Times" w:hAnsi="Times"/>
          <w:szCs w:val="24"/>
        </w:rPr>
        <w:fldChar w:fldCharType="separate"/>
      </w:r>
      <w:r w:rsidR="000E1725">
        <w:rPr>
          <w:rFonts w:ascii="Times" w:hAnsi="Times"/>
          <w:noProof/>
          <w:szCs w:val="24"/>
        </w:rPr>
        <w:t>21</w:t>
      </w:r>
      <w:r w:rsidR="00410CB0" w:rsidRPr="001533AA">
        <w:rPr>
          <w:rFonts w:ascii="Times" w:hAnsi="Times"/>
          <w:szCs w:val="24"/>
        </w:rPr>
        <w:fldChar w:fldCharType="end"/>
      </w:r>
      <w:r w:rsidR="00410CB0" w:rsidRPr="001533AA">
        <w:rPr>
          <w:rFonts w:ascii="Times" w:hAnsi="Times"/>
          <w:szCs w:val="24"/>
        </w:rPr>
        <w:t>)</w:t>
      </w:r>
      <w:r>
        <w:t xml:space="preserve"> using measured data. To validate its accuracy, we simulated the model using a different set of measured data. </w:t>
      </w:r>
      <w:r>
        <w:fldChar w:fldCharType="begin"/>
      </w:r>
      <w:r>
        <w:instrText xml:space="preserve"> REF _Ref139415278 \h </w:instrText>
      </w:r>
      <w:r>
        <w:fldChar w:fldCharType="separate"/>
      </w:r>
      <w:r w:rsidR="000E1725">
        <w:t xml:space="preserve">Figure </w:t>
      </w:r>
      <w:r w:rsidR="000E1725">
        <w:rPr>
          <w:noProof/>
        </w:rPr>
        <w:t>3</w:t>
      </w:r>
      <w:r w:rsidR="000E1725">
        <w:t>.</w:t>
      </w:r>
      <w:r w:rsidR="000E1725">
        <w:rPr>
          <w:noProof/>
        </w:rPr>
        <w:t>8</w:t>
      </w:r>
      <w:r>
        <w:fldChar w:fldCharType="end"/>
      </w:r>
      <w:r>
        <w:t xml:space="preserve">(a) shows the simulated (black) and measured (red) indoor air temperature, from which it can be seen that the model is quite accurate, achieving a mean absolute error (MAE) of 0.503℉. Note that because of model simplicity, the identified parameters can be sensitive to training datasets. Moreover, although being a gray-box model it has some extrapolation capability, regular model retraining and parameter updating are still needed while the </w:t>
      </w:r>
      <w:r w:rsidR="007D53AF">
        <w:t>optimal control</w:t>
      </w:r>
      <w:r>
        <w:t xml:space="preserve"> operates. </w:t>
      </w:r>
    </w:p>
    <w:p w14:paraId="6CDCBB83" w14:textId="5486C110" w:rsidR="005445E0" w:rsidRPr="00043C15" w:rsidRDefault="005445E0" w:rsidP="005445E0">
      <w:r>
        <w:lastRenderedPageBreak/>
        <w:t xml:space="preserve">To identify the parameters of the total AC power usage model, we solved a polynomial regression problem of the form </w:t>
      </w:r>
      <w:r>
        <w:fldChar w:fldCharType="begin"/>
      </w:r>
      <w:r>
        <w:instrText xml:space="preserve"> REF _Ref133874487 \h </w:instrText>
      </w:r>
      <w:r>
        <w:fldChar w:fldCharType="separate"/>
      </w:r>
      <w:r w:rsidR="000E1725">
        <w:t>(</w:t>
      </w:r>
      <w:r w:rsidR="000E1725">
        <w:rPr>
          <w:noProof/>
        </w:rPr>
        <w:t>23</w:t>
      </w:r>
      <w:r w:rsidR="000E1725">
        <w:t>)</w:t>
      </w:r>
      <w:r>
        <w:fldChar w:fldCharType="end"/>
      </w:r>
      <w:r>
        <w:t xml:space="preserve"> using measured </w:t>
      </w:r>
      <m:oMath>
        <m:sSub>
          <m:sSubPr>
            <m:ctrlPr>
              <w:rPr>
                <w:rFonts w:ascii="Cambria Math" w:hAnsi="Cambria Math"/>
                <w:i/>
              </w:rPr>
            </m:ctrlPr>
          </m:sSubPr>
          <m:e>
            <m:r>
              <w:rPr>
                <w:rFonts w:ascii="Cambria Math" w:hAnsi="Cambria Math"/>
              </w:rPr>
              <m:t>T</m:t>
            </m:r>
          </m:e>
          <m:sub>
            <m:r>
              <w:rPr>
                <w:rFonts w:ascii="Cambria Math" w:hAnsi="Cambria Math"/>
              </w:rPr>
              <m:t>o</m:t>
            </m:r>
          </m:sub>
        </m:sSub>
      </m:oMath>
      <w:r>
        <w:rPr>
          <w:rFonts w:hint="eastAsia"/>
        </w:rPr>
        <w:t xml:space="preserve"> </w:t>
      </w:r>
      <w:r>
        <w:t xml:space="preserve">and </w:t>
      </w:r>
      <m:oMath>
        <m:sSub>
          <m:sSubPr>
            <m:ctrlPr>
              <w:rPr>
                <w:rFonts w:ascii="Cambria Math" w:hAnsi="Cambria Math"/>
                <w:i/>
              </w:rPr>
            </m:ctrlPr>
          </m:sSubPr>
          <m:e>
            <m:r>
              <w:rPr>
                <w:rFonts w:ascii="Cambria Math" w:hAnsi="Cambria Math"/>
              </w:rPr>
              <m:t>P</m:t>
            </m:r>
          </m:e>
          <m:sub>
            <m:r>
              <w:rPr>
                <w:rFonts w:ascii="Cambria Math" w:hAnsi="Cambria Math"/>
              </w:rPr>
              <m:t>outdoor</m:t>
            </m:r>
          </m:sub>
        </m:sSub>
      </m:oMath>
      <w:r>
        <w:rPr>
          <w:rFonts w:hint="eastAsia"/>
        </w:rPr>
        <w:t xml:space="preserve"> </w:t>
      </w:r>
      <w:r>
        <w:t xml:space="preserve">data. To eliminate the impact of transient AC operation, only data with sufficiently large outdoor unit power (e.g., exceeding 3.2kW) were used. </w:t>
      </w:r>
      <w:r>
        <w:fldChar w:fldCharType="begin"/>
      </w:r>
      <w:r>
        <w:instrText xml:space="preserve"> REF _Ref139415278 \h </w:instrText>
      </w:r>
      <w:r>
        <w:fldChar w:fldCharType="separate"/>
      </w:r>
      <w:r w:rsidR="000E1725">
        <w:t xml:space="preserve">Figure </w:t>
      </w:r>
      <w:r w:rsidR="000E1725">
        <w:rPr>
          <w:noProof/>
        </w:rPr>
        <w:t>3</w:t>
      </w:r>
      <w:r w:rsidR="000E1725">
        <w:t>.</w:t>
      </w:r>
      <w:r w:rsidR="000E1725">
        <w:rPr>
          <w:noProof/>
        </w:rPr>
        <w:t>8</w:t>
      </w:r>
      <w:r>
        <w:fldChar w:fldCharType="end"/>
      </w:r>
      <w:r>
        <w:rPr>
          <w:rFonts w:hint="eastAsia"/>
        </w:rPr>
        <w:t>(</w:t>
      </w:r>
      <w:r>
        <w:t>b) shows the resulting polynomial (red) alongside the measured data (black). The coefficient of determination (</w:t>
      </w:r>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oMath>
      <w:r>
        <w:rPr>
          <w:rFonts w:hint="eastAsia"/>
        </w:rPr>
        <w:t xml:space="preserve"> </w:t>
      </w:r>
      <w:r>
        <w:t>of 0.845 and root-mean-square error (</w:t>
      </w:r>
      <m:oMath>
        <m:r>
          <w:rPr>
            <w:rFonts w:ascii="Cambria Math" w:hAnsi="Cambria Math"/>
          </w:rPr>
          <m:t>RMSE</m:t>
        </m:r>
      </m:oMath>
      <w:r>
        <w:rPr>
          <w:rFonts w:hint="eastAsia"/>
        </w:rPr>
        <w:t>)</w:t>
      </w:r>
      <w:r>
        <w:t xml:space="preserve"> of 0.162kW suggest that the polynomial fit is satisfactory.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0215B4" w14:paraId="1D4FD57E" w14:textId="77777777" w:rsidTr="00F54419">
        <w:tc>
          <w:tcPr>
            <w:tcW w:w="4536" w:type="dxa"/>
          </w:tcPr>
          <w:p w14:paraId="405F8F6F" w14:textId="77777777" w:rsidR="000215B4" w:rsidRPr="00681C40" w:rsidRDefault="000215B4" w:rsidP="002023DB">
            <w:pPr>
              <w:ind w:firstLine="0"/>
              <w:jc w:val="left"/>
              <w:rPr>
                <w:rFonts w:eastAsia="PMingLiU"/>
              </w:rPr>
            </w:pPr>
            <w:r>
              <w:rPr>
                <w:rFonts w:eastAsia="PMingLiU" w:hint="eastAsia"/>
                <w:noProof/>
              </w:rPr>
              <w:drawing>
                <wp:inline distT="0" distB="0" distL="0" distR="0" wp14:anchorId="466C1D41" wp14:editId="3CAB2506">
                  <wp:extent cx="2743200" cy="1371600"/>
                  <wp:effectExtent l="0" t="0" r="0" b="0"/>
                  <wp:docPr id="27" name="Picture 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2743200" cy="1371600"/>
                          </a:xfrm>
                          <a:prstGeom prst="rect">
                            <a:avLst/>
                          </a:prstGeom>
                          <a:noFill/>
                          <a:ln>
                            <a:noFill/>
                          </a:ln>
                        </pic:spPr>
                      </pic:pic>
                    </a:graphicData>
                  </a:graphic>
                </wp:inline>
              </w:drawing>
            </w:r>
          </w:p>
        </w:tc>
        <w:tc>
          <w:tcPr>
            <w:tcW w:w="4824" w:type="dxa"/>
          </w:tcPr>
          <w:p w14:paraId="2D0E6BF1" w14:textId="77777777" w:rsidR="000215B4" w:rsidRDefault="000215B4" w:rsidP="00F54419">
            <w:pPr>
              <w:keepNext/>
              <w:ind w:firstLine="0"/>
              <w:jc w:val="center"/>
            </w:pPr>
            <w:r>
              <w:rPr>
                <w:noProof/>
              </w:rPr>
              <w:drawing>
                <wp:inline distT="0" distB="0" distL="0" distR="0" wp14:anchorId="0CB82BED" wp14:editId="1079E749">
                  <wp:extent cx="2743200" cy="1375410"/>
                  <wp:effectExtent l="0" t="0" r="0" b="0"/>
                  <wp:docPr id="25" name="Picture 2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scatter chart&#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43200" cy="1375410"/>
                          </a:xfrm>
                          <a:prstGeom prst="rect">
                            <a:avLst/>
                          </a:prstGeom>
                          <a:noFill/>
                          <a:ln>
                            <a:noFill/>
                          </a:ln>
                        </pic:spPr>
                      </pic:pic>
                    </a:graphicData>
                  </a:graphic>
                </wp:inline>
              </w:drawing>
            </w:r>
          </w:p>
        </w:tc>
      </w:tr>
    </w:tbl>
    <w:p w14:paraId="1ABE0D8E" w14:textId="533C2044" w:rsidR="000215B4" w:rsidRPr="00F34017" w:rsidRDefault="000215B4" w:rsidP="000215B4">
      <w:pPr>
        <w:pStyle w:val="13FigureCaption"/>
      </w:pPr>
      <w:bookmarkStart w:id="204" w:name="_Ref139415278"/>
      <w:bookmarkStart w:id="205" w:name="_Ref133072300"/>
      <w:bookmarkStart w:id="206" w:name="_Toc141349917"/>
      <w:r>
        <w:t xml:space="preserve">Figure </w:t>
      </w:r>
      <w:fldSimple w:instr=" STYLEREF 1 \s ">
        <w:r w:rsidR="000E1725">
          <w:rPr>
            <w:noProof/>
          </w:rPr>
          <w:t>3</w:t>
        </w:r>
      </w:fldSimple>
      <w:r w:rsidR="005445E0">
        <w:t>.</w:t>
      </w:r>
      <w:fldSimple w:instr=" SEQ Figure \* ARABIC \s 1 ">
        <w:r w:rsidR="000E1725">
          <w:rPr>
            <w:noProof/>
          </w:rPr>
          <w:t>8</w:t>
        </w:r>
      </w:fldSimple>
      <w:bookmarkEnd w:id="204"/>
      <w:bookmarkEnd w:id="205"/>
      <w:r>
        <w:t xml:space="preserve"> </w:t>
      </w:r>
      <w:r w:rsidRPr="000369F8">
        <w:rPr>
          <w:rFonts w:hint="eastAsia"/>
        </w:rPr>
        <w:t>(</w:t>
      </w:r>
      <w:r w:rsidRPr="000369F8">
        <w:t>a)</w:t>
      </w:r>
      <w:r>
        <w:t xml:space="preserve"> 2R2</w:t>
      </w:r>
      <w:r>
        <w:rPr>
          <w:rFonts w:asciiTheme="minorEastAsia" w:eastAsiaTheme="minorEastAsia" w:hAnsiTheme="minorEastAsia" w:hint="eastAsia"/>
        </w:rPr>
        <w:t>C</w:t>
      </w:r>
      <w:r>
        <w:t xml:space="preserve"> model validation result and (b) AC outdoor unit consumption regression result (power lower than 3.2</w:t>
      </w:r>
      <w:r>
        <w:rPr>
          <w:rFonts w:asciiTheme="minorEastAsia" w:eastAsiaTheme="minorEastAsia" w:hAnsiTheme="minorEastAsia" w:hint="eastAsia"/>
        </w:rPr>
        <w:t>k</w:t>
      </w:r>
      <w:r>
        <w:t>W is excluded).</w:t>
      </w:r>
      <w:bookmarkEnd w:id="206"/>
    </w:p>
    <w:p w14:paraId="081ABEB5" w14:textId="77777777" w:rsidR="000215B4" w:rsidRDefault="000215B4" w:rsidP="000215B4">
      <w:pPr>
        <w:pStyle w:val="Heading3"/>
      </w:pPr>
      <w:bookmarkStart w:id="207" w:name="_Toc132122468"/>
      <w:bookmarkStart w:id="208" w:name="_Toc132122592"/>
      <w:bookmarkStart w:id="209" w:name="_Toc133542369"/>
      <w:bookmarkStart w:id="210" w:name="_Toc141991701"/>
      <w:r>
        <w:rPr>
          <w:rFonts w:eastAsiaTheme="minorEastAsia"/>
        </w:rPr>
        <w:t xml:space="preserve">Water heater calibration and </w:t>
      </w:r>
      <w:r>
        <w:rPr>
          <w:rFonts w:eastAsiaTheme="minorEastAsia" w:hint="eastAsia"/>
        </w:rPr>
        <w:t>parameter</w:t>
      </w:r>
      <w:r>
        <w:t xml:space="preserve"> identification</w:t>
      </w:r>
      <w:bookmarkEnd w:id="207"/>
      <w:bookmarkEnd w:id="208"/>
      <w:r>
        <w:t xml:space="preserve"> results</w:t>
      </w:r>
      <w:bookmarkEnd w:id="209"/>
      <w:bookmarkEnd w:id="210"/>
      <w:r>
        <w:t xml:space="preserve"> </w:t>
      </w:r>
    </w:p>
    <w:p w14:paraId="0512C920" w14:textId="056904FD" w:rsidR="000215B4" w:rsidRPr="000A1955" w:rsidRDefault="000215B4" w:rsidP="000215B4">
      <w:pPr>
        <w:rPr>
          <w:rStyle w:val="12FigureFormatSelectafigureandclickonthisstyleChar"/>
          <w:rFonts w:eastAsiaTheme="minorEastAsia"/>
          <w:szCs w:val="21"/>
        </w:rPr>
      </w:pPr>
      <w:r>
        <w:rPr>
          <w:rStyle w:val="12FigureFormatSelectafigureandclickonthisstyleChar"/>
        </w:rPr>
        <w:t xml:space="preserve">To obtain the relevant dataset which described the dynamic model in Equation </w:t>
      </w:r>
      <w:r>
        <w:rPr>
          <w:rStyle w:val="12FigureFormatSelectafigureandclickonthisstyleChar"/>
        </w:rPr>
        <w:fldChar w:fldCharType="begin"/>
      </w:r>
      <w:r>
        <w:rPr>
          <w:rStyle w:val="12FigureFormatSelectafigureandclickonthisstyleChar"/>
        </w:rPr>
        <w:instrText xml:space="preserve"> REF _Ref127385655 \h </w:instrText>
      </w:r>
      <w:r>
        <w:rPr>
          <w:rStyle w:val="12FigureFormatSelectafigureandclickonthisstyleChar"/>
        </w:rPr>
      </w:r>
      <w:r>
        <w:rPr>
          <w:rStyle w:val="12FigureFormatSelectafigureandclickonthisstyleChar"/>
        </w:rPr>
        <w:fldChar w:fldCharType="separate"/>
      </w:r>
      <w:r w:rsidR="000E1725">
        <w:rPr>
          <w:rFonts w:hint="eastAsia"/>
        </w:rPr>
        <w:t>(</w:t>
      </w:r>
      <w:r w:rsidR="000E1725">
        <w:rPr>
          <w:noProof/>
        </w:rPr>
        <w:t>14</w:t>
      </w:r>
      <w:r w:rsidR="000E1725">
        <w:t>)</w:t>
      </w:r>
      <w:r>
        <w:rPr>
          <w:rStyle w:val="12FigureFormatSelectafigureandclickonthisstyleChar"/>
        </w:rPr>
        <w:fldChar w:fldCharType="end"/>
      </w:r>
      <w:r>
        <w:rPr>
          <w:rStyle w:val="12FigureFormatSelectafigureandclickonthisstyleChar"/>
        </w:rPr>
        <w:t>, we collected the bottom and top elements' water temperature from the thermal couples. The water schedule event (in Gallon per meter) is calculated from the pulse in a water flow meter. The total power consumption from both bottom and upper elements is obtained</w:t>
      </w:r>
      <w:r>
        <w:t xml:space="preserve"> from the energy monitor. In the parameter identification, we use the average value of the bottom and top elements as the measurement of </w:t>
      </w:r>
      <m:oMath>
        <m:sSub>
          <m:sSubPr>
            <m:ctrlPr>
              <w:rPr>
                <w:rFonts w:ascii="Cambria Math" w:hAnsi="Cambria Math"/>
                <w:i/>
              </w:rPr>
            </m:ctrlPr>
          </m:sSubPr>
          <m:e>
            <m:r>
              <w:rPr>
                <w:rFonts w:ascii="Cambria Math" w:hAnsi="Cambria Math"/>
              </w:rPr>
              <m:t>T</m:t>
            </m:r>
          </m:e>
          <m:sub>
            <m:r>
              <w:rPr>
                <w:rFonts w:ascii="Cambria Math" w:hAnsi="Cambria Math"/>
              </w:rPr>
              <m:t>wh</m:t>
            </m:r>
          </m:sub>
        </m:sSub>
      </m:oMath>
      <w:r>
        <w:t xml:space="preserve">. Although a thermal couple was put in to measure the inlet water temperature, the reading was affected by the water supply, hence is not used. Besides, the city water inlet is relatively constant, we assume it keeps </w:t>
      </w:r>
      <m:oMath>
        <m:sSup>
          <m:sSupPr>
            <m:ctrlPr>
              <w:rPr>
                <w:rFonts w:ascii="Cambria Math" w:hAnsi="Cambria Math"/>
                <w:i/>
              </w:rPr>
            </m:ctrlPr>
          </m:sSupPr>
          <m:e>
            <m:r>
              <w:rPr>
                <w:rFonts w:ascii="Cambria Math" w:hAnsi="Cambria Math"/>
              </w:rPr>
              <m:t>73.4</m:t>
            </m:r>
            <m:ctrlPr>
              <w:rPr>
                <w:rFonts w:ascii="Cambria Math" w:hAnsi="Cambria Math" w:cs="Cambria Math"/>
              </w:rPr>
            </m:ctrlPr>
          </m:e>
          <m:sup>
            <m:r>
              <m:rPr>
                <m:sty m:val="p"/>
              </m:rPr>
              <w:rPr>
                <w:rFonts w:ascii="Cambria Math" w:hAnsi="Cambria Math" w:cs="Cambria Math"/>
              </w:rPr>
              <m:t>∘</m:t>
            </m:r>
          </m:sup>
        </m:sSup>
        <m:r>
          <w:rPr>
            <w:rFonts w:ascii="Cambria Math" w:hAnsi="Cambria Math"/>
          </w:rPr>
          <m:t>F (23 ℃)</m:t>
        </m:r>
      </m:oMath>
      <w:r>
        <w:rPr>
          <w:rFonts w:hint="eastAsia"/>
        </w:rPr>
        <w:t xml:space="preserve"> </w:t>
      </w:r>
      <w:r>
        <w:t xml:space="preserve">during the test. </w:t>
      </w:r>
      <w:r>
        <w:lastRenderedPageBreak/>
        <w:t xml:space="preserve">The water tank was exposed to the house’s attic, which was also assumed to be a constant temperature. </w:t>
      </w:r>
    </w:p>
    <w:p w14:paraId="3CBA79E9" w14:textId="4A37C117" w:rsidR="000215B4" w:rsidRPr="002765F5" w:rsidRDefault="000215B4" w:rsidP="000215B4">
      <w:pPr>
        <w:rPr>
          <w:rStyle w:val="12FigureFormatSelectafigureandclickonthisstyleChar"/>
          <w:rFonts w:eastAsiaTheme="minorEastAsia"/>
          <w:szCs w:val="21"/>
        </w:rPr>
      </w:pPr>
      <w:r>
        <w:rPr>
          <w:rStyle w:val="12FigureFormatSelectafigureandclickonthisstyleChar"/>
          <w:rFonts w:eastAsiaTheme="minorEastAsia"/>
        </w:rPr>
        <w:fldChar w:fldCharType="begin"/>
      </w:r>
      <w:r>
        <w:rPr>
          <w:rStyle w:val="12FigureFormatSelectafigureandclickonthisstyleChar"/>
        </w:rPr>
        <w:instrText xml:space="preserve"> REF _Ref127385582 \h </w:instrText>
      </w:r>
      <w:r>
        <w:rPr>
          <w:rStyle w:val="12FigureFormatSelectafigureandclickonthisstyleChar"/>
          <w:rFonts w:eastAsiaTheme="minorEastAsia"/>
        </w:rPr>
      </w:r>
      <w:r>
        <w:rPr>
          <w:rStyle w:val="12FigureFormatSelectafigureandclickonthisstyleChar"/>
          <w:rFonts w:eastAsiaTheme="minorEastAsia"/>
        </w:rPr>
        <w:fldChar w:fldCharType="separate"/>
      </w:r>
      <w:r w:rsidR="000E1725">
        <w:t xml:space="preserve">Figure </w:t>
      </w:r>
      <w:r w:rsidR="000E1725">
        <w:rPr>
          <w:noProof/>
        </w:rPr>
        <w:t>3</w:t>
      </w:r>
      <w:r w:rsidR="000E1725">
        <w:t>.</w:t>
      </w:r>
      <w:r w:rsidR="000E1725">
        <w:rPr>
          <w:noProof/>
        </w:rPr>
        <w:t>9</w:t>
      </w:r>
      <w:r>
        <w:rPr>
          <w:rStyle w:val="12FigureFormatSelectafigureandclickonthisstyleChar"/>
          <w:rFonts w:eastAsiaTheme="minorEastAsia"/>
        </w:rPr>
        <w:fldChar w:fldCharType="end"/>
      </w:r>
      <w:r>
        <w:rPr>
          <w:rStyle w:val="12FigureFormatSelectafigureandclickonthisstyleChar"/>
          <w:rFonts w:eastAsiaTheme="minorEastAsia"/>
        </w:rPr>
        <w:t xml:space="preserve"> is the simulation result of the RC network model of the water heater. Since the test is conducted in November, we assume the attic temperature is kept at </w:t>
      </w:r>
      <m:oMath>
        <m:sSup>
          <m:sSupPr>
            <m:ctrlPr>
              <w:rPr>
                <w:rFonts w:ascii="Cambria Math" w:hAnsi="Cambria Math"/>
                <w:i/>
              </w:rPr>
            </m:ctrlPr>
          </m:sSupPr>
          <m:e>
            <m:r>
              <w:rPr>
                <w:rFonts w:ascii="Cambria Math" w:hAnsi="Cambria Math"/>
              </w:rPr>
              <m:t>68</m:t>
            </m:r>
            <m:ctrlPr>
              <w:rPr>
                <w:rFonts w:ascii="Cambria Math" w:hAnsi="Cambria Math" w:cs="Cambria Math"/>
              </w:rPr>
            </m:ctrlPr>
          </m:e>
          <m:sup>
            <m:r>
              <m:rPr>
                <m:sty m:val="p"/>
              </m:rPr>
              <w:rPr>
                <w:rFonts w:ascii="Cambria Math" w:hAnsi="Cambria Math" w:cs="Cambria Math"/>
              </w:rPr>
              <m:t>∘</m:t>
            </m:r>
          </m:sup>
        </m:sSup>
        <m:r>
          <w:rPr>
            <w:rFonts w:ascii="Cambria Math" w:hAnsi="Cambria Math"/>
          </w:rPr>
          <m:t>F(20 ℃)</m:t>
        </m:r>
      </m:oMath>
      <w:r>
        <w:rPr>
          <w:rFonts w:hint="eastAsia"/>
        </w:rPr>
        <w:t>.</w:t>
      </w:r>
      <w:r>
        <w:t xml:space="preserve"> The mean absolute value for this simulation is 2.144, which is slightly high. The major reason is the thermal couple’s reading of the bottom and top elements have a large variation, making the </w:t>
      </w:r>
      <m:oMath>
        <m:sSub>
          <m:sSubPr>
            <m:ctrlPr>
              <w:rPr>
                <w:rFonts w:ascii="Cambria Math" w:hAnsi="Cambria Math"/>
                <w:i/>
              </w:rPr>
            </m:ctrlPr>
          </m:sSubPr>
          <m:e>
            <m:r>
              <w:rPr>
                <w:rFonts w:ascii="Cambria Math" w:hAnsi="Cambria Math"/>
              </w:rPr>
              <m:t>T</m:t>
            </m:r>
          </m:e>
          <m:sub>
            <m:r>
              <w:rPr>
                <w:rFonts w:ascii="Cambria Math" w:hAnsi="Cambria Math"/>
              </w:rPr>
              <m:t>wh</m:t>
            </m:r>
          </m:sub>
        </m:sSub>
      </m:oMath>
      <w:r>
        <w:rPr>
          <w:rFonts w:hint="eastAsia"/>
        </w:rPr>
        <w:t xml:space="preserve"> </w:t>
      </w:r>
      <w:r>
        <w:t xml:space="preserve">measurement is not accurate. </w:t>
      </w:r>
      <w:r w:rsidRPr="00144A78">
        <w:rPr>
          <w:rStyle w:val="12FigureFormatSelectafigureandclickonthisstyleChar"/>
        </w:rPr>
        <w:t>The estimation of the R</w:t>
      </w:r>
      <w:r>
        <w:rPr>
          <w:rStyle w:val="12FigureFormatSelectafigureandclickonthisstyleChar"/>
        </w:rPr>
        <w:t>-</w:t>
      </w:r>
      <w:r w:rsidRPr="00144A78">
        <w:rPr>
          <w:rStyle w:val="12FigureFormatSelectafigureandclickonthisstyleChar"/>
        </w:rPr>
        <w:t xml:space="preserve">value is </w:t>
      </w:r>
      <w:r>
        <w:rPr>
          <w:rStyle w:val="12FigureFormatSelectafigureandclickonthisstyleChar"/>
        </w:rPr>
        <w:t xml:space="preserve">20.04 </w:t>
      </w:r>
      <m:oMath>
        <m:r>
          <m:rPr>
            <m:nor/>
          </m:rPr>
          <w:rPr>
            <w:rStyle w:val="12FigureFormatSelectafigureandclickonthisstyleChar"/>
            <w:rFonts w:ascii="Cambria Math" w:hAnsi="Cambria Math"/>
          </w:rPr>
          <m:t>f</m:t>
        </m:r>
        <m:sSup>
          <m:sSupPr>
            <m:ctrlPr>
              <w:rPr>
                <w:rStyle w:val="12FigureFormatSelectafigureandclickonthisstyleChar"/>
                <w:rFonts w:ascii="Cambria Math" w:hAnsi="Cambria Math"/>
                <w:i/>
              </w:rPr>
            </m:ctrlPr>
          </m:sSupPr>
          <m:e>
            <m:r>
              <m:rPr>
                <m:nor/>
              </m:rPr>
              <w:rPr>
                <w:rStyle w:val="12FigureFormatSelectafigureandclickonthisstyleChar"/>
                <w:rFonts w:ascii="Cambria Math" w:hAnsi="Cambria Math"/>
              </w:rPr>
              <m:t>t</m:t>
            </m:r>
          </m:e>
          <m:sup>
            <m:r>
              <m:rPr>
                <m:nor/>
              </m:rPr>
              <w:rPr>
                <w:rStyle w:val="12FigureFormatSelectafigureandclickonthisstyleChar"/>
                <w:rFonts w:ascii="Cambria Math" w:hAnsi="Cambria Math"/>
              </w:rPr>
              <m:t>2</m:t>
            </m:r>
          </m:sup>
        </m:sSup>
        <m:r>
          <m:rPr>
            <m:nor/>
          </m:rPr>
          <w:rPr>
            <w:rStyle w:val="12FigureFormatSelectafigureandclickonthisstyleChar"/>
            <w:rFonts w:ascii="Cambria Math" w:hAnsi="Cambria Math"/>
          </w:rPr>
          <m:t>hr</m:t>
        </m:r>
        <m:r>
          <m:rPr>
            <m:lit/>
            <m:nor/>
          </m:rPr>
          <w:rPr>
            <w:rStyle w:val="12FigureFormatSelectafigureandclickonthisstyleChar"/>
            <w:rFonts w:ascii="Cambria Math" w:hAnsi="Cambria Math"/>
          </w:rPr>
          <m:t>/</m:t>
        </m:r>
        <m:r>
          <m:rPr>
            <m:nor/>
          </m:rPr>
          <w:rPr>
            <w:rStyle w:val="12FigureFormatSelectafigureandclickonthisstyleChar"/>
            <w:rFonts w:ascii="Cambria Math" w:hAnsi="Cambria Math"/>
          </w:rPr>
          <m:t>Btu</m:t>
        </m:r>
      </m:oMath>
      <w:r>
        <w:rPr>
          <w:rStyle w:val="12FigureFormatSelectafigureandclickonthisstyleChar"/>
          <w:rFonts w:eastAsiaTheme="minorEastAsia"/>
        </w:rPr>
        <w:t xml:space="preserve">. </w:t>
      </w:r>
    </w:p>
    <w:p w14:paraId="58E3BCB4" w14:textId="77777777" w:rsidR="000215B4" w:rsidRDefault="000215B4" w:rsidP="00F54419">
      <w:pPr>
        <w:jc w:val="center"/>
      </w:pPr>
      <w:r>
        <w:rPr>
          <w:noProof/>
        </w:rPr>
        <w:drawing>
          <wp:inline distT="0" distB="0" distL="0" distR="0" wp14:anchorId="2FAA9A3C" wp14:editId="3EEBCAE9">
            <wp:extent cx="5486400" cy="2743200"/>
            <wp:effectExtent l="0" t="0" r="0"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6400" cy="2743200"/>
                    </a:xfrm>
                    <a:prstGeom prst="rect">
                      <a:avLst/>
                    </a:prstGeom>
                    <a:noFill/>
                    <a:ln>
                      <a:noFill/>
                    </a:ln>
                  </pic:spPr>
                </pic:pic>
              </a:graphicData>
            </a:graphic>
          </wp:inline>
        </w:drawing>
      </w:r>
    </w:p>
    <w:p w14:paraId="33CB3629" w14:textId="5A0778E9" w:rsidR="000215B4" w:rsidRPr="001F48A1" w:rsidRDefault="000215B4" w:rsidP="000215B4">
      <w:pPr>
        <w:pStyle w:val="figurecaption"/>
        <w:ind w:left="880" w:hanging="400"/>
      </w:pPr>
      <w:bookmarkStart w:id="211" w:name="_Ref127385582"/>
      <w:bookmarkStart w:id="212" w:name="_Toc141349918"/>
      <w:r>
        <w:t xml:space="preserve">Figure </w:t>
      </w:r>
      <w:fldSimple w:instr=" STYLEREF 1 \s ">
        <w:r w:rsidR="000E1725">
          <w:rPr>
            <w:noProof/>
          </w:rPr>
          <w:t>3</w:t>
        </w:r>
      </w:fldSimple>
      <w:r w:rsidR="005445E0">
        <w:t>.</w:t>
      </w:r>
      <w:fldSimple w:instr=" SEQ Figure \* ARABIC \s 1 ">
        <w:r w:rsidR="000E1725">
          <w:rPr>
            <w:noProof/>
          </w:rPr>
          <w:t>9</w:t>
        </w:r>
      </w:fldSimple>
      <w:bookmarkEnd w:id="211"/>
      <w:r>
        <w:t xml:space="preserve"> Water </w:t>
      </w:r>
      <w:r>
        <w:rPr>
          <w:rFonts w:hint="eastAsia"/>
        </w:rPr>
        <w:t>heater</w:t>
      </w:r>
      <w:r>
        <w:t xml:space="preserve"> system identification result</w:t>
      </w:r>
      <w:bookmarkEnd w:id="212"/>
    </w:p>
    <w:p w14:paraId="15E98489" w14:textId="77777777" w:rsidR="000215B4" w:rsidRPr="00F024CD" w:rsidRDefault="000215B4" w:rsidP="000215B4">
      <w:pPr>
        <w:pStyle w:val="Heading3"/>
      </w:pPr>
      <w:bookmarkStart w:id="213" w:name="_Toc133542370"/>
      <w:bookmarkStart w:id="214" w:name="_Toc141991702"/>
      <w:r>
        <w:rPr>
          <w:rFonts w:eastAsiaTheme="minorEastAsia"/>
        </w:rPr>
        <w:t>Short-term PV power generation results</w:t>
      </w:r>
      <w:bookmarkEnd w:id="213"/>
      <w:bookmarkEnd w:id="214"/>
      <w:r>
        <w:rPr>
          <w:rFonts w:eastAsiaTheme="minorEastAsia"/>
        </w:rPr>
        <w:t xml:space="preserve"> </w:t>
      </w:r>
    </w:p>
    <w:p w14:paraId="3A8E33BE" w14:textId="77777777" w:rsidR="000215B4" w:rsidRDefault="000215B4" w:rsidP="000215B4">
      <w:r>
        <w:t xml:space="preserve">To test the robustness of the proposed prediction model, random three-day period in each month from </w:t>
      </w:r>
      <w:r>
        <w:rPr>
          <w:rFonts w:hint="eastAsia"/>
        </w:rPr>
        <w:t>July</w:t>
      </w:r>
      <w:r>
        <w:t xml:space="preserve"> to October are selected as a test dataset and the dataset from the two months prior to these three-day periods are used as a train dataset. In these experiments, different random seeds are utilized to generate these random three-day periods, and to further partition </w:t>
      </w:r>
      <w:r>
        <w:lastRenderedPageBreak/>
        <w:t xml:space="preserve">the train and valid subsets for K-fold cross validation or feature selection. </w:t>
      </w:r>
    </w:p>
    <w:p w14:paraId="7C63CDCC" w14:textId="6A01F2D8" w:rsidR="000215B4" w:rsidRDefault="000215B4" w:rsidP="000215B4">
      <w:r>
        <w:fldChar w:fldCharType="begin"/>
      </w:r>
      <w:r>
        <w:instrText xml:space="preserve"> REF _Ref133543421 \h </w:instrText>
      </w:r>
      <w:r>
        <w:fldChar w:fldCharType="separate"/>
      </w:r>
      <w:r w:rsidR="000E1725">
        <w:t xml:space="preserve">Figure </w:t>
      </w:r>
      <w:r w:rsidR="000E1725">
        <w:rPr>
          <w:noProof/>
        </w:rPr>
        <w:t>3</w:t>
      </w:r>
      <w:r w:rsidR="000E1725">
        <w:t>.</w:t>
      </w:r>
      <w:r w:rsidR="000E1725">
        <w:rPr>
          <w:noProof/>
        </w:rPr>
        <w:t>10</w:t>
      </w:r>
      <w:r>
        <w:fldChar w:fldCharType="end"/>
      </w:r>
      <w:r>
        <w:t xml:space="preserve">(a) demonstrate the SHAP values of every data point (e.g., air temperature = 30℃) for the PV power prediction on September dataset using random seed 123, and the features in the dashed box are selected. As expected, the Ghi has a high contribution on the model, whereas some features such as relative humidity has a low contribution. </w:t>
      </w:r>
      <w:r>
        <w:fldChar w:fldCharType="begin"/>
      </w:r>
      <w:r>
        <w:instrText xml:space="preserve"> REF _Ref133571502 \h </w:instrText>
      </w:r>
      <w:r>
        <w:fldChar w:fldCharType="separate"/>
      </w:r>
      <w:r w:rsidR="000E1725">
        <w:t xml:space="preserve">Figure </w:t>
      </w:r>
      <w:r w:rsidR="000E1725">
        <w:rPr>
          <w:noProof/>
        </w:rPr>
        <w:t>3</w:t>
      </w:r>
      <w:r w:rsidR="000E1725">
        <w:t>.</w:t>
      </w:r>
      <w:r w:rsidR="000E1725">
        <w:rPr>
          <w:noProof/>
        </w:rPr>
        <w:t>11</w:t>
      </w:r>
      <w:r>
        <w:fldChar w:fldCharType="end"/>
      </w:r>
      <w:r>
        <w:t xml:space="preserve"> illustrates PV power generation, Ghi, and relative humidity in original dataset on September 2. As can be seen in </w:t>
      </w:r>
      <w:r>
        <w:fldChar w:fldCharType="begin"/>
      </w:r>
      <w:r>
        <w:instrText xml:space="preserve"> REF _Ref133571502 \h </w:instrText>
      </w:r>
      <w:r>
        <w:fldChar w:fldCharType="separate"/>
      </w:r>
      <w:r w:rsidR="000E1725">
        <w:t xml:space="preserve">Figure </w:t>
      </w:r>
      <w:r w:rsidR="000E1725">
        <w:rPr>
          <w:noProof/>
        </w:rPr>
        <w:t>3</w:t>
      </w:r>
      <w:r w:rsidR="000E1725">
        <w:t>.</w:t>
      </w:r>
      <w:r w:rsidR="000E1725">
        <w:rPr>
          <w:noProof/>
        </w:rPr>
        <w:t>11</w:t>
      </w:r>
      <w:r>
        <w:fldChar w:fldCharType="end"/>
      </w:r>
      <w:r>
        <w:t xml:space="preserve">, the trend of Ghi is very similar to that PV power generation, while the trend of relative humidity is almost opposite to it, which further indicates remove relative humidity feature might benefits the model. A reasonable explanation for why the trend of relative humidity is opposite to that PV power generation is because of the increase in temperature and sufficient illumination in the afternoon, a large amount of moisture in the air evaporates, resulting in decreasing in relative humidity. </w:t>
      </w:r>
      <w:r>
        <w:fldChar w:fldCharType="begin"/>
      </w:r>
      <w:r>
        <w:instrText xml:space="preserve"> REF _Ref133543421 \h </w:instrText>
      </w:r>
      <w:r>
        <w:fldChar w:fldCharType="separate"/>
      </w:r>
      <w:r w:rsidR="000E1725">
        <w:t xml:space="preserve">Figure </w:t>
      </w:r>
      <w:r w:rsidR="000E1725">
        <w:rPr>
          <w:noProof/>
        </w:rPr>
        <w:t>3</w:t>
      </w:r>
      <w:r w:rsidR="000E1725">
        <w:t>.</w:t>
      </w:r>
      <w:r w:rsidR="000E1725">
        <w:rPr>
          <w:noProof/>
        </w:rPr>
        <w:t>10</w:t>
      </w:r>
      <w:r>
        <w:fldChar w:fldCharType="end"/>
      </w:r>
      <w:r>
        <w:t>(b) shows the RMSEs of the lightGBM model trained on September dataset with random seed 123 for different values of max_depth and num_leaves when the learning rate and n_estimators are chosen from the best model and fixed. The optimal hyperparameters chosen in this model is:</w:t>
      </w:r>
    </w:p>
    <w:p w14:paraId="1BDAF9C8" w14:textId="77777777" w:rsidR="000215B4" w:rsidRDefault="000215B4" w:rsidP="000215B4">
      <w:pPr>
        <w:pStyle w:val="ListParagraph"/>
        <w:numPr>
          <w:ilvl w:val="0"/>
          <w:numId w:val="53"/>
        </w:numPr>
        <w:ind w:left="1800" w:firstLineChars="0"/>
      </w:pPr>
      <w:r>
        <w:t>M</w:t>
      </w:r>
      <w:r>
        <w:rPr>
          <w:rFonts w:hint="eastAsia"/>
        </w:rPr>
        <w:t>ax</w:t>
      </w:r>
      <w:r>
        <w:t>_depth = 20</w:t>
      </w:r>
    </w:p>
    <w:p w14:paraId="3AAD2C12" w14:textId="77777777" w:rsidR="000215B4" w:rsidRDefault="000215B4" w:rsidP="000215B4">
      <w:pPr>
        <w:pStyle w:val="ListParagraph"/>
        <w:numPr>
          <w:ilvl w:val="0"/>
          <w:numId w:val="53"/>
        </w:numPr>
        <w:ind w:left="1800" w:firstLineChars="0"/>
      </w:pPr>
      <w:r>
        <w:rPr>
          <w:rFonts w:hint="eastAsia"/>
        </w:rPr>
        <w:t>num</w:t>
      </w:r>
      <w:r>
        <w:t>_leaves = 25</w:t>
      </w:r>
    </w:p>
    <w:p w14:paraId="20809425" w14:textId="77777777" w:rsidR="000215B4" w:rsidRDefault="000215B4" w:rsidP="000215B4">
      <w:pPr>
        <w:pStyle w:val="ListParagraph"/>
        <w:numPr>
          <w:ilvl w:val="0"/>
          <w:numId w:val="53"/>
        </w:numPr>
        <w:ind w:left="1800" w:firstLineChars="0"/>
      </w:pPr>
      <w:r>
        <w:rPr>
          <w:rFonts w:hint="eastAsia"/>
        </w:rPr>
        <w:t>l</w:t>
      </w:r>
      <w:r>
        <w:t>earning rate = 0.2</w:t>
      </w:r>
    </w:p>
    <w:p w14:paraId="7FC00E9A" w14:textId="77777777" w:rsidR="000215B4" w:rsidRDefault="000215B4" w:rsidP="000215B4">
      <w:pPr>
        <w:pStyle w:val="ListParagraph"/>
        <w:numPr>
          <w:ilvl w:val="0"/>
          <w:numId w:val="53"/>
        </w:numPr>
        <w:ind w:left="1800" w:firstLineChars="0"/>
      </w:pPr>
      <w:r>
        <w:t>n_estimator = 300</w:t>
      </w:r>
    </w:p>
    <w:p w14:paraId="05FD2EDF" w14:textId="77777777" w:rsidR="000215B4" w:rsidRDefault="000215B4" w:rsidP="00F54419">
      <w:pPr>
        <w:pStyle w:val="12FigureFormatSelectafigureandclickonthisstyle"/>
      </w:pPr>
      <w:r>
        <w:rPr>
          <w:noProof/>
        </w:rPr>
        <w:lastRenderedPageBreak/>
        <w:drawing>
          <wp:inline distT="0" distB="0" distL="0" distR="0" wp14:anchorId="76D421AF" wp14:editId="431D3CFF">
            <wp:extent cx="5491832" cy="2688609"/>
            <wp:effectExtent l="0" t="0" r="0" b="0"/>
            <wp:docPr id="1372041196" name="Picture 1372041196"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041196" name="Picture 1372041196" descr="A picture containing text, screenshot, line, diagram&#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507195" cy="2696130"/>
                    </a:xfrm>
                    <a:prstGeom prst="rect">
                      <a:avLst/>
                    </a:prstGeom>
                  </pic:spPr>
                </pic:pic>
              </a:graphicData>
            </a:graphic>
          </wp:inline>
        </w:drawing>
      </w:r>
    </w:p>
    <w:p w14:paraId="5CFBDD7A" w14:textId="598A8AF2" w:rsidR="000215B4" w:rsidRDefault="000215B4" w:rsidP="000215B4">
      <w:pPr>
        <w:pStyle w:val="13FigureCaption"/>
      </w:pPr>
      <w:bookmarkStart w:id="215" w:name="_Ref133543421"/>
      <w:bookmarkStart w:id="216" w:name="_Toc141349919"/>
      <w:r>
        <w:t xml:space="preserve">Figure </w:t>
      </w:r>
      <w:fldSimple w:instr=" STYLEREF 1 \s ">
        <w:r w:rsidR="000E1725">
          <w:rPr>
            <w:noProof/>
          </w:rPr>
          <w:t>3</w:t>
        </w:r>
      </w:fldSimple>
      <w:r w:rsidR="005445E0">
        <w:t>.</w:t>
      </w:r>
      <w:fldSimple w:instr=" SEQ Figure \* ARABIC \s 1 ">
        <w:r w:rsidR="000E1725">
          <w:rPr>
            <w:noProof/>
          </w:rPr>
          <w:t>10</w:t>
        </w:r>
      </w:fldSimple>
      <w:bookmarkEnd w:id="215"/>
      <w:r>
        <w:t xml:space="preserve"> Model performance improvement (a) SHAP value for every train data points in feature selection for September (b) RMSE results on validation sets on September in grid search</w:t>
      </w:r>
      <w:bookmarkEnd w:id="216"/>
      <w:r>
        <w:t xml:space="preserve"> </w:t>
      </w:r>
    </w:p>
    <w:p w14:paraId="456C8190" w14:textId="77777777" w:rsidR="000215B4" w:rsidRDefault="000215B4" w:rsidP="00F54419">
      <w:pPr>
        <w:keepNext/>
        <w:ind w:firstLine="0"/>
        <w:jc w:val="center"/>
      </w:pPr>
      <w:r>
        <w:rPr>
          <w:noProof/>
        </w:rPr>
        <w:drawing>
          <wp:inline distT="0" distB="0" distL="0" distR="0" wp14:anchorId="53B9D761" wp14:editId="1B888ECA">
            <wp:extent cx="5534165" cy="1936958"/>
            <wp:effectExtent l="0" t="0" r="0" b="6350"/>
            <wp:docPr id="507434152" name="Picture 507434152" descr="A picture containing line, plot, 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434152" name="Picture 507434152" descr="A picture containing line, plot, diagram, text&#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534165" cy="1936958"/>
                    </a:xfrm>
                    <a:prstGeom prst="rect">
                      <a:avLst/>
                    </a:prstGeom>
                  </pic:spPr>
                </pic:pic>
              </a:graphicData>
            </a:graphic>
          </wp:inline>
        </w:drawing>
      </w:r>
    </w:p>
    <w:p w14:paraId="6EB34EE5" w14:textId="06D7B72C" w:rsidR="000215B4" w:rsidRDefault="000215B4" w:rsidP="000215B4">
      <w:pPr>
        <w:pStyle w:val="13FigureCaption"/>
      </w:pPr>
      <w:bookmarkStart w:id="217" w:name="_Ref133571502"/>
      <w:bookmarkStart w:id="218" w:name="_Toc141349920"/>
      <w:r>
        <w:t xml:space="preserve">Figure </w:t>
      </w:r>
      <w:fldSimple w:instr=" STYLEREF 1 \s ">
        <w:r w:rsidR="000E1725">
          <w:rPr>
            <w:noProof/>
          </w:rPr>
          <w:t>3</w:t>
        </w:r>
      </w:fldSimple>
      <w:r w:rsidR="005445E0">
        <w:t>.</w:t>
      </w:r>
      <w:fldSimple w:instr=" SEQ Figure \* ARABIC \s 1 ">
        <w:r w:rsidR="000E1725">
          <w:rPr>
            <w:noProof/>
          </w:rPr>
          <w:t>11</w:t>
        </w:r>
      </w:fldSimple>
      <w:bookmarkEnd w:id="217"/>
      <w:r>
        <w:t xml:space="preserve"> PV power generation, Ghi, and relative humidity in original data on September 2, 2019</w:t>
      </w:r>
      <w:bookmarkEnd w:id="218"/>
      <w:r>
        <w:t xml:space="preserve"> </w:t>
      </w:r>
    </w:p>
    <w:p w14:paraId="6FE6A25F" w14:textId="3F166248" w:rsidR="000215B4" w:rsidRDefault="000215B4" w:rsidP="000215B4">
      <w:pPr>
        <w:ind w:firstLine="0"/>
      </w:pPr>
      <w:r>
        <w:fldChar w:fldCharType="begin"/>
      </w:r>
      <w:r>
        <w:instrText xml:space="preserve"> REF _Ref133573838 \h </w:instrText>
      </w:r>
      <w:r>
        <w:fldChar w:fldCharType="separate"/>
      </w:r>
      <w:r w:rsidR="000E1725">
        <w:t xml:space="preserve">Table </w:t>
      </w:r>
      <w:r w:rsidR="000E1725">
        <w:rPr>
          <w:noProof/>
        </w:rPr>
        <w:t>3</w:t>
      </w:r>
      <w:r w:rsidR="000E1725">
        <w:t>.</w:t>
      </w:r>
      <w:r w:rsidR="000E1725">
        <w:rPr>
          <w:noProof/>
        </w:rPr>
        <w:t>3</w:t>
      </w:r>
      <w:r>
        <w:fldChar w:fldCharType="end"/>
      </w:r>
      <w:r>
        <w:t xml:space="preserve"> shows the performance on four months testing datasets of prediction in terms of RMSE in unit of W. Overall, the prediction model has highest performance on October and lowest performance in July. </w:t>
      </w:r>
      <w:r>
        <w:fldChar w:fldCharType="begin"/>
      </w:r>
      <w:r>
        <w:instrText xml:space="preserve"> REF _Ref133573915 \h </w:instrText>
      </w:r>
      <w:r>
        <w:fldChar w:fldCharType="separate"/>
      </w:r>
      <w:r w:rsidR="000E1725">
        <w:t xml:space="preserve">Figure </w:t>
      </w:r>
      <w:r w:rsidR="000E1725">
        <w:rPr>
          <w:noProof/>
        </w:rPr>
        <w:t>3</w:t>
      </w:r>
      <w:r w:rsidR="000E1725">
        <w:t>.</w:t>
      </w:r>
      <w:r w:rsidR="000E1725">
        <w:rPr>
          <w:noProof/>
        </w:rPr>
        <w:t>12</w:t>
      </w:r>
      <w:r>
        <w:fldChar w:fldCharType="end"/>
      </w:r>
      <w:r>
        <w:t xml:space="preserve"> shows the prediction results of </w:t>
      </w:r>
      <w:r>
        <w:rPr>
          <w:rFonts w:hint="eastAsia"/>
        </w:rPr>
        <w:t>light</w:t>
      </w:r>
      <w:r>
        <w:t xml:space="preserve">GBM model on August dataset (from August 3 to August 5 in 2019). As can be observed from the figure, the model prediction is accurate when the illumination is sufficient. However, under the condition </w:t>
      </w:r>
      <w:r>
        <w:lastRenderedPageBreak/>
        <w:t xml:space="preserve">of insufficient illumination, for example, a sudden drop in afternoon sunlight and subsequently affecting the amount of PV power generated in August 4, the model prediction results are not as good as that in other time periods. </w:t>
      </w:r>
    </w:p>
    <w:p w14:paraId="7DF00806" w14:textId="6801D9A5" w:rsidR="000215B4" w:rsidRDefault="000215B4" w:rsidP="00410CB0">
      <w:pPr>
        <w:pStyle w:val="15TableTitle"/>
      </w:pPr>
      <w:bookmarkStart w:id="219" w:name="_Ref133573838"/>
      <w:bookmarkStart w:id="220" w:name="_Toc141343898"/>
      <w:r>
        <w:t xml:space="preserve">Table </w:t>
      </w:r>
      <w:fldSimple w:instr=" STYLEREF 1 \s ">
        <w:r w:rsidR="000E1725">
          <w:rPr>
            <w:noProof/>
          </w:rPr>
          <w:t>3</w:t>
        </w:r>
      </w:fldSimple>
      <w:r w:rsidR="00146A55">
        <w:t>.</w:t>
      </w:r>
      <w:fldSimple w:instr=" SEQ Table \* ARABIC \s 1 ">
        <w:r w:rsidR="000E1725">
          <w:rPr>
            <w:noProof/>
          </w:rPr>
          <w:t>3</w:t>
        </w:r>
      </w:fldSimple>
      <w:bookmarkEnd w:id="219"/>
      <w:r>
        <w:t xml:space="preserve"> The performance results on testing dataset</w:t>
      </w:r>
      <w:bookmarkEnd w:id="220"/>
    </w:p>
    <w:tbl>
      <w:tblPr>
        <w:tblStyle w:val="TableGrid"/>
        <w:tblW w:w="0" w:type="auto"/>
        <w:tblLook w:val="04A0" w:firstRow="1" w:lastRow="0" w:firstColumn="1" w:lastColumn="0" w:noHBand="0" w:noVBand="1"/>
      </w:tblPr>
      <w:tblGrid>
        <w:gridCol w:w="1744"/>
        <w:gridCol w:w="1724"/>
        <w:gridCol w:w="1736"/>
        <w:gridCol w:w="1761"/>
        <w:gridCol w:w="2061"/>
      </w:tblGrid>
      <w:tr w:rsidR="000215B4" w14:paraId="124D8746" w14:textId="77777777" w:rsidTr="00F54419">
        <w:tc>
          <w:tcPr>
            <w:tcW w:w="1803" w:type="dxa"/>
            <w:tcBorders>
              <w:top w:val="single" w:sz="18" w:space="0" w:color="auto"/>
              <w:left w:val="nil"/>
              <w:bottom w:val="single" w:sz="4" w:space="0" w:color="auto"/>
              <w:right w:val="nil"/>
            </w:tcBorders>
          </w:tcPr>
          <w:p w14:paraId="7C70D592" w14:textId="77777777" w:rsidR="000215B4" w:rsidRDefault="000215B4" w:rsidP="002023DB">
            <w:pPr>
              <w:ind w:firstLine="0"/>
            </w:pPr>
          </w:p>
        </w:tc>
        <w:tc>
          <w:tcPr>
            <w:tcW w:w="7557" w:type="dxa"/>
            <w:gridSpan w:val="4"/>
            <w:tcBorders>
              <w:top w:val="single" w:sz="18" w:space="0" w:color="auto"/>
              <w:left w:val="nil"/>
              <w:bottom w:val="single" w:sz="4" w:space="0" w:color="auto"/>
              <w:right w:val="nil"/>
            </w:tcBorders>
          </w:tcPr>
          <w:p w14:paraId="0FBE4AF0" w14:textId="749B1044" w:rsidR="000215B4" w:rsidRPr="004B58CA" w:rsidRDefault="000215B4" w:rsidP="002023DB">
            <w:pPr>
              <w:ind w:firstLine="0"/>
            </w:pPr>
            <w:r>
              <w:rPr>
                <w:rFonts w:hint="eastAsia"/>
              </w:rPr>
              <w:t>R</w:t>
            </w:r>
            <w:r>
              <w:t xml:space="preserve">MSE </w:t>
            </w:r>
            <m:oMath>
              <m:d>
                <m:dPr>
                  <m:ctrlPr>
                    <w:rPr>
                      <w:rFonts w:ascii="Cambria Math" w:hAnsi="Cambria Math"/>
                      <w:i/>
                    </w:rPr>
                  </m:ctrlPr>
                </m:dPr>
                <m:e>
                  <m:r>
                    <w:rPr>
                      <w:rFonts w:ascii="Cambria Math" w:hAnsi="Cambria Math"/>
                    </w:rPr>
                    <m:t>kW</m:t>
                  </m:r>
                </m:e>
              </m:d>
            </m:oMath>
          </w:p>
        </w:tc>
      </w:tr>
      <w:tr w:rsidR="00F910D8" w14:paraId="662BD9B9" w14:textId="77777777" w:rsidTr="00F54419">
        <w:tc>
          <w:tcPr>
            <w:tcW w:w="1803" w:type="dxa"/>
            <w:tcBorders>
              <w:top w:val="single" w:sz="4" w:space="0" w:color="auto"/>
              <w:left w:val="nil"/>
              <w:bottom w:val="nil"/>
              <w:right w:val="nil"/>
            </w:tcBorders>
          </w:tcPr>
          <w:p w14:paraId="434B30BE" w14:textId="77777777" w:rsidR="000215B4" w:rsidRDefault="000215B4" w:rsidP="002023DB">
            <w:pPr>
              <w:ind w:firstLine="0"/>
            </w:pPr>
            <w:r>
              <w:t>Random seed</w:t>
            </w:r>
          </w:p>
        </w:tc>
        <w:tc>
          <w:tcPr>
            <w:tcW w:w="1803" w:type="dxa"/>
            <w:tcBorders>
              <w:top w:val="single" w:sz="4" w:space="0" w:color="auto"/>
              <w:left w:val="nil"/>
              <w:bottom w:val="nil"/>
              <w:right w:val="nil"/>
            </w:tcBorders>
          </w:tcPr>
          <w:p w14:paraId="3699B839" w14:textId="77777777" w:rsidR="000215B4" w:rsidRDefault="000215B4" w:rsidP="002023DB">
            <w:pPr>
              <w:ind w:firstLine="0"/>
            </w:pPr>
            <w:r>
              <w:rPr>
                <w:rFonts w:hint="eastAsia"/>
              </w:rPr>
              <w:t>J</w:t>
            </w:r>
            <w:r>
              <w:t>uly</w:t>
            </w:r>
          </w:p>
        </w:tc>
        <w:tc>
          <w:tcPr>
            <w:tcW w:w="1803" w:type="dxa"/>
            <w:tcBorders>
              <w:top w:val="single" w:sz="4" w:space="0" w:color="auto"/>
              <w:left w:val="nil"/>
              <w:bottom w:val="nil"/>
              <w:right w:val="nil"/>
            </w:tcBorders>
          </w:tcPr>
          <w:p w14:paraId="423D3C52" w14:textId="77777777" w:rsidR="000215B4" w:rsidRDefault="000215B4" w:rsidP="002023DB">
            <w:pPr>
              <w:ind w:firstLine="0"/>
            </w:pPr>
            <w:r>
              <w:rPr>
                <w:rFonts w:hint="eastAsia"/>
              </w:rPr>
              <w:t>A</w:t>
            </w:r>
            <w:r>
              <w:t>ugust</w:t>
            </w:r>
          </w:p>
        </w:tc>
        <w:tc>
          <w:tcPr>
            <w:tcW w:w="1803" w:type="dxa"/>
            <w:tcBorders>
              <w:top w:val="single" w:sz="4" w:space="0" w:color="auto"/>
              <w:left w:val="nil"/>
              <w:bottom w:val="nil"/>
              <w:right w:val="nil"/>
            </w:tcBorders>
          </w:tcPr>
          <w:p w14:paraId="423FF8EB" w14:textId="77777777" w:rsidR="000215B4" w:rsidRDefault="000215B4" w:rsidP="002023DB">
            <w:pPr>
              <w:ind w:firstLine="0"/>
            </w:pPr>
            <w:r>
              <w:rPr>
                <w:rFonts w:hint="eastAsia"/>
              </w:rPr>
              <w:t>S</w:t>
            </w:r>
            <w:r>
              <w:t>eptember</w:t>
            </w:r>
          </w:p>
        </w:tc>
        <w:tc>
          <w:tcPr>
            <w:tcW w:w="2148" w:type="dxa"/>
            <w:tcBorders>
              <w:top w:val="single" w:sz="4" w:space="0" w:color="auto"/>
              <w:left w:val="nil"/>
              <w:bottom w:val="nil"/>
              <w:right w:val="nil"/>
            </w:tcBorders>
          </w:tcPr>
          <w:p w14:paraId="2B3D3520" w14:textId="77777777" w:rsidR="000215B4" w:rsidRDefault="000215B4" w:rsidP="002023DB">
            <w:pPr>
              <w:ind w:firstLine="0"/>
            </w:pPr>
            <w:r>
              <w:rPr>
                <w:rFonts w:hint="eastAsia"/>
              </w:rPr>
              <w:t>O</w:t>
            </w:r>
            <w:r>
              <w:t>ctober</w:t>
            </w:r>
          </w:p>
        </w:tc>
      </w:tr>
      <w:tr w:rsidR="00F910D8" w14:paraId="28DB17FC" w14:textId="77777777" w:rsidTr="00F54419">
        <w:tc>
          <w:tcPr>
            <w:tcW w:w="1803" w:type="dxa"/>
            <w:tcBorders>
              <w:top w:val="nil"/>
              <w:left w:val="nil"/>
              <w:bottom w:val="nil"/>
              <w:right w:val="nil"/>
            </w:tcBorders>
          </w:tcPr>
          <w:p w14:paraId="3B4C8AE3" w14:textId="77777777" w:rsidR="000215B4" w:rsidRDefault="000215B4" w:rsidP="002023DB">
            <w:pPr>
              <w:ind w:firstLine="0"/>
            </w:pPr>
            <w:r>
              <w:rPr>
                <w:rFonts w:hint="eastAsia"/>
              </w:rPr>
              <w:t>4</w:t>
            </w:r>
            <w:r>
              <w:t>2</w:t>
            </w:r>
          </w:p>
        </w:tc>
        <w:tc>
          <w:tcPr>
            <w:tcW w:w="1803" w:type="dxa"/>
            <w:tcBorders>
              <w:top w:val="nil"/>
              <w:left w:val="nil"/>
              <w:bottom w:val="nil"/>
              <w:right w:val="nil"/>
            </w:tcBorders>
          </w:tcPr>
          <w:p w14:paraId="027909E6" w14:textId="76DB03B4" w:rsidR="000215B4" w:rsidRDefault="00F910D8" w:rsidP="002023DB">
            <w:pPr>
              <w:ind w:firstLine="0"/>
            </w:pPr>
            <w:r>
              <w:t>0.</w:t>
            </w:r>
            <w:r w:rsidR="000215B4">
              <w:rPr>
                <w:rFonts w:hint="eastAsia"/>
              </w:rPr>
              <w:t>3</w:t>
            </w:r>
            <w:r w:rsidR="000215B4">
              <w:t>23</w:t>
            </w:r>
          </w:p>
        </w:tc>
        <w:tc>
          <w:tcPr>
            <w:tcW w:w="1803" w:type="dxa"/>
            <w:tcBorders>
              <w:top w:val="nil"/>
              <w:left w:val="nil"/>
              <w:bottom w:val="nil"/>
              <w:right w:val="nil"/>
            </w:tcBorders>
          </w:tcPr>
          <w:p w14:paraId="787D7173" w14:textId="0A0295E7" w:rsidR="000215B4" w:rsidRDefault="00F910D8" w:rsidP="002023DB">
            <w:pPr>
              <w:ind w:firstLine="0"/>
            </w:pPr>
            <w:r>
              <w:t>0.</w:t>
            </w:r>
            <w:r w:rsidR="000215B4">
              <w:rPr>
                <w:rFonts w:hint="eastAsia"/>
              </w:rPr>
              <w:t>3</w:t>
            </w:r>
            <w:r w:rsidR="000215B4">
              <w:t>51</w:t>
            </w:r>
          </w:p>
        </w:tc>
        <w:tc>
          <w:tcPr>
            <w:tcW w:w="1803" w:type="dxa"/>
            <w:tcBorders>
              <w:top w:val="nil"/>
              <w:left w:val="nil"/>
              <w:bottom w:val="nil"/>
              <w:right w:val="nil"/>
            </w:tcBorders>
          </w:tcPr>
          <w:p w14:paraId="7F76521F" w14:textId="0BCE4254" w:rsidR="000215B4" w:rsidRDefault="00F910D8" w:rsidP="002023DB">
            <w:pPr>
              <w:ind w:firstLine="0"/>
            </w:pPr>
            <w:r>
              <w:t>0.</w:t>
            </w:r>
            <w:r w:rsidR="000215B4">
              <w:rPr>
                <w:rFonts w:hint="eastAsia"/>
              </w:rPr>
              <w:t>1</w:t>
            </w:r>
            <w:r w:rsidR="000215B4">
              <w:t>91</w:t>
            </w:r>
          </w:p>
        </w:tc>
        <w:tc>
          <w:tcPr>
            <w:tcW w:w="2148" w:type="dxa"/>
            <w:tcBorders>
              <w:top w:val="nil"/>
              <w:left w:val="nil"/>
              <w:bottom w:val="nil"/>
              <w:right w:val="nil"/>
            </w:tcBorders>
          </w:tcPr>
          <w:p w14:paraId="79395E14" w14:textId="19351799" w:rsidR="000215B4" w:rsidRDefault="00F910D8" w:rsidP="002023DB">
            <w:pPr>
              <w:ind w:firstLine="0"/>
            </w:pPr>
            <w:r>
              <w:t>0.</w:t>
            </w:r>
            <w:r w:rsidR="000215B4">
              <w:rPr>
                <w:rFonts w:hint="eastAsia"/>
              </w:rPr>
              <w:t>2</w:t>
            </w:r>
            <w:r w:rsidR="000215B4">
              <w:t>8</w:t>
            </w:r>
            <w:r>
              <w:t>6</w:t>
            </w:r>
          </w:p>
        </w:tc>
      </w:tr>
      <w:tr w:rsidR="00F910D8" w14:paraId="01B4423D" w14:textId="77777777" w:rsidTr="00F54419">
        <w:tc>
          <w:tcPr>
            <w:tcW w:w="1803" w:type="dxa"/>
            <w:tcBorders>
              <w:top w:val="nil"/>
              <w:left w:val="nil"/>
              <w:bottom w:val="nil"/>
              <w:right w:val="nil"/>
            </w:tcBorders>
          </w:tcPr>
          <w:p w14:paraId="7833D59E" w14:textId="77777777" w:rsidR="000215B4" w:rsidRDefault="000215B4" w:rsidP="002023DB">
            <w:pPr>
              <w:ind w:firstLine="0"/>
            </w:pPr>
            <w:r>
              <w:rPr>
                <w:rFonts w:hint="eastAsia"/>
              </w:rPr>
              <w:t>1</w:t>
            </w:r>
            <w:r>
              <w:t>00</w:t>
            </w:r>
          </w:p>
        </w:tc>
        <w:tc>
          <w:tcPr>
            <w:tcW w:w="1803" w:type="dxa"/>
            <w:tcBorders>
              <w:top w:val="nil"/>
              <w:left w:val="nil"/>
              <w:bottom w:val="nil"/>
              <w:right w:val="nil"/>
            </w:tcBorders>
          </w:tcPr>
          <w:p w14:paraId="7796FBA4" w14:textId="696E69EF" w:rsidR="000215B4" w:rsidRDefault="00F910D8" w:rsidP="002023DB">
            <w:pPr>
              <w:ind w:firstLine="0"/>
            </w:pPr>
            <w:r>
              <w:t>0.</w:t>
            </w:r>
            <w:r w:rsidR="000215B4">
              <w:rPr>
                <w:rFonts w:hint="eastAsia"/>
              </w:rPr>
              <w:t>3</w:t>
            </w:r>
            <w:r w:rsidR="000215B4">
              <w:t>97</w:t>
            </w:r>
          </w:p>
        </w:tc>
        <w:tc>
          <w:tcPr>
            <w:tcW w:w="1803" w:type="dxa"/>
            <w:tcBorders>
              <w:top w:val="nil"/>
              <w:left w:val="nil"/>
              <w:bottom w:val="nil"/>
              <w:right w:val="nil"/>
            </w:tcBorders>
          </w:tcPr>
          <w:p w14:paraId="7640BC7C" w14:textId="2F7AB514" w:rsidR="000215B4" w:rsidRDefault="00F910D8" w:rsidP="002023DB">
            <w:pPr>
              <w:ind w:firstLine="0"/>
            </w:pPr>
            <w:r>
              <w:t>0.</w:t>
            </w:r>
            <w:r w:rsidR="000215B4">
              <w:rPr>
                <w:rFonts w:hint="eastAsia"/>
              </w:rPr>
              <w:t>2</w:t>
            </w:r>
            <w:r w:rsidR="000215B4">
              <w:t>96</w:t>
            </w:r>
          </w:p>
        </w:tc>
        <w:tc>
          <w:tcPr>
            <w:tcW w:w="1803" w:type="dxa"/>
            <w:tcBorders>
              <w:top w:val="nil"/>
              <w:left w:val="nil"/>
              <w:bottom w:val="nil"/>
              <w:right w:val="nil"/>
            </w:tcBorders>
          </w:tcPr>
          <w:p w14:paraId="2C8BCF45" w14:textId="02244101" w:rsidR="000215B4" w:rsidRDefault="00F910D8" w:rsidP="002023DB">
            <w:pPr>
              <w:ind w:firstLine="0"/>
            </w:pPr>
            <w:r>
              <w:t>0.</w:t>
            </w:r>
            <w:r w:rsidR="000215B4">
              <w:rPr>
                <w:rFonts w:hint="eastAsia"/>
              </w:rPr>
              <w:t>3</w:t>
            </w:r>
            <w:r w:rsidR="000215B4">
              <w:t>4</w:t>
            </w:r>
            <w:r>
              <w:t>7</w:t>
            </w:r>
          </w:p>
        </w:tc>
        <w:tc>
          <w:tcPr>
            <w:tcW w:w="2148" w:type="dxa"/>
            <w:tcBorders>
              <w:top w:val="nil"/>
              <w:left w:val="nil"/>
              <w:bottom w:val="nil"/>
              <w:right w:val="nil"/>
            </w:tcBorders>
          </w:tcPr>
          <w:p w14:paraId="0A9B450A" w14:textId="6FF1911F" w:rsidR="000215B4" w:rsidRDefault="00F910D8" w:rsidP="002023DB">
            <w:pPr>
              <w:ind w:firstLine="0"/>
            </w:pPr>
            <w:r>
              <w:t>0.</w:t>
            </w:r>
            <w:r w:rsidR="000215B4">
              <w:rPr>
                <w:rFonts w:hint="eastAsia"/>
              </w:rPr>
              <w:t>2</w:t>
            </w:r>
            <w:r w:rsidR="000215B4">
              <w:t>1</w:t>
            </w:r>
            <w:r>
              <w:t>3</w:t>
            </w:r>
          </w:p>
        </w:tc>
      </w:tr>
      <w:tr w:rsidR="00F910D8" w14:paraId="731A2991" w14:textId="77777777" w:rsidTr="00F54419">
        <w:tc>
          <w:tcPr>
            <w:tcW w:w="1803" w:type="dxa"/>
            <w:tcBorders>
              <w:top w:val="nil"/>
              <w:left w:val="nil"/>
              <w:bottom w:val="single" w:sz="18" w:space="0" w:color="auto"/>
              <w:right w:val="nil"/>
            </w:tcBorders>
          </w:tcPr>
          <w:p w14:paraId="7B5DDB13" w14:textId="77777777" w:rsidR="000215B4" w:rsidRDefault="000215B4" w:rsidP="002023DB">
            <w:pPr>
              <w:ind w:firstLine="0"/>
            </w:pPr>
            <w:r>
              <w:t>123</w:t>
            </w:r>
          </w:p>
        </w:tc>
        <w:tc>
          <w:tcPr>
            <w:tcW w:w="1803" w:type="dxa"/>
            <w:tcBorders>
              <w:top w:val="nil"/>
              <w:left w:val="nil"/>
              <w:bottom w:val="single" w:sz="18" w:space="0" w:color="auto"/>
              <w:right w:val="nil"/>
            </w:tcBorders>
          </w:tcPr>
          <w:p w14:paraId="5AAA5B98" w14:textId="23EEB116" w:rsidR="000215B4" w:rsidRDefault="00F910D8" w:rsidP="002023DB">
            <w:pPr>
              <w:ind w:firstLine="0"/>
            </w:pPr>
            <w:r>
              <w:t>0.</w:t>
            </w:r>
            <w:r w:rsidR="000215B4">
              <w:rPr>
                <w:rFonts w:hint="eastAsia"/>
              </w:rPr>
              <w:t>3</w:t>
            </w:r>
            <w:r w:rsidR="000215B4">
              <w:t>5</w:t>
            </w:r>
            <w:r>
              <w:t>8</w:t>
            </w:r>
          </w:p>
        </w:tc>
        <w:tc>
          <w:tcPr>
            <w:tcW w:w="1803" w:type="dxa"/>
            <w:tcBorders>
              <w:top w:val="nil"/>
              <w:left w:val="nil"/>
              <w:bottom w:val="single" w:sz="18" w:space="0" w:color="auto"/>
              <w:right w:val="nil"/>
            </w:tcBorders>
          </w:tcPr>
          <w:p w14:paraId="5488B228" w14:textId="5127385F" w:rsidR="000215B4" w:rsidRDefault="00F910D8" w:rsidP="002023DB">
            <w:pPr>
              <w:ind w:firstLine="0"/>
            </w:pPr>
            <w:r>
              <w:t>0.</w:t>
            </w:r>
            <w:r w:rsidR="000215B4">
              <w:rPr>
                <w:rFonts w:hint="eastAsia"/>
              </w:rPr>
              <w:t>3</w:t>
            </w:r>
            <w:r w:rsidR="000215B4">
              <w:t>42</w:t>
            </w:r>
          </w:p>
        </w:tc>
        <w:tc>
          <w:tcPr>
            <w:tcW w:w="1803" w:type="dxa"/>
            <w:tcBorders>
              <w:top w:val="nil"/>
              <w:left w:val="nil"/>
              <w:bottom w:val="single" w:sz="18" w:space="0" w:color="auto"/>
              <w:right w:val="nil"/>
            </w:tcBorders>
          </w:tcPr>
          <w:p w14:paraId="1B277D81" w14:textId="5F572EA2" w:rsidR="000215B4" w:rsidRDefault="00F910D8" w:rsidP="002023DB">
            <w:pPr>
              <w:ind w:firstLine="0"/>
            </w:pPr>
            <w:r>
              <w:t>0.</w:t>
            </w:r>
            <w:r w:rsidR="000215B4">
              <w:rPr>
                <w:rFonts w:hint="eastAsia"/>
              </w:rPr>
              <w:t>2</w:t>
            </w:r>
            <w:r w:rsidR="000215B4">
              <w:t>97</w:t>
            </w:r>
          </w:p>
        </w:tc>
        <w:tc>
          <w:tcPr>
            <w:tcW w:w="2148" w:type="dxa"/>
            <w:tcBorders>
              <w:top w:val="nil"/>
              <w:left w:val="nil"/>
              <w:bottom w:val="single" w:sz="18" w:space="0" w:color="auto"/>
              <w:right w:val="nil"/>
            </w:tcBorders>
          </w:tcPr>
          <w:p w14:paraId="55067097" w14:textId="51E47CED" w:rsidR="000215B4" w:rsidRDefault="00F910D8" w:rsidP="002023DB">
            <w:pPr>
              <w:ind w:firstLine="0"/>
            </w:pPr>
            <w:r>
              <w:t>0.</w:t>
            </w:r>
            <w:r w:rsidR="000215B4">
              <w:rPr>
                <w:rFonts w:hint="eastAsia"/>
              </w:rPr>
              <w:t>2</w:t>
            </w:r>
            <w:r>
              <w:t>20</w:t>
            </w:r>
          </w:p>
        </w:tc>
      </w:tr>
    </w:tbl>
    <w:p w14:paraId="4DB9A246" w14:textId="77777777" w:rsidR="000215B4" w:rsidRPr="006731CE" w:rsidRDefault="000215B4" w:rsidP="000215B4"/>
    <w:p w14:paraId="65934858" w14:textId="77777777" w:rsidR="000215B4" w:rsidRDefault="000215B4" w:rsidP="00623535">
      <w:pPr>
        <w:pStyle w:val="12FigureFormatSelectafigureandclickonthisstyle"/>
      </w:pPr>
      <w:r>
        <w:rPr>
          <w:rFonts w:hint="eastAsia"/>
          <w:noProof/>
        </w:rPr>
        <w:drawing>
          <wp:inline distT="0" distB="0" distL="0" distR="0" wp14:anchorId="60DA9A19" wp14:editId="3D568C32">
            <wp:extent cx="5731328" cy="2005964"/>
            <wp:effectExtent l="0" t="0" r="3175" b="0"/>
            <wp:docPr id="1920569014" name="Picture 1920569014" descr="A picture containing plot, line,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569014" name="Picture 1920569014" descr="A picture containing plot, line, text, screensho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1328" cy="2005964"/>
                    </a:xfrm>
                    <a:prstGeom prst="rect">
                      <a:avLst/>
                    </a:prstGeom>
                  </pic:spPr>
                </pic:pic>
              </a:graphicData>
            </a:graphic>
          </wp:inline>
        </w:drawing>
      </w:r>
    </w:p>
    <w:p w14:paraId="5E4B4DE8" w14:textId="0C73EBF4" w:rsidR="000215B4" w:rsidRDefault="000215B4" w:rsidP="000215B4">
      <w:pPr>
        <w:pStyle w:val="13FigureCaption"/>
      </w:pPr>
      <w:bookmarkStart w:id="221" w:name="_Ref133573915"/>
      <w:bookmarkStart w:id="222" w:name="_Toc141349921"/>
      <w:r>
        <w:t xml:space="preserve">Figure </w:t>
      </w:r>
      <w:fldSimple w:instr=" STYLEREF 1 \s ">
        <w:r w:rsidR="000E1725">
          <w:rPr>
            <w:noProof/>
          </w:rPr>
          <w:t>3</w:t>
        </w:r>
      </w:fldSimple>
      <w:r w:rsidR="005445E0">
        <w:t>.</w:t>
      </w:r>
      <w:fldSimple w:instr=" SEQ Figure \* ARABIC \s 1 ">
        <w:r w:rsidR="000E1725">
          <w:rPr>
            <w:noProof/>
          </w:rPr>
          <w:t>12</w:t>
        </w:r>
      </w:fldSimple>
      <w:bookmarkEnd w:id="221"/>
      <w:r>
        <w:t xml:space="preserve"> PV power generation point and interval prediction compared with actual generation from August 3, 2019 to August 5,2019</w:t>
      </w:r>
      <w:bookmarkEnd w:id="222"/>
    </w:p>
    <w:p w14:paraId="09F89361" w14:textId="77777777" w:rsidR="000215B4" w:rsidRDefault="000215B4" w:rsidP="000215B4">
      <w:pPr>
        <w:pStyle w:val="Heading2"/>
      </w:pPr>
      <w:bookmarkStart w:id="223" w:name="_Toc132122472"/>
      <w:bookmarkStart w:id="224" w:name="_Toc132122596"/>
      <w:bookmarkStart w:id="225" w:name="_Toc133542371"/>
      <w:bookmarkStart w:id="226" w:name="_Toc141991703"/>
      <w:r>
        <w:rPr>
          <w:rFonts w:hint="eastAsia"/>
        </w:rPr>
        <w:t>S</w:t>
      </w:r>
      <w:r>
        <w:t>ummary</w:t>
      </w:r>
      <w:bookmarkEnd w:id="223"/>
      <w:bookmarkEnd w:id="224"/>
      <w:bookmarkEnd w:id="225"/>
      <w:bookmarkEnd w:id="226"/>
      <w:r>
        <w:t xml:space="preserve"> </w:t>
      </w:r>
    </w:p>
    <w:p w14:paraId="203A9867" w14:textId="32C379DB" w:rsidR="000215B4" w:rsidRDefault="000215B4" w:rsidP="000215B4">
      <w:r>
        <w:rPr>
          <w:rFonts w:hint="eastAsia"/>
        </w:rPr>
        <w:t>I</w:t>
      </w:r>
      <w:r>
        <w:t xml:space="preserve">n this section, the comparison of white, light-gray, and black box models is conducted first, aiming at proper model type selection for each different load-flexible </w:t>
      </w:r>
      <w:r w:rsidR="00683CE2">
        <w:t>resources</w:t>
      </w:r>
      <w:r>
        <w:t xml:space="preserve"> in </w:t>
      </w:r>
      <w:r>
        <w:lastRenderedPageBreak/>
        <w:t xml:space="preserve">residential building. Due to the advantages of the light-gray box model in modeling dynamic system, it is applied to model thermostatically controlled appliances. The black-box model, however, is more suitable for modelling the PV panel generation, which is affected by many different factors. </w:t>
      </w:r>
    </w:p>
    <w:p w14:paraId="02F568AF" w14:textId="003B72D1" w:rsidR="000215B4" w:rsidRPr="007A56C7" w:rsidRDefault="000215B4" w:rsidP="000215B4">
      <w:r>
        <w:t>For different modeling approach, we have introduced different parameter identification framework considering both model accuracy and implantation effort. A</w:t>
      </w:r>
      <w:r w:rsidRPr="007A56C7">
        <w:t xml:space="preserve"> novel set of constraints to ensure that the model parameters identified are realistic</w:t>
      </w:r>
      <w:r>
        <w:t xml:space="preserve"> is applied to parameter identification for the light gray-box model established for describe the home thermal dynamics involving the HVAC system. A feature selection procedure with SHAP value and hyperparameter tunning with grid-search and K-fold cross validation is applied to improve the </w:t>
      </w:r>
      <w:r w:rsidRPr="000F56F2">
        <w:t>lightGBM model</w:t>
      </w:r>
      <w:r w:rsidR="00410CB0" w:rsidRPr="000F56F2">
        <w:t>.</w:t>
      </w:r>
    </w:p>
    <w:p w14:paraId="1BBDBD12" w14:textId="1473A917" w:rsidR="000215B4" w:rsidRDefault="000215B4" w:rsidP="000215B4">
      <w:r>
        <w:t xml:space="preserve">Finally, the modeling process and the model validation results for the HVAC system, the water heater tank, and the PV panel are shown. </w:t>
      </w:r>
      <w:r w:rsidR="00C83937">
        <w:t>In this study,</w:t>
      </w:r>
      <w:r w:rsidR="00866E72">
        <w:t xml:space="preserve"> several results for different </w:t>
      </w:r>
      <w:r w:rsidR="00EA4C57">
        <w:t xml:space="preserve">model are achieved. </w:t>
      </w:r>
      <w:r w:rsidR="00151381">
        <w:t xml:space="preserve">The HVAC system outdoor unit power can be predicted with a root mean square error of </w:t>
      </w:r>
      <w:r w:rsidR="00001919">
        <w:t xml:space="preserve">0.162 kW </w:t>
      </w:r>
      <w:r w:rsidR="00151381">
        <w:t xml:space="preserve">using </w:t>
      </w:r>
      <w:r w:rsidR="00386AC6">
        <w:t>a</w:t>
      </w:r>
      <w:r w:rsidR="00B80D68">
        <w:t xml:space="preserve"> regression </w:t>
      </w:r>
      <w:r w:rsidR="00386AC6">
        <w:t>model.</w:t>
      </w:r>
      <w:r w:rsidR="00E83F92">
        <w:t xml:space="preserve"> </w:t>
      </w:r>
      <w:r w:rsidR="00D83414">
        <w:t xml:space="preserve">Forecasting of the water temperature of dynamic within the water heater tank, using the first-order model, resulting in </w:t>
      </w:r>
      <w:r w:rsidR="00E83F92">
        <w:t>a mean absolute value of 2.144</w:t>
      </w:r>
      <w:r w:rsidR="00386AC6">
        <w:t>. Lastly, the LightGBM model facilitates a</w:t>
      </w:r>
      <w:r w:rsidR="008D5561">
        <w:t xml:space="preserve"> forecast of 3 day ahead PV power generation</w:t>
      </w:r>
      <w:r w:rsidR="00E83F92">
        <w:t xml:space="preserve"> </w:t>
      </w:r>
      <w:r w:rsidR="008D5561">
        <w:t xml:space="preserve">with </w:t>
      </w:r>
      <w:r w:rsidR="00D83414">
        <w:t xml:space="preserve">a </w:t>
      </w:r>
      <w:r w:rsidR="00E83F92">
        <w:t xml:space="preserve">0.191 root mean square </w:t>
      </w:r>
      <w:r w:rsidR="00D83414">
        <w:t xml:space="preserve">error. </w:t>
      </w:r>
    </w:p>
    <w:p w14:paraId="5210378D" w14:textId="5C215E73" w:rsidR="0046119C" w:rsidRDefault="000215B4">
      <w:pPr>
        <w:widowControl/>
        <w:spacing w:line="240" w:lineRule="auto"/>
        <w:ind w:firstLine="0"/>
        <w:jc w:val="left"/>
      </w:pPr>
      <w:r>
        <w:br w:type="page"/>
      </w:r>
    </w:p>
    <w:p w14:paraId="33818AE9" w14:textId="77777777" w:rsidR="00471941" w:rsidRDefault="00471941" w:rsidP="00471941">
      <w:pPr>
        <w:pStyle w:val="Heading1"/>
        <w:rPr>
          <w:rFonts w:eastAsiaTheme="minorEastAsia"/>
        </w:rPr>
      </w:pPr>
      <w:bookmarkStart w:id="227" w:name="_Ref139494387"/>
      <w:bookmarkStart w:id="228" w:name="_Ref139494420"/>
      <w:bookmarkStart w:id="229" w:name="_Toc141991704"/>
      <w:r>
        <w:rPr>
          <w:rFonts w:eastAsiaTheme="minorEastAsia"/>
        </w:rPr>
        <w:lastRenderedPageBreak/>
        <w:t>Development, Implementation, and Impact Analysis of MPC-based Precooling for Homes</w:t>
      </w:r>
      <w:bookmarkEnd w:id="227"/>
      <w:bookmarkEnd w:id="228"/>
      <w:bookmarkEnd w:id="229"/>
    </w:p>
    <w:p w14:paraId="0BBAD63A" w14:textId="77777777" w:rsidR="00471941" w:rsidRDefault="00471941" w:rsidP="00471941">
      <w:pPr>
        <w:pStyle w:val="Heading2"/>
      </w:pPr>
      <w:bookmarkStart w:id="230" w:name="_Toc132122474"/>
      <w:bookmarkStart w:id="231" w:name="_Toc132122598"/>
      <w:bookmarkStart w:id="232" w:name="_Toc133542373"/>
      <w:bookmarkStart w:id="233" w:name="_Toc141991705"/>
      <w:r>
        <w:rPr>
          <w:rFonts w:hint="eastAsia"/>
        </w:rPr>
        <w:t>I</w:t>
      </w:r>
      <w:r>
        <w:t>ntroduction</w:t>
      </w:r>
      <w:bookmarkEnd w:id="230"/>
      <w:bookmarkEnd w:id="231"/>
      <w:bookmarkEnd w:id="232"/>
      <w:bookmarkEnd w:id="233"/>
    </w:p>
    <w:p w14:paraId="19B930C9" w14:textId="46F77600" w:rsidR="00471941" w:rsidRDefault="00471941" w:rsidP="00471941">
      <w:r>
        <w:rPr>
          <w:rFonts w:hint="eastAsia"/>
        </w:rPr>
        <w:t>A</w:t>
      </w:r>
      <w:r>
        <w:t>fter describing the flexibility resources model and validating these models by using real-world operation data, in this chapter, we introduce the optimal operation of the HVAC system under DR programs. As can be seen in</w:t>
      </w:r>
      <w:r w:rsidR="00146A55">
        <w:t xml:space="preserve"> </w:t>
      </w:r>
      <w:r w:rsidR="00146A55">
        <w:rPr>
          <w:highlight w:val="yellow"/>
        </w:rPr>
        <w:fldChar w:fldCharType="begin"/>
      </w:r>
      <w:r w:rsidR="00146A55">
        <w:instrText xml:space="preserve"> REF _Ref131792479 \h </w:instrText>
      </w:r>
      <w:r w:rsidR="00146A55">
        <w:rPr>
          <w:highlight w:val="yellow"/>
        </w:rPr>
      </w:r>
      <w:r w:rsidR="00146A55">
        <w:rPr>
          <w:highlight w:val="yellow"/>
        </w:rPr>
        <w:fldChar w:fldCharType="separate"/>
      </w:r>
      <w:r w:rsidR="000E1725">
        <w:t xml:space="preserve">Figure </w:t>
      </w:r>
      <w:r w:rsidR="000E1725">
        <w:rPr>
          <w:noProof/>
        </w:rPr>
        <w:t>1</w:t>
      </w:r>
      <w:r w:rsidR="000E1725">
        <w:t>.</w:t>
      </w:r>
      <w:r w:rsidR="000E1725">
        <w:rPr>
          <w:noProof/>
        </w:rPr>
        <w:t>4</w:t>
      </w:r>
      <w:r w:rsidR="00146A55">
        <w:rPr>
          <w:highlight w:val="yellow"/>
        </w:rPr>
        <w:fldChar w:fldCharType="end"/>
      </w:r>
      <w:r>
        <w:t xml:space="preserve">, the passive thermal storage, in general, is the most complicated and sophisticated component among available flexibility resources, making the development of automated software platform challenge. One the other hand, the HVAC system, in most of the case, is the biggest energy “eater” in a home, making the development, implementation, and impact analysis on its optimal operation has high research and practical value. </w:t>
      </w:r>
    </w:p>
    <w:p w14:paraId="70914DF5" w14:textId="77777777" w:rsidR="00471941" w:rsidRDefault="00471941" w:rsidP="00471941">
      <w:r>
        <w:t xml:space="preserve">In this study, an MPC-based precooling real time control framework has been developed, and this framework has been implemented in real homes (field test study) and a virtual testbed (simulation study). Both methods have validated the robustness and effectiveness of the MPC-based precooling. </w:t>
      </w:r>
      <w:r>
        <w:rPr>
          <w:rFonts w:hint="eastAsia"/>
        </w:rPr>
        <w:t>More</w:t>
      </w:r>
      <w:r>
        <w:t xml:space="preserve"> importantly, field test study, which focuses on impact analysis across multiple homes, is used to analyze MPC-based precooling in different homes and operation conditions; while the simulation study, which focus on impact analysis in a virtual building mimicking the real house, is used to analyze the benefits of MPC-based precooling in difference choice of MPC hyperparameters (</w:t>
      </w:r>
      <w:r>
        <w:rPr>
          <w:rFonts w:hint="eastAsia"/>
        </w:rPr>
        <w:t>including</w:t>
      </w:r>
      <w:r>
        <w:t xml:space="preserve"> prediction model). </w:t>
      </w:r>
    </w:p>
    <w:p w14:paraId="1168A006" w14:textId="77777777" w:rsidR="00471941" w:rsidRDefault="00471941" w:rsidP="00471941">
      <w:pPr>
        <w:pStyle w:val="Heading2"/>
      </w:pPr>
      <w:bookmarkStart w:id="234" w:name="_Toc141991706"/>
      <w:r>
        <w:lastRenderedPageBreak/>
        <w:t>Real-time Control Framework of the MPC-based Precooling</w:t>
      </w:r>
      <w:bookmarkEnd w:id="234"/>
    </w:p>
    <w:p w14:paraId="75CFCEEF" w14:textId="77777777" w:rsidR="00471941" w:rsidRDefault="00471941" w:rsidP="00471941">
      <w:pPr>
        <w:pStyle w:val="Heading3"/>
      </w:pPr>
      <w:bookmarkStart w:id="235" w:name="_Ref134218188"/>
      <w:bookmarkStart w:id="236" w:name="_Toc141991707"/>
      <w:r>
        <w:t>Mixed-integer linear programing problem formulation</w:t>
      </w:r>
      <w:bookmarkEnd w:id="235"/>
      <w:bookmarkEnd w:id="236"/>
      <w:r>
        <w:t xml:space="preserve">  </w:t>
      </w:r>
    </w:p>
    <w:p w14:paraId="40428EFA" w14:textId="77777777" w:rsidR="00471941" w:rsidRPr="00700020" w:rsidRDefault="00471941" w:rsidP="00471941">
      <w:r>
        <w:rPr>
          <w:rFonts w:hint="eastAsia"/>
        </w:rPr>
        <w:t>H</w:t>
      </w:r>
      <w:r>
        <w:t xml:space="preserve">aving described the reduced-order gray-box model and its parameter identification, in this subsection the MPC agent is introduced. At the heart of the MPC agent is a mixed-integer linear programming (MILP) problem for optimal precooling to be solved at each time step </w:t>
      </w:r>
      <m:oMath>
        <m:r>
          <w:rPr>
            <w:rFonts w:ascii="Cambria Math" w:hAnsi="Cambria Math"/>
          </w:rPr>
          <m:t>k</m:t>
        </m:r>
      </m:oMath>
      <w:r>
        <w:rPr>
          <w:rFonts w:hint="eastAsia"/>
        </w:rPr>
        <w:t>.</w:t>
      </w:r>
      <w:r>
        <w:t xml:space="preserve"> The objective function of this MILP problem is given by:</w:t>
      </w:r>
      <w:r w:rsidRPr="00700020">
        <w:t xml:space="preserve"> </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2"/>
        <w:gridCol w:w="1098"/>
      </w:tblGrid>
      <w:tr w:rsidR="00471941" w:rsidRPr="00B4798A" w14:paraId="6299396E" w14:textId="77777777" w:rsidTr="00AF3671">
        <w:trPr>
          <w:trHeight w:val="1045"/>
        </w:trPr>
        <w:tc>
          <w:tcPr>
            <w:tcW w:w="8190" w:type="dxa"/>
            <w:vAlign w:val="center"/>
          </w:tcPr>
          <w:p w14:paraId="5473D2E1" w14:textId="77777777" w:rsidR="00471941" w:rsidRPr="009521FC" w:rsidRDefault="00000000" w:rsidP="002023DB">
            <w:pPr>
              <w:rPr>
                <w:rFonts w:eastAsiaTheme="minorEastAsia"/>
                <w:szCs w:val="24"/>
              </w:rPr>
            </w:pPr>
            <m:oMathPara>
              <m:oMath>
                <m:func>
                  <m:funcPr>
                    <m:ctrlPr>
                      <w:rPr>
                        <w:rFonts w:ascii="Cambria Math" w:eastAsia="PMingLiU" w:hAnsi="Cambria Math"/>
                        <w:i/>
                        <w:szCs w:val="24"/>
                      </w:rPr>
                    </m:ctrlPr>
                  </m:funcPr>
                  <m:fName>
                    <m:limLow>
                      <m:limLowPr>
                        <m:ctrlPr>
                          <w:rPr>
                            <w:rFonts w:ascii="Cambria Math" w:eastAsia="PMingLiU" w:hAnsi="Cambria Math"/>
                            <w:i/>
                            <w:szCs w:val="24"/>
                          </w:rPr>
                        </m:ctrlPr>
                      </m:limLowPr>
                      <m:e>
                        <m:r>
                          <m:rPr>
                            <m:sty m:val="p"/>
                          </m:rPr>
                          <w:rPr>
                            <w:rFonts w:ascii="Cambria Math" w:eastAsia="PMingLiU" w:hAnsi="Cambria Math"/>
                            <w:szCs w:val="24"/>
                          </w:rPr>
                          <m:t>min</m:t>
                        </m:r>
                      </m:e>
                      <m:lim>
                        <m:r>
                          <w:rPr>
                            <w:rFonts w:ascii="Cambria Math" w:eastAsia="PMingLiU" w:hAnsi="Cambria Math"/>
                            <w:szCs w:val="24"/>
                          </w:rPr>
                          <m:t>U</m:t>
                        </m:r>
                      </m:lim>
                    </m:limLow>
                  </m:fName>
                  <m:e>
                    <m:func>
                      <m:funcPr>
                        <m:ctrlPr>
                          <w:rPr>
                            <w:rFonts w:ascii="Cambria Math" w:hAnsi="Cambria Math"/>
                            <w:i/>
                            <w:szCs w:val="24"/>
                          </w:rPr>
                        </m:ctrlPr>
                      </m:funcPr>
                      <m:fName>
                        <m:r>
                          <w:rPr>
                            <w:rFonts w:ascii="Cambria Math" w:hAnsi="Cambria Math"/>
                            <w:szCs w:val="24"/>
                          </w:rPr>
                          <m:t xml:space="preserve"> </m:t>
                        </m:r>
                      </m:fName>
                      <m:e>
                        <m:nary>
                          <m:naryPr>
                            <m:chr m:val="∑"/>
                            <m:ctrlPr>
                              <w:rPr>
                                <w:rFonts w:ascii="Cambria Math" w:hAnsi="Cambria Math"/>
                                <w:i/>
                                <w:szCs w:val="24"/>
                              </w:rPr>
                            </m:ctrlPr>
                          </m:naryPr>
                          <m:sub>
                            <m:r>
                              <w:rPr>
                                <w:rFonts w:ascii="Cambria Math" w:hAnsi="Cambria Math"/>
                                <w:szCs w:val="24"/>
                              </w:rPr>
                              <m:t>m=k</m:t>
                            </m:r>
                          </m:sub>
                          <m:sup>
                            <m:r>
                              <w:rPr>
                                <w:rFonts w:ascii="Cambria Math" w:hAnsi="Cambria Math"/>
                                <w:szCs w:val="24"/>
                              </w:rPr>
                              <m:t>k+N</m:t>
                            </m:r>
                          </m:sup>
                          <m:e>
                            <m:r>
                              <w:rPr>
                                <w:rFonts w:ascii="Cambria Math" w:hAnsi="Cambria Math"/>
                                <w:szCs w:val="24"/>
                              </w:rPr>
                              <m:t>pric</m:t>
                            </m:r>
                            <m:sSup>
                              <m:sSupPr>
                                <m:ctrlPr>
                                  <w:rPr>
                                    <w:rFonts w:ascii="Cambria Math" w:hAnsi="Cambria Math"/>
                                    <w:i/>
                                    <w:szCs w:val="24"/>
                                  </w:rPr>
                                </m:ctrlPr>
                              </m:sSupPr>
                              <m:e>
                                <m:r>
                                  <w:rPr>
                                    <w:rFonts w:ascii="Cambria Math" w:hAnsi="Cambria Math"/>
                                    <w:szCs w:val="24"/>
                                  </w:rPr>
                                  <m:t>e</m:t>
                                </m:r>
                              </m:e>
                              <m:sup>
                                <m:r>
                                  <w:rPr>
                                    <w:rFonts w:ascii="Cambria Math" w:hAnsi="Cambria Math"/>
                                    <w:szCs w:val="24"/>
                                  </w:rPr>
                                  <m:t>m</m:t>
                                </m:r>
                              </m:sup>
                            </m:sSup>
                          </m:e>
                        </m:nary>
                      </m:e>
                    </m:func>
                    <m:sSup>
                      <m:sSupPr>
                        <m:ctrlPr>
                          <w:rPr>
                            <w:rFonts w:ascii="Cambria Math" w:hAnsi="Cambria Math"/>
                            <w:i/>
                            <w:szCs w:val="24"/>
                          </w:rPr>
                        </m:ctrlPr>
                      </m:sSupPr>
                      <m:e>
                        <m:r>
                          <w:rPr>
                            <w:rFonts w:ascii="Cambria Math" w:hAnsi="Cambria Math"/>
                            <w:szCs w:val="24"/>
                          </w:rPr>
                          <m:t>P</m:t>
                        </m:r>
                      </m:e>
                      <m:sup>
                        <m:r>
                          <w:rPr>
                            <w:rFonts w:ascii="Cambria Math" w:hAnsi="Cambria Math"/>
                            <w:szCs w:val="24"/>
                          </w:rPr>
                          <m:t>m</m:t>
                        </m:r>
                      </m:sup>
                    </m:sSup>
                    <m:sSup>
                      <m:sSupPr>
                        <m:ctrlPr>
                          <w:rPr>
                            <w:rFonts w:ascii="Cambria Math" w:hAnsi="Cambria Math"/>
                            <w:i/>
                            <w:szCs w:val="24"/>
                          </w:rPr>
                        </m:ctrlPr>
                      </m:sSupPr>
                      <m:e>
                        <m:r>
                          <w:rPr>
                            <w:rFonts w:ascii="Cambria Math" w:hAnsi="Cambria Math"/>
                            <w:szCs w:val="24"/>
                          </w:rPr>
                          <m:t>u</m:t>
                        </m:r>
                      </m:e>
                      <m:sup>
                        <m:r>
                          <w:rPr>
                            <w:rFonts w:ascii="Cambria Math" w:hAnsi="Cambria Math"/>
                            <w:szCs w:val="24"/>
                          </w:rPr>
                          <m:t>m</m:t>
                        </m:r>
                      </m:sup>
                    </m:sSup>
                    <m:r>
                      <w:rPr>
                        <w:rFonts w:ascii="Cambria Math" w:hAnsi="Cambria Math"/>
                        <w:szCs w:val="24"/>
                      </w:rPr>
                      <m:t>+</m:t>
                    </m:r>
                    <m:sSub>
                      <m:sSubPr>
                        <m:ctrlPr>
                          <w:rPr>
                            <w:rFonts w:ascii="Cambria Math" w:hAnsi="Cambria Math"/>
                            <w:i/>
                            <w:szCs w:val="24"/>
                          </w:rPr>
                        </m:ctrlPr>
                      </m:sSubPr>
                      <m:e>
                        <m:r>
                          <w:rPr>
                            <w:rFonts w:ascii="Cambria Math" w:hAnsi="Cambria Math"/>
                            <w:szCs w:val="24"/>
                          </w:rPr>
                          <m:t>w</m:t>
                        </m:r>
                      </m:e>
                      <m:sub>
                        <m:r>
                          <w:rPr>
                            <w:rFonts w:ascii="Cambria Math" w:hAnsi="Cambria Math"/>
                            <w:szCs w:val="24"/>
                          </w:rPr>
                          <m:t xml:space="preserve"> </m:t>
                        </m:r>
                      </m:sub>
                    </m:sSub>
                    <m:sSup>
                      <m:sSupPr>
                        <m:ctrlPr>
                          <w:rPr>
                            <w:rFonts w:ascii="Cambria Math" w:hAnsi="Cambria Math"/>
                            <w:i/>
                            <w:szCs w:val="24"/>
                          </w:rPr>
                        </m:ctrlPr>
                      </m:sSupPr>
                      <m:e>
                        <m:r>
                          <w:rPr>
                            <w:rFonts w:ascii="Cambria Math" w:hAnsi="Cambria Math"/>
                            <w:szCs w:val="24"/>
                          </w:rPr>
                          <m:t>v</m:t>
                        </m:r>
                      </m:e>
                      <m:sup>
                        <m:r>
                          <w:rPr>
                            <w:rFonts w:ascii="Cambria Math" w:hAnsi="Cambria Math"/>
                            <w:szCs w:val="24"/>
                          </w:rPr>
                          <m:t>m</m:t>
                        </m:r>
                      </m:sup>
                    </m:sSup>
                  </m:e>
                </m:func>
                <m:r>
                  <w:rPr>
                    <w:rFonts w:ascii="Cambria Math" w:eastAsia="PMingLiU" w:hAnsi="Cambria Math"/>
                    <w:szCs w:val="24"/>
                  </w:rPr>
                  <m:t>,</m:t>
                </m:r>
              </m:oMath>
            </m:oMathPara>
          </w:p>
        </w:tc>
        <w:tc>
          <w:tcPr>
            <w:tcW w:w="810" w:type="dxa"/>
            <w:vAlign w:val="center"/>
          </w:tcPr>
          <w:p w14:paraId="7A6DD535" w14:textId="4BA01B00" w:rsidR="00471941" w:rsidRPr="00B4798A" w:rsidRDefault="00471941" w:rsidP="002023DB">
            <w:bookmarkStart w:id="237" w:name="_Ref134223675"/>
            <w:r>
              <w:t>(</w:t>
            </w:r>
            <w:r>
              <w:fldChar w:fldCharType="begin"/>
            </w:r>
            <w:r>
              <w:instrText>SEQ equation \* ARABIC</w:instrText>
            </w:r>
            <w:r>
              <w:fldChar w:fldCharType="separate"/>
            </w:r>
            <w:r w:rsidR="000E1725">
              <w:rPr>
                <w:noProof/>
              </w:rPr>
              <w:t>22</w:t>
            </w:r>
            <w:r>
              <w:fldChar w:fldCharType="end"/>
            </w:r>
            <w:r>
              <w:t>)</w:t>
            </w:r>
            <w:bookmarkEnd w:id="237"/>
          </w:p>
        </w:tc>
      </w:tr>
    </w:tbl>
    <w:p w14:paraId="2B3D0F72" w14:textId="77777777" w:rsidR="00471941" w:rsidRPr="00D14808" w:rsidRDefault="00471941" w:rsidP="00471941">
      <w:pPr>
        <w:ind w:firstLine="0"/>
      </w:pPr>
      <w:r w:rsidRPr="003D0FDD">
        <w:t xml:space="preserve">where </w:t>
      </w:r>
      <m:oMath>
        <m:r>
          <w:rPr>
            <w:rFonts w:ascii="Cambria Math" w:hAnsi="Cambria Math"/>
          </w:rPr>
          <m:t>U=</m:t>
        </m:r>
        <m:d>
          <m:dPr>
            <m:ctrlPr>
              <w:rPr>
                <w:rFonts w:ascii="Cambria Math" w:hAnsi="Cambria Math"/>
                <w:i/>
              </w:rPr>
            </m:ctrlPr>
          </m:dPr>
          <m:e>
            <m:sSup>
              <m:sSupPr>
                <m:ctrlPr>
                  <w:rPr>
                    <w:rFonts w:ascii="Cambria Math" w:hAnsi="Cambria Math"/>
                    <w:i/>
                  </w:rPr>
                </m:ctrlPr>
              </m:sSupPr>
              <m:e>
                <m:r>
                  <w:rPr>
                    <w:rFonts w:ascii="Cambria Math" w:hAnsi="Cambria Math"/>
                  </w:rPr>
                  <m:t>u</m:t>
                </m:r>
              </m:e>
              <m:sup>
                <m:r>
                  <w:rPr>
                    <w:rFonts w:ascii="Cambria Math" w:hAnsi="Cambria Math"/>
                  </w:rPr>
                  <m:t>k</m:t>
                </m:r>
              </m:sup>
            </m:sSup>
            <m:r>
              <w:rPr>
                <w:rFonts w:ascii="Cambria Math" w:hAnsi="Cambria Math"/>
              </w:rPr>
              <m:t>,</m:t>
            </m:r>
            <m:r>
              <m:rPr>
                <m:sty m:val="p"/>
              </m:rPr>
              <w:rPr>
                <w:rFonts w:ascii="Cambria Math" w:hAnsi="Cambria Math" w:hint="eastAsia"/>
              </w:rPr>
              <m:t>…</m:t>
            </m:r>
            <m:r>
              <w:rPr>
                <w:rFonts w:ascii="Cambria Math" w:hAnsi="Cambria Math"/>
              </w:rPr>
              <m:t>,</m:t>
            </m:r>
            <m:sSup>
              <m:sSupPr>
                <m:ctrlPr>
                  <w:rPr>
                    <w:rFonts w:ascii="Cambria Math" w:hAnsi="Cambria Math"/>
                    <w:i/>
                  </w:rPr>
                </m:ctrlPr>
              </m:sSupPr>
              <m:e>
                <m:r>
                  <w:rPr>
                    <w:rFonts w:ascii="Cambria Math" w:hAnsi="Cambria Math"/>
                  </w:rPr>
                  <m:t>u</m:t>
                </m:r>
              </m:e>
              <m:sup>
                <m:r>
                  <w:rPr>
                    <w:rFonts w:ascii="Cambria Math" w:hAnsi="Cambria Math"/>
                  </w:rPr>
                  <m:t>k+N</m:t>
                </m:r>
              </m:sup>
            </m:sSup>
            <m:r>
              <w:rPr>
                <w:rFonts w:ascii="Cambria Math" w:hAnsi="Cambria Math"/>
              </w:rPr>
              <m:t>,</m:t>
            </m:r>
            <m:sSup>
              <m:sSupPr>
                <m:ctrlPr>
                  <w:rPr>
                    <w:rFonts w:ascii="Cambria Math" w:hAnsi="Cambria Math"/>
                    <w:i/>
                  </w:rPr>
                </m:ctrlPr>
              </m:sSupPr>
              <m:e>
                <m:r>
                  <w:rPr>
                    <w:rFonts w:ascii="Cambria Math" w:hAnsi="Cambria Math"/>
                  </w:rPr>
                  <m:t>v</m:t>
                </m:r>
              </m:e>
              <m:sup>
                <m:r>
                  <w:rPr>
                    <w:rFonts w:ascii="Cambria Math" w:hAnsi="Cambria Math"/>
                  </w:rPr>
                  <m:t>k</m:t>
                </m:r>
              </m:sup>
            </m:sSup>
            <m:r>
              <w:rPr>
                <w:rFonts w:ascii="Cambria Math" w:hAnsi="Cambria Math"/>
              </w:rPr>
              <m:t>,</m:t>
            </m:r>
            <m:r>
              <m:rPr>
                <m:sty m:val="p"/>
              </m:rPr>
              <w:rPr>
                <w:rFonts w:ascii="Cambria Math" w:hAnsi="Cambria Math" w:hint="eastAsia"/>
              </w:rPr>
              <m:t>…</m:t>
            </m:r>
            <m:r>
              <w:rPr>
                <w:rFonts w:ascii="Cambria Math" w:hAnsi="Cambria Math"/>
              </w:rPr>
              <m:t>,</m:t>
            </m:r>
            <m:sSup>
              <m:sSupPr>
                <m:ctrlPr>
                  <w:rPr>
                    <w:rFonts w:ascii="Cambria Math" w:hAnsi="Cambria Math"/>
                    <w:i/>
                  </w:rPr>
                </m:ctrlPr>
              </m:sSupPr>
              <m:e>
                <m:r>
                  <w:rPr>
                    <w:rFonts w:ascii="Cambria Math" w:hAnsi="Cambria Math"/>
                  </w:rPr>
                  <m:t>v</m:t>
                </m:r>
              </m:e>
              <m:sup>
                <m:r>
                  <w:rPr>
                    <w:rFonts w:ascii="Cambria Math" w:hAnsi="Cambria Math"/>
                  </w:rPr>
                  <m:t>k+N</m:t>
                </m:r>
              </m:sup>
            </m:sSup>
          </m:e>
        </m:d>
      </m:oMath>
      <w:r>
        <w:rPr>
          <w:rFonts w:hint="eastAsia"/>
        </w:rPr>
        <w:t xml:space="preserve"> </w:t>
      </w:r>
      <w:r>
        <w:t>is a vector of decision variables</w:t>
      </w:r>
      <w:r w:rsidRPr="003D0FDD">
        <w:rPr>
          <w:rFonts w:hint="eastAsia"/>
        </w:rPr>
        <w:t>,</w:t>
      </w:r>
      <w:r w:rsidRPr="003D0FDD">
        <w:t xml:space="preserve"> </w:t>
      </w:r>
      <m:oMath>
        <m:r>
          <w:rPr>
            <w:rFonts w:ascii="Cambria Math" w:hAnsi="Cambria Math"/>
          </w:rPr>
          <m:t>N</m:t>
        </m:r>
      </m:oMath>
      <w:r w:rsidRPr="003D0FDD">
        <w:rPr>
          <w:rFonts w:hint="eastAsia"/>
        </w:rPr>
        <w:t xml:space="preserve"> </w:t>
      </w:r>
      <w:r>
        <w:t>i</w:t>
      </w:r>
      <w:r w:rsidRPr="003D0FDD">
        <w:t xml:space="preserve">s the </w:t>
      </w:r>
      <w:r>
        <w:t>length</w:t>
      </w:r>
      <w:r w:rsidRPr="003D0FDD">
        <w:t xml:space="preserve"> of </w:t>
      </w:r>
      <w:r>
        <w:t>the optimization horizon</w:t>
      </w:r>
      <w:r w:rsidRPr="003D0FDD">
        <w:t>,</w:t>
      </w:r>
      <w:r w:rsidRPr="00A97EBE">
        <w:rPr>
          <w:rFonts w:ascii="Cambria Math" w:hAnsi="Cambria Math"/>
          <w:i/>
        </w:rPr>
        <w:t xml:space="preserve"> </w:t>
      </w:r>
      <m:oMath>
        <m:r>
          <w:rPr>
            <w:rFonts w:ascii="Cambria Math" w:hAnsi="Cambria Math"/>
          </w:rPr>
          <m:t>pric</m:t>
        </m:r>
        <m:sSup>
          <m:sSupPr>
            <m:ctrlPr>
              <w:rPr>
                <w:rFonts w:ascii="Cambria Math" w:hAnsi="Cambria Math"/>
                <w:i/>
              </w:rPr>
            </m:ctrlPr>
          </m:sSupPr>
          <m:e>
            <m:r>
              <w:rPr>
                <w:rFonts w:ascii="Cambria Math" w:hAnsi="Cambria Math"/>
              </w:rPr>
              <m:t>e</m:t>
            </m:r>
          </m:e>
          <m:sup>
            <m:r>
              <w:rPr>
                <w:rFonts w:ascii="Cambria Math" w:hAnsi="Cambria Math"/>
              </w:rPr>
              <m:t>m</m:t>
            </m:r>
          </m:sup>
        </m:sSup>
      </m:oMath>
      <w:r w:rsidRPr="003D0FDD">
        <w:rPr>
          <w:rFonts w:hint="eastAsia"/>
        </w:rPr>
        <w:t xml:space="preserve"> </w:t>
      </w:r>
      <w:r w:rsidRPr="003D0FDD">
        <w:t xml:space="preserve">is the </w:t>
      </w:r>
      <w:r>
        <w:t xml:space="preserve">TOU rate at time step </w:t>
      </w:r>
      <m:oMath>
        <m:r>
          <w:rPr>
            <w:rFonts w:ascii="Cambria Math" w:hAnsi="Cambria Math"/>
          </w:rPr>
          <m:t>m</m:t>
        </m:r>
      </m:oMath>
      <w:r>
        <w:t>,</w:t>
      </w:r>
      <w:r w:rsidRPr="003D0FDD">
        <w:t xml:space="preserve"> </w:t>
      </w:r>
      <m:oMath>
        <m:sSup>
          <m:sSupPr>
            <m:ctrlPr>
              <w:rPr>
                <w:rFonts w:ascii="Cambria Math" w:hAnsi="Cambria Math"/>
                <w:i/>
              </w:rPr>
            </m:ctrlPr>
          </m:sSupPr>
          <m:e>
            <m:r>
              <w:rPr>
                <w:rFonts w:ascii="Cambria Math" w:hAnsi="Cambria Math"/>
              </w:rPr>
              <m:t>P</m:t>
            </m:r>
          </m:e>
          <m:sup>
            <m:r>
              <w:rPr>
                <w:rFonts w:ascii="Cambria Math" w:hAnsi="Cambria Math"/>
              </w:rPr>
              <m:t>m</m:t>
            </m:r>
          </m:sup>
        </m:sSup>
      </m:oMath>
      <w:r w:rsidRPr="003D0FDD">
        <w:rPr>
          <w:rFonts w:hint="eastAsia"/>
        </w:rPr>
        <w:t xml:space="preserve"> </w:t>
      </w:r>
      <w:r w:rsidRPr="003D0FDD">
        <w:t xml:space="preserve">represents the total </w:t>
      </w:r>
      <w:r>
        <w:t xml:space="preserve">AC power usage, </w:t>
      </w:r>
      <m:oMath>
        <m:sSup>
          <m:sSupPr>
            <m:ctrlPr>
              <w:rPr>
                <w:rFonts w:ascii="Cambria Math" w:hAnsi="Cambria Math"/>
                <w:i/>
              </w:rPr>
            </m:ctrlPr>
          </m:sSupPr>
          <m:e>
            <m:r>
              <w:rPr>
                <w:rFonts w:ascii="Cambria Math" w:hAnsi="Cambria Math"/>
              </w:rPr>
              <m:t>u</m:t>
            </m:r>
          </m:e>
          <m:sup>
            <m:r>
              <w:rPr>
                <w:rFonts w:ascii="Cambria Math" w:hAnsi="Cambria Math"/>
              </w:rPr>
              <m:t>m</m:t>
            </m:r>
          </m:sup>
        </m:sSup>
        <m:r>
          <m:rPr>
            <m:sty m:val="p"/>
          </m:rPr>
          <w:rPr>
            <w:rFonts w:ascii="Cambria Math" w:hAnsi="Cambria Math" w:hint="eastAsia"/>
          </w:rPr>
          <m:t>∈</m:t>
        </m:r>
        <m:r>
          <m:rPr>
            <m:lit/>
          </m:rPr>
          <w:rPr>
            <w:rFonts w:ascii="Cambria Math" w:hAnsi="Cambria Math"/>
          </w:rPr>
          <m:t>{</m:t>
        </m:r>
        <m:r>
          <w:rPr>
            <w:rFonts w:ascii="Cambria Math" w:hAnsi="Cambria Math"/>
          </w:rPr>
          <m:t>0,1</m:t>
        </m:r>
        <m:r>
          <m:rPr>
            <m:lit/>
          </m:rPr>
          <w:rPr>
            <w:rFonts w:ascii="Cambria Math" w:hAnsi="Cambria Math"/>
          </w:rPr>
          <m:t>}</m:t>
        </m:r>
      </m:oMath>
      <w:r w:rsidRPr="003D0FDD">
        <w:rPr>
          <w:rFonts w:hint="eastAsia"/>
        </w:rPr>
        <w:t xml:space="preserve"> </w:t>
      </w:r>
      <w:r w:rsidRPr="003D0FDD">
        <w:t>is the AC</w:t>
      </w:r>
      <w:r>
        <w:t xml:space="preserve"> on/off signal</w:t>
      </w:r>
      <w:r w:rsidRPr="003D0FDD">
        <w:rPr>
          <w:rFonts w:hint="eastAsia"/>
        </w:rPr>
        <w:t>,</w:t>
      </w:r>
      <w:r w:rsidRPr="003D0FDD">
        <w:t xml:space="preserve"> </w:t>
      </w:r>
      <m:oMath>
        <m:sSup>
          <m:sSupPr>
            <m:ctrlPr>
              <w:rPr>
                <w:rFonts w:ascii="Cambria Math" w:hAnsi="Cambria Math"/>
                <w:i/>
              </w:rPr>
            </m:ctrlPr>
          </m:sSupPr>
          <m:e>
            <m:r>
              <w:rPr>
                <w:rFonts w:ascii="Cambria Math" w:hAnsi="Cambria Math"/>
              </w:rPr>
              <m:t>v</m:t>
            </m:r>
          </m:e>
          <m:sup>
            <m:r>
              <w:rPr>
                <w:rFonts w:ascii="Cambria Math" w:hAnsi="Cambria Math"/>
              </w:rPr>
              <m:t>m</m:t>
            </m:r>
          </m:sup>
        </m:sSup>
        <m:r>
          <m:rPr>
            <m:sty m:val="p"/>
          </m:rPr>
          <w:rPr>
            <w:rFonts w:ascii="Cambria Math" w:hAnsi="Cambria Math" w:hint="eastAsia"/>
            <w:szCs w:val="24"/>
          </w:rPr>
          <m:t>∈</m:t>
        </m:r>
        <m:sSub>
          <m:sSubPr>
            <m:ctrlPr>
              <w:rPr>
                <w:rFonts w:ascii="Cambria Math" w:eastAsia="DengXian" w:hAnsi="Cambria Math"/>
                <w:i/>
                <w:szCs w:val="24"/>
              </w:rPr>
            </m:ctrlPr>
          </m:sSubPr>
          <m:e>
            <m:sSup>
              <m:sSupPr>
                <m:ctrlPr>
                  <w:rPr>
                    <w:rFonts w:ascii="Cambria Math" w:hAnsi="Cambria Math"/>
                    <w:i/>
                    <w:szCs w:val="24"/>
                  </w:rPr>
                </m:ctrlPr>
              </m:sSupPr>
              <m:e>
                <m:r>
                  <m:rPr>
                    <m:scr m:val="double-struck"/>
                  </m:rPr>
                  <w:rPr>
                    <w:rFonts w:ascii="Cambria Math" w:hAnsi="Cambria Math"/>
                    <w:szCs w:val="24"/>
                  </w:rPr>
                  <m:t>R</m:t>
                </m:r>
                <m:ctrlPr>
                  <w:rPr>
                    <w:rFonts w:ascii="Cambria Math" w:hAnsi="Cambria Math"/>
                    <w:szCs w:val="24"/>
                  </w:rPr>
                </m:ctrlPr>
              </m:e>
              <m:sup>
                <m:r>
                  <w:rPr>
                    <w:rFonts w:ascii="Cambria Math" w:hAnsi="Cambria Math"/>
                    <w:szCs w:val="24"/>
                  </w:rPr>
                  <m:t xml:space="preserve"> </m:t>
                </m:r>
              </m:sup>
            </m:sSup>
          </m:e>
          <m:sub>
            <m:r>
              <w:rPr>
                <w:rFonts w:ascii="Cambria Math" w:hAnsi="Cambria Math"/>
                <w:szCs w:val="24"/>
              </w:rPr>
              <m:t>≥0</m:t>
            </m:r>
          </m:sub>
        </m:sSub>
      </m:oMath>
      <w:r>
        <w:rPr>
          <w:rFonts w:hint="eastAsia"/>
          <w:szCs w:val="24"/>
        </w:rPr>
        <w:t xml:space="preserve"> </w:t>
      </w:r>
      <w:r w:rsidRPr="003D0FDD">
        <w:t xml:space="preserve">is </w:t>
      </w:r>
      <w:r>
        <w:t>a</w:t>
      </w:r>
      <w:r w:rsidRPr="003D0FDD">
        <w:t xml:space="preserve"> non</w:t>
      </w:r>
      <w:r>
        <w:t>-</w:t>
      </w:r>
      <w:r w:rsidRPr="003D0FDD">
        <w:t xml:space="preserve">negative </w:t>
      </w:r>
      <w:r>
        <w:t xml:space="preserve">slack </w:t>
      </w:r>
      <w:r w:rsidRPr="003D0FDD">
        <w:t>variable</w:t>
      </w:r>
      <w:r>
        <w:t xml:space="preserve"> intended for</w:t>
      </w:r>
      <w:r w:rsidRPr="003D0FDD">
        <w:t xml:space="preserve"> </w:t>
      </w:r>
      <w:r>
        <w:t>penalizing</w:t>
      </w:r>
      <w:r w:rsidRPr="003D0FDD">
        <w:t xml:space="preserve"> </w:t>
      </w:r>
      <w:r>
        <w:t>indoor air temperature deviation from a thermal comfort range</w:t>
      </w:r>
      <w:r w:rsidRPr="003D0FDD">
        <w:t xml:space="preserve">, </w:t>
      </w:r>
      <w:r>
        <w:rPr>
          <w:rFonts w:hint="eastAsia"/>
        </w:rPr>
        <w:t>a</w:t>
      </w:r>
      <w:r>
        <w:t xml:space="preserve">nd </w:t>
      </w:r>
      <m:oMath>
        <m:r>
          <w:rPr>
            <w:rFonts w:ascii="Cambria Math" w:hAnsi="Cambria Math"/>
          </w:rPr>
          <m:t>w</m:t>
        </m:r>
      </m:oMath>
      <w:r w:rsidRPr="003D0FDD">
        <w:rPr>
          <w:rFonts w:hint="eastAsia"/>
        </w:rPr>
        <w:t xml:space="preserve"> </w:t>
      </w:r>
      <w:r w:rsidRPr="003D0FDD">
        <w:t xml:space="preserve">is a </w:t>
      </w:r>
      <w:r>
        <w:t>weight</w:t>
      </w:r>
      <w:r w:rsidRPr="003D0FDD">
        <w:t xml:space="preserve"> for the slack variable</w:t>
      </w:r>
      <w:r>
        <w:t>s</w:t>
      </w:r>
      <w:r w:rsidRPr="003D0FDD">
        <w:t xml:space="preserve">. </w:t>
      </w:r>
      <w:r>
        <w:t>The total AC power usage</w:t>
      </w:r>
      <w:r w:rsidRPr="003D0FDD">
        <w:t xml:space="preserve"> </w:t>
      </w:r>
      <m:oMath>
        <m:sSup>
          <m:sSupPr>
            <m:ctrlPr>
              <w:rPr>
                <w:rFonts w:ascii="Cambria Math" w:hAnsi="Cambria Math"/>
                <w:i/>
              </w:rPr>
            </m:ctrlPr>
          </m:sSupPr>
          <m:e>
            <m:r>
              <w:rPr>
                <w:rFonts w:ascii="Cambria Math" w:hAnsi="Cambria Math"/>
              </w:rPr>
              <m:t>P</m:t>
            </m:r>
          </m:e>
          <m:sup>
            <m:r>
              <w:rPr>
                <w:rFonts w:ascii="Cambria Math" w:hAnsi="Cambria Math"/>
              </w:rPr>
              <m:t>m</m:t>
            </m:r>
          </m:sup>
        </m:sSup>
        <m:r>
          <w:rPr>
            <w:rFonts w:ascii="Cambria Math" w:hAnsi="Cambria Math"/>
          </w:rPr>
          <m:t xml:space="preserve"> </m:t>
        </m:r>
      </m:oMath>
      <w:r>
        <w:t xml:space="preserve"> is modeled by:</w:t>
      </w:r>
      <w:r w:rsidRPr="003D0FDD">
        <w:t xml:space="preserve"> </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2"/>
        <w:gridCol w:w="1098"/>
      </w:tblGrid>
      <w:tr w:rsidR="00471941" w:rsidRPr="00B4798A" w14:paraId="2E41062D" w14:textId="77777777" w:rsidTr="00AF3671">
        <w:trPr>
          <w:trHeight w:val="764"/>
        </w:trPr>
        <w:tc>
          <w:tcPr>
            <w:tcW w:w="8190" w:type="dxa"/>
            <w:vAlign w:val="center"/>
          </w:tcPr>
          <w:p w14:paraId="60866420" w14:textId="77777777" w:rsidR="00471941" w:rsidRPr="0089381E" w:rsidRDefault="00000000" w:rsidP="002023DB">
            <w:pPr>
              <w:rPr>
                <w:rFonts w:eastAsiaTheme="minorEastAsia"/>
              </w:rPr>
            </w:pPr>
            <m:oMathPara>
              <m:oMath>
                <m:sSup>
                  <m:sSupPr>
                    <m:ctrlPr>
                      <w:rPr>
                        <w:rFonts w:ascii="Cambria Math" w:hAnsi="Cambria Math"/>
                        <w:i/>
                      </w:rPr>
                    </m:ctrlPr>
                  </m:sSupPr>
                  <m:e>
                    <m:r>
                      <w:rPr>
                        <w:rFonts w:ascii="Cambria Math" w:hAnsi="Cambria Math"/>
                      </w:rPr>
                      <m:t>P</m:t>
                    </m:r>
                  </m:e>
                  <m:sup>
                    <m:r>
                      <w:rPr>
                        <w:rFonts w:ascii="Cambria Math" w:hAnsi="Cambria Math"/>
                      </w:rPr>
                      <m:t>m</m:t>
                    </m:r>
                  </m:sup>
                </m:sSup>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P</m:t>
                        </m:r>
                      </m:e>
                      <m:sub>
                        <m:r>
                          <w:rPr>
                            <w:rFonts w:ascii="Cambria Math" w:hAnsi="Cambria Math"/>
                          </w:rPr>
                          <m:t>indoor</m:t>
                        </m:r>
                      </m:sub>
                    </m:sSub>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outdoor</m:t>
                        </m:r>
                      </m:sub>
                      <m:sup>
                        <m:r>
                          <w:rPr>
                            <w:rFonts w:ascii="Cambria Math" w:hAnsi="Cambria Math"/>
                          </w:rPr>
                          <m:t>m</m:t>
                        </m:r>
                      </m:sup>
                    </m:sSubSup>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indoor</m:t>
                        </m:r>
                      </m:sub>
                    </m:sSub>
                    <m:r>
                      <w:rPr>
                        <w:rFonts w:ascii="Cambria Math" w:hAnsi="Cambria Math"/>
                      </w:rPr>
                      <m:t>+A</m:t>
                    </m:r>
                  </m:e>
                  <m:sub>
                    <m:r>
                      <w:rPr>
                        <w:rFonts w:ascii="Cambria Math" w:hAnsi="Cambria Math"/>
                      </w:rPr>
                      <m:t>1</m:t>
                    </m:r>
                  </m:sub>
                </m:sSub>
                <m:sSubSup>
                  <m:sSubSupPr>
                    <m:ctrlPr>
                      <w:rPr>
                        <w:rFonts w:ascii="Cambria Math" w:hAnsi="Cambria Math"/>
                        <w:i/>
                      </w:rPr>
                    </m:ctrlPr>
                  </m:sSubSupPr>
                  <m:e>
                    <m:r>
                      <w:rPr>
                        <w:rFonts w:ascii="Cambria Math" w:hAnsi="Cambria Math"/>
                      </w:rPr>
                      <m:t>T</m:t>
                    </m:r>
                  </m:e>
                  <m:sub>
                    <m:r>
                      <w:rPr>
                        <w:rFonts w:ascii="Cambria Math" w:hAnsi="Cambria Math"/>
                      </w:rPr>
                      <m:t>o</m:t>
                    </m:r>
                  </m:sub>
                  <m:sup>
                    <m:r>
                      <w:rPr>
                        <w:rFonts w:ascii="Cambria Math" w:hAnsi="Cambria Math"/>
                      </w:rPr>
                      <m:t>m</m:t>
                    </m:r>
                  </m:sup>
                </m:sSubSup>
                <m:r>
                  <w:rPr>
                    <w:rFonts w:ascii="Cambria Math" w:hAnsi="Cambria Math"/>
                  </w:rPr>
                  <m:t>+</m:t>
                </m:r>
                <m:sSub>
                  <m:sSubPr>
                    <m:ctrlPr>
                      <w:rPr>
                        <w:rFonts w:ascii="Cambria Math" w:hAnsi="Cambria Math"/>
                        <w:i/>
                      </w:rPr>
                    </m:ctrlPr>
                  </m:sSubPr>
                  <m:e>
                    <m:r>
                      <w:rPr>
                        <w:rFonts w:ascii="Cambria Math" w:hAnsi="Cambria Math" w:hint="eastAsia"/>
                      </w:rPr>
                      <m:t>A</m:t>
                    </m:r>
                  </m:e>
                  <m:sub>
                    <m:r>
                      <w:rPr>
                        <w:rFonts w:ascii="Cambria Math" w:hAnsi="Cambria Math"/>
                      </w:rPr>
                      <m:t>2</m:t>
                    </m:r>
                  </m:sub>
                </m:sSub>
                <m:sSup>
                  <m:sSupPr>
                    <m:ctrlPr>
                      <w:rPr>
                        <w:rFonts w:ascii="Cambria Math" w:hAnsi="Cambria Math"/>
                        <w:i/>
                      </w:rPr>
                    </m:ctrlPr>
                  </m:sSupPr>
                  <m:e>
                    <m:d>
                      <m:dPr>
                        <m:ctrlPr>
                          <w:rPr>
                            <w:rFonts w:ascii="Cambria Math" w:hAnsi="Cambria Math"/>
                            <w:i/>
                          </w:rPr>
                        </m:ctrlPr>
                      </m:dPr>
                      <m:e>
                        <m:sSubSup>
                          <m:sSubSupPr>
                            <m:ctrlPr>
                              <w:rPr>
                                <w:rFonts w:ascii="Cambria Math" w:hAnsi="Cambria Math"/>
                                <w:i/>
                              </w:rPr>
                            </m:ctrlPr>
                          </m:sSubSupPr>
                          <m:e>
                            <m:r>
                              <w:rPr>
                                <w:rFonts w:ascii="Cambria Math" w:hAnsi="Cambria Math"/>
                              </w:rPr>
                              <m:t>T</m:t>
                            </m:r>
                          </m:e>
                          <m:sub>
                            <m:r>
                              <w:rPr>
                                <w:rFonts w:ascii="Cambria Math" w:hAnsi="Cambria Math"/>
                              </w:rPr>
                              <m:t>o</m:t>
                            </m:r>
                          </m:sub>
                          <m:sup>
                            <m:r>
                              <w:rPr>
                                <w:rFonts w:ascii="Cambria Math" w:hAnsi="Cambria Math"/>
                              </w:rPr>
                              <m:t>m</m:t>
                            </m:r>
                          </m:sup>
                        </m:sSubSup>
                      </m:e>
                    </m:d>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3</m:t>
                    </m:r>
                  </m:sub>
                </m:sSub>
                <m:sSup>
                  <m:sSupPr>
                    <m:ctrlPr>
                      <w:rPr>
                        <w:rFonts w:ascii="Cambria Math" w:hAnsi="Cambria Math"/>
                        <w:i/>
                      </w:rPr>
                    </m:ctrlPr>
                  </m:sSupPr>
                  <m:e>
                    <m:d>
                      <m:dPr>
                        <m:ctrlPr>
                          <w:rPr>
                            <w:rFonts w:ascii="Cambria Math" w:hAnsi="Cambria Math"/>
                            <w:i/>
                          </w:rPr>
                        </m:ctrlPr>
                      </m:dPr>
                      <m:e>
                        <m:sSubSup>
                          <m:sSubSupPr>
                            <m:ctrlPr>
                              <w:rPr>
                                <w:rFonts w:ascii="Cambria Math" w:hAnsi="Cambria Math"/>
                                <w:i/>
                              </w:rPr>
                            </m:ctrlPr>
                          </m:sSubSupPr>
                          <m:e>
                            <m:r>
                              <w:rPr>
                                <w:rFonts w:ascii="Cambria Math" w:hAnsi="Cambria Math"/>
                              </w:rPr>
                              <m:t>T</m:t>
                            </m:r>
                          </m:e>
                          <m:sub>
                            <m:r>
                              <w:rPr>
                                <w:rFonts w:ascii="Cambria Math" w:hAnsi="Cambria Math"/>
                              </w:rPr>
                              <m:t>o</m:t>
                            </m:r>
                          </m:sub>
                          <m:sup>
                            <m:r>
                              <w:rPr>
                                <w:rFonts w:ascii="Cambria Math" w:hAnsi="Cambria Math"/>
                              </w:rPr>
                              <m:t>m</m:t>
                            </m:r>
                          </m:sup>
                        </m:sSubSup>
                      </m:e>
                    </m:d>
                  </m:e>
                  <m:sup>
                    <m:r>
                      <w:rPr>
                        <w:rFonts w:ascii="Cambria Math" w:hAnsi="Cambria Math"/>
                      </w:rPr>
                      <m:t>3</m:t>
                    </m:r>
                  </m:sup>
                </m:s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4</m:t>
                    </m:r>
                  </m:sub>
                </m:sSub>
                <m:r>
                  <w:rPr>
                    <w:rFonts w:ascii="Cambria Math" w:hAnsi="Cambria Math"/>
                  </w:rPr>
                  <m:t xml:space="preserve">  </m:t>
                </m:r>
                <m:r>
                  <m:rPr>
                    <m:sty m:val="p"/>
                  </m:rPr>
                  <w:rPr>
                    <w:rFonts w:ascii="Cambria Math" w:hAnsi="Cambria Math"/>
                  </w:rPr>
                  <m:t xml:space="preserve"> for  </m:t>
                </m:r>
                <m:r>
                  <w:rPr>
                    <w:rFonts w:ascii="Cambria Math" w:hAnsi="Cambria Math"/>
                  </w:rPr>
                  <m:t xml:space="preserve"> m=k</m:t>
                </m:r>
                <m:r>
                  <w:rPr>
                    <w:rFonts w:ascii="Cambria Math" w:eastAsia="STLiti" w:hAnsi="Cambria Math"/>
                  </w:rPr>
                  <m:t>,…,k+N</m:t>
                </m:r>
                <m:r>
                  <w:rPr>
                    <w:rFonts w:ascii="Cambria Math" w:eastAsia="PMingLiU" w:hAnsi="Cambria Math"/>
                  </w:rPr>
                  <m:t>,</m:t>
                </m:r>
              </m:oMath>
            </m:oMathPara>
          </w:p>
        </w:tc>
        <w:tc>
          <w:tcPr>
            <w:tcW w:w="810" w:type="dxa"/>
            <w:vAlign w:val="center"/>
          </w:tcPr>
          <w:p w14:paraId="1EBC060E" w14:textId="6CA88E03" w:rsidR="00471941" w:rsidRPr="00B4798A" w:rsidRDefault="00471941" w:rsidP="002023DB">
            <w:bookmarkStart w:id="238" w:name="_Ref133874487"/>
            <w:r>
              <w:t>(</w:t>
            </w:r>
            <w:r>
              <w:fldChar w:fldCharType="begin"/>
            </w:r>
            <w:r>
              <w:instrText>SEQ equation \* ARABIC</w:instrText>
            </w:r>
            <w:r>
              <w:fldChar w:fldCharType="separate"/>
            </w:r>
            <w:r w:rsidR="000E1725">
              <w:rPr>
                <w:noProof/>
              </w:rPr>
              <w:t>23</w:t>
            </w:r>
            <w:r>
              <w:fldChar w:fldCharType="end"/>
            </w:r>
            <w:r>
              <w:t>)</w:t>
            </w:r>
            <w:bookmarkEnd w:id="238"/>
          </w:p>
        </w:tc>
      </w:tr>
    </w:tbl>
    <w:p w14:paraId="0F96C3F1" w14:textId="77777777" w:rsidR="00471941" w:rsidRPr="004A3F62" w:rsidRDefault="00471941" w:rsidP="00471941">
      <w:pPr>
        <w:ind w:firstLine="0"/>
      </w:pPr>
      <w:r>
        <w:t>w</w:t>
      </w:r>
      <w:r w:rsidRPr="00BD7046">
        <w:t>here</w:t>
      </w:r>
      <w:r>
        <w:rPr>
          <w:rFonts w:hint="eastAsia"/>
        </w:rPr>
        <w:t xml:space="preserve"> </w:t>
      </w:r>
      <m:oMath>
        <m:sSub>
          <m:sSubPr>
            <m:ctrlPr>
              <w:rPr>
                <w:rFonts w:ascii="Cambria Math" w:hAnsi="Cambria Math"/>
                <w:i/>
              </w:rPr>
            </m:ctrlPr>
          </m:sSubPr>
          <m:e>
            <m:r>
              <w:rPr>
                <w:rFonts w:ascii="Cambria Math" w:hAnsi="Cambria Math"/>
              </w:rPr>
              <m:t>P</m:t>
            </m:r>
          </m:e>
          <m:sub>
            <m:r>
              <w:rPr>
                <w:rFonts w:ascii="Cambria Math" w:hAnsi="Cambria Math"/>
              </w:rPr>
              <m:t>indoor</m:t>
            </m:r>
          </m:sub>
        </m:sSub>
      </m:oMath>
      <w:r>
        <w:rPr>
          <w:rFonts w:hint="eastAsia"/>
        </w:rPr>
        <w:t xml:space="preserve"> </w:t>
      </w:r>
      <w:r>
        <w:t xml:space="preserve">is the constant indoor unit power, </w:t>
      </w:r>
      <m:oMath>
        <m:sSubSup>
          <m:sSubSupPr>
            <m:ctrlPr>
              <w:rPr>
                <w:rFonts w:ascii="Cambria Math" w:hAnsi="Cambria Math"/>
                <w:i/>
              </w:rPr>
            </m:ctrlPr>
          </m:sSubSupPr>
          <m:e>
            <m:r>
              <w:rPr>
                <w:rFonts w:ascii="Cambria Math" w:hAnsi="Cambria Math"/>
              </w:rPr>
              <m:t>P</m:t>
            </m:r>
          </m:e>
          <m:sub>
            <m:r>
              <w:rPr>
                <w:rFonts w:ascii="Cambria Math" w:hAnsi="Cambria Math"/>
              </w:rPr>
              <m:t>outdoor</m:t>
            </m:r>
          </m:sub>
          <m:sup>
            <m:r>
              <w:rPr>
                <w:rFonts w:ascii="Cambria Math" w:hAnsi="Cambria Math"/>
              </w:rPr>
              <m:t>m</m:t>
            </m:r>
          </m:sup>
        </m:sSubSup>
      </m:oMath>
      <w:r w:rsidRPr="00BD7046">
        <w:t xml:space="preserve"> </w:t>
      </w:r>
      <w:r>
        <w:t xml:space="preserve">is the variable outdoor unit power assumed to be a polynomial function of </w:t>
      </w:r>
      <m:oMath>
        <m:sSubSup>
          <m:sSubSupPr>
            <m:ctrlPr>
              <w:rPr>
                <w:rFonts w:ascii="Cambria Math" w:hAnsi="Cambria Math"/>
                <w:i/>
              </w:rPr>
            </m:ctrlPr>
          </m:sSubSupPr>
          <m:e>
            <m:r>
              <w:rPr>
                <w:rFonts w:ascii="Cambria Math" w:hAnsi="Cambria Math"/>
              </w:rPr>
              <m:t>T</m:t>
            </m:r>
          </m:e>
          <m:sub>
            <m:r>
              <w:rPr>
                <w:rFonts w:ascii="Cambria Math" w:hAnsi="Cambria Math"/>
              </w:rPr>
              <m:t>o</m:t>
            </m:r>
          </m:sub>
          <m:sup>
            <m:r>
              <w:rPr>
                <w:rFonts w:ascii="Cambria Math" w:hAnsi="Cambria Math"/>
              </w:rPr>
              <m:t>m</m:t>
            </m:r>
          </m:sup>
        </m:sSubSup>
      </m:oMath>
      <w:r>
        <w:t xml:space="preserve">, and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4</m:t>
            </m:r>
          </m:sub>
        </m:sSub>
      </m:oMath>
      <w:r w:rsidRPr="00BD7046">
        <w:rPr>
          <w:rFonts w:hint="eastAsia"/>
        </w:rPr>
        <w:t xml:space="preserve"> </w:t>
      </w:r>
      <w:r w:rsidRPr="00BD7046">
        <w:t xml:space="preserve">are </w:t>
      </w:r>
      <w:r>
        <w:t>coefficients that can be experimentally determined</w:t>
      </w:r>
      <w:r w:rsidRPr="00BD7046">
        <w:t>.</w:t>
      </w:r>
      <w:r>
        <w:t xml:space="preserve"> </w:t>
      </w:r>
    </w:p>
    <w:p w14:paraId="25E7B4FE" w14:textId="77777777" w:rsidR="00471941" w:rsidRPr="003477F6" w:rsidRDefault="00471941" w:rsidP="00471941">
      <w:r>
        <w:t>The constraints of the MILP problem are given by:</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74"/>
        <w:gridCol w:w="1157"/>
      </w:tblGrid>
      <w:tr w:rsidR="00471941" w14:paraId="6E20D83F" w14:textId="77777777" w:rsidTr="00F54419">
        <w:tc>
          <w:tcPr>
            <w:tcW w:w="8205" w:type="dxa"/>
          </w:tcPr>
          <w:p w14:paraId="45172FD7" w14:textId="77777777" w:rsidR="00471941" w:rsidRPr="002813FD" w:rsidRDefault="00000000" w:rsidP="002023DB">
            <w:pPr>
              <w:rPr>
                <w:rFonts w:eastAsiaTheme="minorEastAsia"/>
                <w:szCs w:val="24"/>
              </w:rPr>
            </w:pPr>
            <m:oMathPara>
              <m:oMath>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m</m:t>
                    </m:r>
                  </m:sup>
                </m:sSubSup>
                <m:r>
                  <w:rPr>
                    <w:rFonts w:ascii="Cambria Math" w:hAnsi="Cambria Math"/>
                    <w:szCs w:val="24"/>
                  </w:rPr>
                  <m:t>=</m:t>
                </m:r>
                <m:f>
                  <m:fPr>
                    <m:ctrlPr>
                      <w:rPr>
                        <w:rFonts w:ascii="Cambria Math" w:hAnsi="Cambria Math"/>
                        <w:szCs w:val="24"/>
                      </w:rPr>
                    </m:ctrlPr>
                  </m:fPr>
                  <m:num>
                    <m:sSub>
                      <m:sSubPr>
                        <m:ctrlPr>
                          <w:rPr>
                            <w:rFonts w:ascii="Cambria Math" w:hAnsi="Cambria Math"/>
                            <w:szCs w:val="24"/>
                          </w:rPr>
                        </m:ctrlPr>
                      </m:sSubPr>
                      <m:e>
                        <m:r>
                          <w:rPr>
                            <w:rFonts w:ascii="Cambria Math" w:hAnsi="Cambria Math" w:hint="eastAsia"/>
                            <w:szCs w:val="24"/>
                          </w:rPr>
                          <m:t>Δt</m:t>
                        </m:r>
                        <m:ctrlPr>
                          <w:rPr>
                            <w:rFonts w:ascii="Cambria Math" w:hAnsi="Cambria Math" w:hint="eastAsia"/>
                            <w:szCs w:val="24"/>
                          </w:rPr>
                        </m:ctrlPr>
                      </m:e>
                      <m:sub>
                        <m:r>
                          <m:rPr>
                            <m:sty m:val="p"/>
                          </m:rPr>
                          <w:rPr>
                            <w:rFonts w:ascii="Cambria Math" w:hAnsi="Cambria Math"/>
                            <w:szCs w:val="24"/>
                          </w:rPr>
                          <m:t xml:space="preserve"> </m:t>
                        </m:r>
                      </m:sub>
                    </m:sSub>
                  </m:num>
                  <m:den>
                    <m:sSub>
                      <m:sSubPr>
                        <m:ctrlPr>
                          <w:rPr>
                            <w:rFonts w:ascii="Cambria Math" w:hAnsi="Cambria Math"/>
                            <w:szCs w:val="24"/>
                          </w:rPr>
                        </m:ctrlPr>
                      </m:sSubPr>
                      <m:e>
                        <m:r>
                          <w:rPr>
                            <w:rFonts w:ascii="Cambria Math" w:hAnsi="Cambria Math"/>
                            <w:szCs w:val="24"/>
                          </w:rPr>
                          <m:t>τ</m:t>
                        </m:r>
                      </m:e>
                      <m:sub>
                        <m:r>
                          <w:rPr>
                            <w:rFonts w:ascii="Cambria Math" w:hAnsi="Cambria Math"/>
                            <w:szCs w:val="24"/>
                          </w:rPr>
                          <m:t>1</m:t>
                        </m:r>
                      </m:sub>
                    </m:sSub>
                  </m:den>
                </m:f>
                <m:d>
                  <m:dPr>
                    <m:ctrlPr>
                      <w:rPr>
                        <w:rFonts w:ascii="Cambria Math" w:hAnsi="Cambria Math"/>
                        <w:szCs w:val="24"/>
                      </w:rPr>
                    </m:ctrlPr>
                  </m:dPr>
                  <m:e>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o</m:t>
                        </m:r>
                      </m:sub>
                      <m:sup>
                        <m:r>
                          <w:rPr>
                            <w:rFonts w:ascii="Cambria Math" w:hAnsi="Cambria Math"/>
                            <w:szCs w:val="24"/>
                          </w:rPr>
                          <m:t>m-1</m:t>
                        </m:r>
                      </m:sup>
                    </m:sSubSup>
                    <m:r>
                      <m:rPr>
                        <m:sty m:val="p"/>
                      </m:rPr>
                      <w:rPr>
                        <w:rFonts w:ascii="Cambria Math" w:hAnsi="Cambria Math"/>
                        <w:szCs w:val="24"/>
                      </w:rPr>
                      <m:t>-</m:t>
                    </m:r>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m-1</m:t>
                        </m:r>
                      </m:sup>
                    </m:sSubSup>
                  </m:e>
                </m:d>
                <m:r>
                  <w:rPr>
                    <w:rFonts w:ascii="Cambria Math" w:hAnsi="Cambria Math"/>
                    <w:szCs w:val="24"/>
                  </w:rPr>
                  <m:t>+</m:t>
                </m:r>
                <m:f>
                  <m:fPr>
                    <m:ctrlPr>
                      <w:rPr>
                        <w:rFonts w:ascii="Cambria Math" w:hAnsi="Cambria Math"/>
                        <w:szCs w:val="24"/>
                      </w:rPr>
                    </m:ctrlPr>
                  </m:fPr>
                  <m:num>
                    <m:sSub>
                      <m:sSubPr>
                        <m:ctrlPr>
                          <w:rPr>
                            <w:rFonts w:ascii="Cambria Math" w:hAnsi="Cambria Math"/>
                            <w:szCs w:val="24"/>
                          </w:rPr>
                        </m:ctrlPr>
                      </m:sSubPr>
                      <m:e>
                        <m:r>
                          <w:rPr>
                            <w:rFonts w:ascii="Cambria Math" w:hAnsi="Cambria Math" w:hint="eastAsia"/>
                            <w:szCs w:val="24"/>
                          </w:rPr>
                          <m:t>Δt</m:t>
                        </m:r>
                        <m:ctrlPr>
                          <w:rPr>
                            <w:rFonts w:ascii="Cambria Math" w:hAnsi="Cambria Math" w:hint="eastAsia"/>
                            <w:szCs w:val="24"/>
                          </w:rPr>
                        </m:ctrlPr>
                      </m:e>
                      <m:sub>
                        <m:r>
                          <m:rPr>
                            <m:sty m:val="p"/>
                          </m:rPr>
                          <w:rPr>
                            <w:rFonts w:ascii="Cambria Math" w:hAnsi="Cambria Math"/>
                            <w:szCs w:val="24"/>
                          </w:rPr>
                          <m:t xml:space="preserve"> </m:t>
                        </m:r>
                      </m:sub>
                    </m:sSub>
                  </m:num>
                  <m:den>
                    <m:sSub>
                      <m:sSubPr>
                        <m:ctrlPr>
                          <w:rPr>
                            <w:rFonts w:ascii="Cambria Math" w:hAnsi="Cambria Math"/>
                            <w:szCs w:val="24"/>
                          </w:rPr>
                        </m:ctrlPr>
                      </m:sSubPr>
                      <m:e>
                        <m:r>
                          <w:rPr>
                            <w:rFonts w:ascii="Cambria Math" w:hAnsi="Cambria Math"/>
                            <w:szCs w:val="24"/>
                          </w:rPr>
                          <m:t>τ</m:t>
                        </m:r>
                      </m:e>
                      <m:sub>
                        <m:r>
                          <w:rPr>
                            <w:rFonts w:ascii="Cambria Math" w:hAnsi="Cambria Math"/>
                            <w:szCs w:val="24"/>
                          </w:rPr>
                          <m:t>2</m:t>
                        </m:r>
                      </m:sub>
                    </m:sSub>
                  </m:den>
                </m:f>
                <m:d>
                  <m:dPr>
                    <m:ctrlPr>
                      <w:rPr>
                        <w:rFonts w:ascii="Cambria Math" w:hAnsi="Cambria Math"/>
                        <w:szCs w:val="24"/>
                      </w:rPr>
                    </m:ctrlPr>
                  </m:dPr>
                  <m:e>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m-1</m:t>
                        </m:r>
                      </m:sup>
                    </m:sSubSup>
                    <m:r>
                      <m:rPr>
                        <m:sty m:val="p"/>
                      </m:rPr>
                      <w:rPr>
                        <w:rFonts w:ascii="Cambria Math" w:hAnsi="Cambria Math"/>
                        <w:szCs w:val="24"/>
                      </w:rPr>
                      <m:t>-</m:t>
                    </m:r>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m-1</m:t>
                        </m:r>
                      </m:sup>
                    </m:sSubSup>
                  </m:e>
                </m:d>
                <m:r>
                  <w:rPr>
                    <w:rFonts w:ascii="Cambria Math" w:hAnsi="Cambria Math"/>
                    <w:szCs w:val="24"/>
                  </w:rPr>
                  <m:t>+</m:t>
                </m:r>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m-1</m:t>
                    </m:r>
                  </m:sup>
                </m:sSubSup>
                <m:r>
                  <w:rPr>
                    <w:rFonts w:ascii="Cambria Math" w:hAnsi="Cambria Math"/>
                    <w:szCs w:val="24"/>
                  </w:rPr>
                  <m:t xml:space="preserve">   </m:t>
                </m:r>
              </m:oMath>
            </m:oMathPara>
          </w:p>
          <w:p w14:paraId="25933475" w14:textId="77777777" w:rsidR="00471941" w:rsidRPr="009521FC" w:rsidRDefault="00471941" w:rsidP="002023DB">
            <w:pPr>
              <w:rPr>
                <w:rFonts w:eastAsiaTheme="minorEastAsia"/>
                <w:szCs w:val="24"/>
              </w:rPr>
            </w:pPr>
            <m:oMathPara>
              <m:oMath>
                <m:r>
                  <m:rPr>
                    <m:sty m:val="p"/>
                  </m:rPr>
                  <w:rPr>
                    <w:rFonts w:ascii="Cambria Math" w:hAnsi="Cambria Math"/>
                    <w:szCs w:val="24"/>
                  </w:rPr>
                  <w:lastRenderedPageBreak/>
                  <m:t>for</m:t>
                </m:r>
                <m:r>
                  <w:rPr>
                    <w:rFonts w:ascii="Cambria Math" w:hAnsi="Cambria Math"/>
                    <w:szCs w:val="24"/>
                  </w:rPr>
                  <m:t xml:space="preserve">    m=k+1,…,k+</m:t>
                </m:r>
                <m:r>
                  <w:rPr>
                    <w:rFonts w:ascii="Cambria Math" w:eastAsia="STLiti" w:hAnsi="Cambria Math" w:hint="eastAsia"/>
                    <w:szCs w:val="24"/>
                  </w:rPr>
                  <m:t>N</m:t>
                </m:r>
                <m:r>
                  <m:rPr>
                    <m:nor/>
                  </m:rPr>
                  <w:rPr>
                    <w:rFonts w:ascii="Cambria Math" w:hAnsi="Cambria Math"/>
                    <w:szCs w:val="24"/>
                  </w:rPr>
                  <m:t xml:space="preserve"> </m:t>
                </m:r>
              </m:oMath>
            </m:oMathPara>
          </w:p>
        </w:tc>
        <w:tc>
          <w:tcPr>
            <w:tcW w:w="1160" w:type="dxa"/>
          </w:tcPr>
          <w:p w14:paraId="1B502ED1" w14:textId="71D5842B" w:rsidR="00471941" w:rsidRDefault="00471941" w:rsidP="002023DB">
            <w:bookmarkStart w:id="239" w:name="_Ref133850136"/>
            <w:r>
              <w:lastRenderedPageBreak/>
              <w:t>(</w:t>
            </w:r>
            <w:r>
              <w:fldChar w:fldCharType="begin"/>
            </w:r>
            <w:r>
              <w:instrText>SEQ equation \* ARABIC</w:instrText>
            </w:r>
            <w:r>
              <w:fldChar w:fldCharType="separate"/>
            </w:r>
            <w:r w:rsidR="000E1725">
              <w:rPr>
                <w:noProof/>
              </w:rPr>
              <w:t>24</w:t>
            </w:r>
            <w:r>
              <w:fldChar w:fldCharType="end"/>
            </w:r>
            <w:r>
              <w:t>)</w:t>
            </w:r>
            <w:bookmarkEnd w:id="239"/>
          </w:p>
        </w:tc>
      </w:tr>
      <w:tr w:rsidR="00471941" w14:paraId="6300ED9C" w14:textId="77777777" w:rsidTr="00F54419">
        <w:tc>
          <w:tcPr>
            <w:tcW w:w="8205" w:type="dxa"/>
          </w:tcPr>
          <w:p w14:paraId="7D14DE4C" w14:textId="77777777" w:rsidR="00471941" w:rsidRPr="002813FD" w:rsidRDefault="00000000" w:rsidP="002023DB">
            <w:pPr>
              <w:rPr>
                <w:rFonts w:eastAsiaTheme="minorEastAsia"/>
                <w:szCs w:val="24"/>
              </w:rPr>
            </w:pPr>
            <m:oMathPara>
              <m:oMath>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m</m:t>
                    </m:r>
                  </m:sup>
                </m:sSubSup>
                <m:r>
                  <w:rPr>
                    <w:rFonts w:ascii="Cambria Math" w:hAnsi="Cambria Math"/>
                    <w:szCs w:val="24"/>
                  </w:rPr>
                  <m:t>=</m:t>
                </m:r>
                <m:f>
                  <m:fPr>
                    <m:ctrlPr>
                      <w:rPr>
                        <w:rFonts w:ascii="Cambria Math" w:hAnsi="Cambria Math"/>
                        <w:szCs w:val="24"/>
                      </w:rPr>
                    </m:ctrlPr>
                  </m:fPr>
                  <m:num>
                    <m:sSub>
                      <m:sSubPr>
                        <m:ctrlPr>
                          <w:rPr>
                            <w:rFonts w:ascii="Cambria Math" w:hAnsi="Cambria Math"/>
                            <w:szCs w:val="24"/>
                          </w:rPr>
                        </m:ctrlPr>
                      </m:sSubPr>
                      <m:e>
                        <m:r>
                          <m:rPr>
                            <m:sty m:val="p"/>
                          </m:rPr>
                          <w:rPr>
                            <w:rFonts w:ascii="Cambria Math" w:hAnsi="Cambria Math" w:hint="eastAsia"/>
                            <w:szCs w:val="24"/>
                          </w:rPr>
                          <m:t>Δ</m:t>
                        </m:r>
                        <m:r>
                          <m:rPr>
                            <m:sty m:val="p"/>
                          </m:rPr>
                          <w:rPr>
                            <w:rFonts w:ascii="Cambria Math" w:hAnsi="Cambria Math" w:hint="eastAsia"/>
                            <w:szCs w:val="24"/>
                          </w:rPr>
                          <m:t>t</m:t>
                        </m:r>
                        <m:ctrlPr>
                          <w:rPr>
                            <w:rFonts w:ascii="Cambria Math" w:hAnsi="Cambria Math" w:hint="eastAsia"/>
                            <w:szCs w:val="24"/>
                          </w:rPr>
                        </m:ctrlPr>
                      </m:e>
                      <m:sub>
                        <m:r>
                          <m:rPr>
                            <m:sty m:val="p"/>
                          </m:rPr>
                          <w:rPr>
                            <w:rFonts w:ascii="Cambria Math" w:hAnsi="Cambria Math"/>
                            <w:szCs w:val="24"/>
                          </w:rPr>
                          <m:t xml:space="preserve"> </m:t>
                        </m:r>
                      </m:sub>
                    </m:sSub>
                  </m:num>
                  <m:den>
                    <m:sSub>
                      <m:sSubPr>
                        <m:ctrlPr>
                          <w:rPr>
                            <w:rFonts w:ascii="Cambria Math" w:hAnsi="Cambria Math"/>
                            <w:szCs w:val="24"/>
                          </w:rPr>
                        </m:ctrlPr>
                      </m:sSubPr>
                      <m:e>
                        <m:r>
                          <w:rPr>
                            <w:rFonts w:ascii="Cambria Math" w:hAnsi="Cambria Math"/>
                            <w:szCs w:val="24"/>
                          </w:rPr>
                          <m:t>τ</m:t>
                        </m:r>
                      </m:e>
                      <m:sub>
                        <m:r>
                          <w:rPr>
                            <w:rFonts w:ascii="Cambria Math" w:hAnsi="Cambria Math"/>
                            <w:szCs w:val="24"/>
                          </w:rPr>
                          <m:t>3</m:t>
                        </m:r>
                      </m:sub>
                    </m:sSub>
                  </m:den>
                </m:f>
                <m:d>
                  <m:dPr>
                    <m:ctrlPr>
                      <w:rPr>
                        <w:rFonts w:ascii="Cambria Math" w:hAnsi="Cambria Math"/>
                        <w:szCs w:val="24"/>
                      </w:rPr>
                    </m:ctrlPr>
                  </m:dPr>
                  <m:e>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m-1</m:t>
                        </m:r>
                      </m:sup>
                    </m:sSubSup>
                    <m:r>
                      <m:rPr>
                        <m:sty m:val="p"/>
                      </m:rPr>
                      <w:rPr>
                        <w:rFonts w:ascii="Cambria Math" w:hAnsi="Cambria Math"/>
                        <w:szCs w:val="24"/>
                      </w:rPr>
                      <m:t>-</m:t>
                    </m:r>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m-1</m:t>
                        </m:r>
                      </m:sup>
                    </m:sSubSup>
                  </m:e>
                </m:d>
                <m:r>
                  <w:rPr>
                    <w:rFonts w:ascii="Cambria Math" w:hAnsi="Cambria Math"/>
                    <w:szCs w:val="24"/>
                  </w:rPr>
                  <m:t>+</m:t>
                </m:r>
                <m:f>
                  <m:fPr>
                    <m:ctrlPr>
                      <w:rPr>
                        <w:rFonts w:ascii="Cambria Math" w:hAnsi="Cambria Math"/>
                        <w:szCs w:val="24"/>
                      </w:rPr>
                    </m:ctrlPr>
                  </m:fPr>
                  <m:num>
                    <m:sSub>
                      <m:sSubPr>
                        <m:ctrlPr>
                          <w:rPr>
                            <w:rFonts w:ascii="Cambria Math" w:hAnsi="Cambria Math"/>
                            <w:szCs w:val="24"/>
                          </w:rPr>
                        </m:ctrlPr>
                      </m:sSubPr>
                      <m:e>
                        <m:r>
                          <m:rPr>
                            <m:sty m:val="p"/>
                          </m:rPr>
                          <w:rPr>
                            <w:rFonts w:ascii="Cambria Math" w:hAnsi="Cambria Math" w:hint="eastAsia"/>
                            <w:szCs w:val="24"/>
                          </w:rPr>
                          <m:t>Δ</m:t>
                        </m:r>
                        <m:r>
                          <m:rPr>
                            <m:sty m:val="p"/>
                          </m:rPr>
                          <w:rPr>
                            <w:rFonts w:ascii="Cambria Math" w:hAnsi="Cambria Math" w:hint="eastAsia"/>
                            <w:szCs w:val="24"/>
                          </w:rPr>
                          <m:t>t</m:t>
                        </m:r>
                        <m:ctrlPr>
                          <w:rPr>
                            <w:rFonts w:ascii="Cambria Math" w:hAnsi="Cambria Math" w:hint="eastAsia"/>
                            <w:szCs w:val="24"/>
                          </w:rPr>
                        </m:ctrlPr>
                      </m:e>
                      <m:sub>
                        <m:r>
                          <m:rPr>
                            <m:sty m:val="p"/>
                          </m:rPr>
                          <w:rPr>
                            <w:rFonts w:ascii="Cambria Math" w:hAnsi="Cambria Math"/>
                            <w:szCs w:val="24"/>
                          </w:rPr>
                          <m:t xml:space="preserve"> </m:t>
                        </m:r>
                      </m:sub>
                    </m:sSub>
                  </m:num>
                  <m:den>
                    <m:sSub>
                      <m:sSubPr>
                        <m:ctrlPr>
                          <w:rPr>
                            <w:rFonts w:ascii="Cambria Math" w:hAnsi="Cambria Math"/>
                            <w:szCs w:val="24"/>
                          </w:rPr>
                        </m:ctrlPr>
                      </m:sSubPr>
                      <m:e>
                        <m:r>
                          <w:rPr>
                            <w:rFonts w:ascii="Cambria Math" w:hAnsi="Cambria Math"/>
                            <w:szCs w:val="24"/>
                          </w:rPr>
                          <m:t>τ</m:t>
                        </m:r>
                      </m:e>
                      <m:sub>
                        <m:r>
                          <w:rPr>
                            <w:rFonts w:ascii="Cambria Math" w:hAnsi="Cambria Math"/>
                            <w:szCs w:val="24"/>
                          </w:rPr>
                          <m:t>3</m:t>
                        </m:r>
                      </m:sub>
                    </m:sSub>
                  </m:den>
                </m:f>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a</m:t>
                        </m:r>
                      </m:e>
                      <m:sub>
                        <m:r>
                          <m:rPr>
                            <m:sty m:val="p"/>
                          </m:rPr>
                          <w:rPr>
                            <w:rFonts w:ascii="Cambria Math" w:hAnsi="Cambria Math"/>
                            <w:szCs w:val="24"/>
                          </w:rPr>
                          <m:t>1</m:t>
                        </m:r>
                      </m:sub>
                    </m:sSub>
                    <m:sSup>
                      <m:sSupPr>
                        <m:ctrlPr>
                          <w:rPr>
                            <w:rFonts w:ascii="Cambria Math" w:hAnsi="Cambria Math"/>
                            <w:szCs w:val="24"/>
                          </w:rPr>
                        </m:ctrlPr>
                      </m:sSupPr>
                      <m:e>
                        <m:r>
                          <w:rPr>
                            <w:rFonts w:ascii="Cambria Math" w:hAnsi="Cambria Math"/>
                            <w:szCs w:val="24"/>
                          </w:rPr>
                          <m:t>S</m:t>
                        </m:r>
                      </m:e>
                      <m:sup>
                        <m:r>
                          <w:rPr>
                            <w:rFonts w:ascii="Cambria Math" w:hAnsi="Cambria Math"/>
                            <w:szCs w:val="24"/>
                          </w:rPr>
                          <m:t>m-1</m:t>
                        </m:r>
                      </m:sup>
                    </m:sSup>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a</m:t>
                        </m:r>
                      </m:e>
                      <m:sub>
                        <m:r>
                          <m:rPr>
                            <m:sty m:val="p"/>
                          </m:rPr>
                          <w:rPr>
                            <w:rFonts w:ascii="Cambria Math" w:hAnsi="Cambria Math"/>
                            <w:szCs w:val="24"/>
                          </w:rPr>
                          <m:t>2</m:t>
                        </m:r>
                      </m:sub>
                    </m:sSub>
                    <m:sSup>
                      <m:sSupPr>
                        <m:ctrlPr>
                          <w:rPr>
                            <w:rFonts w:ascii="Cambria Math" w:hAnsi="Cambria Math"/>
                            <w:szCs w:val="24"/>
                          </w:rPr>
                        </m:ctrlPr>
                      </m:sSupPr>
                      <m:e>
                        <m:d>
                          <m:dPr>
                            <m:ctrlPr>
                              <w:rPr>
                                <w:rFonts w:ascii="Cambria Math" w:hAnsi="Cambria Math"/>
                                <w:szCs w:val="24"/>
                              </w:rPr>
                            </m:ctrlPr>
                          </m:dPr>
                          <m:e>
                            <m:sSup>
                              <m:sSupPr>
                                <m:ctrlPr>
                                  <w:rPr>
                                    <w:rFonts w:ascii="Cambria Math" w:hAnsi="Cambria Math"/>
                                    <w:szCs w:val="24"/>
                                  </w:rPr>
                                </m:ctrlPr>
                              </m:sSupPr>
                              <m:e>
                                <m:r>
                                  <w:rPr>
                                    <w:rFonts w:ascii="Cambria Math" w:hAnsi="Cambria Math"/>
                                    <w:szCs w:val="24"/>
                                  </w:rPr>
                                  <m:t>S</m:t>
                                </m:r>
                              </m:e>
                              <m:sup>
                                <m:r>
                                  <w:rPr>
                                    <w:rFonts w:ascii="Cambria Math" w:hAnsi="Cambria Math"/>
                                    <w:szCs w:val="24"/>
                                  </w:rPr>
                                  <m:t>m-1</m:t>
                                </m:r>
                              </m:sup>
                            </m:sSup>
                          </m:e>
                        </m:d>
                      </m:e>
                      <m:sup>
                        <m:r>
                          <m:rPr>
                            <m:sty m:val="p"/>
                          </m:rPr>
                          <w:rPr>
                            <w:rFonts w:ascii="Cambria Math" w:hAnsi="Cambria Math"/>
                            <w:szCs w:val="24"/>
                          </w:rPr>
                          <m:t>2</m:t>
                        </m:r>
                      </m:sup>
                    </m:sSup>
                  </m:e>
                </m:d>
                <m:r>
                  <w:rPr>
                    <w:rFonts w:ascii="Cambria Math" w:hAnsi="Cambria Math"/>
                    <w:szCs w:val="24"/>
                  </w:rPr>
                  <m:t>+</m:t>
                </m:r>
                <m:f>
                  <m:fPr>
                    <m:ctrlPr>
                      <w:rPr>
                        <w:rFonts w:ascii="Cambria Math" w:hAnsi="Cambria Math"/>
                        <w:szCs w:val="24"/>
                      </w:rPr>
                    </m:ctrlPr>
                  </m:fPr>
                  <m:num>
                    <m:sSub>
                      <m:sSubPr>
                        <m:ctrlPr>
                          <w:rPr>
                            <w:rFonts w:ascii="Cambria Math" w:hAnsi="Cambria Math"/>
                            <w:szCs w:val="24"/>
                          </w:rPr>
                        </m:ctrlPr>
                      </m:sSubPr>
                      <m:e>
                        <m:r>
                          <m:rPr>
                            <m:sty m:val="p"/>
                          </m:rPr>
                          <w:rPr>
                            <w:rFonts w:ascii="Cambria Math" w:hAnsi="Cambria Math" w:hint="eastAsia"/>
                            <w:szCs w:val="24"/>
                          </w:rPr>
                          <m:t>Δ</m:t>
                        </m:r>
                        <m:r>
                          <m:rPr>
                            <m:sty m:val="p"/>
                          </m:rPr>
                          <w:rPr>
                            <w:rFonts w:ascii="Cambria Math" w:hAnsi="Cambria Math" w:hint="eastAsia"/>
                            <w:szCs w:val="24"/>
                          </w:rPr>
                          <m:t>t</m:t>
                        </m:r>
                        <m:ctrlPr>
                          <w:rPr>
                            <w:rFonts w:ascii="Cambria Math" w:hAnsi="Cambria Math" w:hint="eastAsia"/>
                            <w:szCs w:val="24"/>
                          </w:rPr>
                        </m:ctrlPr>
                      </m:e>
                      <m:sub>
                        <m:r>
                          <m:rPr>
                            <m:sty m:val="p"/>
                          </m:rPr>
                          <w:rPr>
                            <w:rFonts w:ascii="Cambria Math" w:hAnsi="Cambria Math"/>
                            <w:szCs w:val="24"/>
                          </w:rPr>
                          <m:t xml:space="preserve"> </m:t>
                        </m:r>
                      </m:sub>
                    </m:sSub>
                  </m:num>
                  <m:den>
                    <m:sSub>
                      <m:sSubPr>
                        <m:ctrlPr>
                          <w:rPr>
                            <w:rFonts w:ascii="Cambria Math" w:hAnsi="Cambria Math"/>
                            <w:szCs w:val="24"/>
                          </w:rPr>
                        </m:ctrlPr>
                      </m:sSubPr>
                      <m:e>
                        <m:r>
                          <w:rPr>
                            <w:rFonts w:ascii="Cambria Math" w:hAnsi="Cambria Math"/>
                            <w:szCs w:val="24"/>
                          </w:rPr>
                          <m:t>τ</m:t>
                        </m:r>
                      </m:e>
                      <m:sub>
                        <m:r>
                          <w:rPr>
                            <w:rFonts w:ascii="Cambria Math" w:hAnsi="Cambria Math"/>
                            <w:szCs w:val="24"/>
                          </w:rPr>
                          <m:t>3</m:t>
                        </m:r>
                      </m:sub>
                    </m:sSub>
                  </m:den>
                </m:f>
                <m:d>
                  <m:dPr>
                    <m:ctrlPr>
                      <w:rPr>
                        <w:rFonts w:ascii="Cambria Math" w:hAnsi="Cambria Math"/>
                        <w:szCs w:val="24"/>
                      </w:rPr>
                    </m:ctrlPr>
                  </m:dPr>
                  <m:e>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o</m:t>
                        </m:r>
                      </m:sub>
                      <m:sup>
                        <m:r>
                          <w:rPr>
                            <w:rFonts w:ascii="Cambria Math" w:hAnsi="Cambria Math"/>
                            <w:szCs w:val="24"/>
                          </w:rPr>
                          <m:t>m-1</m:t>
                        </m:r>
                      </m:sup>
                    </m:sSubSup>
                    <m:r>
                      <m:rPr>
                        <m:sty m:val="p"/>
                      </m:rPr>
                      <w:rPr>
                        <w:rFonts w:ascii="Cambria Math" w:hAnsi="Cambria Math"/>
                        <w:szCs w:val="24"/>
                      </w:rPr>
                      <m:t>-</m:t>
                    </m:r>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m-1</m:t>
                        </m:r>
                      </m:sup>
                    </m:sSubSup>
                  </m:e>
                </m:d>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b</m:t>
                        </m:r>
                      </m:e>
                      <m:sub>
                        <m:r>
                          <m:rPr>
                            <m:sty m:val="p"/>
                          </m:rPr>
                          <w:rPr>
                            <w:rFonts w:ascii="Cambria Math" w:hAnsi="Cambria Math"/>
                            <w:szCs w:val="24"/>
                          </w:rPr>
                          <m:t>1</m:t>
                        </m:r>
                      </m:sub>
                    </m:sSub>
                    <m:sSup>
                      <m:sSupPr>
                        <m:ctrlPr>
                          <w:rPr>
                            <w:rFonts w:ascii="Cambria Math" w:hAnsi="Cambria Math"/>
                            <w:szCs w:val="24"/>
                          </w:rPr>
                        </m:ctrlPr>
                      </m:sSupPr>
                      <m:e>
                        <m:r>
                          <w:rPr>
                            <w:rFonts w:ascii="Cambria Math" w:hAnsi="Cambria Math"/>
                            <w:szCs w:val="24"/>
                          </w:rPr>
                          <m:t>W</m:t>
                        </m:r>
                      </m:e>
                      <m:sup>
                        <m:r>
                          <w:rPr>
                            <w:rFonts w:ascii="Cambria Math" w:hAnsi="Cambria Math"/>
                            <w:szCs w:val="24"/>
                          </w:rPr>
                          <m:t>m-1</m:t>
                        </m:r>
                      </m:sup>
                    </m:sSup>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b</m:t>
                        </m:r>
                      </m:e>
                      <m:sub>
                        <m:r>
                          <m:rPr>
                            <m:sty m:val="p"/>
                          </m:rPr>
                          <w:rPr>
                            <w:rFonts w:ascii="Cambria Math" w:hAnsi="Cambria Math"/>
                            <w:szCs w:val="24"/>
                          </w:rPr>
                          <m:t>2</m:t>
                        </m:r>
                      </m:sub>
                    </m:sSub>
                    <m:sSup>
                      <m:sSupPr>
                        <m:ctrlPr>
                          <w:rPr>
                            <w:rFonts w:ascii="Cambria Math" w:hAnsi="Cambria Math"/>
                            <w:szCs w:val="24"/>
                          </w:rPr>
                        </m:ctrlPr>
                      </m:sSupPr>
                      <m:e>
                        <m:d>
                          <m:dPr>
                            <m:ctrlPr>
                              <w:rPr>
                                <w:rFonts w:ascii="Cambria Math" w:hAnsi="Cambria Math"/>
                                <w:szCs w:val="24"/>
                              </w:rPr>
                            </m:ctrlPr>
                          </m:dPr>
                          <m:e>
                            <m:sSup>
                              <m:sSupPr>
                                <m:ctrlPr>
                                  <w:rPr>
                                    <w:rFonts w:ascii="Cambria Math" w:hAnsi="Cambria Math"/>
                                    <w:szCs w:val="24"/>
                                  </w:rPr>
                                </m:ctrlPr>
                              </m:sSupPr>
                              <m:e>
                                <m:r>
                                  <w:rPr>
                                    <w:rFonts w:ascii="Cambria Math" w:hAnsi="Cambria Math"/>
                                    <w:szCs w:val="24"/>
                                  </w:rPr>
                                  <m:t>W</m:t>
                                </m:r>
                              </m:e>
                              <m:sup>
                                <m:r>
                                  <w:rPr>
                                    <w:rFonts w:ascii="Cambria Math" w:hAnsi="Cambria Math"/>
                                    <w:szCs w:val="24"/>
                                  </w:rPr>
                                  <m:t>m-1</m:t>
                                </m:r>
                              </m:sup>
                            </m:sSup>
                          </m:e>
                        </m:d>
                      </m:e>
                      <m:sup>
                        <m:r>
                          <m:rPr>
                            <m:sty m:val="p"/>
                          </m:rPr>
                          <w:rPr>
                            <w:rFonts w:ascii="Cambria Math" w:hAnsi="Cambria Math"/>
                            <w:szCs w:val="24"/>
                          </w:rPr>
                          <m:t>2</m:t>
                        </m:r>
                      </m:sup>
                    </m:sSup>
                  </m:e>
                </m:d>
                <m:r>
                  <w:rPr>
                    <w:rFonts w:ascii="Cambria Math" w:hAnsi="Cambria Math"/>
                    <w:szCs w:val="24"/>
                  </w:rPr>
                  <m:t>+</m:t>
                </m:r>
                <m:f>
                  <m:fPr>
                    <m:ctrlPr>
                      <w:rPr>
                        <w:rFonts w:ascii="Cambria Math" w:hAnsi="Cambria Math"/>
                        <w:szCs w:val="24"/>
                      </w:rPr>
                    </m:ctrlPr>
                  </m:fPr>
                  <m:num>
                    <m:sSub>
                      <m:sSubPr>
                        <m:ctrlPr>
                          <w:rPr>
                            <w:rFonts w:ascii="Cambria Math" w:hAnsi="Cambria Math"/>
                            <w:szCs w:val="24"/>
                          </w:rPr>
                        </m:ctrlPr>
                      </m:sSubPr>
                      <m:e>
                        <m:r>
                          <m:rPr>
                            <m:sty m:val="p"/>
                          </m:rPr>
                          <w:rPr>
                            <w:rFonts w:ascii="Cambria Math" w:hAnsi="Cambria Math" w:hint="eastAsia"/>
                            <w:szCs w:val="24"/>
                          </w:rPr>
                          <m:t>Δ</m:t>
                        </m:r>
                        <m:r>
                          <m:rPr>
                            <m:sty m:val="p"/>
                          </m:rPr>
                          <w:rPr>
                            <w:rFonts w:ascii="Cambria Math" w:hAnsi="Cambria Math" w:hint="eastAsia"/>
                            <w:szCs w:val="24"/>
                          </w:rPr>
                          <m:t>t</m:t>
                        </m:r>
                        <m:ctrlPr>
                          <w:rPr>
                            <w:rFonts w:ascii="Cambria Math" w:hAnsi="Cambria Math" w:hint="eastAsia"/>
                            <w:szCs w:val="24"/>
                          </w:rPr>
                        </m:ctrlPr>
                      </m:e>
                      <m:sub>
                        <m:r>
                          <m:rPr>
                            <m:sty m:val="p"/>
                          </m:rPr>
                          <w:rPr>
                            <w:rFonts w:ascii="Cambria Math" w:hAnsi="Cambria Math"/>
                            <w:szCs w:val="24"/>
                          </w:rPr>
                          <m:t xml:space="preserve"> </m:t>
                        </m:r>
                      </m:sub>
                    </m:sSub>
                  </m:num>
                  <m:den>
                    <m:sSub>
                      <m:sSubPr>
                        <m:ctrlPr>
                          <w:rPr>
                            <w:rFonts w:ascii="Cambria Math" w:hAnsi="Cambria Math"/>
                            <w:szCs w:val="24"/>
                          </w:rPr>
                        </m:ctrlPr>
                      </m:sSubPr>
                      <m:e>
                        <m:r>
                          <w:rPr>
                            <w:rFonts w:ascii="Cambria Math" w:hAnsi="Cambria Math"/>
                            <w:szCs w:val="24"/>
                          </w:rPr>
                          <m:t>τ</m:t>
                        </m:r>
                      </m:e>
                      <m:sub>
                        <m:r>
                          <w:rPr>
                            <w:rFonts w:ascii="Cambria Math" w:hAnsi="Cambria Math"/>
                            <w:szCs w:val="24"/>
                          </w:rPr>
                          <m:t>3</m:t>
                        </m:r>
                      </m:sub>
                    </m:sSub>
                  </m:den>
                </m:f>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c</m:t>
                        </m:r>
                      </m:e>
                      <m:sub>
                        <m:r>
                          <m:rPr>
                            <m:sty m:val="p"/>
                          </m:rPr>
                          <w:rPr>
                            <w:rFonts w:ascii="Cambria Math" w:hAnsi="Cambria Math"/>
                            <w:szCs w:val="24"/>
                          </w:rPr>
                          <m:t>1</m:t>
                        </m:r>
                      </m:sub>
                    </m:sSub>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o</m:t>
                        </m:r>
                      </m:sub>
                      <m:sup>
                        <m:r>
                          <w:rPr>
                            <w:rFonts w:ascii="Cambria Math" w:hAnsi="Cambria Math"/>
                            <w:szCs w:val="24"/>
                          </w:rPr>
                          <m:t>m-1</m:t>
                        </m:r>
                      </m:sup>
                    </m:sSubSup>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c</m:t>
                        </m:r>
                      </m:e>
                      <m:sub>
                        <m:r>
                          <m:rPr>
                            <m:sty m:val="p"/>
                          </m:rPr>
                          <w:rPr>
                            <w:rFonts w:ascii="Cambria Math" w:hAnsi="Cambria Math"/>
                            <w:szCs w:val="24"/>
                          </w:rPr>
                          <m:t>2</m:t>
                        </m:r>
                      </m:sub>
                    </m:sSub>
                    <m:sSup>
                      <m:sSupPr>
                        <m:ctrlPr>
                          <w:rPr>
                            <w:rFonts w:ascii="Cambria Math" w:hAnsi="Cambria Math"/>
                            <w:szCs w:val="24"/>
                          </w:rPr>
                        </m:ctrlPr>
                      </m:sSupPr>
                      <m:e>
                        <m:d>
                          <m:dPr>
                            <m:ctrlPr>
                              <w:rPr>
                                <w:rFonts w:ascii="Cambria Math" w:hAnsi="Cambria Math"/>
                                <w:szCs w:val="24"/>
                              </w:rPr>
                            </m:ctrlPr>
                          </m:dPr>
                          <m:e>
                            <m:sSubSup>
                              <m:sSubSupPr>
                                <m:ctrlPr>
                                  <w:rPr>
                                    <w:rFonts w:ascii="Cambria Math" w:hAnsi="Cambria Math"/>
                                    <w:i/>
                                    <w:iCs/>
                                    <w:szCs w:val="24"/>
                                  </w:rPr>
                                </m:ctrlPr>
                              </m:sSubSupPr>
                              <m:e>
                                <m:r>
                                  <w:rPr>
                                    <w:rFonts w:ascii="Cambria Math" w:hAnsi="Cambria Math"/>
                                    <w:szCs w:val="24"/>
                                  </w:rPr>
                                  <m:t>T</m:t>
                                </m:r>
                              </m:e>
                              <m:sub>
                                <m:r>
                                  <w:rPr>
                                    <w:rFonts w:ascii="Cambria Math" w:hAnsi="Cambria Math"/>
                                    <w:szCs w:val="24"/>
                                  </w:rPr>
                                  <m:t>o</m:t>
                                </m:r>
                              </m:sub>
                              <m:sup>
                                <m:r>
                                  <w:rPr>
                                    <w:rFonts w:ascii="Cambria Math" w:hAnsi="Cambria Math"/>
                                    <w:szCs w:val="24"/>
                                  </w:rPr>
                                  <m:t>m-1</m:t>
                                </m:r>
                              </m:sup>
                            </m:sSubSup>
                          </m:e>
                        </m:d>
                      </m:e>
                      <m:sup>
                        <m:r>
                          <m:rPr>
                            <m:sty m:val="p"/>
                          </m:rPr>
                          <w:rPr>
                            <w:rFonts w:ascii="Cambria Math" w:hAnsi="Cambria Math"/>
                            <w:szCs w:val="24"/>
                          </w:rPr>
                          <m:t>2</m:t>
                        </m:r>
                      </m:sup>
                    </m:sSup>
                  </m:e>
                </m:d>
                <m:sSup>
                  <m:sSupPr>
                    <m:ctrlPr>
                      <w:rPr>
                        <w:rFonts w:ascii="Cambria Math" w:hAnsi="Cambria Math"/>
                        <w:szCs w:val="24"/>
                      </w:rPr>
                    </m:ctrlPr>
                  </m:sSupPr>
                  <m:e>
                    <m:r>
                      <w:rPr>
                        <w:rFonts w:ascii="Cambria Math" w:hAnsi="Cambria Math"/>
                        <w:szCs w:val="24"/>
                      </w:rPr>
                      <m:t>u</m:t>
                    </m:r>
                  </m:e>
                  <m:sup>
                    <m:r>
                      <w:rPr>
                        <w:rFonts w:ascii="Cambria Math" w:hAnsi="Cambria Math"/>
                        <w:szCs w:val="24"/>
                      </w:rPr>
                      <m:t xml:space="preserve">m-1 </m:t>
                    </m:r>
                  </m:sup>
                </m:sSup>
                <m:r>
                  <w:rPr>
                    <w:rFonts w:ascii="Cambria Math" w:hAnsi="Cambria Math"/>
                    <w:szCs w:val="24"/>
                  </w:rPr>
                  <m:t>+</m:t>
                </m:r>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m-1</m:t>
                    </m:r>
                  </m:sup>
                </m:sSubSup>
                <m:r>
                  <w:rPr>
                    <w:rFonts w:ascii="Cambria Math" w:hAnsi="Cambria Math"/>
                    <w:szCs w:val="24"/>
                  </w:rPr>
                  <m:t xml:space="preserve">   </m:t>
                </m:r>
              </m:oMath>
            </m:oMathPara>
          </w:p>
          <w:p w14:paraId="24A0FBBA" w14:textId="77777777" w:rsidR="00471941" w:rsidRPr="009521FC" w:rsidRDefault="00471941" w:rsidP="002023DB">
            <m:oMathPara>
              <m:oMath>
                <m:r>
                  <m:rPr>
                    <m:sty m:val="p"/>
                  </m:rPr>
                  <w:rPr>
                    <w:rFonts w:ascii="Cambria Math" w:hAnsi="Cambria Math"/>
                    <w:szCs w:val="24"/>
                  </w:rPr>
                  <m:t>for</m:t>
                </m:r>
                <m:r>
                  <w:rPr>
                    <w:rFonts w:ascii="Cambria Math" w:hAnsi="Cambria Math"/>
                    <w:szCs w:val="24"/>
                  </w:rPr>
                  <m:t xml:space="preserve">   m=k+1,…,k+</m:t>
                </m:r>
                <m:r>
                  <w:rPr>
                    <w:rFonts w:ascii="Cambria Math" w:eastAsia="STLiti" w:hAnsi="Cambria Math" w:hint="eastAsia"/>
                    <w:szCs w:val="24"/>
                  </w:rPr>
                  <m:t>N</m:t>
                </m:r>
                <m:r>
                  <m:rPr>
                    <m:nor/>
                  </m:rPr>
                  <w:rPr>
                    <w:rFonts w:ascii="Cambria Math" w:hAnsi="Cambria Math"/>
                    <w:szCs w:val="24"/>
                  </w:rPr>
                  <m:t xml:space="preserve"> </m:t>
                </m:r>
              </m:oMath>
            </m:oMathPara>
          </w:p>
        </w:tc>
        <w:tc>
          <w:tcPr>
            <w:tcW w:w="1160" w:type="dxa"/>
          </w:tcPr>
          <w:p w14:paraId="4EE5DA9F" w14:textId="1DE2ECF3" w:rsidR="00471941" w:rsidRDefault="00471941" w:rsidP="002023DB">
            <w:pPr>
              <w:keepNext/>
            </w:pPr>
            <w:bookmarkStart w:id="240" w:name="_Ref133850137"/>
            <w:r>
              <w:t>(</w:t>
            </w:r>
            <w:r>
              <w:fldChar w:fldCharType="begin"/>
            </w:r>
            <w:r>
              <w:instrText>SEQ equation \* ARABIC</w:instrText>
            </w:r>
            <w:r>
              <w:fldChar w:fldCharType="separate"/>
            </w:r>
            <w:r w:rsidR="000E1725">
              <w:rPr>
                <w:noProof/>
              </w:rPr>
              <w:t>25</w:t>
            </w:r>
            <w:r>
              <w:fldChar w:fldCharType="end"/>
            </w:r>
            <w:r>
              <w:t>)</w:t>
            </w:r>
            <w:bookmarkEnd w:id="240"/>
          </w:p>
        </w:tc>
      </w:tr>
      <w:tr w:rsidR="00471941" w14:paraId="608E7F86" w14:textId="77777777" w:rsidTr="00F54419">
        <w:tc>
          <w:tcPr>
            <w:tcW w:w="8205" w:type="dxa"/>
          </w:tcPr>
          <w:p w14:paraId="35A8706F" w14:textId="77777777" w:rsidR="00471941" w:rsidRPr="00400FC9" w:rsidRDefault="00000000" w:rsidP="002023DB">
            <w:pPr>
              <w:rPr>
                <w:rFonts w:eastAsia="PMingLiU"/>
                <w:szCs w:val="24"/>
              </w:rPr>
            </w:pPr>
            <m:oMathPara>
              <m:oMath>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lb</m:t>
                    </m:r>
                  </m:sub>
                  <m:sup>
                    <m:r>
                      <w:rPr>
                        <w:rFonts w:ascii="Cambria Math" w:hAnsi="Cambria Math"/>
                        <w:szCs w:val="24"/>
                      </w:rPr>
                      <m:t>m</m:t>
                    </m:r>
                  </m:sup>
                </m:sSubSup>
                <m:r>
                  <m:rPr>
                    <m:sty m:val="p"/>
                  </m:rPr>
                  <w:rPr>
                    <w:rFonts w:ascii="Cambria Math" w:hAnsi="Cambria Math"/>
                    <w:szCs w:val="24"/>
                  </w:rPr>
                  <m:t>-</m:t>
                </m:r>
                <m:sSup>
                  <m:sSupPr>
                    <m:ctrlPr>
                      <w:rPr>
                        <w:rFonts w:ascii="Cambria Math" w:hAnsi="Cambria Math"/>
                        <w:i/>
                        <w:szCs w:val="24"/>
                      </w:rPr>
                    </m:ctrlPr>
                  </m:sSupPr>
                  <m:e>
                    <m:r>
                      <w:rPr>
                        <w:rFonts w:ascii="Cambria Math" w:hAnsi="Cambria Math"/>
                        <w:szCs w:val="24"/>
                      </w:rPr>
                      <m:t>v</m:t>
                    </m:r>
                    <m:ctrlPr>
                      <w:rPr>
                        <w:rFonts w:ascii="Cambria Math" w:hAnsi="Cambria Math"/>
                        <w:szCs w:val="24"/>
                      </w:rPr>
                    </m:ctrlPr>
                  </m:e>
                  <m:sup>
                    <m:r>
                      <w:rPr>
                        <w:rFonts w:ascii="Cambria Math" w:hAnsi="Cambria Math"/>
                        <w:szCs w:val="24"/>
                      </w:rPr>
                      <m:t>m</m:t>
                    </m:r>
                  </m:sup>
                </m:sSup>
                <m:r>
                  <m:rPr>
                    <m:sty m:val="p"/>
                  </m:rPr>
                  <w:rPr>
                    <w:rFonts w:ascii="Cambria Math" w:hAnsi="Cambria Math" w:hint="eastAsia"/>
                    <w:szCs w:val="24"/>
                  </w:rPr>
                  <m:t>≤</m:t>
                </m:r>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m</m:t>
                    </m:r>
                  </m:sup>
                </m:sSubSup>
                <m:r>
                  <m:rPr>
                    <m:sty m:val="p"/>
                  </m:rPr>
                  <w:rPr>
                    <w:rFonts w:ascii="Cambria Math" w:hAnsi="Cambria Math" w:hint="eastAsia"/>
                    <w:szCs w:val="24"/>
                  </w:rPr>
                  <m:t>≤</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ub</m:t>
                    </m:r>
                  </m:sub>
                  <m:sup>
                    <m:r>
                      <w:rPr>
                        <w:rFonts w:ascii="Cambria Math" w:hAnsi="Cambria Math"/>
                        <w:szCs w:val="24"/>
                      </w:rPr>
                      <m:t>m</m:t>
                    </m:r>
                  </m:sup>
                </m:sSubSup>
                <m:r>
                  <m:rPr>
                    <m:sty m:val="p"/>
                  </m:rPr>
                  <w:rPr>
                    <w:rFonts w:ascii="Cambria Math" w:hAnsi="Cambria Math"/>
                    <w:szCs w:val="24"/>
                  </w:rPr>
                  <m:t>+</m:t>
                </m:r>
                <m:sSup>
                  <m:sSupPr>
                    <m:ctrlPr>
                      <w:rPr>
                        <w:rFonts w:ascii="Cambria Math" w:hAnsi="Cambria Math"/>
                        <w:i/>
                        <w:szCs w:val="24"/>
                      </w:rPr>
                    </m:ctrlPr>
                  </m:sSupPr>
                  <m:e>
                    <m:r>
                      <w:rPr>
                        <w:rFonts w:ascii="Cambria Math" w:hAnsi="Cambria Math"/>
                        <w:szCs w:val="24"/>
                      </w:rPr>
                      <m:t>v</m:t>
                    </m:r>
                    <m:ctrlPr>
                      <w:rPr>
                        <w:rFonts w:ascii="Cambria Math" w:hAnsi="Cambria Math"/>
                        <w:szCs w:val="24"/>
                      </w:rPr>
                    </m:ctrlPr>
                  </m:e>
                  <m:sup>
                    <m:r>
                      <w:rPr>
                        <w:rFonts w:ascii="Cambria Math" w:hAnsi="Cambria Math"/>
                        <w:szCs w:val="24"/>
                      </w:rPr>
                      <m:t>m</m:t>
                    </m:r>
                  </m:sup>
                </m:sSup>
                <m:r>
                  <m:rPr>
                    <m:sty m:val="p"/>
                  </m:rPr>
                  <w:rPr>
                    <w:rFonts w:ascii="Cambria Math" w:hAnsi="Cambria Math"/>
                    <w:szCs w:val="24"/>
                  </w:rPr>
                  <m:t xml:space="preserve">   for   </m:t>
                </m:r>
                <m:r>
                  <w:rPr>
                    <w:rFonts w:ascii="Cambria Math" w:hAnsi="Cambria Math"/>
                    <w:szCs w:val="24"/>
                  </w:rPr>
                  <m:t>m=k,…,k+</m:t>
                </m:r>
                <m:r>
                  <w:rPr>
                    <w:rFonts w:ascii="Cambria Math" w:eastAsia="STLiti" w:hAnsi="Cambria Math"/>
                    <w:szCs w:val="24"/>
                  </w:rPr>
                  <m:t>N</m:t>
                </m:r>
              </m:oMath>
            </m:oMathPara>
          </w:p>
        </w:tc>
        <w:tc>
          <w:tcPr>
            <w:tcW w:w="1160" w:type="dxa"/>
          </w:tcPr>
          <w:p w14:paraId="19EE2858" w14:textId="16197D22" w:rsidR="00471941" w:rsidRDefault="00471941" w:rsidP="002023DB">
            <w:pPr>
              <w:keepNext/>
            </w:pPr>
            <w:bookmarkStart w:id="241" w:name="_Ref133850240"/>
            <w:r>
              <w:t>(</w:t>
            </w:r>
            <w:r>
              <w:fldChar w:fldCharType="begin"/>
            </w:r>
            <w:r>
              <w:instrText>SEQ equation \* ARABIC</w:instrText>
            </w:r>
            <w:r>
              <w:fldChar w:fldCharType="separate"/>
            </w:r>
            <w:r w:rsidR="000E1725">
              <w:rPr>
                <w:noProof/>
              </w:rPr>
              <w:t>26</w:t>
            </w:r>
            <w:r>
              <w:fldChar w:fldCharType="end"/>
            </w:r>
            <w:r>
              <w:t>)</w:t>
            </w:r>
            <w:bookmarkEnd w:id="241"/>
          </w:p>
        </w:tc>
      </w:tr>
      <w:tr w:rsidR="00471941" w14:paraId="57C05B2B" w14:textId="77777777" w:rsidTr="00F54419">
        <w:tc>
          <w:tcPr>
            <w:tcW w:w="8205" w:type="dxa"/>
          </w:tcPr>
          <w:p w14:paraId="55BF236D" w14:textId="77777777" w:rsidR="00471941" w:rsidRPr="009521FC" w:rsidRDefault="00000000" w:rsidP="002023DB">
            <w:pPr>
              <w:rPr>
                <w:rFonts w:eastAsiaTheme="minorEastAsia"/>
                <w:szCs w:val="24"/>
              </w:rPr>
            </w:pPr>
            <m:oMathPara>
              <m:oMath>
                <m:sSup>
                  <m:sSupPr>
                    <m:ctrlPr>
                      <w:rPr>
                        <w:rFonts w:ascii="Cambria Math" w:hAnsi="Cambria Math"/>
                        <w:i/>
                        <w:szCs w:val="24"/>
                      </w:rPr>
                    </m:ctrlPr>
                  </m:sSupPr>
                  <m:e>
                    <m:r>
                      <w:rPr>
                        <w:rFonts w:ascii="Cambria Math" w:hAnsi="Cambria Math"/>
                        <w:szCs w:val="24"/>
                      </w:rPr>
                      <m:t>u</m:t>
                    </m:r>
                  </m:e>
                  <m:sup>
                    <m:r>
                      <w:rPr>
                        <w:rFonts w:ascii="Cambria Math" w:hAnsi="Cambria Math"/>
                        <w:szCs w:val="24"/>
                      </w:rPr>
                      <m:t>m</m:t>
                    </m:r>
                  </m:sup>
                </m:sSup>
                <m:r>
                  <m:rPr>
                    <m:sty m:val="p"/>
                  </m:rPr>
                  <w:rPr>
                    <w:rFonts w:ascii="Cambria Math" w:hAnsi="Cambria Math"/>
                    <w:szCs w:val="24"/>
                  </w:rPr>
                  <m:t>∈</m:t>
                </m:r>
                <m:r>
                  <m:rPr>
                    <m:lit/>
                  </m:rPr>
                  <w:rPr>
                    <w:rFonts w:ascii="Cambria Math" w:hAnsi="Cambria Math"/>
                    <w:szCs w:val="24"/>
                  </w:rPr>
                  <m:t>{</m:t>
                </m:r>
                <m:r>
                  <w:rPr>
                    <w:rFonts w:ascii="Cambria Math" w:hAnsi="Cambria Math"/>
                    <w:szCs w:val="24"/>
                  </w:rPr>
                  <m:t>0,1</m:t>
                </m:r>
                <m:r>
                  <m:rPr>
                    <m:lit/>
                  </m:rPr>
                  <w:rPr>
                    <w:rFonts w:ascii="Cambria Math" w:hAnsi="Cambria Math"/>
                    <w:szCs w:val="24"/>
                  </w:rPr>
                  <m:t>}</m:t>
                </m:r>
                <m:r>
                  <w:rPr>
                    <w:rFonts w:ascii="Cambria Math" w:hAnsi="Cambria Math"/>
                    <w:szCs w:val="24"/>
                  </w:rPr>
                  <m:t xml:space="preserve"> </m:t>
                </m:r>
                <m:r>
                  <m:rPr>
                    <m:sty m:val="p"/>
                  </m:rPr>
                  <w:rPr>
                    <w:rFonts w:ascii="Cambria Math" w:hAnsi="Cambria Math"/>
                    <w:szCs w:val="24"/>
                  </w:rPr>
                  <m:t xml:space="preserve">  for</m:t>
                </m:r>
                <m:r>
                  <w:rPr>
                    <w:rFonts w:ascii="Cambria Math" w:hAnsi="Cambria Math"/>
                    <w:szCs w:val="24"/>
                  </w:rPr>
                  <m:t xml:space="preserve">   m=k,…,k+</m:t>
                </m:r>
                <m:r>
                  <w:rPr>
                    <w:rFonts w:ascii="Cambria Math" w:eastAsia="STLiti" w:hAnsi="Cambria Math"/>
                    <w:szCs w:val="24"/>
                  </w:rPr>
                  <m:t>N</m:t>
                </m:r>
                <m:r>
                  <m:rPr>
                    <m:nor/>
                  </m:rPr>
                  <w:rPr>
                    <w:szCs w:val="24"/>
                  </w:rPr>
                  <m:t xml:space="preserve"> </m:t>
                </m:r>
              </m:oMath>
            </m:oMathPara>
          </w:p>
        </w:tc>
        <w:tc>
          <w:tcPr>
            <w:tcW w:w="1160" w:type="dxa"/>
          </w:tcPr>
          <w:p w14:paraId="20BEEE15" w14:textId="60F14130" w:rsidR="00471941" w:rsidRPr="00EE1AE8" w:rsidRDefault="00471941" w:rsidP="002023DB">
            <w:pPr>
              <w:keepNext/>
              <w:rPr>
                <w:rFonts w:eastAsia="PMingLiU"/>
              </w:rPr>
            </w:pPr>
            <w:bookmarkStart w:id="242" w:name="_Ref133850273"/>
            <w:r>
              <w:t>(</w:t>
            </w:r>
            <w:r>
              <w:fldChar w:fldCharType="begin"/>
            </w:r>
            <w:r>
              <w:instrText>SEQ equation \* ARABIC</w:instrText>
            </w:r>
            <w:r>
              <w:fldChar w:fldCharType="separate"/>
            </w:r>
            <w:r w:rsidR="000E1725">
              <w:rPr>
                <w:noProof/>
              </w:rPr>
              <w:t>27</w:t>
            </w:r>
            <w:r>
              <w:fldChar w:fldCharType="end"/>
            </w:r>
            <w:r>
              <w:t>)</w:t>
            </w:r>
            <w:bookmarkEnd w:id="242"/>
          </w:p>
        </w:tc>
      </w:tr>
      <w:tr w:rsidR="00471941" w14:paraId="54FB4FC6" w14:textId="77777777" w:rsidTr="00F54419">
        <w:tc>
          <w:tcPr>
            <w:tcW w:w="8205" w:type="dxa"/>
          </w:tcPr>
          <w:p w14:paraId="09765BAA" w14:textId="77777777" w:rsidR="00471941" w:rsidRPr="00B67CE5" w:rsidRDefault="00000000" w:rsidP="002023DB">
            <w:pPr>
              <w:rPr>
                <w:rFonts w:eastAsiaTheme="minorEastAsia"/>
                <w:szCs w:val="24"/>
              </w:rPr>
            </w:pPr>
            <m:oMathPara>
              <m:oMath>
                <m:sSup>
                  <m:sSupPr>
                    <m:ctrlPr>
                      <w:rPr>
                        <w:rFonts w:ascii="Cambria Math" w:hAnsi="Cambria Math"/>
                        <w:i/>
                        <w:szCs w:val="24"/>
                      </w:rPr>
                    </m:ctrlPr>
                  </m:sSupPr>
                  <m:e>
                    <m:r>
                      <w:rPr>
                        <w:rFonts w:ascii="Cambria Math" w:hAnsi="Cambria Math"/>
                        <w:szCs w:val="24"/>
                      </w:rPr>
                      <m:t>v</m:t>
                    </m:r>
                  </m:e>
                  <m:sup>
                    <m:r>
                      <w:rPr>
                        <w:rFonts w:ascii="Cambria Math" w:hAnsi="Cambria Math"/>
                        <w:szCs w:val="24"/>
                      </w:rPr>
                      <m:t>m</m:t>
                    </m:r>
                  </m:sup>
                </m:sSup>
                <m:r>
                  <m:rPr>
                    <m:sty m:val="p"/>
                  </m:rPr>
                  <w:rPr>
                    <w:rFonts w:ascii="Cambria Math" w:hAnsi="Cambria Math" w:hint="eastAsia"/>
                    <w:szCs w:val="24"/>
                  </w:rPr>
                  <m:t>∈</m:t>
                </m:r>
                <m:sSub>
                  <m:sSubPr>
                    <m:ctrlPr>
                      <w:rPr>
                        <w:rFonts w:ascii="Cambria Math" w:hAnsi="Cambria Math"/>
                        <w:i/>
                        <w:szCs w:val="24"/>
                      </w:rPr>
                    </m:ctrlPr>
                  </m:sSubPr>
                  <m:e>
                    <m:sSup>
                      <m:sSupPr>
                        <m:ctrlPr>
                          <w:rPr>
                            <w:rFonts w:ascii="Cambria Math" w:hAnsi="Cambria Math"/>
                            <w:i/>
                            <w:szCs w:val="24"/>
                          </w:rPr>
                        </m:ctrlPr>
                      </m:sSupPr>
                      <m:e>
                        <m:r>
                          <m:rPr>
                            <m:scr m:val="double-struck"/>
                          </m:rPr>
                          <w:rPr>
                            <w:rFonts w:ascii="Cambria Math" w:hAnsi="Cambria Math"/>
                            <w:szCs w:val="24"/>
                          </w:rPr>
                          <m:t>R</m:t>
                        </m:r>
                        <m:ctrlPr>
                          <w:rPr>
                            <w:rFonts w:ascii="Cambria Math" w:hAnsi="Cambria Math"/>
                            <w:szCs w:val="24"/>
                          </w:rPr>
                        </m:ctrlPr>
                      </m:e>
                      <m:sup>
                        <m:r>
                          <w:rPr>
                            <w:rFonts w:ascii="Cambria Math" w:hAnsi="Cambria Math"/>
                            <w:szCs w:val="24"/>
                          </w:rPr>
                          <m:t xml:space="preserve"> </m:t>
                        </m:r>
                      </m:sup>
                    </m:sSup>
                  </m:e>
                  <m:sub>
                    <m:r>
                      <w:rPr>
                        <w:rFonts w:ascii="Cambria Math" w:hAnsi="Cambria Math"/>
                        <w:szCs w:val="24"/>
                      </w:rPr>
                      <m:t>≥0</m:t>
                    </m:r>
                  </m:sub>
                </m:sSub>
                <m:r>
                  <m:rPr>
                    <m:sty m:val="p"/>
                  </m:rPr>
                  <w:rPr>
                    <w:rFonts w:ascii="Cambria Math" w:hAnsi="Cambria Math"/>
                    <w:szCs w:val="24"/>
                  </w:rPr>
                  <m:t xml:space="preserve">   for</m:t>
                </m:r>
                <m:r>
                  <w:rPr>
                    <w:rFonts w:ascii="Cambria Math" w:hAnsi="Cambria Math"/>
                    <w:szCs w:val="24"/>
                  </w:rPr>
                  <m:t xml:space="preserve">   m=k,…,k+</m:t>
                </m:r>
                <m:r>
                  <w:rPr>
                    <w:rFonts w:ascii="Cambria Math" w:eastAsia="STLiti" w:hAnsi="Cambria Math" w:hint="eastAsia"/>
                    <w:szCs w:val="24"/>
                  </w:rPr>
                  <m:t>N</m:t>
                </m:r>
                <m:r>
                  <w:rPr>
                    <w:rFonts w:ascii="Cambria Math" w:hAnsi="Cambria Math"/>
                    <w:szCs w:val="24"/>
                  </w:rPr>
                  <m:t>,</m:t>
                </m:r>
              </m:oMath>
            </m:oMathPara>
          </w:p>
        </w:tc>
        <w:tc>
          <w:tcPr>
            <w:tcW w:w="1160" w:type="dxa"/>
          </w:tcPr>
          <w:p w14:paraId="1CA73079" w14:textId="65B8E087" w:rsidR="00471941" w:rsidRPr="00EE1AE8" w:rsidRDefault="00471941" w:rsidP="002023DB">
            <w:pPr>
              <w:pStyle w:val="Caption"/>
              <w:rPr>
                <w:rFonts w:ascii="Times New Roman" w:hAnsi="Times New Roman"/>
                <w:sz w:val="24"/>
                <w:szCs w:val="24"/>
              </w:rPr>
            </w:pPr>
            <w:bookmarkStart w:id="243" w:name="_Ref133850343"/>
            <w:r w:rsidRPr="00EE1AE8">
              <w:rPr>
                <w:rFonts w:ascii="Times New Roman" w:hAnsi="Times New Roman"/>
                <w:sz w:val="24"/>
                <w:szCs w:val="24"/>
              </w:rPr>
              <w:t>(</w:t>
            </w:r>
            <w:r w:rsidRPr="00EE1AE8">
              <w:rPr>
                <w:rFonts w:ascii="Times New Roman" w:hAnsi="Times New Roman"/>
                <w:sz w:val="24"/>
                <w:szCs w:val="24"/>
              </w:rPr>
              <w:fldChar w:fldCharType="begin"/>
            </w:r>
            <w:r w:rsidRPr="00EE1AE8">
              <w:rPr>
                <w:rFonts w:ascii="Times New Roman" w:hAnsi="Times New Roman"/>
                <w:sz w:val="24"/>
                <w:szCs w:val="24"/>
              </w:rPr>
              <w:instrText xml:space="preserve"> SEQ equation \* ARABIC </w:instrText>
            </w:r>
            <w:r w:rsidRPr="00EE1AE8">
              <w:rPr>
                <w:rFonts w:ascii="Times New Roman" w:hAnsi="Times New Roman"/>
                <w:sz w:val="24"/>
                <w:szCs w:val="24"/>
              </w:rPr>
              <w:fldChar w:fldCharType="separate"/>
            </w:r>
            <w:r w:rsidR="000E1725">
              <w:rPr>
                <w:rFonts w:ascii="Times New Roman" w:hAnsi="Times New Roman"/>
                <w:noProof/>
                <w:sz w:val="24"/>
                <w:szCs w:val="24"/>
              </w:rPr>
              <w:t>28</w:t>
            </w:r>
            <w:r w:rsidRPr="00EE1AE8">
              <w:rPr>
                <w:rFonts w:ascii="Times New Roman" w:hAnsi="Times New Roman"/>
                <w:sz w:val="24"/>
                <w:szCs w:val="24"/>
              </w:rPr>
              <w:fldChar w:fldCharType="end"/>
            </w:r>
            <w:r w:rsidRPr="00EE1AE8">
              <w:rPr>
                <w:rFonts w:ascii="Times New Roman" w:hAnsi="Times New Roman"/>
                <w:sz w:val="24"/>
                <w:szCs w:val="24"/>
              </w:rPr>
              <w:t>)</w:t>
            </w:r>
            <w:bookmarkEnd w:id="243"/>
          </w:p>
        </w:tc>
      </w:tr>
    </w:tbl>
    <w:p w14:paraId="48303326" w14:textId="5DC4E8EA" w:rsidR="00471941" w:rsidRPr="009E4C9B" w:rsidRDefault="00471941" w:rsidP="00471941">
      <w:pPr>
        <w:spacing w:before="240"/>
        <w:ind w:firstLine="0"/>
      </w:pPr>
      <w:r w:rsidRPr="009521FC">
        <w:t xml:space="preserve">where </w:t>
      </w:r>
      <w:r w:rsidRPr="009521FC">
        <w:fldChar w:fldCharType="begin"/>
      </w:r>
      <w:r w:rsidRPr="009521FC">
        <w:instrText xml:space="preserve"> REF _Ref133850136 \h  \* MERGEFORMAT </w:instrText>
      </w:r>
      <w:r w:rsidRPr="009521FC">
        <w:fldChar w:fldCharType="separate"/>
      </w:r>
      <w:r w:rsidR="000E1725">
        <w:t>(</w:t>
      </w:r>
      <w:r w:rsidR="000E1725">
        <w:rPr>
          <w:noProof/>
        </w:rPr>
        <w:t>24</w:t>
      </w:r>
      <w:r w:rsidR="000E1725">
        <w:t>)</w:t>
      </w:r>
      <w:r w:rsidRPr="009521FC">
        <w:fldChar w:fldCharType="end"/>
      </w:r>
      <w:r w:rsidRPr="009521FC">
        <w:t xml:space="preserve"> and </w:t>
      </w:r>
      <w:r w:rsidRPr="009521FC">
        <w:fldChar w:fldCharType="begin"/>
      </w:r>
      <w:r w:rsidRPr="009521FC">
        <w:instrText xml:space="preserve"> REF _Ref133850137 \h  \* MERGEFORMAT </w:instrText>
      </w:r>
      <w:r w:rsidRPr="009521FC">
        <w:fldChar w:fldCharType="separate"/>
      </w:r>
      <w:r w:rsidR="000E1725">
        <w:t>(</w:t>
      </w:r>
      <w:r w:rsidR="000E1725">
        <w:rPr>
          <w:noProof/>
        </w:rPr>
        <w:t>25</w:t>
      </w:r>
      <w:r w:rsidR="000E1725">
        <w:t>)</w:t>
      </w:r>
      <w:r w:rsidRPr="009521FC">
        <w:fldChar w:fldCharType="end"/>
      </w:r>
      <w:r w:rsidRPr="009521FC">
        <w:t xml:space="preserve"> are</w:t>
      </w:r>
      <w:r>
        <w:rPr>
          <w:szCs w:val="24"/>
        </w:rPr>
        <w:t xml:space="preserve"> taken from discretizing 2R2C model using Euler forward method</w:t>
      </w:r>
      <w:r w:rsidRPr="009521FC">
        <w:t xml:space="preserve">, </w:t>
      </w:r>
      <w:r w:rsidRPr="009521FC">
        <w:fldChar w:fldCharType="begin"/>
      </w:r>
      <w:r w:rsidRPr="009521FC">
        <w:instrText xml:space="preserve"> REF _Ref133850240 \h  \* MERGEFORMAT </w:instrText>
      </w:r>
      <w:r w:rsidRPr="009521FC">
        <w:fldChar w:fldCharType="separate"/>
      </w:r>
      <w:r w:rsidR="000E1725">
        <w:t>(</w:t>
      </w:r>
      <w:r w:rsidR="000E1725">
        <w:rPr>
          <w:noProof/>
        </w:rPr>
        <w:t>26</w:t>
      </w:r>
      <w:r w:rsidR="000E1725">
        <w:t>)</w:t>
      </w:r>
      <w:r w:rsidRPr="009521FC">
        <w:fldChar w:fldCharType="end"/>
      </w:r>
      <w:r w:rsidRPr="009521FC">
        <w:t xml:space="preserve"> </w:t>
      </w:r>
      <w:r>
        <w:t>represents</w:t>
      </w:r>
      <w:r w:rsidRPr="009521FC">
        <w:t xml:space="preserve"> </w:t>
      </w:r>
      <w:r>
        <w:t xml:space="preserve">soft constraints on </w:t>
      </w:r>
      <w:r w:rsidRPr="009521FC">
        <w:t xml:space="preserve">thermal comfort, </w:t>
      </w:r>
      <m:oMath>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lb</m:t>
            </m:r>
          </m:sub>
          <m:sup>
            <m:r>
              <w:rPr>
                <w:rFonts w:ascii="Cambria Math" w:hAnsi="Cambria Math"/>
                <w:szCs w:val="24"/>
              </w:rPr>
              <m:t>m</m:t>
            </m:r>
          </m:sup>
        </m:sSubSup>
      </m:oMath>
      <w:r w:rsidRPr="009521FC">
        <w:rPr>
          <w:rFonts w:hint="eastAsia"/>
          <w:szCs w:val="24"/>
        </w:rPr>
        <w:t xml:space="preserve"> </w:t>
      </w:r>
      <w:r w:rsidRPr="009521FC">
        <w:rPr>
          <w:szCs w:val="24"/>
        </w:rPr>
        <w:t>and</w:t>
      </w:r>
      <w:r>
        <w:rPr>
          <w:szCs w:val="24"/>
        </w:rPr>
        <w:t xml:space="preserve"> </w:t>
      </w:r>
      <m:oMath>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ub</m:t>
            </m:r>
          </m:sub>
          <m:sup>
            <m:r>
              <w:rPr>
                <w:rFonts w:ascii="Cambria Math" w:hAnsi="Cambria Math"/>
                <w:szCs w:val="24"/>
              </w:rPr>
              <m:t>m</m:t>
            </m:r>
          </m:sup>
        </m:sSubSup>
      </m:oMath>
      <w:r w:rsidRPr="009521FC">
        <w:rPr>
          <w:szCs w:val="24"/>
        </w:rPr>
        <w:t xml:space="preserve"> are </w:t>
      </w:r>
      <w:r>
        <w:rPr>
          <w:szCs w:val="24"/>
        </w:rPr>
        <w:t xml:space="preserve">lower </w:t>
      </w:r>
      <w:r w:rsidRPr="009521FC">
        <w:rPr>
          <w:szCs w:val="24"/>
        </w:rPr>
        <w:t xml:space="preserve">and </w:t>
      </w:r>
      <w:r>
        <w:rPr>
          <w:szCs w:val="24"/>
        </w:rPr>
        <w:t>upper</w:t>
      </w:r>
      <w:r w:rsidRPr="009521FC">
        <w:rPr>
          <w:szCs w:val="24"/>
        </w:rPr>
        <w:t xml:space="preserve"> bounds on</w:t>
      </w:r>
      <w:r>
        <w:rPr>
          <w:szCs w:val="24"/>
        </w:rPr>
        <w:t xml:space="preserve"> </w:t>
      </w:r>
      <m:oMath>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m</m:t>
            </m:r>
          </m:sup>
        </m:sSubSup>
      </m:oMath>
      <w:r w:rsidRPr="009521FC">
        <w:t xml:space="preserve">, </w:t>
      </w:r>
      <w:r w:rsidRPr="009521FC">
        <w:fldChar w:fldCharType="begin"/>
      </w:r>
      <w:r w:rsidRPr="009521FC">
        <w:instrText xml:space="preserve"> REF _Ref133850273 \h  \* MERGEFORMAT </w:instrText>
      </w:r>
      <w:r w:rsidRPr="009521FC">
        <w:fldChar w:fldCharType="separate"/>
      </w:r>
      <w:r w:rsidR="000E1725">
        <w:t>(</w:t>
      </w:r>
      <w:r w:rsidR="000E1725">
        <w:rPr>
          <w:noProof/>
        </w:rPr>
        <w:t>27</w:t>
      </w:r>
      <w:r w:rsidR="000E1725">
        <w:t>)</w:t>
      </w:r>
      <w:r w:rsidRPr="009521FC">
        <w:fldChar w:fldCharType="end"/>
      </w:r>
      <w:r w:rsidRPr="009521FC">
        <w:t xml:space="preserve"> </w:t>
      </w:r>
      <w:r>
        <w:t>ensures</w:t>
      </w:r>
      <w:r w:rsidRPr="009521FC">
        <w:t xml:space="preserve"> </w:t>
      </w:r>
      <w:r>
        <w:t xml:space="preserve">that </w:t>
      </w:r>
      <m:oMath>
        <m:sSup>
          <m:sSupPr>
            <m:ctrlPr>
              <w:rPr>
                <w:rFonts w:ascii="Cambria Math" w:hAnsi="Cambria Math"/>
                <w:i/>
              </w:rPr>
            </m:ctrlPr>
          </m:sSupPr>
          <m:e>
            <m:r>
              <w:rPr>
                <w:rFonts w:ascii="Cambria Math" w:hAnsi="Cambria Math"/>
              </w:rPr>
              <m:t>u</m:t>
            </m:r>
          </m:e>
          <m:sup>
            <m:r>
              <w:rPr>
                <w:rFonts w:ascii="Cambria Math" w:hAnsi="Cambria Math"/>
              </w:rPr>
              <m:t>m</m:t>
            </m:r>
          </m:sup>
        </m:sSup>
      </m:oMath>
      <w:r w:rsidRPr="009521FC">
        <w:rPr>
          <w:rFonts w:hint="eastAsia"/>
        </w:rPr>
        <w:t xml:space="preserve"> </w:t>
      </w:r>
      <w:r>
        <w:t>is</w:t>
      </w:r>
      <w:r w:rsidRPr="009521FC">
        <w:t xml:space="preserve"> binary,</w:t>
      </w:r>
      <w:r>
        <w:t xml:space="preserve"> and</w:t>
      </w:r>
      <w:r w:rsidRPr="009521FC">
        <w:t xml:space="preserve"> </w:t>
      </w:r>
      <w:r w:rsidRPr="009521FC">
        <w:fldChar w:fldCharType="begin"/>
      </w:r>
      <w:r w:rsidRPr="009521FC">
        <w:instrText xml:space="preserve"> REF _Ref133850343 \h  \* MERGEFORMAT </w:instrText>
      </w:r>
      <w:r w:rsidRPr="009521FC">
        <w:fldChar w:fldCharType="separate"/>
      </w:r>
      <w:r w:rsidR="000E1725" w:rsidRPr="00EE1AE8">
        <w:rPr>
          <w:szCs w:val="24"/>
        </w:rPr>
        <w:t>(</w:t>
      </w:r>
      <w:r w:rsidR="000E1725">
        <w:rPr>
          <w:noProof/>
          <w:szCs w:val="24"/>
        </w:rPr>
        <w:t>28</w:t>
      </w:r>
      <w:r w:rsidR="000E1725" w:rsidRPr="00EE1AE8">
        <w:rPr>
          <w:szCs w:val="24"/>
        </w:rPr>
        <w:t>)</w:t>
      </w:r>
      <w:r w:rsidRPr="009521FC">
        <w:fldChar w:fldCharType="end"/>
      </w:r>
      <w:r w:rsidRPr="009521FC">
        <w:t xml:space="preserve"> </w:t>
      </w:r>
      <w:r>
        <w:t>forces</w:t>
      </w:r>
      <w:r w:rsidRPr="009521FC">
        <w:t xml:space="preserve"> </w:t>
      </w:r>
      <m:oMath>
        <m:sSup>
          <m:sSupPr>
            <m:ctrlPr>
              <w:rPr>
                <w:rFonts w:ascii="Cambria Math" w:hAnsi="Cambria Math"/>
                <w:i/>
              </w:rPr>
            </m:ctrlPr>
          </m:sSupPr>
          <m:e>
            <m:r>
              <w:rPr>
                <w:rFonts w:ascii="Cambria Math" w:hAnsi="Cambria Math"/>
              </w:rPr>
              <m:t>v</m:t>
            </m:r>
          </m:e>
          <m:sup>
            <m:r>
              <w:rPr>
                <w:rFonts w:ascii="Cambria Math" w:hAnsi="Cambria Math"/>
              </w:rPr>
              <m:t>m</m:t>
            </m:r>
          </m:sup>
        </m:sSup>
      </m:oMath>
      <w:r>
        <w:rPr>
          <w:rFonts w:hint="eastAsia"/>
        </w:rPr>
        <w:t xml:space="preserve"> </w:t>
      </w:r>
      <w:r>
        <w:t>to be</w:t>
      </w:r>
      <w:r w:rsidRPr="009521FC">
        <w:t xml:space="preserve"> non-negativ</w:t>
      </w:r>
      <w:r>
        <w:t>e</w:t>
      </w:r>
      <w:r w:rsidRPr="009521FC">
        <w:t xml:space="preserve">. </w:t>
      </w:r>
      <w:r>
        <w:t xml:space="preserve">Notice that the MILP problem makes use of two initial conditions </w:t>
      </w:r>
      <m:oMath>
        <m:sSubSup>
          <m:sSubSupPr>
            <m:ctrlPr>
              <w:rPr>
                <w:rFonts w:ascii="Cambria Math" w:hAnsi="Cambria Math"/>
                <w:i/>
              </w:rPr>
            </m:ctrlPr>
          </m:sSubSupPr>
          <m:e>
            <m:r>
              <w:rPr>
                <w:rFonts w:ascii="Cambria Math" w:hAnsi="Cambria Math"/>
              </w:rPr>
              <m:t>T</m:t>
            </m:r>
          </m:e>
          <m:sub>
            <m:r>
              <w:rPr>
                <w:rFonts w:ascii="Cambria Math" w:hAnsi="Cambria Math"/>
              </w:rPr>
              <m:t>in</m:t>
            </m:r>
          </m:sub>
          <m:sup>
            <m:r>
              <w:rPr>
                <w:rFonts w:ascii="Cambria Math" w:hAnsi="Cambria Math"/>
              </w:rPr>
              <m:t>k</m:t>
            </m:r>
          </m:sup>
        </m:sSubSup>
      </m:oMath>
      <w:r>
        <w:rPr>
          <w:rFonts w:hint="eastAsia"/>
        </w:rPr>
        <w:t xml:space="preserve"> </w:t>
      </w:r>
      <w:r>
        <w:t xml:space="preserve">and </w:t>
      </w:r>
      <m:oMath>
        <m:sSubSup>
          <m:sSubSupPr>
            <m:ctrlPr>
              <w:rPr>
                <w:rFonts w:ascii="Cambria Math" w:hAnsi="Cambria Math"/>
                <w:i/>
              </w:rPr>
            </m:ctrlPr>
          </m:sSubSupPr>
          <m:e>
            <m:r>
              <w:rPr>
                <w:rFonts w:ascii="Cambria Math" w:hAnsi="Cambria Math"/>
              </w:rPr>
              <m:t>T</m:t>
            </m:r>
          </m:e>
          <m:sub>
            <m:r>
              <w:rPr>
                <w:rFonts w:ascii="Cambria Math" w:hAnsi="Cambria Math"/>
              </w:rPr>
              <m:t>ie</m:t>
            </m:r>
          </m:sub>
          <m:sup>
            <m:r>
              <w:rPr>
                <w:rFonts w:ascii="Cambria Math" w:hAnsi="Cambria Math"/>
              </w:rPr>
              <m:t>k</m:t>
            </m:r>
          </m:sup>
        </m:sSubSup>
      </m:oMath>
      <w:r>
        <w:rPr>
          <w:rFonts w:hint="eastAsia"/>
        </w:rPr>
        <w:t xml:space="preserve">, </w:t>
      </w:r>
      <w:r>
        <w:t xml:space="preserve">which come from real-time measurements at time step </w:t>
      </w:r>
      <m:oMath>
        <m:r>
          <w:rPr>
            <w:rFonts w:ascii="Cambria Math" w:hAnsi="Cambria Math"/>
          </w:rPr>
          <m:t>k</m:t>
        </m:r>
      </m:oMath>
      <w:r>
        <w:t>.</w:t>
      </w:r>
    </w:p>
    <w:p w14:paraId="7C2718EF" w14:textId="4E390D34" w:rsidR="00471941" w:rsidRPr="00030A1B" w:rsidRDefault="00471941" w:rsidP="00471941">
      <w:r w:rsidRPr="009521FC">
        <w:t xml:space="preserve">In general, the </w:t>
      </w:r>
      <w:r>
        <w:t>MILP</w:t>
      </w:r>
      <w:r w:rsidRPr="009521FC">
        <w:t xml:space="preserve"> problem </w:t>
      </w:r>
      <w:r>
        <w:t>may</w:t>
      </w:r>
      <w:r w:rsidRPr="009521FC">
        <w:t xml:space="preserve"> be infeasible because</w:t>
      </w:r>
      <w:r>
        <w:t>, for example, the forecasted outdoor air temperature is too high for the AC to keep up, or the homeowner’s thermal comfort range is too narrow for the indoor air temperature to stay in</w:t>
      </w:r>
      <w:r w:rsidRPr="009521FC">
        <w:t xml:space="preserve">. </w:t>
      </w:r>
      <w:r>
        <w:t>Such infeasibility may cause the MPC agent to crash. To ensure that the MILP problem is always feasible, instead of using hard temperature constraints</w:t>
      </w:r>
      <w:r>
        <w:rPr>
          <w:rFonts w:hint="eastAsia"/>
        </w:rPr>
        <w:t xml:space="preserve"> </w:t>
      </w:r>
      <m:oMath>
        <m:sSubSup>
          <m:sSubSupPr>
            <m:ctrlPr>
              <w:rPr>
                <w:rFonts w:ascii="Cambria Math" w:hAnsi="Cambria Math"/>
              </w:rPr>
            </m:ctrlPr>
          </m:sSubSupPr>
          <m:e>
            <m:r>
              <w:rPr>
                <w:rFonts w:ascii="Cambria Math" w:hAnsi="Cambria Math"/>
              </w:rPr>
              <m:t>T</m:t>
            </m:r>
          </m:e>
          <m:sub>
            <m:r>
              <w:rPr>
                <w:rFonts w:ascii="Cambria Math" w:hAnsi="Cambria Math"/>
              </w:rPr>
              <m:t>lb</m:t>
            </m:r>
          </m:sub>
          <m:sup>
            <m:r>
              <w:rPr>
                <w:rFonts w:ascii="Cambria Math" w:hAnsi="Cambria Math"/>
              </w:rPr>
              <m:t>m</m:t>
            </m:r>
          </m:sup>
        </m:sSubSup>
        <m:r>
          <m:rPr>
            <m:sty m:val="p"/>
          </m:rPr>
          <w:rPr>
            <w:rFonts w:ascii="Cambria Math" w:hAnsi="Cambria Math" w:hint="eastAsia"/>
          </w:rPr>
          <m:t>≤</m:t>
        </m:r>
        <m:sSubSup>
          <m:sSubSupPr>
            <m:ctrlPr>
              <w:rPr>
                <w:rFonts w:ascii="Cambria Math" w:hAnsi="Cambria Math"/>
              </w:rPr>
            </m:ctrlPr>
          </m:sSubSupPr>
          <m:e>
            <m:r>
              <m:rPr>
                <m:sty m:val="p"/>
              </m:rPr>
              <w:rPr>
                <w:rFonts w:ascii="Cambria Math" w:hAnsi="Cambria Math"/>
              </w:rPr>
              <m:t xml:space="preserve"> </m:t>
            </m:r>
            <m:r>
              <w:rPr>
                <w:rFonts w:ascii="Cambria Math" w:hAnsi="Cambria Math"/>
              </w:rPr>
              <m:t>T</m:t>
            </m:r>
          </m:e>
          <m:sub>
            <m:r>
              <w:rPr>
                <w:rFonts w:ascii="Cambria Math" w:hAnsi="Cambria Math"/>
              </w:rPr>
              <m:t>in</m:t>
            </m:r>
          </m:sub>
          <m:sup>
            <m:r>
              <w:rPr>
                <w:rFonts w:ascii="Cambria Math" w:hAnsi="Cambria Math"/>
              </w:rPr>
              <m:t>m</m:t>
            </m:r>
          </m:sup>
        </m:sSubSup>
        <m:r>
          <m:rPr>
            <m:sty m:val="p"/>
          </m:rPr>
          <w:rPr>
            <w:rFonts w:ascii="Cambria Math" w:hAnsi="Cambria Math" w:hint="eastAsia"/>
          </w:rPr>
          <m:t>≤</m:t>
        </m:r>
        <m:sSubSup>
          <m:sSubSupPr>
            <m:ctrlPr>
              <w:rPr>
                <w:rFonts w:ascii="Cambria Math" w:hAnsi="Cambria Math"/>
              </w:rPr>
            </m:ctrlPr>
          </m:sSubSupPr>
          <m:e>
            <m:r>
              <w:rPr>
                <w:rFonts w:ascii="Cambria Math" w:hAnsi="Cambria Math"/>
              </w:rPr>
              <m:t>T</m:t>
            </m:r>
          </m:e>
          <m:sub>
            <m:r>
              <w:rPr>
                <w:rFonts w:ascii="Cambria Math" w:hAnsi="Cambria Math"/>
              </w:rPr>
              <m:t>ub</m:t>
            </m:r>
          </m:sub>
          <m:sup>
            <m:r>
              <w:rPr>
                <w:rFonts w:ascii="Cambria Math" w:hAnsi="Cambria Math"/>
              </w:rPr>
              <m:t>m</m:t>
            </m:r>
          </m:sup>
        </m:sSubSup>
        <m:r>
          <w:rPr>
            <w:rFonts w:ascii="Cambria Math" w:hAnsi="Cambria Math"/>
          </w:rPr>
          <m:t xml:space="preserve">    </m:t>
        </m:r>
        <m:r>
          <m:rPr>
            <m:sty m:val="p"/>
          </m:rPr>
          <w:rPr>
            <w:rFonts w:ascii="Cambria Math" w:hAnsi="Cambria Math"/>
          </w:rPr>
          <m:t>for</m:t>
        </m:r>
        <m:r>
          <w:rPr>
            <w:rFonts w:ascii="Cambria Math" w:hAnsi="Cambria Math"/>
          </w:rPr>
          <m:t xml:space="preserve">    m=k,</m:t>
        </m:r>
        <m:r>
          <m:rPr>
            <m:sty m:val="p"/>
          </m:rPr>
          <w:rPr>
            <w:rFonts w:ascii="Cambria Math" w:hAnsi="Cambria Math" w:hint="eastAsia"/>
          </w:rPr>
          <m:t>…</m:t>
        </m:r>
        <m:r>
          <w:rPr>
            <w:rFonts w:ascii="Cambria Math" w:hAnsi="Cambria Math"/>
          </w:rPr>
          <m:t>,k+N</m:t>
        </m:r>
      </m:oMath>
      <w:r>
        <w:rPr>
          <w:rFonts w:eastAsia="PMingLiU"/>
        </w:rPr>
        <w:t xml:space="preserve">, </w:t>
      </w:r>
      <w:r>
        <w:t>the constraints are</w:t>
      </w:r>
      <w:r w:rsidRPr="009521FC">
        <w:t xml:space="preserve"> </w:t>
      </w:r>
      <w:r w:rsidRPr="009521FC">
        <w:lastRenderedPageBreak/>
        <w:t xml:space="preserve">"soften" </w:t>
      </w:r>
      <w:r>
        <w:t xml:space="preserve">by inserting into </w:t>
      </w:r>
      <w:r>
        <w:fldChar w:fldCharType="begin"/>
      </w:r>
      <w:r>
        <w:instrText xml:space="preserve"> REF _Ref133850240 \h </w:instrText>
      </w:r>
      <w:r>
        <w:fldChar w:fldCharType="separate"/>
      </w:r>
      <w:r w:rsidR="000E1725">
        <w:t>(</w:t>
      </w:r>
      <w:r w:rsidR="000E1725">
        <w:rPr>
          <w:noProof/>
        </w:rPr>
        <w:t>26</w:t>
      </w:r>
      <w:r w:rsidR="000E1725">
        <w:t>)</w:t>
      </w:r>
      <w:r>
        <w:fldChar w:fldCharType="end"/>
      </w:r>
      <w:r>
        <w:t xml:space="preserve"> </w:t>
      </w:r>
      <w:r w:rsidRPr="009521FC">
        <w:t xml:space="preserve">a non-negative slack variable </w:t>
      </w:r>
      <m:oMath>
        <m:sSup>
          <m:sSupPr>
            <m:ctrlPr>
              <w:rPr>
                <w:rFonts w:ascii="Cambria Math" w:hAnsi="Cambria Math"/>
                <w:i/>
              </w:rPr>
            </m:ctrlPr>
          </m:sSupPr>
          <m:e>
            <m:r>
              <w:rPr>
                <w:rFonts w:ascii="Cambria Math" w:hAnsi="Cambria Math"/>
              </w:rPr>
              <m:t>v</m:t>
            </m:r>
          </m:e>
          <m:sup>
            <m:r>
              <w:rPr>
                <w:rFonts w:ascii="Cambria Math" w:hAnsi="Cambria Math"/>
              </w:rPr>
              <m:t>m</m:t>
            </m:r>
          </m:sup>
        </m:sSup>
      </m:oMath>
      <w:r w:rsidRPr="009521FC">
        <w:rPr>
          <w:rFonts w:eastAsia="STLiti"/>
        </w:rPr>
        <w:t xml:space="preserve"> </w:t>
      </w:r>
      <w:r>
        <w:t>which</w:t>
      </w:r>
      <w:r w:rsidRPr="009521FC">
        <w:t xml:space="preserve"> represent</w:t>
      </w:r>
      <w:r>
        <w:t>s the degree to which the hard temperature constraints are violated</w:t>
      </w:r>
      <w:r w:rsidRPr="009521FC">
        <w:rPr>
          <w:b/>
        </w:rPr>
        <w:t>.</w:t>
      </w:r>
      <w:r w:rsidRPr="009521FC">
        <w:t xml:space="preserve"> </w:t>
      </w:r>
      <w:r>
        <w:t xml:space="preserve">Since such violation is undesirable, a term </w:t>
      </w:r>
      <m:oMath>
        <m:sSup>
          <m:sSupPr>
            <m:ctrlPr>
              <w:rPr>
                <w:rFonts w:ascii="Cambria Math" w:hAnsi="Cambria Math"/>
              </w:rPr>
            </m:ctrlPr>
          </m:sSupPr>
          <m:e>
            <m:r>
              <w:rPr>
                <w:rFonts w:ascii="Cambria Math" w:hAnsi="Cambria Math"/>
              </w:rPr>
              <m:t>wv</m:t>
            </m:r>
          </m:e>
          <m:sup>
            <m:r>
              <w:rPr>
                <w:rFonts w:ascii="Cambria Math" w:eastAsia="STLiti" w:hAnsi="Cambria Math" w:hint="eastAsia"/>
              </w:rPr>
              <m:t>m</m:t>
            </m:r>
          </m:sup>
        </m:sSup>
      </m:oMath>
      <w:r>
        <w:rPr>
          <w:rFonts w:hint="eastAsia"/>
        </w:rPr>
        <w:t xml:space="preserve"> </w:t>
      </w:r>
      <w:r>
        <w:t xml:space="preserve">is also insert into the objective function </w:t>
      </w:r>
      <w:r>
        <w:fldChar w:fldCharType="begin"/>
      </w:r>
      <w:r>
        <w:instrText xml:space="preserve"> REF _Ref134223675 \h </w:instrText>
      </w:r>
      <w:r>
        <w:fldChar w:fldCharType="separate"/>
      </w:r>
      <w:r w:rsidR="000E1725">
        <w:t>(</w:t>
      </w:r>
      <w:r w:rsidR="000E1725">
        <w:rPr>
          <w:noProof/>
        </w:rPr>
        <w:t>22</w:t>
      </w:r>
      <w:r w:rsidR="000E1725">
        <w:t>)</w:t>
      </w:r>
      <w:r>
        <w:fldChar w:fldCharType="end"/>
      </w:r>
      <w:r>
        <w:rPr>
          <w:rFonts w:hint="eastAsia"/>
        </w:rPr>
        <w:t>,</w:t>
      </w:r>
      <w:r w:rsidRPr="009521FC">
        <w:t xml:space="preserve"> </w:t>
      </w:r>
      <w:r>
        <w:t xml:space="preserve">which only imposes a penalty when </w:t>
      </w:r>
      <m:oMath>
        <m:sSubSup>
          <m:sSubSupPr>
            <m:ctrlPr>
              <w:rPr>
                <w:rFonts w:ascii="Cambria Math" w:hAnsi="Cambria Math"/>
                <w:i/>
              </w:rPr>
            </m:ctrlPr>
          </m:sSubSupPr>
          <m:e>
            <m:r>
              <w:rPr>
                <w:rFonts w:ascii="Cambria Math" w:hAnsi="Cambria Math"/>
              </w:rPr>
              <m:t>T</m:t>
            </m:r>
          </m:e>
          <m:sub>
            <m:r>
              <w:rPr>
                <w:rFonts w:ascii="Cambria Math" w:hAnsi="Cambria Math"/>
              </w:rPr>
              <m:t>in</m:t>
            </m:r>
          </m:sub>
          <m:sup>
            <m:r>
              <w:rPr>
                <w:rFonts w:ascii="Cambria Math" w:hAnsi="Cambria Math"/>
              </w:rPr>
              <m:t>m</m:t>
            </m:r>
          </m:sup>
        </m:sSubSup>
      </m:oMath>
      <w:r>
        <w:rPr>
          <w:rFonts w:hint="eastAsia"/>
        </w:rPr>
        <w:t xml:space="preserve"> </w:t>
      </w:r>
      <w:r>
        <w:t xml:space="preserve">turns out to be higher than </w:t>
      </w:r>
      <m:oMath>
        <m:sSubSup>
          <m:sSubSupPr>
            <m:ctrlPr>
              <w:rPr>
                <w:rFonts w:ascii="Cambria Math" w:hAnsi="Cambria Math"/>
                <w:i/>
              </w:rPr>
            </m:ctrlPr>
          </m:sSubSupPr>
          <m:e>
            <m:r>
              <w:rPr>
                <w:rFonts w:ascii="Cambria Math" w:hAnsi="Cambria Math"/>
              </w:rPr>
              <m:t>T</m:t>
            </m:r>
          </m:e>
          <m:sub>
            <m:r>
              <w:rPr>
                <w:rFonts w:ascii="Cambria Math" w:hAnsi="Cambria Math"/>
              </w:rPr>
              <m:t>ub</m:t>
            </m:r>
          </m:sub>
          <m:sup>
            <m:r>
              <w:rPr>
                <w:rFonts w:ascii="Cambria Math" w:hAnsi="Cambria Math"/>
              </w:rPr>
              <m:t>m</m:t>
            </m:r>
          </m:sup>
        </m:sSubSup>
      </m:oMath>
      <w:r>
        <w:t xml:space="preserve"> or lower than </w:t>
      </w:r>
      <m:oMath>
        <m:sSubSup>
          <m:sSubSupPr>
            <m:ctrlPr>
              <w:rPr>
                <w:rFonts w:ascii="Cambria Math" w:hAnsi="Cambria Math"/>
                <w:i/>
              </w:rPr>
            </m:ctrlPr>
          </m:sSubSupPr>
          <m:e>
            <m:r>
              <w:rPr>
                <w:rFonts w:ascii="Cambria Math" w:hAnsi="Cambria Math"/>
              </w:rPr>
              <m:t>T</m:t>
            </m:r>
          </m:e>
          <m:sub>
            <m:r>
              <w:rPr>
                <w:rFonts w:ascii="Cambria Math" w:hAnsi="Cambria Math"/>
              </w:rPr>
              <m:t>lb</m:t>
            </m:r>
          </m:sub>
          <m:sup>
            <m:r>
              <w:rPr>
                <w:rFonts w:ascii="Cambria Math" w:hAnsi="Cambria Math"/>
              </w:rPr>
              <m:t>m</m:t>
            </m:r>
          </m:sup>
        </m:sSubSup>
      </m:oMath>
      <w:r w:rsidRPr="009521FC">
        <w:t xml:space="preserve">. </w:t>
      </w:r>
      <w:r w:rsidRPr="009521FC">
        <w:rPr>
          <w:rFonts w:hint="eastAsia"/>
        </w:rPr>
        <w:t>In</w:t>
      </w:r>
      <w:r w:rsidRPr="009521FC">
        <w:t xml:space="preserve"> other words, the temperature constraints are relaxed only when necessary. </w:t>
      </w:r>
    </w:p>
    <w:p w14:paraId="02F48AC1" w14:textId="77777777" w:rsidR="00471941" w:rsidRDefault="00471941" w:rsidP="00623535">
      <w:pPr>
        <w:pStyle w:val="12FigureFormatSelectafigureandclickonthisstyle"/>
      </w:pPr>
    </w:p>
    <w:p w14:paraId="7A7BC063" w14:textId="77777777" w:rsidR="00471941" w:rsidRPr="00CC2CA1" w:rsidRDefault="00471941" w:rsidP="00471941">
      <w:pPr>
        <w:pStyle w:val="Heading3"/>
      </w:pPr>
      <w:bookmarkStart w:id="244" w:name="_Ref134218202"/>
      <w:bookmarkStart w:id="245" w:name="_Toc141991708"/>
      <w:r>
        <w:t>MPC agent</w:t>
      </w:r>
      <w:bookmarkEnd w:id="244"/>
      <w:bookmarkEnd w:id="245"/>
      <w:r>
        <w:t xml:space="preserve"> </w:t>
      </w:r>
    </w:p>
    <w:p w14:paraId="78909199" w14:textId="41BAABAF" w:rsidR="00471941" w:rsidRPr="007144ED" w:rsidRDefault="00471941" w:rsidP="00410CB0">
      <w:r w:rsidRPr="00623535">
        <w:t xml:space="preserve">Building upon the MILP problem, the MPC agent workflow is now introduced, shown in </w:t>
      </w:r>
      <w:r w:rsidR="00410CB0" w:rsidRPr="00623535">
        <w:fldChar w:fldCharType="begin"/>
      </w:r>
      <w:r w:rsidR="00410CB0" w:rsidRPr="00623535">
        <w:instrText xml:space="preserve"> REF _Ref139415637 \h </w:instrText>
      </w:r>
      <w:r w:rsidR="00410CB0">
        <w:instrText xml:space="preserve"> \* MERGEFORMAT </w:instrText>
      </w:r>
      <w:r w:rsidR="00410CB0" w:rsidRPr="00623535">
        <w:fldChar w:fldCharType="separate"/>
      </w:r>
      <w:r w:rsidR="000E1725">
        <w:t xml:space="preserve">Figure </w:t>
      </w:r>
      <w:r w:rsidR="000E1725">
        <w:rPr>
          <w:noProof/>
        </w:rPr>
        <w:t>4.1</w:t>
      </w:r>
      <w:r w:rsidR="00410CB0" w:rsidRPr="00623535">
        <w:fldChar w:fldCharType="end"/>
      </w:r>
      <w:r w:rsidR="00410CB0" w:rsidRPr="00623535">
        <w:t xml:space="preserve">. </w:t>
      </w:r>
      <w:r w:rsidRPr="00623535">
        <w:t xml:space="preserve">As can be seen from the figure, at each time step </w:t>
      </w:r>
      <m:oMath>
        <m:r>
          <w:rPr>
            <w:rFonts w:ascii="Cambria Math" w:hAnsi="Cambria Math"/>
          </w:rPr>
          <m:t>k</m:t>
        </m:r>
      </m:oMath>
      <w:r w:rsidRPr="00623535">
        <w:t>, the home thermal model (i.e., 2R2C model) receives the identified values of its parameters, weather forecasts over the optimization horizon, and both the indoor air and interior wall surface temperature measurements. The MPC</w:t>
      </w:r>
      <w:r w:rsidRPr="00410CB0">
        <w:t xml:space="preserve"> agent</w:t>
      </w:r>
      <w:r>
        <w:t xml:space="preserve"> then receives the TOU rate, the identified parameters of the total AC power usage model, and the thermal comfort upper and lower bounds, through which the objective function and constraints of the MILP problem are generated. T</w:t>
      </w:r>
      <w:r w:rsidRPr="00DD2BDF">
        <w:t>he</w:t>
      </w:r>
      <w:r w:rsidRPr="00DD2BDF">
        <w:rPr>
          <w:rFonts w:hint="eastAsia"/>
        </w:rPr>
        <w:t xml:space="preserve"> </w:t>
      </w:r>
      <w:r>
        <w:t>MILP</w:t>
      </w:r>
      <w:r w:rsidRPr="00DD2BDF">
        <w:t xml:space="preserve"> problem </w:t>
      </w:r>
      <w:r>
        <w:t xml:space="preserve">is subsequently solved </w:t>
      </w:r>
      <w:r w:rsidRPr="00DD2BDF">
        <w:t xml:space="preserve">to generate </w:t>
      </w:r>
      <w:r>
        <w:t>an optimal sequence of AC on/off signals and slack variables</w:t>
      </w:r>
      <w:r w:rsidRPr="00DD2BDF">
        <w:t>.</w:t>
      </w:r>
      <w:r>
        <w:t xml:space="preserve"> Finally, as is typical with MPC algorithms, only the first element of the optimal sequence of AC on/off signals is physically implemented. The MPC agent can implement this decision by adjusting the temperature setpoint at the smart thermostat in such a way that the AC is forced to turn on or off until the next time step. </w:t>
      </w:r>
    </w:p>
    <w:p w14:paraId="5D2E8042" w14:textId="77777777" w:rsidR="00471941" w:rsidRPr="007E5AC0" w:rsidRDefault="00471941" w:rsidP="00471941">
      <w:pPr>
        <w:pStyle w:val="Heading3"/>
        <w:numPr>
          <w:ilvl w:val="0"/>
          <w:numId w:val="0"/>
        </w:numPr>
      </w:pPr>
    </w:p>
    <w:p w14:paraId="7895190C" w14:textId="77777777" w:rsidR="00A422AD" w:rsidRDefault="00471941" w:rsidP="00471941">
      <w:pPr>
        <w:pStyle w:val="Caption"/>
        <w:jc w:val="center"/>
      </w:pPr>
      <w:bookmarkStart w:id="246" w:name="_Ref132202540"/>
      <w:r>
        <w:rPr>
          <w:noProof/>
        </w:rPr>
        <w:lastRenderedPageBreak/>
        <w:drawing>
          <wp:inline distT="0" distB="0" distL="0" distR="0" wp14:anchorId="498A8B9C" wp14:editId="530A0EE5">
            <wp:extent cx="5383850" cy="3676650"/>
            <wp:effectExtent l="0" t="0" r="1270" b="0"/>
            <wp:docPr id="14" name="Picture 14" descr="A diagram of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diagram of a house&#10;&#10;Description automatically generated with low confidence"/>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5388761" cy="3680004"/>
                    </a:xfrm>
                    <a:prstGeom prst="rect">
                      <a:avLst/>
                    </a:prstGeom>
                    <a:noFill/>
                    <a:ln>
                      <a:noFill/>
                    </a:ln>
                  </pic:spPr>
                </pic:pic>
              </a:graphicData>
            </a:graphic>
          </wp:inline>
        </w:drawing>
      </w:r>
    </w:p>
    <w:p w14:paraId="5BFB508C" w14:textId="2BECCE5F" w:rsidR="00471941" w:rsidRPr="00063E82" w:rsidRDefault="00471941" w:rsidP="00F54419">
      <w:pPr>
        <w:pStyle w:val="13FigureCaption"/>
      </w:pPr>
      <w:bookmarkStart w:id="247" w:name="_Ref139415637"/>
      <w:bookmarkStart w:id="248" w:name="_Toc141349922"/>
      <w:r>
        <w:t xml:space="preserve">Figure </w:t>
      </w:r>
      <w:fldSimple w:instr=" STYLEREF 1 \s ">
        <w:r w:rsidR="000E1725">
          <w:rPr>
            <w:noProof/>
          </w:rPr>
          <w:t>4</w:t>
        </w:r>
      </w:fldSimple>
      <w:r w:rsidR="005445E0">
        <w:t>.</w:t>
      </w:r>
      <w:fldSimple w:instr=" SEQ Figure \* ARABIC \s 1 ">
        <w:r w:rsidR="000E1725">
          <w:rPr>
            <w:noProof/>
          </w:rPr>
          <w:t>1</w:t>
        </w:r>
      </w:fldSimple>
      <w:bookmarkEnd w:id="246"/>
      <w:bookmarkEnd w:id="247"/>
      <w:r>
        <w:t xml:space="preserve"> MPC agent.</w:t>
      </w:r>
      <w:bookmarkEnd w:id="248"/>
    </w:p>
    <w:p w14:paraId="534DEC44" w14:textId="77777777" w:rsidR="00471941" w:rsidRDefault="00471941" w:rsidP="00471941"/>
    <w:p w14:paraId="6F6DCBA2" w14:textId="77777777" w:rsidR="00471941" w:rsidRDefault="00471941" w:rsidP="00471941">
      <w:pPr>
        <w:pStyle w:val="Heading3"/>
      </w:pPr>
      <w:bookmarkStart w:id="249" w:name="_Toc133542376"/>
      <w:bookmarkStart w:id="250" w:name="_Toc141991709"/>
      <w:r>
        <w:rPr>
          <w:rFonts w:hint="eastAsia"/>
        </w:rPr>
        <w:t>Performance</w:t>
      </w:r>
      <w:r>
        <w:t xml:space="preserve"> indicators for MPC agent</w:t>
      </w:r>
      <w:bookmarkEnd w:id="249"/>
      <w:bookmarkEnd w:id="250"/>
    </w:p>
    <w:p w14:paraId="622A0B5F" w14:textId="084F7502" w:rsidR="00471941" w:rsidRPr="006E2C46" w:rsidRDefault="00471941" w:rsidP="00471941">
      <w:bookmarkStart w:id="251" w:name="_Ref134349151"/>
      <w:r>
        <w:t xml:space="preserve">Two performance indicators are used to evaluate the performance of the MPC agent. Based on </w:t>
      </w:r>
      <w:r>
        <w:fldChar w:fldCharType="begin"/>
      </w:r>
      <w:r>
        <w:instrText xml:space="preserve"> REF _Ref134223675 \h </w:instrText>
      </w:r>
      <w:r>
        <w:fldChar w:fldCharType="separate"/>
      </w:r>
      <w:r w:rsidR="000E1725">
        <w:t>(</w:t>
      </w:r>
      <w:r w:rsidR="000E1725">
        <w:rPr>
          <w:noProof/>
        </w:rPr>
        <w:t>22</w:t>
      </w:r>
      <w:r w:rsidR="000E1725">
        <w:t>)</w:t>
      </w:r>
      <w:r>
        <w:fldChar w:fldCharType="end"/>
      </w:r>
      <w:r>
        <w:t xml:space="preserve">, the 24-hour AC operation cost </w:t>
      </w:r>
      <m:oMath>
        <m:r>
          <w:rPr>
            <w:rFonts w:ascii="Cambria Math" w:hAnsi="Cambria Math"/>
          </w:rPr>
          <m:t>C</m:t>
        </m:r>
      </m:oMath>
      <w:r>
        <w:rPr>
          <w:rFonts w:hint="eastAsia"/>
        </w:rPr>
        <w:t xml:space="preserve"> </w:t>
      </w:r>
      <w:r>
        <w:t>is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8"/>
        <w:gridCol w:w="1098"/>
      </w:tblGrid>
      <w:tr w:rsidR="00471941" w14:paraId="01FB5C0F" w14:textId="77777777" w:rsidTr="00F54419">
        <w:tc>
          <w:tcPr>
            <w:tcW w:w="8207" w:type="dxa"/>
            <w:vAlign w:val="center"/>
          </w:tcPr>
          <w:p w14:paraId="02032FBB" w14:textId="77777777" w:rsidR="00471941" w:rsidRPr="00DF111A" w:rsidRDefault="00471941" w:rsidP="002023DB">
            <w:pPr>
              <w:jc w:val="center"/>
              <w:rPr>
                <w:rFonts w:eastAsia="PMingLiU"/>
                <w:szCs w:val="24"/>
              </w:rPr>
            </w:pPr>
            <m:oMathPara>
              <m:oMath>
                <m:r>
                  <w:rPr>
                    <w:rFonts w:ascii="Cambria Math" w:hAnsi="Cambria Math"/>
                  </w:rPr>
                  <m:t>C =</m:t>
                </m:r>
                <m:func>
                  <m:funcPr>
                    <m:ctrlPr>
                      <w:rPr>
                        <w:rFonts w:ascii="Cambria Math" w:hAnsi="Cambria Math"/>
                        <w:i/>
                        <w:szCs w:val="24"/>
                      </w:rPr>
                    </m:ctrlPr>
                  </m:funcPr>
                  <m:fName>
                    <m:r>
                      <w:rPr>
                        <w:rFonts w:ascii="Cambria Math" w:hAnsi="Cambria Math"/>
                        <w:szCs w:val="24"/>
                      </w:rPr>
                      <m:t xml:space="preserve"> </m:t>
                    </m:r>
                    <m:f>
                      <m:fPr>
                        <m:ctrlPr>
                          <w:rPr>
                            <w:rFonts w:ascii="Cambria Math" w:hAnsi="Cambria Math"/>
                            <w:i/>
                            <w:szCs w:val="24"/>
                          </w:rPr>
                        </m:ctrlPr>
                      </m:fPr>
                      <m:num>
                        <m:r>
                          <m:rPr>
                            <m:sty m:val="p"/>
                          </m:rPr>
                          <w:rPr>
                            <w:rFonts w:ascii="Cambria Math" w:hAnsi="Cambria Math" w:hint="eastAsia"/>
                            <w:szCs w:val="24"/>
                          </w:rPr>
                          <m:t>Δ</m:t>
                        </m:r>
                        <m:r>
                          <m:rPr>
                            <m:sty m:val="p"/>
                          </m:rPr>
                          <w:rPr>
                            <w:rFonts w:ascii="Cambria Math" w:hAnsi="Cambria Math" w:hint="eastAsia"/>
                            <w:szCs w:val="24"/>
                          </w:rPr>
                          <m:t>t</m:t>
                        </m:r>
                      </m:num>
                      <m:den>
                        <m:r>
                          <m:rPr>
                            <m:scr m:val="script"/>
                          </m:rPr>
                          <w:rPr>
                            <w:rFonts w:ascii="Cambria Math" w:hAnsi="Cambria Math"/>
                            <w:szCs w:val="24"/>
                          </w:rPr>
                          <m:t>T</m:t>
                        </m:r>
                      </m:den>
                    </m:f>
                  </m:fName>
                  <m:e>
                    <m:nary>
                      <m:naryPr>
                        <m:chr m:val="∑"/>
                        <m:ctrlPr>
                          <w:rPr>
                            <w:rFonts w:ascii="Cambria Math" w:hAnsi="Cambria Math"/>
                            <w:i/>
                            <w:szCs w:val="24"/>
                          </w:rPr>
                        </m:ctrlPr>
                      </m:naryPr>
                      <m:sub>
                        <m:r>
                          <w:rPr>
                            <w:rFonts w:ascii="Cambria Math" w:hAnsi="Cambria Math"/>
                            <w:szCs w:val="24"/>
                          </w:rPr>
                          <m:t>m=1</m:t>
                        </m:r>
                      </m:sub>
                      <m:sup>
                        <m:sSub>
                          <m:sSubPr>
                            <m:ctrlPr>
                              <w:rPr>
                                <w:rFonts w:ascii="Cambria Math" w:hAnsi="Cambria Math"/>
                                <w:i/>
                                <w:szCs w:val="24"/>
                              </w:rPr>
                            </m:ctrlPr>
                          </m:sSubPr>
                          <m:e>
                            <m:r>
                              <w:rPr>
                                <w:rFonts w:ascii="Cambria Math" w:hAnsi="Cambria Math"/>
                                <w:szCs w:val="24"/>
                              </w:rPr>
                              <m:t>N</m:t>
                            </m:r>
                          </m:e>
                          <m:sub>
                            <m:r>
                              <w:rPr>
                                <w:rFonts w:ascii="Cambria Math" w:hAnsi="Cambria Math"/>
                                <w:szCs w:val="24"/>
                              </w:rPr>
                              <m:t>24</m:t>
                            </m:r>
                            <m:r>
                              <w:rPr>
                                <w:rFonts w:ascii="Cambria Math" w:hAnsi="Cambria Math"/>
                                <w:szCs w:val="24"/>
                              </w:rPr>
                              <m:t>h</m:t>
                            </m:r>
                          </m:sub>
                        </m:sSub>
                      </m:sup>
                      <m:e>
                        <m:r>
                          <w:rPr>
                            <w:rFonts w:ascii="Cambria Math" w:hAnsi="Cambria Math"/>
                            <w:szCs w:val="24"/>
                          </w:rPr>
                          <m:t>pric</m:t>
                        </m:r>
                        <m:sSup>
                          <m:sSupPr>
                            <m:ctrlPr>
                              <w:rPr>
                                <w:rFonts w:ascii="Cambria Math" w:hAnsi="Cambria Math"/>
                                <w:i/>
                                <w:szCs w:val="24"/>
                              </w:rPr>
                            </m:ctrlPr>
                          </m:sSupPr>
                          <m:e>
                            <m:r>
                              <w:rPr>
                                <w:rFonts w:ascii="Cambria Math" w:hAnsi="Cambria Math"/>
                                <w:szCs w:val="24"/>
                              </w:rPr>
                              <m:t>e</m:t>
                            </m:r>
                          </m:e>
                          <m:sup>
                            <m:r>
                              <w:rPr>
                                <w:rFonts w:ascii="Cambria Math" w:hAnsi="Cambria Math"/>
                                <w:szCs w:val="24"/>
                              </w:rPr>
                              <m:t>m</m:t>
                            </m:r>
                          </m:sup>
                        </m:sSup>
                      </m:e>
                    </m:nary>
                  </m:e>
                </m:func>
                <m:sSup>
                  <m:sSupPr>
                    <m:ctrlPr>
                      <w:rPr>
                        <w:rFonts w:ascii="Cambria Math" w:hAnsi="Cambria Math"/>
                        <w:i/>
                        <w:szCs w:val="24"/>
                      </w:rPr>
                    </m:ctrlPr>
                  </m:sSupPr>
                  <m:e>
                    <m:r>
                      <w:rPr>
                        <w:rFonts w:ascii="Cambria Math" w:hAnsi="Cambria Math"/>
                        <w:szCs w:val="24"/>
                      </w:rPr>
                      <m:t>P</m:t>
                    </m:r>
                  </m:e>
                  <m:sup>
                    <m:r>
                      <w:rPr>
                        <w:rFonts w:ascii="Cambria Math" w:hAnsi="Cambria Math"/>
                        <w:szCs w:val="24"/>
                      </w:rPr>
                      <m:t>m</m:t>
                    </m:r>
                  </m:sup>
                </m:sSup>
                <m:sSup>
                  <m:sSupPr>
                    <m:ctrlPr>
                      <w:rPr>
                        <w:rFonts w:ascii="Cambria Math" w:hAnsi="Cambria Math"/>
                        <w:i/>
                        <w:szCs w:val="24"/>
                      </w:rPr>
                    </m:ctrlPr>
                  </m:sSupPr>
                  <m:e>
                    <m:r>
                      <w:rPr>
                        <w:rFonts w:ascii="Cambria Math" w:hAnsi="Cambria Math"/>
                        <w:szCs w:val="24"/>
                      </w:rPr>
                      <m:t>u</m:t>
                    </m:r>
                  </m:e>
                  <m:sup>
                    <m:r>
                      <w:rPr>
                        <w:rFonts w:ascii="Cambria Math" w:hAnsi="Cambria Math"/>
                        <w:szCs w:val="24"/>
                      </w:rPr>
                      <m:t>m</m:t>
                    </m:r>
                  </m:sup>
                </m:sSup>
                <m:r>
                  <w:rPr>
                    <w:rFonts w:ascii="Cambria Math" w:eastAsiaTheme="minorEastAsia" w:hAnsi="Cambria Math" w:hint="eastAsia"/>
                    <w:szCs w:val="24"/>
                  </w:rPr>
                  <m:t>，</m:t>
                </m:r>
              </m:oMath>
            </m:oMathPara>
          </w:p>
        </w:tc>
        <w:tc>
          <w:tcPr>
            <w:tcW w:w="1098" w:type="dxa"/>
            <w:vAlign w:val="center"/>
          </w:tcPr>
          <w:p w14:paraId="4F4AC1D8" w14:textId="76DF3919" w:rsidR="00471941" w:rsidRDefault="00471941" w:rsidP="002023DB">
            <w:pPr>
              <w:keepNext/>
              <w:jc w:val="center"/>
            </w:pPr>
            <w:r>
              <w:rPr>
                <w:rFonts w:eastAsia="PMingLiU"/>
              </w:rPr>
              <w:t>(</w:t>
            </w:r>
            <w:r>
              <w:rPr>
                <w:rFonts w:eastAsia="PMingLiU"/>
              </w:rPr>
              <w:fldChar w:fldCharType="begin"/>
            </w:r>
            <w:r>
              <w:rPr>
                <w:rFonts w:eastAsia="PMingLiU"/>
              </w:rPr>
              <w:instrText xml:space="preserve"> SEQ equation \* ARABIC </w:instrText>
            </w:r>
            <w:r>
              <w:rPr>
                <w:rFonts w:eastAsia="PMingLiU"/>
              </w:rPr>
              <w:fldChar w:fldCharType="separate"/>
            </w:r>
            <w:r w:rsidR="000E1725">
              <w:rPr>
                <w:rFonts w:eastAsia="PMingLiU"/>
                <w:noProof/>
              </w:rPr>
              <w:t>29</w:t>
            </w:r>
            <w:r>
              <w:rPr>
                <w:rFonts w:eastAsia="PMingLiU"/>
              </w:rPr>
              <w:fldChar w:fldCharType="end"/>
            </w:r>
            <w:r>
              <w:rPr>
                <w:rFonts w:eastAsia="PMingLiU"/>
              </w:rPr>
              <w:t>)</w:t>
            </w:r>
          </w:p>
        </w:tc>
      </w:tr>
    </w:tbl>
    <w:p w14:paraId="230754BD" w14:textId="77777777" w:rsidR="00471941" w:rsidRPr="00916648" w:rsidRDefault="00471941" w:rsidP="00471941">
      <w:pPr>
        <w:ind w:firstLine="0"/>
        <w:rPr>
          <w:i/>
          <w:iCs/>
        </w:rPr>
      </w:pPr>
      <w:r>
        <w:t>where</w:t>
      </w:r>
      <m:oMath>
        <m:r>
          <m:rPr>
            <m:sty m:val="p"/>
          </m:rPr>
          <w:rPr>
            <w:rFonts w:ascii="Cambria Math" w:hAnsi="Cambria Math"/>
            <w:szCs w:val="24"/>
          </w:rPr>
          <m:t xml:space="preserve"> </m:t>
        </m:r>
        <m:r>
          <m:rPr>
            <m:scr m:val="script"/>
          </m:rPr>
          <w:rPr>
            <w:rFonts w:ascii="Cambria Math" w:hAnsi="Cambria Math"/>
            <w:szCs w:val="24"/>
          </w:rPr>
          <m:t>T</m:t>
        </m:r>
      </m:oMath>
      <w:r>
        <w:t xml:space="preserve"> is a unit conversion factor chosen so that </w:t>
      </w:r>
      <m:oMath>
        <m:r>
          <w:rPr>
            <w:rFonts w:ascii="Cambria Math" w:hAnsi="Cambria Math"/>
          </w:rPr>
          <m:t>C</m:t>
        </m:r>
      </m:oMath>
      <w:r>
        <w:t xml:space="preserve"> has unit dollar,</w:t>
      </w:r>
      <w:r w:rsidRPr="00FF54B4">
        <w:rPr>
          <w:rFonts w:ascii="Cambria Math" w:hAnsi="Cambria Math"/>
          <w:i/>
        </w:rPr>
        <w:t xml:space="preserve"> </w:t>
      </w:r>
      <m:oMath>
        <m:r>
          <w:rPr>
            <w:rFonts w:ascii="Cambria Math" w:hAnsi="Cambria Math"/>
          </w:rPr>
          <m:t>m=</m:t>
        </m:r>
        <m:r>
          <w:rPr>
            <w:rFonts w:ascii="Cambria Math" w:hAnsi="Cambria Math"/>
            <w:szCs w:val="24"/>
          </w:rPr>
          <m:t>1</m:t>
        </m:r>
      </m:oMath>
      <w:r>
        <w:t xml:space="preserve"> represents the beginning of a 24-hour period, and </w:t>
      </w:r>
      <m:oMath>
        <m:r>
          <w:rPr>
            <w:rFonts w:ascii="Cambria Math" w:hAnsi="Cambria Math"/>
          </w:rPr>
          <m:t>m=</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24</m:t>
            </m:r>
            <m:r>
              <w:rPr>
                <w:rFonts w:ascii="Cambria Math" w:hAnsi="Cambria Math"/>
                <w:szCs w:val="24"/>
              </w:rPr>
              <m:t>h</m:t>
            </m:r>
          </m:sub>
        </m:sSub>
      </m:oMath>
      <w:r>
        <w:t xml:space="preserve"> represents the end.</w:t>
      </w:r>
      <w:r w:rsidRPr="0000144D">
        <w:t xml:space="preserve"> </w:t>
      </w:r>
      <w:r>
        <w:t xml:space="preserve">With </w:t>
      </w:r>
      <m:oMath>
        <m:r>
          <w:rPr>
            <w:rFonts w:ascii="Cambria Math" w:hAnsi="Cambria Math"/>
          </w:rPr>
          <m:t>C</m:t>
        </m:r>
      </m:oMath>
      <w:r>
        <w:rPr>
          <w:rFonts w:hint="eastAsia"/>
        </w:rPr>
        <w:t>,</w:t>
      </w:r>
      <w:r>
        <w:t xml:space="preserve"> the </w:t>
      </w:r>
      <w:r w:rsidRPr="00412117">
        <w:rPr>
          <w:i/>
          <w:iCs/>
        </w:rPr>
        <w:t xml:space="preserve">cost saving </w:t>
      </w:r>
      <m:oMath>
        <m:r>
          <m:rPr>
            <m:scr m:val="script"/>
          </m:rPr>
          <w:rPr>
            <w:rFonts w:ascii="Cambria Math" w:hAnsi="Cambria Math"/>
            <w:szCs w:val="24"/>
          </w:rPr>
          <m:t>I</m:t>
        </m:r>
        <m:r>
          <m:rPr>
            <m:sty m:val="p"/>
          </m:rPr>
          <w:rPr>
            <w:rFonts w:ascii="Cambria Math" w:hAnsi="Cambria Math"/>
            <w:color w:val="202124"/>
            <w:szCs w:val="24"/>
            <w:shd w:val="clear" w:color="auto" w:fill="FFFFFF"/>
          </w:rPr>
          <m:t>—</m:t>
        </m:r>
      </m:oMath>
      <w:r w:rsidRPr="00953EDB">
        <w:rPr>
          <w:color w:val="202124"/>
          <w:szCs w:val="24"/>
          <w:shd w:val="clear" w:color="auto" w:fill="FFFFFF"/>
        </w:rPr>
        <w:t>the first</w:t>
      </w:r>
      <w:r>
        <w:rPr>
          <w:color w:val="202124"/>
          <w:szCs w:val="24"/>
          <w:shd w:val="clear" w:color="auto" w:fill="FFFFFF"/>
        </w:rPr>
        <w:t xml:space="preserve"> performance indicator</w:t>
      </w:r>
      <w:r w:rsidRPr="00C20EC9">
        <w:rPr>
          <w:color w:val="202124"/>
          <w:szCs w:val="24"/>
          <w:shd w:val="clear" w:color="auto" w:fill="FFFFFF"/>
        </w:rPr>
        <w:t>—</w:t>
      </w:r>
      <w:r>
        <w:rPr>
          <w:color w:val="202124"/>
          <w:szCs w:val="24"/>
          <w:shd w:val="clear" w:color="auto" w:fill="FFFFFF"/>
        </w:rPr>
        <w:t>is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8"/>
        <w:gridCol w:w="1098"/>
      </w:tblGrid>
      <w:tr w:rsidR="00471941" w14:paraId="63BA1AF3" w14:textId="77777777" w:rsidTr="002023DB">
        <w:tc>
          <w:tcPr>
            <w:tcW w:w="8207" w:type="dxa"/>
            <w:vAlign w:val="center"/>
          </w:tcPr>
          <w:p w14:paraId="6B4A8D5C" w14:textId="77777777" w:rsidR="00471941" w:rsidRPr="0000144D" w:rsidRDefault="00471941" w:rsidP="002023DB">
            <w:pPr>
              <w:jc w:val="center"/>
              <w:rPr>
                <w:rFonts w:eastAsia="PMingLiU"/>
              </w:rPr>
            </w:pPr>
            <m:oMathPara>
              <m:oMath>
                <m:r>
                  <m:rPr>
                    <m:scr m:val="script"/>
                  </m:rPr>
                  <w:rPr>
                    <w:rFonts w:ascii="Cambria Math" w:hAnsi="Cambria Math"/>
                  </w:rPr>
                  <m:t>I=</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baseline</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mpc</m:t>
                        </m:r>
                      </m:sub>
                    </m:sSub>
                  </m:num>
                  <m:den>
                    <m:sSub>
                      <m:sSubPr>
                        <m:ctrlPr>
                          <w:rPr>
                            <w:rFonts w:ascii="Cambria Math" w:hAnsi="Cambria Math"/>
                            <w:i/>
                          </w:rPr>
                        </m:ctrlPr>
                      </m:sSubPr>
                      <m:e>
                        <m:r>
                          <w:rPr>
                            <w:rFonts w:ascii="Cambria Math" w:hAnsi="Cambria Math"/>
                          </w:rPr>
                          <m:t>C</m:t>
                        </m:r>
                      </m:e>
                      <m:sub>
                        <m:r>
                          <w:rPr>
                            <w:rFonts w:ascii="Cambria Math" w:hAnsi="Cambria Math"/>
                          </w:rPr>
                          <m:t>baseline</m:t>
                        </m:r>
                      </m:sub>
                    </m:sSub>
                  </m:den>
                </m:f>
                <m:r>
                  <m:rPr>
                    <m:sty m:val="p"/>
                  </m:rPr>
                  <w:rPr>
                    <w:rFonts w:ascii="Cambria Math" w:hAnsi="Cambria Math" w:hint="eastAsia"/>
                  </w:rPr>
                  <m:t>×</m:t>
                </m:r>
                <m:r>
                  <w:rPr>
                    <w:rFonts w:ascii="Cambria Math" w:hAnsi="Cambria Math"/>
                  </w:rPr>
                  <m:t>100%,</m:t>
                </m:r>
              </m:oMath>
            </m:oMathPara>
          </w:p>
        </w:tc>
        <w:tc>
          <w:tcPr>
            <w:tcW w:w="809" w:type="dxa"/>
            <w:vAlign w:val="center"/>
          </w:tcPr>
          <w:p w14:paraId="261DE3D5" w14:textId="19115E12" w:rsidR="00471941" w:rsidRDefault="00471941" w:rsidP="002023DB">
            <w:pPr>
              <w:keepNext/>
              <w:jc w:val="center"/>
              <w:rPr>
                <w:rFonts w:eastAsia="PMingLiU"/>
              </w:rPr>
            </w:pPr>
            <w:bookmarkStart w:id="252" w:name="_Ref133935093"/>
            <w:r>
              <w:t>(</w:t>
            </w:r>
            <w:r>
              <w:fldChar w:fldCharType="begin"/>
            </w:r>
            <w:r>
              <w:instrText>SEQ equation \* ARABIC</w:instrText>
            </w:r>
            <w:r>
              <w:fldChar w:fldCharType="separate"/>
            </w:r>
            <w:r w:rsidR="000E1725">
              <w:rPr>
                <w:noProof/>
              </w:rPr>
              <w:t>30</w:t>
            </w:r>
            <w:r>
              <w:fldChar w:fldCharType="end"/>
            </w:r>
            <w:r>
              <w:t>)</w:t>
            </w:r>
            <w:bookmarkEnd w:id="252"/>
          </w:p>
        </w:tc>
      </w:tr>
    </w:tbl>
    <w:p w14:paraId="75A8BB6F" w14:textId="77777777" w:rsidR="00471941" w:rsidRDefault="00471941" w:rsidP="00471941">
      <w:pPr>
        <w:ind w:firstLine="0"/>
      </w:pPr>
      <w:r>
        <w:lastRenderedPageBreak/>
        <w:t>where</w:t>
      </w:r>
      <m:oMath>
        <m:sSub>
          <m:sSubPr>
            <m:ctrlPr>
              <w:rPr>
                <w:rFonts w:ascii="Cambria Math" w:hAnsi="Cambria Math"/>
                <w:i/>
              </w:rPr>
            </m:ctrlPr>
          </m:sSubPr>
          <m:e>
            <m:r>
              <w:rPr>
                <w:rFonts w:ascii="Cambria Math" w:hAnsi="Cambria Math"/>
              </w:rPr>
              <m:t xml:space="preserve"> C</m:t>
            </m:r>
          </m:e>
          <m:sub>
            <m:r>
              <w:rPr>
                <w:rFonts w:ascii="Cambria Math" w:hAnsi="Cambria Math"/>
              </w:rPr>
              <m:t>mpc</m:t>
            </m:r>
          </m:sub>
        </m:sSub>
      </m:oMath>
      <w:r w:rsidRPr="00A76CE1">
        <w:rPr>
          <w:rFonts w:hint="eastAsia"/>
        </w:rPr>
        <w:t xml:space="preserve"> </w:t>
      </w:r>
      <w:r w:rsidRPr="00A76CE1">
        <w:t xml:space="preserve">is the </w:t>
      </w:r>
      <w:r>
        <w:t>24-hour AC operation cost</w:t>
      </w:r>
      <w:r w:rsidRPr="00A76CE1">
        <w:t xml:space="preserve"> with the MPC agent</w:t>
      </w:r>
      <w:r>
        <w:t xml:space="preserve">, and </w:t>
      </w:r>
      <m:oMath>
        <m:sSub>
          <m:sSubPr>
            <m:ctrlPr>
              <w:rPr>
                <w:rFonts w:ascii="Cambria Math" w:hAnsi="Cambria Math"/>
                <w:i/>
              </w:rPr>
            </m:ctrlPr>
          </m:sSubPr>
          <m:e>
            <m:r>
              <w:rPr>
                <w:rFonts w:ascii="Cambria Math" w:hAnsi="Cambria Math"/>
              </w:rPr>
              <m:t>C</m:t>
            </m:r>
          </m:e>
          <m:sub>
            <m:r>
              <w:rPr>
                <w:rFonts w:ascii="Cambria Math" w:hAnsi="Cambria Math"/>
              </w:rPr>
              <m:t>baseline</m:t>
            </m:r>
          </m:sub>
        </m:sSub>
      </m:oMath>
      <w:r w:rsidRPr="00A76CE1">
        <w:rPr>
          <w:rFonts w:hint="eastAsia"/>
        </w:rPr>
        <w:t xml:space="preserve"> i</w:t>
      </w:r>
      <w:r w:rsidRPr="00A76CE1">
        <w:t xml:space="preserve">s </w:t>
      </w:r>
      <w:r>
        <w:t>the cost</w:t>
      </w:r>
      <w:r w:rsidRPr="00A76CE1">
        <w:t xml:space="preserve"> without (i.e., </w:t>
      </w:r>
      <w:r>
        <w:t xml:space="preserve">the </w:t>
      </w:r>
      <w:r w:rsidRPr="00A76CE1">
        <w:t xml:space="preserve">AC is under normal operation). </w:t>
      </w:r>
    </w:p>
    <w:p w14:paraId="652B8563" w14:textId="787857F2" w:rsidR="00471941" w:rsidRPr="00BC5E12" w:rsidRDefault="00471941" w:rsidP="00471941">
      <w:r w:rsidRPr="00A76CE1">
        <w:t xml:space="preserve">Although </w:t>
      </w:r>
      <w:r>
        <w:t xml:space="preserve">cost saving </w:t>
      </w:r>
      <m:oMath>
        <m:r>
          <m:rPr>
            <m:scr m:val="script"/>
          </m:rPr>
          <w:rPr>
            <w:rFonts w:ascii="Cambria Math" w:hAnsi="Cambria Math"/>
          </w:rPr>
          <m:t>I</m:t>
        </m:r>
      </m:oMath>
      <w:r>
        <w:rPr>
          <w:rFonts w:hint="eastAsia"/>
        </w:rPr>
        <w:t xml:space="preserve"> </w:t>
      </w:r>
      <w:r>
        <w:t xml:space="preserve">is a useful indicator of the MPC agent’s effectiveness, it does not fully reflect the latter’s load-shifting ability. To address this limitation, among the metrics for evaluating energy flexibility </w:t>
      </w:r>
      <w:r>
        <w:fldChar w:fldCharType="begin"/>
      </w:r>
      <w:r w:rsidR="0082416B">
        <w:instrText xml:space="preserve"> ADDIN ZOTERO_ITEM CSL_CITATION {"citationID":"YxfOxVgD","properties":{"formattedCitation":"[14,63,78,121]","plainCitation":"[14,63,78,121]","noteIndex":0},"citationItems":[{"id":1414,"uris":["http://zotero.org/users/5659608/items/UKUCY9N2"],"itemData":{"id":1414,"type":"article-journal","abstract":"Future building energy management systems will have to be capable of adapting to variation in the rate of production of energy from renewable sources. Controllers employing a model predictive control (MPC) framework can optimise and schedule energy usage based on the availability of renewably generated energy. In this paper, an MPC using artificial neural networks (ANNs) was implemented in a residential building. The ANN-MPC was successfully tested and demonstrated good performance predicting the building's energy consumption. The controller was then modified to function as an economic MPC (EMPC) to optimise demand flexibility (i.e., the ability to adapt energy demands to fluctuations in supply). The operational costs of energy usage were associated with this demand flexibility, which was represented by three flexibility indicators: flexibility factor, supply cover factor, and load cover factor. The results from a day-long test showed that these flexibility indicators were maximised (flexibility factor ranged from −0.88 to 0.67, supply cover factor from 0.04 to 0.13, and load cover factor from 0.07 to 0.16) when the EMPC controller's demand flexibility was compared to that of a conventional proportional-integral (PI) controller. The EMPC framework for demand flexibility can be used to regulate on-site energy generation, grid consumption, and grid feed-in and can thus serve as a basis for overall optimisation of the operation of heating systems to achieve greater demand flexibility.","container-title":"Energy","DOI":"10.1016/j.energy.2019.03.171","ISSN":"0360-5442","journalAbbreviation":"Energy","language":"en","page":"365-379","source":"ScienceDirect","title":"Economic model predictive control for demand flexibility of a residential building","volume":"176","author":[{"family":"Finck","given":"Christian"},{"family":"Li","given":"Rongling"},{"family":"Zeiler","given":"Wim"}],"issued":{"date-parts":[["2019",6,1]]},"citation-key":"finckEconomicModelPredictive2019"}},{"id":1602,"uris":["http://zotero.org/users/5659608/items/6CZQM78J"],"itemData":{"id":1602,"type":"article-journal","container-title":"Applied Energy","note":"Citation Key: finck2018quantifying\npublisher: Elsevier","page":"409–425","title":"Quantifying demand flexibility of power-to-heat and thermal energy storage in the control of building heating systems","volume":"209","author":[{"family":"Finck","given":"Christian"},{"family":"Li","given":"Rongling"},{"family":"Kramer","given":"Rick"},{"family":"Zeiler","given":"Wim"}],"issued":{"date-parts":[["2018"]]},"citation-key":"finck2018quantifying"}},{"id":1613,"uris":["http://zotero.org/users/5659608/items/BQIXVUHE"],"itemData":{"id":1613,"type":"article-journal","abstract":"Increased flexibility has been identified as a key requirement in future power systems. Much flexibility could be provided by energy vectors other than electricity. In particular heat may be a valuable source of flexibility, as electrification of space and water heating introduces highly flexible resources such as electric heat pumps. However, current methods for assessing aggregated demand side flexibility, particularly from residential buildings, may not be adequate given the variety of different grid services that flexibility may be used to provide to different stakeholders, and considering relevant comfort constraints. On these bases, in this work several metrics, relevant to different stakeholders, are introduced to quantify building-to-grid demand response flexibility from heat pump aggregations. Specific control algorithms for the aggregations are also proposed and tested through a multi-energy residential energy consumption tool. A number of case studies are carried out to demonstrate the value of the proposed metrics and algorithms, especially in relation to flexibility exploitation with long sustain times (e.g., reserve services), which can noticeably affect user comfort. Our results indicate that the payback behaviour of heating units following a demand response event can vary substantially with different types of dwellings. More specifically, the power payback is negligible in dwellings with high thermal inertia, while the power and energy payback can reach 10% and 50%, respectively, in dwellings with low thermal inertia. The benefits from hybrid (electric + gas) heating, which can reduce energy payback and comfort loss, are also demonstrated. For instance, in a cluster of dwellings with low thermal inertia, the energy payback following a DR event is reduced from 50% to 20% and the maximum comfort loss of the participants is decreased from 1.6 °C to 0.5 °C.","container-title":"Applied Energy","DOI":"10.1016/j.apenergy.2018.10.058","ISSN":"0306-2619","journalAbbreviation":"Applied Energy","language":"en","page":"709-723","source":"ScienceDirect","title":"Building-to-grid flexibility: Modelling and assessment metrics for residential demand response from heat pump aggregations","title-short":"Building-to-grid flexibility","volume":"233-234","author":[{"family":"Zhang","given":"Lingxi"},{"family":"Good","given":"Nicholas"},{"family":"Mancarella","given":"Pierluigi"}],"issued":{"date-parts":[["2019",1,1]]},"citation-key":"zhangBuildingtogridFlexibilityModelling2019"}},{"id":1606,"uris":["http://zotero.org/users/5659608/items/ZUZL2ZSZ"],"itemData":{"id":1606,"type":"article-journal","abstract":"With building electric demand becoming increasingly dynamic, and a growing percentage of intermittent renewable power generation from solar photovoltaics and wind turbines, the power grid is facing increasing challenge to manage the real time balance between the supply and demand. With advancements in smart sensing and metering, smart appliances, electric vehicles, and energy storage technologies, demand side management of residential buildings can help the grid to improve stability by optimizing flexible loads. This paper reviews recent studies on residential building demand side management, with a focus on characterization and quantification of energy flexibility covering various types of flexible loads, metrics, methods, and applications. The reviewed studies showed four levels of applications: building level (45%), district or community level (29%), system level (19%), and building sector level (7%). Shifting loads is the dominant flexibility type in 60% of applications, followed by shedding (19%), generation (16%), and modulating (6%). Depending on the technology and application scope, flexible operations have a wide range of performance, with peak power reductions of 1%~65%, energy savings up to 60%, operational cost reduction of 1%~48%, and greenhouse gas emission reductions of up to29%. More than half (51%) of the studies employed control strategies to achieve flexibility; among those 72% used optimal controls, while 28% used rule-based controls. About 58% of the studies used mathematical formulation to quantify energy flexibility. Most studies were based on simulation, while less than 15% of the studies had measurements from experiments or field tests. The review reveals research opportunities to address significant gaps in the existing literature: (1) establishing a common definition and performance metrics for energy flexibility of buildings that are technology and application agnostic, (2) developing an ontology to standardize representation of flexibility resources for interoperability, (3) integrating occupant impacts into the quantification and optimization of energy flexibility, and (4) developing requirements and credits of energy flexibility in building energy codes and standards. Findings from the review can inform future research and development of energy flexible buildings which are essential to a reliable and resilient power grid.","container-title":"Advances in Applied Energy","DOI":"10.1016/j.adapen.2021.100054","ISSN":"2666-7924","journalAbbreviation":"Advances in Applied Energy","language":"en","page":"100054","source":"ScienceDirect","title":"Energy flexibility of residential buildings: A systematic review of characterization and quantification methods and applications","title-short":"Energy flexibility of residential buildings","volume":"3","author":[{"family":"Li","given":"Han"},{"family":"Wang","given":"Zhe"},{"family":"Hong","given":"Tianzhen"},{"family":"Piette","given":"Mary Ann"}],"issued":{"date-parts":[["2021",8,25]]},"citation-key":"liEnergyFlexibilityResidential2021"}}],"schema":"https://github.com/citation-style-language/schema/raw/master/csl-citation.json"} </w:instrText>
      </w:r>
      <w:r>
        <w:fldChar w:fldCharType="separate"/>
      </w:r>
      <w:r w:rsidR="0082416B" w:rsidRPr="0082416B">
        <w:rPr>
          <w:sz w:val="22"/>
        </w:rPr>
        <w:t>[14,63,78,121]</w:t>
      </w:r>
      <w:r>
        <w:fldChar w:fldCharType="end"/>
      </w:r>
      <w:r>
        <w:t xml:space="preserve">, the </w:t>
      </w:r>
      <w:r w:rsidRPr="00707720">
        <w:rPr>
          <w:i/>
          <w:iCs/>
        </w:rPr>
        <w:t>flexibility factor FF</w:t>
      </w:r>
      <w:r w:rsidRPr="00C20EC9">
        <w:rPr>
          <w:color w:val="202124"/>
          <w:szCs w:val="24"/>
          <w:shd w:val="clear" w:color="auto" w:fill="FFFFFF"/>
        </w:rPr>
        <w:t>—</w:t>
      </w:r>
      <w:r>
        <w:rPr>
          <w:color w:val="202124"/>
          <w:szCs w:val="24"/>
          <w:shd w:val="clear" w:color="auto" w:fill="FFFFFF"/>
        </w:rPr>
        <w:t>t</w:t>
      </w:r>
      <w:r>
        <w:t>he second performance indicator</w:t>
      </w:r>
      <w:r w:rsidRPr="00C20EC9">
        <w:rPr>
          <w:color w:val="202124"/>
          <w:szCs w:val="24"/>
          <w:shd w:val="clear" w:color="auto" w:fill="FFFFFF"/>
        </w:rPr>
        <w:t>—</w:t>
      </w:r>
      <w:r>
        <w:rPr>
          <w:color w:val="202124"/>
          <w:szCs w:val="24"/>
          <w:shd w:val="clear" w:color="auto" w:fill="FFFFFF"/>
        </w:rPr>
        <w:t>is adopted and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8"/>
        <w:gridCol w:w="1098"/>
      </w:tblGrid>
      <w:tr w:rsidR="00471941" w14:paraId="77F93447" w14:textId="77777777" w:rsidTr="002023DB">
        <w:tc>
          <w:tcPr>
            <w:tcW w:w="8207" w:type="dxa"/>
            <w:vAlign w:val="center"/>
          </w:tcPr>
          <w:p w14:paraId="51A90EBD" w14:textId="77777777" w:rsidR="00471941" w:rsidRPr="005D0B06" w:rsidRDefault="00471941" w:rsidP="002023DB">
            <w:pPr>
              <w:rPr>
                <w:rFonts w:eastAsia="PMingLiU"/>
                <w:i/>
              </w:rPr>
            </w:pPr>
            <m:oMathPara>
              <m:oMath>
                <m:r>
                  <w:rPr>
                    <w:rFonts w:ascii="Cambria Math" w:hAnsi="Cambria Math"/>
                  </w:rPr>
                  <m:t>FF=</m:t>
                </m:r>
                <m:f>
                  <m:fPr>
                    <m:ctrlPr>
                      <w:rPr>
                        <w:rFonts w:ascii="Cambria Math" w:hAnsi="Cambria Math"/>
                        <w:i/>
                      </w:rPr>
                    </m:ctrlPr>
                  </m:fPr>
                  <m:num>
                    <m:nary>
                      <m:naryPr>
                        <m:ctrlPr>
                          <w:rPr>
                            <w:rFonts w:ascii="Cambria Math" w:hAnsi="Cambria Math"/>
                            <w:i/>
                          </w:rPr>
                        </m:ctrlPr>
                      </m:naryPr>
                      <m:sub>
                        <m:sSub>
                          <m:sSubPr>
                            <m:ctrlPr>
                              <w:rPr>
                                <w:rFonts w:ascii="Cambria Math" w:hAnsi="Cambria Math"/>
                                <w:i/>
                              </w:rPr>
                            </m:ctrlPr>
                          </m:sSubPr>
                          <m:e>
                            <m:r>
                              <w:rPr>
                                <w:rFonts w:ascii="Cambria Math" w:hAnsi="Cambria Math"/>
                              </w:rPr>
                              <m:t>L</m:t>
                            </m:r>
                          </m:e>
                          <m:sub>
                            <m:r>
                              <w:rPr>
                                <w:rFonts w:ascii="Cambria Math" w:hAnsi="Cambria Math"/>
                              </w:rPr>
                              <m:t>low</m:t>
                            </m:r>
                          </m:sub>
                        </m:sSub>
                      </m:sub>
                      <m:sup>
                        <m:r>
                          <w:rPr>
                            <w:rFonts w:ascii="Cambria Math" w:hAnsi="Cambria Math"/>
                          </w:rPr>
                          <m:t xml:space="preserve"> </m:t>
                        </m:r>
                      </m:sup>
                      <m:e>
                        <m:r>
                          <w:rPr>
                            <w:rFonts w:ascii="Cambria Math" w:hAnsi="Cambria Math"/>
                          </w:rPr>
                          <m:t>P dt</m:t>
                        </m:r>
                      </m:e>
                    </m:nary>
                    <m:r>
                      <w:rPr>
                        <w:rFonts w:ascii="Cambria Math" w:hAnsi="Cambria Math"/>
                      </w:rPr>
                      <m:t>-</m:t>
                    </m:r>
                    <m:nary>
                      <m:naryPr>
                        <m:ctrlPr>
                          <w:rPr>
                            <w:rFonts w:ascii="Cambria Math" w:hAnsi="Cambria Math"/>
                            <w:i/>
                          </w:rPr>
                        </m:ctrlPr>
                      </m:naryPr>
                      <m:sub>
                        <m:sSub>
                          <m:sSubPr>
                            <m:ctrlPr>
                              <w:rPr>
                                <w:rFonts w:ascii="Cambria Math" w:hAnsi="Cambria Math"/>
                                <w:i/>
                              </w:rPr>
                            </m:ctrlPr>
                          </m:sSubPr>
                          <m:e>
                            <m:r>
                              <w:rPr>
                                <w:rFonts w:ascii="Cambria Math" w:hAnsi="Cambria Math"/>
                              </w:rPr>
                              <m:t>L</m:t>
                            </m:r>
                          </m:e>
                          <m:sub>
                            <m:r>
                              <w:rPr>
                                <w:rFonts w:ascii="Cambria Math" w:hAnsi="Cambria Math"/>
                              </w:rPr>
                              <m:t>high</m:t>
                            </m:r>
                          </m:sub>
                        </m:sSub>
                      </m:sub>
                      <m:sup>
                        <m:r>
                          <w:rPr>
                            <w:rFonts w:ascii="Cambria Math" w:hAnsi="Cambria Math"/>
                          </w:rPr>
                          <m:t xml:space="preserve"> </m:t>
                        </m:r>
                      </m:sup>
                      <m:e>
                        <m:r>
                          <w:rPr>
                            <w:rFonts w:ascii="Cambria Math" w:hAnsi="Cambria Math"/>
                          </w:rPr>
                          <m:t>P dt</m:t>
                        </m:r>
                      </m:e>
                    </m:nary>
                  </m:num>
                  <m:den>
                    <m:nary>
                      <m:naryPr>
                        <m:ctrlPr>
                          <w:rPr>
                            <w:rFonts w:ascii="Cambria Math" w:hAnsi="Cambria Math"/>
                            <w:i/>
                          </w:rPr>
                        </m:ctrlPr>
                      </m:naryPr>
                      <m:sub>
                        <m:sSub>
                          <m:sSubPr>
                            <m:ctrlPr>
                              <w:rPr>
                                <w:rFonts w:ascii="Cambria Math" w:hAnsi="Cambria Math"/>
                                <w:i/>
                              </w:rPr>
                            </m:ctrlPr>
                          </m:sSubPr>
                          <m:e>
                            <m:r>
                              <w:rPr>
                                <w:rFonts w:ascii="Cambria Math" w:hAnsi="Cambria Math"/>
                              </w:rPr>
                              <m:t>L</m:t>
                            </m:r>
                          </m:e>
                          <m:sub>
                            <m:r>
                              <w:rPr>
                                <w:rFonts w:ascii="Cambria Math" w:hAnsi="Cambria Math"/>
                              </w:rPr>
                              <m:t>low</m:t>
                            </m:r>
                          </m:sub>
                        </m:sSub>
                      </m:sub>
                      <m:sup>
                        <m:r>
                          <w:rPr>
                            <w:rFonts w:ascii="Cambria Math" w:hAnsi="Cambria Math"/>
                          </w:rPr>
                          <m:t xml:space="preserve"> </m:t>
                        </m:r>
                      </m:sup>
                      <m:e>
                        <m:r>
                          <w:rPr>
                            <w:rFonts w:ascii="Cambria Math" w:hAnsi="Cambria Math"/>
                          </w:rPr>
                          <m:t>P dt</m:t>
                        </m:r>
                      </m:e>
                    </m:nary>
                    <m:r>
                      <w:rPr>
                        <w:rFonts w:ascii="Cambria Math" w:hAnsi="Cambria Math"/>
                      </w:rPr>
                      <m:t>+</m:t>
                    </m:r>
                    <m:nary>
                      <m:naryPr>
                        <m:ctrlPr>
                          <w:rPr>
                            <w:rFonts w:ascii="Cambria Math" w:hAnsi="Cambria Math"/>
                            <w:i/>
                          </w:rPr>
                        </m:ctrlPr>
                      </m:naryPr>
                      <m:sub>
                        <m:sSub>
                          <m:sSubPr>
                            <m:ctrlPr>
                              <w:rPr>
                                <w:rFonts w:ascii="Cambria Math" w:hAnsi="Cambria Math"/>
                                <w:i/>
                              </w:rPr>
                            </m:ctrlPr>
                          </m:sSubPr>
                          <m:e>
                            <m:r>
                              <w:rPr>
                                <w:rFonts w:ascii="Cambria Math" w:hAnsi="Cambria Math"/>
                              </w:rPr>
                              <m:t>L</m:t>
                            </m:r>
                          </m:e>
                          <m:sub>
                            <m:r>
                              <w:rPr>
                                <w:rFonts w:ascii="Cambria Math" w:hAnsi="Cambria Math"/>
                              </w:rPr>
                              <m:t>high</m:t>
                            </m:r>
                          </m:sub>
                        </m:sSub>
                      </m:sub>
                      <m:sup>
                        <m:r>
                          <w:rPr>
                            <w:rFonts w:ascii="Cambria Math" w:hAnsi="Cambria Math"/>
                          </w:rPr>
                          <m:t xml:space="preserve"> </m:t>
                        </m:r>
                      </m:sup>
                      <m:e>
                        <m:r>
                          <w:rPr>
                            <w:rFonts w:ascii="Cambria Math" w:hAnsi="Cambria Math"/>
                          </w:rPr>
                          <m:t>P dt</m:t>
                        </m:r>
                      </m:e>
                    </m:nary>
                  </m:den>
                </m:f>
                <m:r>
                  <w:rPr>
                    <w:rFonts w:ascii="Cambria Math" w:hAnsi="Cambria Math"/>
                  </w:rPr>
                  <m:t>,</m:t>
                </m:r>
              </m:oMath>
            </m:oMathPara>
          </w:p>
        </w:tc>
        <w:tc>
          <w:tcPr>
            <w:tcW w:w="809" w:type="dxa"/>
            <w:vAlign w:val="center"/>
          </w:tcPr>
          <w:p w14:paraId="5DA75874" w14:textId="05E1A174" w:rsidR="00471941" w:rsidRDefault="00471941" w:rsidP="002023DB">
            <w:r>
              <w:t>(</w:t>
            </w:r>
            <w:r>
              <w:fldChar w:fldCharType="begin"/>
            </w:r>
            <w:r>
              <w:instrText>SEQ equation \* ARABIC</w:instrText>
            </w:r>
            <w:r>
              <w:fldChar w:fldCharType="separate"/>
            </w:r>
            <w:r w:rsidR="000E1725">
              <w:rPr>
                <w:noProof/>
              </w:rPr>
              <w:t>31</w:t>
            </w:r>
            <w:r>
              <w:fldChar w:fldCharType="end"/>
            </w:r>
            <w:r>
              <w:t>)</w:t>
            </w:r>
          </w:p>
        </w:tc>
      </w:tr>
    </w:tbl>
    <w:p w14:paraId="2E577557" w14:textId="419F5C61" w:rsidR="00471941" w:rsidRPr="00F61DBF" w:rsidRDefault="00471941" w:rsidP="00471941">
      <w:pPr>
        <w:ind w:firstLine="0"/>
      </w:pPr>
      <w:r>
        <w:t xml:space="preserve">where </w:t>
      </w:r>
      <m:oMath>
        <m:sSub>
          <m:sSubPr>
            <m:ctrlPr>
              <w:rPr>
                <w:rFonts w:ascii="Cambria Math" w:eastAsia="DengXian" w:hAnsi="Cambria Math"/>
                <w:i/>
                <w:szCs w:val="20"/>
              </w:rPr>
            </m:ctrlPr>
          </m:sSubPr>
          <m:e>
            <m:r>
              <w:rPr>
                <w:rFonts w:ascii="Cambria Math" w:hAnsi="Cambria Math"/>
              </w:rPr>
              <m:t>L</m:t>
            </m:r>
            <m:ctrlPr>
              <w:rPr>
                <w:rFonts w:ascii="Cambria Math" w:hAnsi="Cambria Math"/>
                <w:i/>
              </w:rPr>
            </m:ctrlPr>
          </m:e>
          <m:sub>
            <m:r>
              <w:rPr>
                <w:rFonts w:ascii="Cambria Math" w:hAnsi="Cambria Math"/>
              </w:rPr>
              <m:t>low</m:t>
            </m:r>
          </m:sub>
        </m:sSub>
        <m:r>
          <w:rPr>
            <w:rFonts w:ascii="Cambria Math" w:eastAsia="DengXian" w:hAnsi="Cambria Math"/>
            <w:szCs w:val="20"/>
          </w:rPr>
          <m:t xml:space="preserve"> </m:t>
        </m:r>
        <m:d>
          <m:dPr>
            <m:ctrlPr>
              <w:rPr>
                <w:rFonts w:ascii="Cambria Math" w:hAnsi="Cambria Math"/>
                <w:i/>
              </w:rPr>
            </m:ctrlPr>
          </m:dPr>
          <m:e>
            <m:sSub>
              <m:sSubPr>
                <m:ctrlPr>
                  <w:rPr>
                    <w:rFonts w:ascii="Cambria Math" w:eastAsia="DengXian" w:hAnsi="Cambria Math"/>
                    <w:i/>
                    <w:szCs w:val="20"/>
                  </w:rPr>
                </m:ctrlPr>
              </m:sSubPr>
              <m:e>
                <m:r>
                  <w:rPr>
                    <w:rFonts w:ascii="Cambria Math" w:hAnsi="Cambria Math"/>
                  </w:rPr>
                  <m:t>L</m:t>
                </m:r>
                <m:ctrlPr>
                  <w:rPr>
                    <w:rFonts w:ascii="Cambria Math" w:hAnsi="Cambria Math"/>
                    <w:i/>
                  </w:rPr>
                </m:ctrlPr>
              </m:e>
              <m:sub>
                <m:r>
                  <w:rPr>
                    <w:rFonts w:ascii="Cambria Math" w:hAnsi="Cambria Math"/>
                  </w:rPr>
                  <m:t>high</m:t>
                </m:r>
              </m:sub>
            </m:sSub>
          </m:e>
        </m:d>
      </m:oMath>
      <w:r>
        <w:rPr>
          <w:rFonts w:hint="eastAsia"/>
        </w:rPr>
        <w:t xml:space="preserve"> </w:t>
      </w:r>
      <w:r>
        <w:t xml:space="preserve">represents the off-peak (on-peak) hours and </w:t>
      </w:r>
      <m:oMath>
        <m:r>
          <w:rPr>
            <w:rFonts w:ascii="Cambria Math" w:hAnsi="Cambria Math"/>
          </w:rPr>
          <m:t>P</m:t>
        </m:r>
      </m:oMath>
      <w:r>
        <w:rPr>
          <w:rFonts w:hint="eastAsia"/>
        </w:rPr>
        <w:t xml:space="preserve"> </w:t>
      </w:r>
      <w:r>
        <w:t xml:space="preserve">is the total AC power usage first defined in </w:t>
      </w:r>
      <w:r>
        <w:fldChar w:fldCharType="begin"/>
      </w:r>
      <w:r>
        <w:instrText xml:space="preserve"> REF _Ref133874487 \h </w:instrText>
      </w:r>
      <w:r>
        <w:fldChar w:fldCharType="separate"/>
      </w:r>
      <w:r w:rsidR="000E1725">
        <w:t>(</w:t>
      </w:r>
      <w:r w:rsidR="000E1725">
        <w:rPr>
          <w:noProof/>
        </w:rPr>
        <w:t>23</w:t>
      </w:r>
      <w:r w:rsidR="000E1725">
        <w:t>)</w:t>
      </w:r>
      <w:r>
        <w:fldChar w:fldCharType="end"/>
      </w:r>
      <w:r>
        <w:t xml:space="preserve">. </w:t>
      </w:r>
      <w:r>
        <w:rPr>
          <w:rFonts w:hint="eastAsia"/>
        </w:rPr>
        <w:t>N</w:t>
      </w:r>
      <w:r>
        <w:t xml:space="preserve">ote that </w:t>
      </w:r>
      <m:oMath>
        <m:r>
          <w:rPr>
            <w:rFonts w:ascii="Cambria Math" w:hAnsi="Cambria Math"/>
          </w:rPr>
          <m:t>FF</m:t>
        </m:r>
      </m:oMath>
      <w:r>
        <w:rPr>
          <w:rFonts w:hint="eastAsia"/>
        </w:rPr>
        <w:t xml:space="preserve"> </w:t>
      </w:r>
      <w:r>
        <w:t xml:space="preserve">is always between -1 and 1, where -1 means all energy is consumed during on-peak hours, while 1 means it is consumed during off-peak hours. Therefore, </w:t>
      </w:r>
      <w:r w:rsidRPr="00D30B59">
        <w:t xml:space="preserve">flexibility factor </w:t>
      </w:r>
      <w:r w:rsidRPr="00707720">
        <w:rPr>
          <w:i/>
          <w:iCs/>
        </w:rPr>
        <w:t>FF</w:t>
      </w:r>
      <w:r w:rsidRPr="004D1108">
        <w:t xml:space="preserve"> quantifies the load-shifting eff</w:t>
      </w:r>
      <w:r>
        <w:t>ectiveness of the MPC agent.</w:t>
      </w:r>
    </w:p>
    <w:p w14:paraId="6C3D53A8" w14:textId="77777777" w:rsidR="00471941" w:rsidRDefault="00471941" w:rsidP="00471941">
      <w:pPr>
        <w:pStyle w:val="Heading2"/>
      </w:pPr>
      <w:bookmarkStart w:id="253" w:name="_Toc141991710"/>
      <w:r>
        <w:rPr>
          <w:rFonts w:hint="eastAsia"/>
        </w:rPr>
        <w:t>MPC</w:t>
      </w:r>
      <w:r>
        <w:t>-based Precooling in Real Homes</w:t>
      </w:r>
      <w:bookmarkEnd w:id="251"/>
      <w:bookmarkEnd w:id="253"/>
      <w:r>
        <w:t xml:space="preserve"> </w:t>
      </w:r>
    </w:p>
    <w:p w14:paraId="07BF580F" w14:textId="77777777" w:rsidR="00471941" w:rsidRDefault="00471941" w:rsidP="00471941">
      <w:pPr>
        <w:pStyle w:val="Heading3"/>
      </w:pPr>
      <w:bookmarkStart w:id="254" w:name="_Ref134311818"/>
      <w:bookmarkStart w:id="255" w:name="_Toc141991711"/>
      <w:r>
        <w:rPr>
          <w:rFonts w:eastAsiaTheme="minorEastAsia"/>
        </w:rPr>
        <w:t>Cloud-based platform for data management and control</w:t>
      </w:r>
      <w:bookmarkEnd w:id="254"/>
      <w:bookmarkEnd w:id="255"/>
      <w:r>
        <w:rPr>
          <w:rFonts w:eastAsiaTheme="minorEastAsia"/>
        </w:rPr>
        <w:t xml:space="preserve">  </w:t>
      </w:r>
    </w:p>
    <w:p w14:paraId="52A1ED06" w14:textId="3C829CA1" w:rsidR="00471941" w:rsidRPr="000A6FE0" w:rsidRDefault="00471941" w:rsidP="00471941">
      <w:r>
        <w:t xml:space="preserve">The proposed cloud-based platform is shown in </w:t>
      </w:r>
      <w:r>
        <w:fldChar w:fldCharType="begin"/>
      </w:r>
      <w:r>
        <w:instrText xml:space="preserve"> REF _Ref134437396 \h </w:instrText>
      </w:r>
      <w:r>
        <w:fldChar w:fldCharType="separate"/>
      </w:r>
      <w:r w:rsidR="000E1725">
        <w:t xml:space="preserve">Figure </w:t>
      </w:r>
      <w:r w:rsidR="000E1725">
        <w:rPr>
          <w:noProof/>
        </w:rPr>
        <w:t>4</w:t>
      </w:r>
      <w:r w:rsidR="000E1725">
        <w:t>.</w:t>
      </w:r>
      <w:r w:rsidR="000E1725">
        <w:rPr>
          <w:noProof/>
        </w:rPr>
        <w:t>2</w:t>
      </w:r>
      <w:r>
        <w:fldChar w:fldCharType="end"/>
      </w:r>
      <w:r>
        <w:t>. The platform is developed using Python and</w:t>
      </w:r>
      <w:r w:rsidDel="00CA12DF">
        <w:t xml:space="preserve"> </w:t>
      </w:r>
      <w:r>
        <w:t xml:space="preserve">supports several functions of IoT devices including data communication, alert system, and remote control. To run the MPC-based precooling test on the platform, three types of datasets are required: the parameter identification dataset, the real-time control dataset, and the post-analysis dataset. </w:t>
      </w:r>
      <w:r>
        <w:fldChar w:fldCharType="begin"/>
      </w:r>
      <w:r>
        <w:instrText xml:space="preserve"> REF _Ref134437416 \h </w:instrText>
      </w:r>
      <w:r>
        <w:fldChar w:fldCharType="separate"/>
      </w:r>
      <w:r w:rsidR="000E1725">
        <w:t xml:space="preserve">Table </w:t>
      </w:r>
      <w:r w:rsidR="000E1725">
        <w:rPr>
          <w:noProof/>
        </w:rPr>
        <w:t>4</w:t>
      </w:r>
      <w:r w:rsidR="000E1725">
        <w:t>.</w:t>
      </w:r>
      <w:r w:rsidR="000E1725">
        <w:rPr>
          <w:noProof/>
        </w:rPr>
        <w:t>1</w:t>
      </w:r>
      <w:r>
        <w:fldChar w:fldCharType="end"/>
      </w:r>
      <w:r>
        <w:t xml:space="preserve"> lists, for each type of dataset, its purposes, components, data collection approaches, and data sources. In this paper, a uniform time step </w:t>
      </w:r>
      <m:oMath>
        <m:r>
          <m:rPr>
            <m:sty m:val="p"/>
          </m:rPr>
          <w:rPr>
            <w:rFonts w:ascii="Cambria Math" w:hAnsi="Cambria Math" w:hint="eastAsia"/>
          </w:rPr>
          <m:t>Δ</m:t>
        </m:r>
        <m:r>
          <w:rPr>
            <w:rFonts w:ascii="Cambria Math" w:hAnsi="Cambria Math"/>
          </w:rPr>
          <m:t>t</m:t>
        </m:r>
      </m:oMath>
      <w:r>
        <w:rPr>
          <w:rFonts w:eastAsia="PMingLiU"/>
        </w:rPr>
        <w:t xml:space="preserve"> of </w:t>
      </w:r>
      <w:r>
        <w:t xml:space="preserve">5 </w:t>
      </w:r>
      <w:r>
        <w:lastRenderedPageBreak/>
        <w:t>minutes is used for all three types of datasets. In addition, the optimization horizon of 12 hours (i.e., 144 time steps) is chosen, which means that at each time step, 12-hours-ahead forecasts of weather and the TOU rate are required. To collect and preprocess data of different types, several Python modules have been developed</w:t>
      </w:r>
      <w:r w:rsidRPr="00FD323D">
        <w:t xml:space="preserve">. </w:t>
      </w:r>
      <w:r>
        <w:t>Moreover, t</w:t>
      </w:r>
      <w:r w:rsidRPr="00FD323D">
        <w:t xml:space="preserve">he open-source time series database InfluxDB 2.0 </w:t>
      </w:r>
      <w:r w:rsidRPr="00FD323D">
        <w:fldChar w:fldCharType="begin"/>
      </w:r>
      <w:r w:rsidR="0082416B">
        <w:instrText xml:space="preserve"> ADDIN ZOTERO_ITEM CSL_CITATION {"citationID":"i346y9HW","properties":{"formattedCitation":"[122]","plainCitation":"[122]","noteIndex":0},"citationItems":[{"id":1526,"uris":["http://zotero.org/users/5659608/items/943SSP9P"],"itemData":{"id":1526,"type":"webpage","title":"InfluxDB OSS 2.0","URL":"https://docs.influxdata.com/influxdb/v2.0/get-started/","author":[{"family":"InfluxDB","given":""}],"accessed":{"date-parts":[["2023",1,27]]},"issued":{"date-parts":[["2021"]]},"citation-key":"influxdbInfluxDBOSS2021"}}],"schema":"https://github.com/citation-style-language/schema/raw/master/csl-citation.json"} </w:instrText>
      </w:r>
      <w:r w:rsidRPr="00FD323D">
        <w:fldChar w:fldCharType="separate"/>
      </w:r>
      <w:r w:rsidR="0082416B" w:rsidRPr="0082416B">
        <w:t>[122]</w:t>
      </w:r>
      <w:r w:rsidRPr="00FD323D">
        <w:fldChar w:fldCharType="end"/>
      </w:r>
      <w:r w:rsidRPr="00FD323D">
        <w:t xml:space="preserve"> is used for data storage and communication</w:t>
      </w:r>
      <w:r>
        <w:t xml:space="preserve">, and </w:t>
      </w:r>
      <w:r w:rsidRPr="00FD323D">
        <w:t xml:space="preserve">Grafana v7.4 </w:t>
      </w:r>
      <w:r w:rsidRPr="00FD323D">
        <w:fldChar w:fldCharType="begin"/>
      </w:r>
      <w:r w:rsidR="0082416B">
        <w:instrText xml:space="preserve"> ADDIN ZOTERO_ITEM CSL_CITATION {"citationID":"aAajOMVV","properties":{"formattedCitation":"[123]","plainCitation":"[123]","noteIndex":0},"citationItems":[{"id":1535,"uris":["http://zotero.org/users/5659608/items/T6IJ2LSZ"],"itemData":{"id":1535,"type":"webpage","abstract":"Grafana is the open source analytics &amp; monitoring solution for every database.","container-title":"Grafana Labs","language":"en","title":"Grafana: The open observability platform","URL":"https://grafana.com/","author":[{"family":"Grafana","given":""}],"accessed":{"date-parts":[["2023",1,27]]},"issued":{"date-parts":[["2021"]]},"citation-key":"grafanaGrafanaOpenObservability2021"}}],"schema":"https://github.com/citation-style-language/schema/raw/master/csl-citation.json"} </w:instrText>
      </w:r>
      <w:r w:rsidRPr="00FD323D">
        <w:fldChar w:fldCharType="separate"/>
      </w:r>
      <w:r w:rsidR="0082416B" w:rsidRPr="0082416B">
        <w:t>[123]</w:t>
      </w:r>
      <w:r w:rsidRPr="00FD323D">
        <w:fldChar w:fldCharType="end"/>
      </w:r>
      <w:r w:rsidRPr="00FD323D">
        <w:t xml:space="preserve"> is used for data display and user interface.</w:t>
      </w:r>
      <w:r>
        <w:t xml:space="preserve"> </w:t>
      </w:r>
    </w:p>
    <w:p w14:paraId="290ED426" w14:textId="77777777" w:rsidR="00471941" w:rsidRDefault="00471941" w:rsidP="00623535">
      <w:pPr>
        <w:pStyle w:val="12FigureFormatSelectafigureandclickonthisstyle"/>
      </w:pPr>
      <w:r>
        <w:rPr>
          <w:noProof/>
        </w:rPr>
        <w:drawing>
          <wp:inline distT="0" distB="0" distL="0" distR="0" wp14:anchorId="11A51B47" wp14:editId="06141DCE">
            <wp:extent cx="5720486" cy="1196761"/>
            <wp:effectExtent l="0" t="0" r="0" b="3810"/>
            <wp:docPr id="74001569" name="Picture 74001569" descr="A picture containing tex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creenshot, font&#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5730317" cy="1198818"/>
                    </a:xfrm>
                    <a:prstGeom prst="rect">
                      <a:avLst/>
                    </a:prstGeom>
                    <a:noFill/>
                    <a:ln>
                      <a:noFill/>
                    </a:ln>
                  </pic:spPr>
                </pic:pic>
              </a:graphicData>
            </a:graphic>
          </wp:inline>
        </w:drawing>
      </w:r>
    </w:p>
    <w:p w14:paraId="38ED8EE5" w14:textId="1A6FA4B9" w:rsidR="00471941" w:rsidRDefault="00471941" w:rsidP="00471941">
      <w:pPr>
        <w:pStyle w:val="13FigureCaption"/>
      </w:pPr>
      <w:bookmarkStart w:id="256" w:name="_Ref134437396"/>
      <w:bookmarkStart w:id="257" w:name="_Toc141349923"/>
      <w:r>
        <w:t xml:space="preserve">Figure </w:t>
      </w:r>
      <w:fldSimple w:instr=" STYLEREF 1 \s ">
        <w:r w:rsidR="000E1725">
          <w:rPr>
            <w:noProof/>
          </w:rPr>
          <w:t>4</w:t>
        </w:r>
      </w:fldSimple>
      <w:r w:rsidR="005445E0">
        <w:t>.</w:t>
      </w:r>
      <w:fldSimple w:instr=" SEQ Figure \* ARABIC \s 1 ">
        <w:r w:rsidR="000E1725">
          <w:rPr>
            <w:noProof/>
          </w:rPr>
          <w:t>2</w:t>
        </w:r>
      </w:fldSimple>
      <w:bookmarkStart w:id="258" w:name="_Ref128669930"/>
      <w:bookmarkEnd w:id="256"/>
      <w:r>
        <w:t xml:space="preserve"> Proposed cloud-based platform for data management and control.</w:t>
      </w:r>
      <w:bookmarkEnd w:id="257"/>
    </w:p>
    <w:p w14:paraId="0C8FBFE9" w14:textId="4538A445" w:rsidR="00471941" w:rsidRDefault="00471941" w:rsidP="00410CB0">
      <w:pPr>
        <w:pStyle w:val="15TableTitle"/>
      </w:pPr>
      <w:bookmarkStart w:id="259" w:name="_Ref134437416"/>
      <w:bookmarkStart w:id="260" w:name="_Toc141343899"/>
      <w:r>
        <w:t xml:space="preserve">Table </w:t>
      </w:r>
      <w:fldSimple w:instr=" STYLEREF 1 \s ">
        <w:r w:rsidR="000E1725">
          <w:rPr>
            <w:noProof/>
          </w:rPr>
          <w:t>4</w:t>
        </w:r>
      </w:fldSimple>
      <w:r w:rsidR="00146A55">
        <w:t>.</w:t>
      </w:r>
      <w:fldSimple w:instr=" SEQ Table \* ARABIC \s 1 ">
        <w:r w:rsidR="000E1725">
          <w:rPr>
            <w:noProof/>
          </w:rPr>
          <w:t>1</w:t>
        </w:r>
      </w:fldSimple>
      <w:bookmarkEnd w:id="258"/>
      <w:bookmarkEnd w:id="259"/>
      <w:r>
        <w:t xml:space="preserve"> Three Types of Dataset</w:t>
      </w:r>
      <w:bookmarkEnd w:id="260"/>
    </w:p>
    <w:tbl>
      <w:tblPr>
        <w:tblStyle w:val="TableGrid"/>
        <w:tblW w:w="9029" w:type="dxa"/>
        <w:tblLook w:val="04A0" w:firstRow="1" w:lastRow="0" w:firstColumn="1" w:lastColumn="0" w:noHBand="0" w:noVBand="1"/>
      </w:tblPr>
      <w:tblGrid>
        <w:gridCol w:w="1802"/>
        <w:gridCol w:w="1733"/>
        <w:gridCol w:w="1867"/>
        <w:gridCol w:w="1799"/>
        <w:gridCol w:w="1828"/>
      </w:tblGrid>
      <w:tr w:rsidR="00471941" w14:paraId="564CAAED" w14:textId="77777777" w:rsidTr="00AF3671">
        <w:tc>
          <w:tcPr>
            <w:tcW w:w="1803" w:type="dxa"/>
          </w:tcPr>
          <w:p w14:paraId="01C20386" w14:textId="77777777" w:rsidR="00471941" w:rsidRPr="00A873EE" w:rsidRDefault="00471941" w:rsidP="002023DB">
            <w:pPr>
              <w:pStyle w:val="16TableText"/>
              <w:rPr>
                <w:b/>
                <w:bCs/>
              </w:rPr>
            </w:pPr>
            <w:r>
              <w:rPr>
                <w:rFonts w:hint="eastAsia"/>
                <w:b/>
                <w:bCs/>
              </w:rPr>
              <w:t>Types</w:t>
            </w:r>
          </w:p>
        </w:tc>
        <w:tc>
          <w:tcPr>
            <w:tcW w:w="1736" w:type="dxa"/>
          </w:tcPr>
          <w:p w14:paraId="0B0DCFCC" w14:textId="77777777" w:rsidR="00471941" w:rsidRPr="00A873EE" w:rsidRDefault="00471941" w:rsidP="002023DB">
            <w:pPr>
              <w:pStyle w:val="16TableText"/>
              <w:rPr>
                <w:b/>
                <w:bCs/>
              </w:rPr>
            </w:pPr>
            <w:r w:rsidRPr="00A873EE">
              <w:rPr>
                <w:rFonts w:hint="eastAsia"/>
                <w:b/>
                <w:bCs/>
              </w:rPr>
              <w:t>P</w:t>
            </w:r>
            <w:r w:rsidRPr="00A873EE">
              <w:rPr>
                <w:b/>
                <w:bCs/>
              </w:rPr>
              <w:t>urpose</w:t>
            </w:r>
            <w:r>
              <w:rPr>
                <w:rFonts w:hint="eastAsia"/>
                <w:b/>
                <w:bCs/>
              </w:rPr>
              <w:t>s</w:t>
            </w:r>
          </w:p>
        </w:tc>
        <w:tc>
          <w:tcPr>
            <w:tcW w:w="1870" w:type="dxa"/>
          </w:tcPr>
          <w:p w14:paraId="2BE98DB8" w14:textId="77777777" w:rsidR="00471941" w:rsidRPr="00A873EE" w:rsidRDefault="00471941" w:rsidP="002023DB">
            <w:pPr>
              <w:pStyle w:val="16TableText"/>
              <w:rPr>
                <w:b/>
                <w:bCs/>
              </w:rPr>
            </w:pPr>
            <w:r>
              <w:rPr>
                <w:rFonts w:hint="eastAsia"/>
                <w:b/>
                <w:bCs/>
              </w:rPr>
              <w:t>C</w:t>
            </w:r>
            <w:r>
              <w:rPr>
                <w:b/>
                <w:bCs/>
              </w:rPr>
              <w:t>omponents</w:t>
            </w:r>
          </w:p>
        </w:tc>
        <w:tc>
          <w:tcPr>
            <w:tcW w:w="1803" w:type="dxa"/>
          </w:tcPr>
          <w:p w14:paraId="39EE96B0" w14:textId="77777777" w:rsidR="00471941" w:rsidRPr="00A873EE" w:rsidRDefault="00471941" w:rsidP="002023DB">
            <w:pPr>
              <w:pStyle w:val="16TableText"/>
              <w:rPr>
                <w:b/>
                <w:bCs/>
              </w:rPr>
            </w:pPr>
            <w:r w:rsidRPr="00A873EE">
              <w:rPr>
                <w:b/>
                <w:bCs/>
              </w:rPr>
              <w:t>Approach</w:t>
            </w:r>
            <w:r>
              <w:rPr>
                <w:b/>
                <w:bCs/>
              </w:rPr>
              <w:t>es</w:t>
            </w:r>
          </w:p>
        </w:tc>
        <w:tc>
          <w:tcPr>
            <w:tcW w:w="1817" w:type="dxa"/>
          </w:tcPr>
          <w:p w14:paraId="1117BA24" w14:textId="77777777" w:rsidR="00471941" w:rsidRPr="00A873EE" w:rsidRDefault="00471941" w:rsidP="002023DB">
            <w:pPr>
              <w:pStyle w:val="16TableText"/>
              <w:rPr>
                <w:b/>
                <w:bCs/>
              </w:rPr>
            </w:pPr>
            <w:r w:rsidRPr="00A873EE">
              <w:rPr>
                <w:rFonts w:hint="eastAsia"/>
                <w:b/>
                <w:bCs/>
              </w:rPr>
              <w:t>D</w:t>
            </w:r>
            <w:r w:rsidRPr="00A873EE">
              <w:rPr>
                <w:b/>
                <w:bCs/>
              </w:rPr>
              <w:t>ata Sources</w:t>
            </w:r>
          </w:p>
        </w:tc>
      </w:tr>
      <w:tr w:rsidR="00471941" w14:paraId="0F10D0F7" w14:textId="77777777" w:rsidTr="00AF3671">
        <w:tc>
          <w:tcPr>
            <w:tcW w:w="1803" w:type="dxa"/>
            <w:vMerge w:val="restart"/>
            <w:vAlign w:val="center"/>
          </w:tcPr>
          <w:p w14:paraId="56463A9C" w14:textId="77777777" w:rsidR="00471941" w:rsidRDefault="00471941" w:rsidP="002023DB">
            <w:pPr>
              <w:pStyle w:val="16TableText"/>
            </w:pPr>
            <w:r>
              <w:t>Parameter identification dataset</w:t>
            </w:r>
          </w:p>
        </w:tc>
        <w:tc>
          <w:tcPr>
            <w:tcW w:w="1736" w:type="dxa"/>
            <w:vMerge w:val="restart"/>
            <w:vAlign w:val="center"/>
          </w:tcPr>
          <w:p w14:paraId="5F435DD1" w14:textId="77777777" w:rsidR="00471941" w:rsidRDefault="00471941" w:rsidP="002023DB">
            <w:pPr>
              <w:pStyle w:val="16TableText"/>
            </w:pPr>
            <w:r>
              <w:t>Train 2</w:t>
            </w:r>
            <w:r>
              <w:rPr>
                <w:rFonts w:hint="eastAsia"/>
              </w:rPr>
              <w:t>R2</w:t>
            </w:r>
            <w:r>
              <w:t>C model</w:t>
            </w:r>
          </w:p>
        </w:tc>
        <w:tc>
          <w:tcPr>
            <w:tcW w:w="1870" w:type="dxa"/>
            <w:vAlign w:val="center"/>
          </w:tcPr>
          <w:p w14:paraId="36731163" w14:textId="77777777" w:rsidR="00471941" w:rsidRDefault="00471941" w:rsidP="002023DB">
            <w:pPr>
              <w:pStyle w:val="16TableText"/>
            </w:pPr>
            <w:r>
              <w:t>Indoor air and interior wall surface temperatures; AC on/off signals</w:t>
            </w:r>
          </w:p>
        </w:tc>
        <w:tc>
          <w:tcPr>
            <w:tcW w:w="1803" w:type="dxa"/>
            <w:vAlign w:val="center"/>
          </w:tcPr>
          <w:p w14:paraId="776EE378" w14:textId="77777777" w:rsidR="00471941" w:rsidRDefault="00471941" w:rsidP="002023DB">
            <w:pPr>
              <w:pStyle w:val="16TableText"/>
            </w:pPr>
            <w:r>
              <w:t>Query from database</w:t>
            </w:r>
          </w:p>
        </w:tc>
        <w:tc>
          <w:tcPr>
            <w:tcW w:w="1817" w:type="dxa"/>
            <w:vAlign w:val="center"/>
          </w:tcPr>
          <w:p w14:paraId="741970FF" w14:textId="77777777" w:rsidR="00471941" w:rsidRDefault="00471941" w:rsidP="002023DB">
            <w:pPr>
              <w:pStyle w:val="16TableText"/>
            </w:pPr>
            <w:r>
              <w:t>Smart thermostat; node sensor</w:t>
            </w:r>
          </w:p>
        </w:tc>
      </w:tr>
      <w:tr w:rsidR="00471941" w14:paraId="0676590D" w14:textId="77777777" w:rsidTr="00AF3671">
        <w:tc>
          <w:tcPr>
            <w:tcW w:w="1803" w:type="dxa"/>
            <w:vMerge/>
            <w:vAlign w:val="center"/>
          </w:tcPr>
          <w:p w14:paraId="132D3D9E" w14:textId="77777777" w:rsidR="00471941" w:rsidRDefault="00471941" w:rsidP="002023DB">
            <w:pPr>
              <w:pStyle w:val="16TableText"/>
            </w:pPr>
          </w:p>
        </w:tc>
        <w:tc>
          <w:tcPr>
            <w:tcW w:w="1736" w:type="dxa"/>
            <w:vMerge/>
            <w:vAlign w:val="center"/>
          </w:tcPr>
          <w:p w14:paraId="49A19E7B" w14:textId="77777777" w:rsidR="00471941" w:rsidRDefault="00471941" w:rsidP="002023DB">
            <w:pPr>
              <w:pStyle w:val="16TableText"/>
            </w:pPr>
          </w:p>
        </w:tc>
        <w:tc>
          <w:tcPr>
            <w:tcW w:w="1870" w:type="dxa"/>
            <w:vAlign w:val="center"/>
          </w:tcPr>
          <w:p w14:paraId="5849A47B" w14:textId="77777777" w:rsidR="00471941" w:rsidRDefault="00471941" w:rsidP="002023DB">
            <w:pPr>
              <w:pStyle w:val="16TableText"/>
            </w:pPr>
            <w:r>
              <w:t>AC power usage</w:t>
            </w:r>
          </w:p>
        </w:tc>
        <w:tc>
          <w:tcPr>
            <w:tcW w:w="1803" w:type="dxa"/>
            <w:vAlign w:val="center"/>
          </w:tcPr>
          <w:p w14:paraId="1C37EDAF" w14:textId="77777777" w:rsidR="00471941" w:rsidRDefault="00471941" w:rsidP="002023DB">
            <w:pPr>
              <w:pStyle w:val="16TableText"/>
            </w:pPr>
            <w:r>
              <w:t>Query from database</w:t>
            </w:r>
          </w:p>
        </w:tc>
        <w:tc>
          <w:tcPr>
            <w:tcW w:w="1817" w:type="dxa"/>
            <w:vAlign w:val="center"/>
          </w:tcPr>
          <w:p w14:paraId="28A614BD" w14:textId="61482D2E" w:rsidR="00471941" w:rsidRDefault="00471941" w:rsidP="002023DB">
            <w:pPr>
              <w:pStyle w:val="16TableText"/>
            </w:pPr>
            <w:r>
              <w:t xml:space="preserve">Smart power meter </w:t>
            </w:r>
            <w:r>
              <w:fldChar w:fldCharType="begin"/>
            </w:r>
            <w:r w:rsidR="0082416B">
              <w:instrText xml:space="preserve"> ADDIN ZOTERO_ITEM CSL_CITATION {"citationID":"BQilyT9K","properties":{"formattedCitation":"[124]","plainCitation":"[124]","noteIndex":0},"citationItems":[{"id":1503,"uris":["http://zotero.org/users/5659608/items/XGTGIP6U"],"itemData":{"id":1503,"type":"webpage","abstract":"Lower your electric bills! With the Emporia Vue Real Time 24/7 Electricity Monitor for the home. Great for Energy savings, real time utility bills, solar installations and net metering. Includes expansion module for monitoring of individual circuits.","container-title":"Emporia Energy","language":"English","title":"Emporia Vue: Gen 2 Whole Home Energy Monitor","URL":"https://shop.emporiaenergy.com/products/gen-2-emporia-vue-whole-home-energy-monitor","author":[{"family":"Emporia","given":""}],"accessed":{"date-parts":[["2023",1,26]]},"issued":{"date-parts":[["2022",11,9]]},"citation-key":"emporiaEmporiaVueGen2022"}}],"schema":"https://github.com/citation-style-language/schema/raw/master/csl-citation.json"} </w:instrText>
            </w:r>
            <w:r>
              <w:fldChar w:fldCharType="separate"/>
            </w:r>
            <w:r w:rsidR="0082416B" w:rsidRPr="0082416B">
              <w:t>[124]</w:t>
            </w:r>
            <w:r>
              <w:fldChar w:fldCharType="end"/>
            </w:r>
          </w:p>
        </w:tc>
      </w:tr>
      <w:tr w:rsidR="00471941" w14:paraId="6D337E4A" w14:textId="77777777" w:rsidTr="00AF3671">
        <w:tc>
          <w:tcPr>
            <w:tcW w:w="1803" w:type="dxa"/>
            <w:vMerge/>
            <w:vAlign w:val="center"/>
          </w:tcPr>
          <w:p w14:paraId="0542F8A8" w14:textId="77777777" w:rsidR="00471941" w:rsidRDefault="00471941" w:rsidP="002023DB">
            <w:pPr>
              <w:pStyle w:val="16TableText"/>
            </w:pPr>
          </w:p>
        </w:tc>
        <w:tc>
          <w:tcPr>
            <w:tcW w:w="1736" w:type="dxa"/>
            <w:vMerge/>
            <w:vAlign w:val="center"/>
          </w:tcPr>
          <w:p w14:paraId="7549E998" w14:textId="77777777" w:rsidR="00471941" w:rsidRDefault="00471941" w:rsidP="002023DB">
            <w:pPr>
              <w:pStyle w:val="16TableText"/>
            </w:pPr>
          </w:p>
        </w:tc>
        <w:tc>
          <w:tcPr>
            <w:tcW w:w="1870" w:type="dxa"/>
            <w:vAlign w:val="center"/>
          </w:tcPr>
          <w:p w14:paraId="2F935EA3" w14:textId="77777777" w:rsidR="00471941" w:rsidRDefault="00471941" w:rsidP="002023DB">
            <w:pPr>
              <w:pStyle w:val="16TableText"/>
            </w:pPr>
            <w:r>
              <w:t>Historical weather dataset</w:t>
            </w:r>
          </w:p>
        </w:tc>
        <w:tc>
          <w:tcPr>
            <w:tcW w:w="1803" w:type="dxa"/>
            <w:vAlign w:val="center"/>
          </w:tcPr>
          <w:p w14:paraId="43A254C7" w14:textId="77777777" w:rsidR="00471941" w:rsidRDefault="00471941" w:rsidP="002023DB">
            <w:pPr>
              <w:pStyle w:val="16TableText"/>
            </w:pPr>
            <w:r>
              <w:t>Scrap from website</w:t>
            </w:r>
          </w:p>
        </w:tc>
        <w:tc>
          <w:tcPr>
            <w:tcW w:w="1817" w:type="dxa"/>
            <w:vAlign w:val="center"/>
          </w:tcPr>
          <w:p w14:paraId="459B2DA9" w14:textId="06EF8BD7" w:rsidR="00471941" w:rsidRPr="00D54C67" w:rsidRDefault="00471941" w:rsidP="002023DB">
            <w:pPr>
              <w:pStyle w:val="16TableText"/>
            </w:pPr>
            <w:r w:rsidRPr="00D54C67">
              <w:t xml:space="preserve">Mesonet </w:t>
            </w:r>
            <w:r w:rsidRPr="00D54C67">
              <w:fldChar w:fldCharType="begin"/>
            </w:r>
            <w:r w:rsidR="005D48B2">
              <w:instrText xml:space="preserve"> ADDIN ZOTERO_ITEM CSL_CITATION {"citationID":"apGUIo9J","properties":{"formattedCitation":"[39], [40]","plainCitation":"[39], [40]","dontUpdate":true,"noteIndex":0},"citationItems":[{"id":1429,"uris":["http://zotero.org/users/5659608/items/4BNT3A6H"],"itemData":{"id":1429,"type":"article-journal","abstract":"Abstract The Oklahoma mesonet is a joint project of Oklahoma State University and the University of Oklahoma. It is an automated network of 108 stations covering the state of Oklahoma. Each station measures air temperature, humidity, barometric pressure, wind speed and direction, rainfall, solar radiation, and soil temperatures. Each station transmits a data message every 15 min via a radio link to the nearest terminal of the Oklahoma Law Enforcement Telecommunications System that relays it to a central site in Norman, Oklahoma. The data message comprises three 5-min averages of most data (and one 15-min average of soil temperatures). The central site ingests the data, runs some quality assurance tests, archives the data, and disseminates it in real time to a broad community of users, primarily through a computerized bulletin board system. This manuscript provides a technical description of the Oklahoma mesonet including a complete description of the instrumentation. Sensor inaccuracy, resolution, height with respect to ground level, and method of exposure are discussed.","container-title":"Journal of Atmospheric and Oceanic Technology","DOI":"10.1175/1520-0426(1995)012&lt;0005:TOMATO&gt;2.0.CO;2","ISSN":"0739-0572, 1520-0426","issue":"1","language":"EN","note":"publisher: American Meteorological Society\nsection: Journal of Atmospheric and Oceanic Technology","page":"5-19","source":"journals.ametsoc.org","title":"The Oklahoma Mesonet: A Technical Overview","title-short":"The Oklahoma Mesonet","volume":"12","author":[{"family":"Brock","given":"Fred V."},{"family":"Crawford","given":"Kenneth C."},{"family":"Elliott","given":"Ronald L."},{"family":"Cuperus","given":"Gerrit W."},{"family":"Stadler","given":"Steven J."},{"family":"Johnson","given":"Howard L."},{"family":"Eilts","given":"Michael D."}],"issued":{"date-parts":[["1995",2,1]]},"citation-key":"brockOklahomaMesonetTechnical1995"}},{"id":729,"uris":["http://zotero.org/users/5659608/items/U3DCQW7C"],"itemData":{"id":729,"type":"article-journal","abstract":"Established as a multipurpose network, the Oklahoma Mesonet operates more than 110 surface observing stations that send data every 5 min to an operations center for data quality assurance, product generation, and dissemination. Quality-assured data are available within 5 min of the observation time. Since 1994, the Oklahoma Mesonet has collected 3.5 billion weather and soil observations and produced millions of decision-making products for its customers.","container-title":"Journal of Atmospheric and Oceanic Technology","DOI":"10.1175/JTECH1976.1","ISSN":"1520-0426, 0739-0572","issue":"3","language":"en","page":"301-321","source":"DOI.org (Crossref)","title":"Statewide Monitoring of the Mesoscale Environment: A Technical Update on the Oklahoma Mesonet","title-short":"Statewide Monitoring of the Mesoscale Environment","volume":"24","author":[{"family":"McPherson","given":"Renee A."},{"family":"Fiebrich","given":"Christopher A."},{"family":"Crawford","given":"Kenneth C."},{"family":"Kilby","given":"James R."},{"family":"Grimsley","given":"David L."},{"family":"Martinez","given":"Janet E."},{"family":"Basara","given":"Jeffrey B."},{"family":"Illston","given":"Bradley G."},{"family":"Morris","given":"Dale A."},{"family":"Kloesel","given":"Kevin A."},{"family":"Melvin","given":"Andrea D."},{"family":"Shrivastava","given":"Himanshu"},{"family":"Wolfinbarger","given":"J. Michael"},{"family":"Bostic","given":"Jared P."},{"family":"Demko","given":"David B."},{"family":"Elliott","given":"Ronald L."},{"family":"Stadler","given":"Stephen J."},{"family":"Carlson","given":"J. D."},{"family":"Sutherland","given":"Albert J."}],"issued":{"date-parts":[["2007",3,1]]},"citation-key":"mcphersonStatewideMonitoringMesoscale2007"}}],"schema":"https://github.com/citation-style-language/schema/raw/master/csl-citation.json"} </w:instrText>
            </w:r>
            <w:r w:rsidRPr="00D54C67">
              <w:fldChar w:fldCharType="separate"/>
            </w:r>
            <w:r w:rsidRPr="00D54C67">
              <w:t>[39]; [40]</w:t>
            </w:r>
            <w:r w:rsidRPr="00D54C67">
              <w:fldChar w:fldCharType="end"/>
            </w:r>
            <w:r w:rsidRPr="00D54C67">
              <w:t xml:space="preserve">; and weather services </w:t>
            </w:r>
            <w:r w:rsidRPr="00D54C67">
              <w:fldChar w:fldCharType="begin"/>
            </w:r>
            <w:r w:rsidR="0082416B">
              <w:instrText xml:space="preserve"> ADDIN ZOTERO_ITEM CSL_CITATION {"citationID":"knKZe6LS","properties":{"formattedCitation":"[117]","plainCitation":"[117]","noteIndex":0},"citationItems":[{"id":1536,"uris":["http://zotero.org/users/5659608/items/R5HGXRVI"],"itemData":{"id":1536,"type":"webpage","title":"Weather API - OpenWeatherMap","URL":"https://openweathermap.org/api","author":[{"family":"OpenWeatherMap","given":""}],"accessed":{"date-parts":[["2023",1,27]]},"issued":{"date-parts":[["2018"]]},"citation-key":"openweathermapWeatherAPIOpenWeatherMap2018"}}],"schema":"https://github.com/citation-style-language/schema/raw/master/csl-citation.json"} </w:instrText>
            </w:r>
            <w:r w:rsidRPr="00D54C67">
              <w:fldChar w:fldCharType="separate"/>
            </w:r>
            <w:r w:rsidR="0082416B" w:rsidRPr="0082416B">
              <w:t>[117]</w:t>
            </w:r>
            <w:r w:rsidRPr="00D54C67">
              <w:fldChar w:fldCharType="end"/>
            </w:r>
          </w:p>
        </w:tc>
      </w:tr>
      <w:tr w:rsidR="00471941" w14:paraId="4CCCA3EF" w14:textId="77777777" w:rsidTr="00AF3671">
        <w:tc>
          <w:tcPr>
            <w:tcW w:w="1803" w:type="dxa"/>
            <w:vMerge w:val="restart"/>
            <w:vAlign w:val="center"/>
          </w:tcPr>
          <w:p w14:paraId="6B80CB2D" w14:textId="77777777" w:rsidR="00471941" w:rsidRDefault="00471941" w:rsidP="002023DB">
            <w:pPr>
              <w:pStyle w:val="16TableText"/>
            </w:pPr>
            <w:r>
              <w:rPr>
                <w:rFonts w:hint="eastAsia"/>
              </w:rPr>
              <w:t>Real</w:t>
            </w:r>
            <w:r>
              <w:t>-time control dataset</w:t>
            </w:r>
          </w:p>
        </w:tc>
        <w:tc>
          <w:tcPr>
            <w:tcW w:w="1736" w:type="dxa"/>
            <w:vAlign w:val="center"/>
          </w:tcPr>
          <w:p w14:paraId="46FF6593" w14:textId="77777777" w:rsidR="00471941" w:rsidRDefault="00471941" w:rsidP="002023DB">
            <w:pPr>
              <w:pStyle w:val="16TableText"/>
            </w:pPr>
            <w:r>
              <w:t>Initial states for home thermal model</w:t>
            </w:r>
          </w:p>
        </w:tc>
        <w:tc>
          <w:tcPr>
            <w:tcW w:w="1870" w:type="dxa"/>
            <w:vAlign w:val="center"/>
          </w:tcPr>
          <w:p w14:paraId="4EE8855A" w14:textId="77777777" w:rsidR="00471941" w:rsidRDefault="00471941" w:rsidP="002023DB">
            <w:pPr>
              <w:pStyle w:val="16TableText"/>
            </w:pPr>
            <w:r>
              <w:t>Indoor air and interior wall surface temperatures</w:t>
            </w:r>
          </w:p>
        </w:tc>
        <w:tc>
          <w:tcPr>
            <w:tcW w:w="1803" w:type="dxa"/>
            <w:vAlign w:val="center"/>
          </w:tcPr>
          <w:p w14:paraId="4950BC70" w14:textId="77777777" w:rsidR="00471941" w:rsidRPr="003717BE" w:rsidRDefault="00471941" w:rsidP="002023DB">
            <w:pPr>
              <w:pStyle w:val="16TableText"/>
            </w:pPr>
            <w:r>
              <w:t>Query from thermostat API</w:t>
            </w:r>
          </w:p>
        </w:tc>
        <w:tc>
          <w:tcPr>
            <w:tcW w:w="1817" w:type="dxa"/>
            <w:vAlign w:val="center"/>
          </w:tcPr>
          <w:p w14:paraId="395A005C" w14:textId="77777777" w:rsidR="00471941" w:rsidRPr="00D54C67" w:rsidRDefault="00471941" w:rsidP="002023DB">
            <w:pPr>
              <w:pStyle w:val="16TableText"/>
            </w:pPr>
            <w:r w:rsidRPr="00D54C67">
              <w:t>Smart thermostat; node sensor</w:t>
            </w:r>
          </w:p>
        </w:tc>
      </w:tr>
      <w:tr w:rsidR="00471941" w:rsidRPr="00D54C67" w14:paraId="1F0D0DD2" w14:textId="77777777" w:rsidTr="00AF3671">
        <w:tc>
          <w:tcPr>
            <w:tcW w:w="1803" w:type="dxa"/>
            <w:vMerge/>
            <w:vAlign w:val="center"/>
          </w:tcPr>
          <w:p w14:paraId="61B9F1D9" w14:textId="77777777" w:rsidR="00471941" w:rsidRDefault="00471941" w:rsidP="002023DB">
            <w:pPr>
              <w:pStyle w:val="16TableText"/>
            </w:pPr>
          </w:p>
        </w:tc>
        <w:tc>
          <w:tcPr>
            <w:tcW w:w="1736" w:type="dxa"/>
            <w:vAlign w:val="center"/>
          </w:tcPr>
          <w:p w14:paraId="357FEC7F" w14:textId="77777777" w:rsidR="00471941" w:rsidRDefault="00471941" w:rsidP="002023DB">
            <w:pPr>
              <w:pStyle w:val="16TableText"/>
            </w:pPr>
            <w:r>
              <w:t>Home thermal model inputs for MILP formulation</w:t>
            </w:r>
          </w:p>
        </w:tc>
        <w:tc>
          <w:tcPr>
            <w:tcW w:w="1870" w:type="dxa"/>
            <w:vAlign w:val="center"/>
          </w:tcPr>
          <w:p w14:paraId="07A095BD" w14:textId="77777777" w:rsidR="00471941" w:rsidRDefault="00471941" w:rsidP="002023DB">
            <w:pPr>
              <w:pStyle w:val="16TableText"/>
            </w:pPr>
            <w:r>
              <w:t>Weather forecast;</w:t>
            </w:r>
          </w:p>
          <w:p w14:paraId="369D1FB8" w14:textId="77777777" w:rsidR="00471941" w:rsidRDefault="00471941" w:rsidP="002023DB">
            <w:pPr>
              <w:pStyle w:val="16TableText"/>
            </w:pPr>
            <w:r>
              <w:rPr>
                <w:rFonts w:hint="eastAsia"/>
              </w:rPr>
              <w:t>T</w:t>
            </w:r>
            <w:r>
              <w:t xml:space="preserve">OU rate </w:t>
            </w:r>
          </w:p>
        </w:tc>
        <w:tc>
          <w:tcPr>
            <w:tcW w:w="1803" w:type="dxa"/>
            <w:vAlign w:val="center"/>
          </w:tcPr>
          <w:p w14:paraId="44D6A831" w14:textId="77777777" w:rsidR="00471941" w:rsidRDefault="00471941" w:rsidP="002023DB">
            <w:pPr>
              <w:pStyle w:val="16TableText"/>
            </w:pPr>
            <w:r>
              <w:t>Query from weather API;</w:t>
            </w:r>
          </w:p>
          <w:p w14:paraId="79FF2B2D" w14:textId="77777777" w:rsidR="00471941" w:rsidRDefault="00471941" w:rsidP="002023DB">
            <w:pPr>
              <w:pStyle w:val="16TableText"/>
            </w:pPr>
            <w:r>
              <w:rPr>
                <w:rFonts w:hint="eastAsia"/>
              </w:rPr>
              <w:t>Q</w:t>
            </w:r>
            <w:r>
              <w:t>uery from utility</w:t>
            </w:r>
          </w:p>
        </w:tc>
        <w:tc>
          <w:tcPr>
            <w:tcW w:w="1817" w:type="dxa"/>
            <w:vAlign w:val="center"/>
          </w:tcPr>
          <w:p w14:paraId="4D285336" w14:textId="3314A7DB" w:rsidR="00471941" w:rsidRPr="00D54C67" w:rsidRDefault="00471941" w:rsidP="002023DB">
            <w:pPr>
              <w:pStyle w:val="16TableText"/>
            </w:pPr>
            <w:r w:rsidRPr="00D54C67">
              <w:t xml:space="preserve">Solcast </w:t>
            </w:r>
            <w:r w:rsidRPr="00D54C67">
              <w:fldChar w:fldCharType="begin"/>
            </w:r>
            <w:r w:rsidR="0082416B">
              <w:instrText xml:space="preserve"> ADDIN ZOTERO_ITEM CSL_CITATION {"citationID":"SP8fL7ZD","properties":{"formattedCitation":"[116]","plainCitation":"[116]","noteIndex":0},"citationItems":[{"id":1654,"uris":["http://zotero.org/users/5659608/items/YARD2WCM"],"itemData":{"id":1654,"type":"webpage","title":"Solar Forecasting Data","URL":"https://solcast.com","author":[{"family":"Solcast","given":""}],"accessed":{"date-parts":[["2023",3,2]]},"issued":{"date-parts":[["2018"]]},"citation-key":"solcastSolarForecastingData2018"}}],"schema":"https://github.com/citation-style-language/schema/raw/master/csl-citation.json"} </w:instrText>
            </w:r>
            <w:r w:rsidRPr="00D54C67">
              <w:fldChar w:fldCharType="separate"/>
            </w:r>
            <w:r w:rsidR="0082416B" w:rsidRPr="0082416B">
              <w:t>[116]</w:t>
            </w:r>
            <w:r w:rsidRPr="00D54C67">
              <w:fldChar w:fldCharType="end"/>
            </w:r>
            <w:r w:rsidRPr="00D54C67">
              <w:t xml:space="preserve"> and weather services</w:t>
            </w:r>
            <w:r>
              <w:t xml:space="preserve"> </w:t>
            </w:r>
            <w:r w:rsidRPr="00D54C67">
              <w:fldChar w:fldCharType="begin"/>
            </w:r>
            <w:r w:rsidR="0082416B">
              <w:instrText xml:space="preserve"> ADDIN ZOTERO_ITEM CSL_CITATION {"citationID":"dQJt5C1T","properties":{"formattedCitation":"[117]","plainCitation":"[117]","noteIndex":0},"citationItems":[{"id":1536,"uris":["http://zotero.org/users/5659608/items/R5HGXRVI"],"itemData":{"id":1536,"type":"webpage","title":"Weather API - OpenWeatherMap","URL":"https://openweathermap.org/api","author":[{"family":"OpenWeatherMap","given":""}],"accessed":{"date-parts":[["2023",1,27]]},"issued":{"date-parts":[["2018"]]},"citation-key":"openweathermapWeatherAPIOpenWeatherMap2018"}}],"schema":"https://github.com/citation-style-language/schema/raw/master/csl-citation.json"} </w:instrText>
            </w:r>
            <w:r w:rsidRPr="00D54C67">
              <w:fldChar w:fldCharType="separate"/>
            </w:r>
            <w:r w:rsidR="0082416B" w:rsidRPr="0082416B">
              <w:t>[117]</w:t>
            </w:r>
            <w:r w:rsidRPr="00D54C67">
              <w:fldChar w:fldCharType="end"/>
            </w:r>
            <w:r w:rsidRPr="00D54C67">
              <w:t xml:space="preserve">; utilities </w:t>
            </w:r>
            <w:r w:rsidRPr="00D54C67">
              <w:fldChar w:fldCharType="begin"/>
            </w:r>
            <w:r w:rsidR="0082416B">
              <w:instrText xml:space="preserve"> ADDIN ZOTERO_ITEM CSL_CITATION {"citationID":"U7E1f4Qj","properties":{"formattedCitation":"[125\\uc0\\u8211{}127]","plainCitation":"[125–127]","noteIndex":0},"citationItems":[{"id":1537,"uris":["http://zotero.org/users/5659608/items/GMKIGJLT"],"itemData":{"id":1537,"type":"webpage","title":"OG&amp;E - SmartHours","URL":"https://www.oge.com/wps/portal/ord/residential/pricing-options/smart-hours","author":[{"family":"Oklahoma Gas &amp; Electric","given":""}],"accessed":{"date-parts":[["2023",1,27]]},"issued":{"date-parts":[["2022"]]},"citation-key":"oklahomagas&amp;electricOGSmartHours2022"}},{"id":1538,"uris":["http://zotero.org/users/5659608/items/MZQRV9B9"],"itemData":{"id":1538,"type":"webpage","abstract":"Time of Use Rate This rate includes $1/day service availability charge and: Winter Rate(January through May, November and December bills) First 1,000 kWh: 9.2752¢/kWh All other kWh: 6¢/kWh Shoulder Rate(June and October bills) On Peak*: 24¢/kWh All other kWh: 11¢/kWh *On peak hours are between 3 and 7 p.m. Monday through Friday between June 1 […]","container-title":"Oklahoma Electric Cooperative","language":"en-US","title":"Time of Use Rate","URL":"https://okcoop.org/time-of-use-rate/","author":[{"family":"Oklahoma Electric Corporate","given":""}],"accessed":{"date-parts":[["2023",1,27]]},"issued":{"date-parts":[["2022",5,9]]},"citation-key":"oklahomaelectriccorporateTimeUseRate2022"}},{"id":1539,"uris":["http://zotero.org/users/5659608/items/KDHIZAFR"],"itemData":{"id":1539,"type":"webpage","title":"Residential Time of Use Rate","URL":"https://www.fpl.com/rates/time-of-use.html","author":[{"family":"Florida Power &amp; Light","given":""}],"accessed":{"date-parts":[["2023",1,27]]},"issued":{"date-parts":[["2022"]]},"citation-key":"floridapower&amp;lightResidentialTimeUse2022"}}],"schema":"https://github.com/citation-style-language/schema/raw/master/csl-citation.json"} </w:instrText>
            </w:r>
            <w:r w:rsidRPr="00D54C67">
              <w:fldChar w:fldCharType="separate"/>
            </w:r>
            <w:r w:rsidR="0082416B" w:rsidRPr="0082416B">
              <w:rPr>
                <w:szCs w:val="24"/>
              </w:rPr>
              <w:t>[125–127]</w:t>
            </w:r>
            <w:r w:rsidRPr="00D54C67">
              <w:fldChar w:fldCharType="end"/>
            </w:r>
          </w:p>
        </w:tc>
      </w:tr>
      <w:tr w:rsidR="00471941" w14:paraId="0342C59D" w14:textId="77777777" w:rsidTr="00AF3671">
        <w:tc>
          <w:tcPr>
            <w:tcW w:w="1803" w:type="dxa"/>
            <w:vMerge/>
            <w:vAlign w:val="center"/>
          </w:tcPr>
          <w:p w14:paraId="52D7E48A" w14:textId="77777777" w:rsidR="00471941" w:rsidRDefault="00471941" w:rsidP="002023DB">
            <w:pPr>
              <w:pStyle w:val="16TableText"/>
            </w:pPr>
          </w:p>
        </w:tc>
        <w:tc>
          <w:tcPr>
            <w:tcW w:w="1736" w:type="dxa"/>
            <w:vAlign w:val="center"/>
          </w:tcPr>
          <w:p w14:paraId="3F676543" w14:textId="77777777" w:rsidR="00471941" w:rsidRDefault="00471941" w:rsidP="002023DB">
            <w:pPr>
              <w:pStyle w:val="16TableText"/>
            </w:pPr>
            <w:r>
              <w:t>Thermal comfort inputs for MILP formulation</w:t>
            </w:r>
          </w:p>
        </w:tc>
        <w:tc>
          <w:tcPr>
            <w:tcW w:w="1870" w:type="dxa"/>
            <w:vAlign w:val="center"/>
          </w:tcPr>
          <w:p w14:paraId="7CA4A117" w14:textId="77777777" w:rsidR="00471941" w:rsidRDefault="00471941" w:rsidP="002023DB">
            <w:pPr>
              <w:pStyle w:val="16TableText"/>
            </w:pPr>
            <w:r>
              <w:t xml:space="preserve">Upper and lower bounds on indoor air temperature </w:t>
            </w:r>
          </w:p>
        </w:tc>
        <w:tc>
          <w:tcPr>
            <w:tcW w:w="1803" w:type="dxa"/>
            <w:vAlign w:val="center"/>
          </w:tcPr>
          <w:p w14:paraId="52C4E2D2" w14:textId="77777777" w:rsidR="00471941" w:rsidRDefault="00471941" w:rsidP="002023DB">
            <w:pPr>
              <w:pStyle w:val="16TableText"/>
            </w:pPr>
            <w:r>
              <w:t>Homeowners’ previous preferences or current thermal comfort requests</w:t>
            </w:r>
          </w:p>
        </w:tc>
        <w:tc>
          <w:tcPr>
            <w:tcW w:w="1817" w:type="dxa"/>
            <w:vAlign w:val="center"/>
          </w:tcPr>
          <w:p w14:paraId="663E68AE" w14:textId="77777777" w:rsidR="00471941" w:rsidRPr="004E7CF1" w:rsidRDefault="00471941" w:rsidP="002023DB">
            <w:pPr>
              <w:pStyle w:val="16TableText"/>
            </w:pPr>
            <w:r w:rsidRPr="004E7CF1">
              <w:t>Historical setpoints; private correspondence</w:t>
            </w:r>
          </w:p>
        </w:tc>
      </w:tr>
      <w:tr w:rsidR="00471941" w14:paraId="51A056E6" w14:textId="77777777" w:rsidTr="00AF3671">
        <w:tc>
          <w:tcPr>
            <w:tcW w:w="1803" w:type="dxa"/>
            <w:vAlign w:val="center"/>
          </w:tcPr>
          <w:p w14:paraId="33A3C8D1" w14:textId="77777777" w:rsidR="00471941" w:rsidRDefault="00471941" w:rsidP="002023DB">
            <w:pPr>
              <w:pStyle w:val="16TableText"/>
            </w:pPr>
            <w:r>
              <w:rPr>
                <w:rFonts w:hint="eastAsia"/>
              </w:rPr>
              <w:t>P</w:t>
            </w:r>
            <w:r>
              <w:t>ost-analysis d</w:t>
            </w:r>
            <w:r>
              <w:rPr>
                <w:rFonts w:hint="eastAsia"/>
              </w:rPr>
              <w:t>ataset</w:t>
            </w:r>
          </w:p>
        </w:tc>
        <w:tc>
          <w:tcPr>
            <w:tcW w:w="1736" w:type="dxa"/>
            <w:vAlign w:val="center"/>
          </w:tcPr>
          <w:p w14:paraId="2D5BB6EC" w14:textId="77777777" w:rsidR="00471941" w:rsidRDefault="00471941" w:rsidP="002023DB">
            <w:pPr>
              <w:pStyle w:val="16TableText"/>
            </w:pPr>
            <w:r>
              <w:rPr>
                <w:rFonts w:hint="eastAsia"/>
              </w:rPr>
              <w:t>O</w:t>
            </w:r>
            <w:r>
              <w:t>ther information for analysis</w:t>
            </w:r>
          </w:p>
        </w:tc>
        <w:tc>
          <w:tcPr>
            <w:tcW w:w="1870" w:type="dxa"/>
            <w:vAlign w:val="center"/>
          </w:tcPr>
          <w:p w14:paraId="328540AB" w14:textId="77777777" w:rsidR="00471941" w:rsidRDefault="00471941" w:rsidP="002023DB">
            <w:pPr>
              <w:pStyle w:val="16TableText"/>
            </w:pPr>
            <w:r>
              <w:t>AC mode; away time</w:t>
            </w:r>
          </w:p>
        </w:tc>
        <w:tc>
          <w:tcPr>
            <w:tcW w:w="1803" w:type="dxa"/>
            <w:vAlign w:val="center"/>
          </w:tcPr>
          <w:p w14:paraId="3D0EBE28" w14:textId="77777777" w:rsidR="00471941" w:rsidRDefault="00471941" w:rsidP="002023DB">
            <w:pPr>
              <w:pStyle w:val="16TableText"/>
            </w:pPr>
            <w:r>
              <w:t>Query from smart thermostat API</w:t>
            </w:r>
          </w:p>
        </w:tc>
        <w:tc>
          <w:tcPr>
            <w:tcW w:w="1817" w:type="dxa"/>
            <w:vAlign w:val="center"/>
          </w:tcPr>
          <w:p w14:paraId="79A1DCCB" w14:textId="77777777" w:rsidR="00471941" w:rsidRDefault="00471941" w:rsidP="002023DB">
            <w:pPr>
              <w:pStyle w:val="16TableText"/>
            </w:pPr>
            <w:r>
              <w:t>Smart thermostat</w:t>
            </w:r>
          </w:p>
        </w:tc>
      </w:tr>
    </w:tbl>
    <w:p w14:paraId="0F3298D7" w14:textId="77777777" w:rsidR="00471941" w:rsidRDefault="00471941" w:rsidP="00410CB0">
      <w:pPr>
        <w:pStyle w:val="15TableTitle"/>
      </w:pPr>
    </w:p>
    <w:p w14:paraId="231E1712" w14:textId="77777777" w:rsidR="00471941" w:rsidRDefault="00471941" w:rsidP="00471941">
      <w:pPr>
        <w:pStyle w:val="Heading3"/>
      </w:pPr>
      <w:bookmarkStart w:id="261" w:name="_Toc133542378"/>
      <w:bookmarkStart w:id="262" w:name="_Toc141991712"/>
      <w:r>
        <w:t>Implementation</w:t>
      </w:r>
      <w:bookmarkEnd w:id="261"/>
      <w:r>
        <w:t xml:space="preserve"> setup</w:t>
      </w:r>
      <w:bookmarkEnd w:id="262"/>
    </w:p>
    <w:p w14:paraId="7C14D790" w14:textId="11F28ABF" w:rsidR="00410CB0" w:rsidRPr="008265F1" w:rsidRDefault="00410CB0" w:rsidP="00410CB0">
      <w:r w:rsidRPr="008265F1">
        <w:rPr>
          <w:rFonts w:hint="eastAsia"/>
        </w:rPr>
        <w:t>In</w:t>
      </w:r>
      <w:r w:rsidRPr="008265F1">
        <w:t xml:space="preserve"> this section, we introduce the experimental setup for the MPC-based precooling test, including the participating test homes, and the temperature and power measurement setup in those homes</w:t>
      </w:r>
      <w:r w:rsidRPr="008265F1">
        <w:rPr>
          <w:rFonts w:hint="eastAsia"/>
        </w:rPr>
        <w:t>.</w:t>
      </w:r>
    </w:p>
    <w:p w14:paraId="2DFF6A1F" w14:textId="4CFF39FD" w:rsidR="00471941" w:rsidRDefault="00471941" w:rsidP="00471941">
      <w:pPr>
        <w:pStyle w:val="Heading4"/>
      </w:pPr>
      <w:bookmarkStart w:id="263" w:name="_Toc124149444"/>
      <w:bookmarkStart w:id="264" w:name="_Ref124767768"/>
      <w:bookmarkStart w:id="265" w:name="_Ref124767780"/>
      <w:bookmarkStart w:id="266" w:name="_Ref125673010"/>
      <w:bookmarkStart w:id="267" w:name="_Ref127120490"/>
      <w:bookmarkStart w:id="268" w:name="_Ref127120834"/>
      <w:bookmarkStart w:id="269" w:name="_Ref128655270"/>
      <w:bookmarkStart w:id="270" w:name="_Toc133542379"/>
      <w:bookmarkStart w:id="271" w:name="_Toc141991713"/>
      <w:r>
        <w:t xml:space="preserve">Introduction of </w:t>
      </w:r>
      <w:r w:rsidR="00D72D74">
        <w:t>e</w:t>
      </w:r>
      <w:r>
        <w:t xml:space="preserve">leven (11) </w:t>
      </w:r>
      <w:bookmarkEnd w:id="263"/>
      <w:bookmarkEnd w:id="264"/>
      <w:bookmarkEnd w:id="265"/>
      <w:bookmarkEnd w:id="266"/>
      <w:bookmarkEnd w:id="267"/>
      <w:bookmarkEnd w:id="268"/>
      <w:bookmarkEnd w:id="269"/>
      <w:r w:rsidR="00D72D74">
        <w:t>p</w:t>
      </w:r>
      <w:r>
        <w:t xml:space="preserve">articipating </w:t>
      </w:r>
      <w:r w:rsidR="00D72D74">
        <w:t>t</w:t>
      </w:r>
      <w:r>
        <w:t xml:space="preserve">est </w:t>
      </w:r>
      <w:r w:rsidR="00D72D74">
        <w:t>h</w:t>
      </w:r>
      <w:r>
        <w:t>omes</w:t>
      </w:r>
      <w:bookmarkEnd w:id="270"/>
      <w:bookmarkEnd w:id="271"/>
    </w:p>
    <w:p w14:paraId="5A33339E" w14:textId="18A689C3" w:rsidR="00410CB0" w:rsidRPr="005148BD" w:rsidRDefault="00410CB0" w:rsidP="00410CB0">
      <w:r w:rsidRPr="008265F1">
        <w:t xml:space="preserve">The test homes include ten single-family homes in Norman, Oklahoma, and one single-family home in Miami, Florida. To ensure that a diverse set of test homes were chosen, a survey was carried out for each home to gather its building characteristics including its floor area, building age, building structure material, AC unit condition, and whether the homeowner had signed up for a TOU rate. The survey result is tabulated in </w:t>
      </w:r>
      <w:r>
        <w:fldChar w:fldCharType="begin"/>
      </w:r>
      <w:r>
        <w:instrText xml:space="preserve"> REF _Ref134437474 \h </w:instrText>
      </w:r>
      <w:r>
        <w:fldChar w:fldCharType="separate"/>
      </w:r>
      <w:r w:rsidR="000E1725">
        <w:t xml:space="preserve">Table </w:t>
      </w:r>
      <w:r w:rsidR="000E1725">
        <w:rPr>
          <w:noProof/>
        </w:rPr>
        <w:t>4</w:t>
      </w:r>
      <w:r w:rsidR="000E1725">
        <w:t>.</w:t>
      </w:r>
      <w:r w:rsidR="000E1725">
        <w:rPr>
          <w:noProof/>
        </w:rPr>
        <w:t>2</w:t>
      </w:r>
      <w:r>
        <w:fldChar w:fldCharType="end"/>
      </w:r>
      <w:r w:rsidRPr="008265F1">
        <w:t xml:space="preserve"> Except for what we refer to as the Lab House near the University of Oklahoma, the test homes were labeled alphabetically based on the order in which they were registered</w:t>
      </w:r>
      <w:r>
        <w:t xml:space="preserve">. </w:t>
      </w:r>
      <w:r>
        <w:fldChar w:fldCharType="begin"/>
      </w:r>
      <w:r>
        <w:instrText xml:space="preserve"> REF _Ref139416083 \h </w:instrText>
      </w:r>
      <w:r>
        <w:fldChar w:fldCharType="separate"/>
      </w:r>
      <w:r w:rsidR="000E1725">
        <w:t xml:space="preserve">Figure </w:t>
      </w:r>
      <w:r w:rsidR="000E1725">
        <w:rPr>
          <w:noProof/>
        </w:rPr>
        <w:t>4</w:t>
      </w:r>
      <w:r w:rsidR="000E1725">
        <w:t>.</w:t>
      </w:r>
      <w:r w:rsidR="000E1725">
        <w:rPr>
          <w:noProof/>
        </w:rPr>
        <w:t>3</w:t>
      </w:r>
      <w:r>
        <w:fldChar w:fldCharType="end"/>
      </w:r>
      <w:r>
        <w:t xml:space="preserve"> </w:t>
      </w:r>
      <w:r w:rsidRPr="008265F1">
        <w:t xml:space="preserve">shows the </w:t>
      </w:r>
      <w:r w:rsidRPr="008265F1">
        <w:lastRenderedPageBreak/>
        <w:t xml:space="preserve">distribution of floor areas, count plot of AC tonnage, building ages, and AC unit service time for the 11 test homes. As can be seen from </w:t>
      </w:r>
      <w:r>
        <w:t xml:space="preserve"> </w:t>
      </w:r>
      <w:r>
        <w:fldChar w:fldCharType="begin"/>
      </w:r>
      <w:r>
        <w:instrText xml:space="preserve"> REF _Ref139416083 \h </w:instrText>
      </w:r>
      <w:r>
        <w:fldChar w:fldCharType="separate"/>
      </w:r>
      <w:r w:rsidR="000E1725">
        <w:t xml:space="preserve">Figure </w:t>
      </w:r>
      <w:r w:rsidR="000E1725">
        <w:rPr>
          <w:noProof/>
        </w:rPr>
        <w:t>4</w:t>
      </w:r>
      <w:r w:rsidR="000E1725">
        <w:t>.</w:t>
      </w:r>
      <w:r w:rsidR="000E1725">
        <w:rPr>
          <w:noProof/>
        </w:rPr>
        <w:t>3</w:t>
      </w:r>
      <w:r>
        <w:fldChar w:fldCharType="end"/>
      </w:r>
      <w:r w:rsidRPr="008265F1">
        <w:t xml:space="preserve"> the test homes were diversely distributed in terms of building and AC characteristics</w:t>
      </w:r>
      <w:r>
        <w:t xml:space="preserve">. </w:t>
      </w:r>
    </w:p>
    <w:p w14:paraId="4E73CFB8" w14:textId="15D3AAEA" w:rsidR="00471941" w:rsidRDefault="00471941" w:rsidP="00410CB0">
      <w:pPr>
        <w:pStyle w:val="15TableTitle"/>
      </w:pPr>
      <w:bookmarkStart w:id="272" w:name="_Ref134437474"/>
      <w:bookmarkStart w:id="273" w:name="_Toc141343900"/>
      <w:r>
        <w:t xml:space="preserve">Table </w:t>
      </w:r>
      <w:fldSimple w:instr=" STYLEREF 1 \s ">
        <w:r w:rsidR="000E1725">
          <w:rPr>
            <w:noProof/>
          </w:rPr>
          <w:t>4</w:t>
        </w:r>
      </w:fldSimple>
      <w:r w:rsidR="00146A55">
        <w:t>.</w:t>
      </w:r>
      <w:fldSimple w:instr=" SEQ Table \* ARABIC \s 1 ">
        <w:r w:rsidR="000E1725">
          <w:rPr>
            <w:noProof/>
          </w:rPr>
          <w:t>2</w:t>
        </w:r>
      </w:fldSimple>
      <w:bookmarkEnd w:id="272"/>
      <w:r w:rsidRPr="00D8005B">
        <w:t xml:space="preserve"> </w:t>
      </w:r>
      <w:r w:rsidRPr="007A31E8">
        <w:t xml:space="preserve">Test </w:t>
      </w:r>
      <w:r>
        <w:t>home</w:t>
      </w:r>
      <w:r w:rsidRPr="007A31E8">
        <w:t xml:space="preserve"> </w:t>
      </w:r>
      <w:r>
        <w:t>i</w:t>
      </w:r>
      <w:r w:rsidRPr="007A31E8">
        <w:t>nformation</w:t>
      </w:r>
      <w:r>
        <w:t>.</w:t>
      </w:r>
      <w:bookmarkEnd w:id="273"/>
    </w:p>
    <w:tbl>
      <w:tblPr>
        <w:tblpPr w:leftFromText="180" w:rightFromText="180" w:vertAnchor="text" w:horzAnchor="margin" w:tblpY="93"/>
        <w:tblW w:w="899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03"/>
        <w:gridCol w:w="776"/>
        <w:gridCol w:w="1212"/>
        <w:gridCol w:w="1170"/>
        <w:gridCol w:w="899"/>
        <w:gridCol w:w="821"/>
        <w:gridCol w:w="1339"/>
        <w:gridCol w:w="754"/>
        <w:gridCol w:w="1023"/>
      </w:tblGrid>
      <w:tr w:rsidR="00410CB0" w:rsidRPr="00012559" w14:paraId="51C07486" w14:textId="77777777" w:rsidTr="00AF3671">
        <w:trPr>
          <w:trHeight w:val="440"/>
        </w:trPr>
        <w:tc>
          <w:tcPr>
            <w:tcW w:w="1003" w:type="dxa"/>
            <w:tcBorders>
              <w:top w:val="single" w:sz="6" w:space="0" w:color="000000"/>
              <w:left w:val="single" w:sz="2" w:space="0" w:color="FFFFFF"/>
              <w:bottom w:val="single" w:sz="12" w:space="0" w:color="000000"/>
              <w:right w:val="single" w:sz="2" w:space="0" w:color="FFFFFF"/>
            </w:tcBorders>
            <w:shd w:val="clear" w:color="auto" w:fill="auto"/>
            <w:vAlign w:val="center"/>
            <w:hideMark/>
          </w:tcPr>
          <w:p w14:paraId="2C9DF3F1" w14:textId="77777777" w:rsidR="00410CB0" w:rsidRPr="00DC28A8" w:rsidRDefault="00410CB0" w:rsidP="00410CB0">
            <w:pPr>
              <w:pStyle w:val="16TableText"/>
              <w:rPr>
                <w:rFonts w:cs="SimSun"/>
                <w:lang w:val="af-ZA"/>
              </w:rPr>
            </w:pPr>
            <w:r w:rsidRPr="00DC28A8">
              <w:rPr>
                <w:lang w:val="af-ZA"/>
              </w:rPr>
              <w:t>Home</w:t>
            </w:r>
            <w:r w:rsidRPr="00DC28A8">
              <w:rPr>
                <w:rFonts w:ascii="Arial" w:hAnsi="Arial" w:cs="Arial"/>
                <w:lang w:val="af-ZA"/>
              </w:rPr>
              <w:t>​​</w:t>
            </w:r>
          </w:p>
        </w:tc>
        <w:tc>
          <w:tcPr>
            <w:tcW w:w="776" w:type="dxa"/>
            <w:tcBorders>
              <w:top w:val="single" w:sz="6" w:space="0" w:color="000000"/>
              <w:left w:val="single" w:sz="2" w:space="0" w:color="FFFFFF"/>
              <w:bottom w:val="single" w:sz="12" w:space="0" w:color="000000"/>
              <w:right w:val="single" w:sz="2" w:space="0" w:color="FFFFFF"/>
            </w:tcBorders>
            <w:shd w:val="clear" w:color="auto" w:fill="auto"/>
            <w:vAlign w:val="center"/>
            <w:hideMark/>
          </w:tcPr>
          <w:p w14:paraId="42A42284" w14:textId="77777777" w:rsidR="00410CB0" w:rsidRPr="00DC28A8" w:rsidRDefault="00410CB0" w:rsidP="00410CB0">
            <w:pPr>
              <w:pStyle w:val="16TableText"/>
              <w:rPr>
                <w:rFonts w:cs="SimSun"/>
              </w:rPr>
            </w:pPr>
            <w:r>
              <w:rPr>
                <w:lang w:val="af-ZA"/>
              </w:rPr>
              <w:t>Floor Area</w:t>
            </w:r>
          </w:p>
        </w:tc>
        <w:tc>
          <w:tcPr>
            <w:tcW w:w="1212" w:type="dxa"/>
            <w:tcBorders>
              <w:top w:val="single" w:sz="6" w:space="0" w:color="000000"/>
              <w:left w:val="single" w:sz="2" w:space="0" w:color="FFFFFF"/>
              <w:bottom w:val="single" w:sz="12" w:space="0" w:color="000000"/>
              <w:right w:val="single" w:sz="2" w:space="0" w:color="FFFFFF"/>
            </w:tcBorders>
            <w:shd w:val="clear" w:color="auto" w:fill="auto"/>
            <w:vAlign w:val="center"/>
            <w:hideMark/>
          </w:tcPr>
          <w:p w14:paraId="2DCD041C" w14:textId="77777777" w:rsidR="00410CB0" w:rsidRPr="00DC28A8" w:rsidRDefault="00410CB0" w:rsidP="00410CB0">
            <w:pPr>
              <w:pStyle w:val="16TableText"/>
              <w:rPr>
                <w:rFonts w:cs="SimSun"/>
              </w:rPr>
            </w:pPr>
            <w:r w:rsidRPr="00DC28A8">
              <w:rPr>
                <w:lang w:val="af-ZA"/>
              </w:rPr>
              <w:t>Building</w:t>
            </w:r>
            <w:r w:rsidRPr="00DC28A8">
              <w:rPr>
                <w:rFonts w:ascii="Arial" w:hAnsi="Arial" w:cs="Arial"/>
                <w:lang w:val="af-ZA"/>
              </w:rPr>
              <w:t>​</w:t>
            </w:r>
            <w:r w:rsidRPr="00DC28A8">
              <w:rPr>
                <w:rFonts w:ascii="Franklin Gothic Book" w:hAnsi="Franklin Gothic Book" w:cs="Franklin Gothic Book"/>
                <w:lang w:val="af-ZA"/>
              </w:rPr>
              <w:t> </w:t>
            </w:r>
            <w:r w:rsidRPr="00DC28A8">
              <w:rPr>
                <w:lang w:val="af-ZA"/>
              </w:rPr>
              <w:t>Age</w:t>
            </w:r>
            <w:r w:rsidRPr="00DC28A8">
              <w:rPr>
                <w:rFonts w:ascii="Arial" w:hAnsi="Arial" w:cs="Arial"/>
              </w:rPr>
              <w:t>​</w:t>
            </w:r>
          </w:p>
        </w:tc>
        <w:tc>
          <w:tcPr>
            <w:tcW w:w="1170" w:type="dxa"/>
            <w:tcBorders>
              <w:top w:val="single" w:sz="6" w:space="0" w:color="000000"/>
              <w:left w:val="single" w:sz="2" w:space="0" w:color="FFFFFF"/>
              <w:bottom w:val="single" w:sz="12" w:space="0" w:color="000000"/>
              <w:right w:val="single" w:sz="2" w:space="0" w:color="FFFFFF"/>
            </w:tcBorders>
            <w:shd w:val="clear" w:color="auto" w:fill="auto"/>
            <w:vAlign w:val="center"/>
            <w:hideMark/>
          </w:tcPr>
          <w:p w14:paraId="2D237E10" w14:textId="77777777" w:rsidR="00410CB0" w:rsidRPr="00DC28A8" w:rsidRDefault="00410CB0" w:rsidP="00410CB0">
            <w:pPr>
              <w:pStyle w:val="16TableText"/>
              <w:rPr>
                <w:rFonts w:cs="SimSun"/>
                <w:lang w:val="af-ZA"/>
              </w:rPr>
            </w:pPr>
            <w:r>
              <w:rPr>
                <w:lang w:val="af-ZA"/>
              </w:rPr>
              <w:t xml:space="preserve">Building </w:t>
            </w:r>
            <w:r>
              <w:rPr>
                <w:rFonts w:hint="eastAsia"/>
                <w:lang w:val="af-ZA"/>
              </w:rPr>
              <w:t>Material</w:t>
            </w:r>
          </w:p>
        </w:tc>
        <w:tc>
          <w:tcPr>
            <w:tcW w:w="899" w:type="dxa"/>
            <w:tcBorders>
              <w:top w:val="single" w:sz="6" w:space="0" w:color="000000"/>
              <w:left w:val="single" w:sz="2" w:space="0" w:color="FFFFFF"/>
              <w:bottom w:val="single" w:sz="12" w:space="0" w:color="000000"/>
              <w:right w:val="single" w:sz="2" w:space="0" w:color="FFFFFF"/>
            </w:tcBorders>
            <w:shd w:val="clear" w:color="auto" w:fill="auto"/>
            <w:vAlign w:val="center"/>
            <w:hideMark/>
          </w:tcPr>
          <w:p w14:paraId="45A80820" w14:textId="77777777" w:rsidR="00410CB0" w:rsidRPr="00DC28A8" w:rsidRDefault="00410CB0" w:rsidP="00410CB0">
            <w:pPr>
              <w:pStyle w:val="16TableText"/>
              <w:rPr>
                <w:rFonts w:cs="SimSun"/>
                <w:lang w:val="af-ZA"/>
              </w:rPr>
            </w:pPr>
            <w:r w:rsidRPr="00DC28A8">
              <w:rPr>
                <w:lang w:val="af-ZA"/>
              </w:rPr>
              <w:t>Year of AC</w:t>
            </w:r>
            <w:r w:rsidRPr="00DC28A8">
              <w:rPr>
                <w:rFonts w:ascii="Arial" w:hAnsi="Arial" w:cs="Arial"/>
                <w:lang w:val="af-ZA"/>
              </w:rPr>
              <w:t>​​</w:t>
            </w:r>
          </w:p>
        </w:tc>
        <w:tc>
          <w:tcPr>
            <w:tcW w:w="821" w:type="dxa"/>
            <w:tcBorders>
              <w:top w:val="single" w:sz="6" w:space="0" w:color="000000"/>
              <w:left w:val="single" w:sz="2" w:space="0" w:color="FFFFFF"/>
              <w:bottom w:val="single" w:sz="12" w:space="0" w:color="000000"/>
              <w:right w:val="single" w:sz="2" w:space="0" w:color="FFFFFF"/>
            </w:tcBorders>
            <w:shd w:val="clear" w:color="auto" w:fill="auto"/>
            <w:vAlign w:val="center"/>
            <w:hideMark/>
          </w:tcPr>
          <w:p w14:paraId="5A4C8512" w14:textId="77777777" w:rsidR="00410CB0" w:rsidRPr="00DC28A8" w:rsidRDefault="00410CB0" w:rsidP="00410CB0">
            <w:pPr>
              <w:pStyle w:val="16TableText"/>
              <w:rPr>
                <w:rFonts w:cs="SimSun"/>
                <w:lang w:val="af-ZA"/>
              </w:rPr>
            </w:pPr>
            <w:r w:rsidRPr="00DC28A8">
              <w:rPr>
                <w:lang w:val="af-ZA"/>
              </w:rPr>
              <w:t># AC</w:t>
            </w:r>
            <w:r>
              <w:rPr>
                <w:lang w:val="af-ZA"/>
              </w:rPr>
              <w:t xml:space="preserve"> </w:t>
            </w:r>
            <w:r>
              <w:rPr>
                <w:rFonts w:hint="eastAsia"/>
                <w:lang w:val="af-ZA"/>
              </w:rPr>
              <w:t>U</w:t>
            </w:r>
            <w:r w:rsidRPr="00DC28A8">
              <w:rPr>
                <w:lang w:val="af-ZA"/>
              </w:rPr>
              <w:t>nits</w:t>
            </w:r>
            <w:r w:rsidRPr="00DC28A8">
              <w:rPr>
                <w:rFonts w:ascii="Arial" w:hAnsi="Arial" w:cs="Arial"/>
                <w:lang w:val="af-ZA"/>
              </w:rPr>
              <w:t>​</w:t>
            </w:r>
          </w:p>
        </w:tc>
        <w:tc>
          <w:tcPr>
            <w:tcW w:w="1339" w:type="dxa"/>
            <w:tcBorders>
              <w:top w:val="single" w:sz="6" w:space="0" w:color="000000"/>
              <w:left w:val="single" w:sz="2" w:space="0" w:color="FFFFFF"/>
              <w:bottom w:val="single" w:sz="12" w:space="0" w:color="000000"/>
              <w:right w:val="single" w:sz="2" w:space="0" w:color="FFFFFF"/>
            </w:tcBorders>
            <w:shd w:val="clear" w:color="auto" w:fill="auto"/>
            <w:vAlign w:val="center"/>
            <w:hideMark/>
          </w:tcPr>
          <w:p w14:paraId="4499EE63" w14:textId="77777777" w:rsidR="00410CB0" w:rsidRPr="00DC28A8" w:rsidRDefault="00410CB0" w:rsidP="00410CB0">
            <w:pPr>
              <w:pStyle w:val="16TableText"/>
            </w:pPr>
            <w:r w:rsidRPr="00DC28A8">
              <w:t xml:space="preserve">AC </w:t>
            </w:r>
            <w:r>
              <w:t>T</w:t>
            </w:r>
            <w:r w:rsidRPr="00DC28A8">
              <w:t>onnage</w:t>
            </w:r>
          </w:p>
        </w:tc>
        <w:tc>
          <w:tcPr>
            <w:tcW w:w="754" w:type="dxa"/>
            <w:tcBorders>
              <w:top w:val="single" w:sz="6" w:space="0" w:color="000000"/>
              <w:left w:val="single" w:sz="2" w:space="0" w:color="FFFFFF"/>
              <w:bottom w:val="single" w:sz="12" w:space="0" w:color="000000"/>
              <w:right w:val="single" w:sz="2" w:space="0" w:color="FFFFFF"/>
            </w:tcBorders>
            <w:vAlign w:val="center"/>
          </w:tcPr>
          <w:p w14:paraId="605B268D" w14:textId="77777777" w:rsidR="00410CB0" w:rsidRPr="00DC28A8" w:rsidRDefault="00410CB0" w:rsidP="00410CB0">
            <w:pPr>
              <w:pStyle w:val="16TableText"/>
            </w:pPr>
            <w:r w:rsidRPr="00DC28A8">
              <w:t>TOU</w:t>
            </w:r>
            <w:r>
              <w:t xml:space="preserve"> Rate</w:t>
            </w:r>
          </w:p>
        </w:tc>
        <w:tc>
          <w:tcPr>
            <w:tcW w:w="1023" w:type="dxa"/>
            <w:tcBorders>
              <w:top w:val="single" w:sz="6" w:space="0" w:color="000000"/>
              <w:left w:val="single" w:sz="2" w:space="0" w:color="FFFFFF"/>
              <w:bottom w:val="single" w:sz="12" w:space="0" w:color="000000"/>
              <w:right w:val="single" w:sz="2" w:space="0" w:color="FFFFFF"/>
            </w:tcBorders>
          </w:tcPr>
          <w:p w14:paraId="23E2E037" w14:textId="77777777" w:rsidR="00410CB0" w:rsidRPr="00DC28A8" w:rsidRDefault="00410CB0" w:rsidP="00410CB0">
            <w:pPr>
              <w:pStyle w:val="16TableText"/>
            </w:pPr>
            <w:r>
              <w:t>Smart Power Meter</w:t>
            </w:r>
          </w:p>
        </w:tc>
      </w:tr>
      <w:tr w:rsidR="00410CB0" w:rsidRPr="00FA2D11" w14:paraId="1C2D79B4" w14:textId="77777777" w:rsidTr="00AF3671">
        <w:trPr>
          <w:trHeight w:val="207"/>
        </w:trPr>
        <w:tc>
          <w:tcPr>
            <w:tcW w:w="1003" w:type="dxa"/>
            <w:tcBorders>
              <w:top w:val="single" w:sz="12" w:space="0" w:color="000000"/>
              <w:left w:val="single" w:sz="2" w:space="0" w:color="FFFFFF"/>
              <w:bottom w:val="single" w:sz="6" w:space="0" w:color="D9D9D9"/>
              <w:right w:val="single" w:sz="2" w:space="0" w:color="FFFFFF"/>
            </w:tcBorders>
            <w:shd w:val="clear" w:color="auto" w:fill="auto"/>
            <w:vAlign w:val="center"/>
            <w:hideMark/>
          </w:tcPr>
          <w:p w14:paraId="5F430AA6" w14:textId="77777777" w:rsidR="00410CB0" w:rsidRPr="00FA2D11" w:rsidRDefault="00410CB0" w:rsidP="00410CB0">
            <w:pPr>
              <w:pStyle w:val="16TableText"/>
              <w:rPr>
                <w:rFonts w:cs="SimSun"/>
                <w:lang w:val="af-ZA"/>
              </w:rPr>
            </w:pPr>
            <w:r w:rsidRPr="00FA2D11" w:rsidDel="007A1AF6">
              <w:rPr>
                <w:lang w:val="af-ZA"/>
              </w:rPr>
              <w:t>Home</w:t>
            </w:r>
            <w:r w:rsidRPr="00FA2D11">
              <w:rPr>
                <w:lang w:val="af-ZA"/>
              </w:rPr>
              <w:t xml:space="preserve"> A​​</w:t>
            </w:r>
          </w:p>
        </w:tc>
        <w:tc>
          <w:tcPr>
            <w:tcW w:w="776" w:type="dxa"/>
            <w:tcBorders>
              <w:top w:val="single" w:sz="12" w:space="0" w:color="000000"/>
              <w:left w:val="single" w:sz="2" w:space="0" w:color="FFFFFF"/>
              <w:bottom w:val="single" w:sz="6" w:space="0" w:color="D9D9D9"/>
              <w:right w:val="single" w:sz="2" w:space="0" w:color="FFFFFF"/>
            </w:tcBorders>
            <w:shd w:val="clear" w:color="auto" w:fill="auto"/>
            <w:vAlign w:val="center"/>
            <w:hideMark/>
          </w:tcPr>
          <w:p w14:paraId="29FC7792" w14:textId="77777777" w:rsidR="00410CB0" w:rsidRPr="00FA2D11" w:rsidRDefault="00410CB0" w:rsidP="00410CB0">
            <w:pPr>
              <w:pStyle w:val="16TableText"/>
              <w:rPr>
                <w:rFonts w:cs="SimSun"/>
              </w:rPr>
            </w:pPr>
            <w:r w:rsidRPr="00FA2D11">
              <w:t>2400​​</w:t>
            </w:r>
          </w:p>
        </w:tc>
        <w:tc>
          <w:tcPr>
            <w:tcW w:w="1212" w:type="dxa"/>
            <w:tcBorders>
              <w:top w:val="single" w:sz="12" w:space="0" w:color="000000"/>
              <w:left w:val="single" w:sz="2" w:space="0" w:color="FFFFFF"/>
              <w:bottom w:val="single" w:sz="6" w:space="0" w:color="D9D9D9"/>
              <w:right w:val="single" w:sz="2" w:space="0" w:color="FFFFFF"/>
            </w:tcBorders>
            <w:shd w:val="clear" w:color="auto" w:fill="auto"/>
            <w:vAlign w:val="center"/>
            <w:hideMark/>
          </w:tcPr>
          <w:p w14:paraId="5583D9C7" w14:textId="77777777" w:rsidR="00410CB0" w:rsidRPr="00FA2D11" w:rsidRDefault="00410CB0" w:rsidP="00410CB0">
            <w:pPr>
              <w:pStyle w:val="16TableText"/>
              <w:rPr>
                <w:rFonts w:cs="SimSun"/>
                <w:lang w:val="af-ZA"/>
              </w:rPr>
            </w:pPr>
            <w:r w:rsidRPr="00FA2D11">
              <w:rPr>
                <w:lang w:val="af-ZA"/>
              </w:rPr>
              <w:t>10-20</w:t>
            </w:r>
            <w:r>
              <w:rPr>
                <w:lang w:val="af-ZA"/>
              </w:rPr>
              <w:t xml:space="preserve"> </w:t>
            </w:r>
            <w:r w:rsidRPr="00FA2D11">
              <w:rPr>
                <w:lang w:val="af-ZA"/>
              </w:rPr>
              <w:t>years​​</w:t>
            </w:r>
          </w:p>
        </w:tc>
        <w:tc>
          <w:tcPr>
            <w:tcW w:w="1170" w:type="dxa"/>
            <w:tcBorders>
              <w:top w:val="single" w:sz="12" w:space="0" w:color="000000"/>
              <w:left w:val="single" w:sz="2" w:space="0" w:color="FFFFFF"/>
              <w:bottom w:val="single" w:sz="6" w:space="0" w:color="D9D9D9"/>
              <w:right w:val="single" w:sz="2" w:space="0" w:color="FFFFFF"/>
            </w:tcBorders>
            <w:shd w:val="clear" w:color="auto" w:fill="auto"/>
            <w:vAlign w:val="center"/>
            <w:hideMark/>
          </w:tcPr>
          <w:p w14:paraId="3E469AE8" w14:textId="77777777" w:rsidR="00410CB0" w:rsidRPr="00FA2D11" w:rsidRDefault="00410CB0" w:rsidP="00410CB0">
            <w:pPr>
              <w:pStyle w:val="16TableText"/>
              <w:rPr>
                <w:rFonts w:cs="SimSun"/>
                <w:lang w:val="af-ZA"/>
              </w:rPr>
            </w:pPr>
            <w:r w:rsidRPr="00FA2D11">
              <w:rPr>
                <w:lang w:val="af-ZA"/>
              </w:rPr>
              <w:t>Wood Frame</w:t>
            </w:r>
          </w:p>
        </w:tc>
        <w:tc>
          <w:tcPr>
            <w:tcW w:w="899" w:type="dxa"/>
            <w:tcBorders>
              <w:top w:val="single" w:sz="12" w:space="0" w:color="000000"/>
              <w:left w:val="single" w:sz="2" w:space="0" w:color="FFFFFF"/>
              <w:bottom w:val="single" w:sz="6" w:space="0" w:color="D9D9D9"/>
              <w:right w:val="single" w:sz="2" w:space="0" w:color="FFFFFF"/>
            </w:tcBorders>
            <w:shd w:val="clear" w:color="auto" w:fill="auto"/>
            <w:vAlign w:val="center"/>
            <w:hideMark/>
          </w:tcPr>
          <w:p w14:paraId="35B19A89" w14:textId="77777777" w:rsidR="00410CB0" w:rsidRPr="00FA2D11" w:rsidRDefault="00410CB0" w:rsidP="00410CB0">
            <w:pPr>
              <w:pStyle w:val="16TableText"/>
              <w:rPr>
                <w:rFonts w:cs="SimSun"/>
                <w:lang w:val="af-ZA"/>
              </w:rPr>
            </w:pPr>
            <w:r w:rsidRPr="00FA2D11">
              <w:rPr>
                <w:lang w:val="af-ZA"/>
              </w:rPr>
              <w:t>1-3</w:t>
            </w:r>
            <w:r>
              <w:rPr>
                <w:lang w:val="af-ZA"/>
              </w:rPr>
              <w:t xml:space="preserve"> </w:t>
            </w:r>
            <w:r w:rsidRPr="00FA2D11">
              <w:rPr>
                <w:lang w:val="af-ZA"/>
              </w:rPr>
              <w:t>years​​</w:t>
            </w:r>
          </w:p>
        </w:tc>
        <w:tc>
          <w:tcPr>
            <w:tcW w:w="821" w:type="dxa"/>
            <w:tcBorders>
              <w:top w:val="single" w:sz="12" w:space="0" w:color="000000"/>
              <w:left w:val="single" w:sz="2" w:space="0" w:color="FFFFFF"/>
              <w:bottom w:val="single" w:sz="6" w:space="0" w:color="D9D9D9"/>
              <w:right w:val="single" w:sz="2" w:space="0" w:color="FFFFFF"/>
            </w:tcBorders>
            <w:shd w:val="clear" w:color="auto" w:fill="auto"/>
            <w:vAlign w:val="center"/>
            <w:hideMark/>
          </w:tcPr>
          <w:p w14:paraId="798254F4" w14:textId="77777777" w:rsidR="00410CB0" w:rsidRPr="00FA2D11" w:rsidRDefault="00410CB0" w:rsidP="00410CB0">
            <w:pPr>
              <w:pStyle w:val="16TableText"/>
              <w:rPr>
                <w:rFonts w:cs="SimSun"/>
              </w:rPr>
            </w:pPr>
            <w:r w:rsidRPr="00FA2D11">
              <w:rPr>
                <w:position w:val="1"/>
              </w:rPr>
              <w:t>1</w:t>
            </w:r>
            <w:r w:rsidRPr="00FA2D11">
              <w:t>​</w:t>
            </w:r>
          </w:p>
        </w:tc>
        <w:tc>
          <w:tcPr>
            <w:tcW w:w="1339" w:type="dxa"/>
            <w:tcBorders>
              <w:top w:val="single" w:sz="12" w:space="0" w:color="000000"/>
              <w:left w:val="single" w:sz="2" w:space="0" w:color="FFFFFF"/>
              <w:bottom w:val="single" w:sz="6" w:space="0" w:color="D9D9D9"/>
              <w:right w:val="single" w:sz="2" w:space="0" w:color="FFFFFF"/>
            </w:tcBorders>
            <w:shd w:val="clear" w:color="auto" w:fill="auto"/>
            <w:vAlign w:val="center"/>
            <w:hideMark/>
          </w:tcPr>
          <w:p w14:paraId="18021705" w14:textId="77777777" w:rsidR="00410CB0" w:rsidRPr="00FA2D11" w:rsidRDefault="00410CB0" w:rsidP="00410CB0">
            <w:pPr>
              <w:pStyle w:val="16TableText"/>
            </w:pPr>
            <w:r w:rsidRPr="00FA2D11">
              <w:rPr>
                <w:rFonts w:hint="eastAsia"/>
              </w:rPr>
              <w:t>5</w:t>
            </w:r>
          </w:p>
        </w:tc>
        <w:tc>
          <w:tcPr>
            <w:tcW w:w="754" w:type="dxa"/>
            <w:tcBorders>
              <w:top w:val="single" w:sz="12" w:space="0" w:color="000000"/>
              <w:left w:val="single" w:sz="2" w:space="0" w:color="FFFFFF"/>
              <w:bottom w:val="single" w:sz="6" w:space="0" w:color="D9D9D9"/>
              <w:right w:val="single" w:sz="2" w:space="0" w:color="FFFFFF"/>
            </w:tcBorders>
            <w:vAlign w:val="center"/>
          </w:tcPr>
          <w:p w14:paraId="2339D064" w14:textId="77777777" w:rsidR="00410CB0" w:rsidRPr="00FA2D11" w:rsidRDefault="00410CB0" w:rsidP="00410CB0">
            <w:pPr>
              <w:pStyle w:val="16TableText"/>
            </w:pPr>
            <w:r w:rsidRPr="00FA2D11">
              <w:rPr>
                <w:rFonts w:hint="eastAsia"/>
              </w:rPr>
              <w:t>-</w:t>
            </w:r>
          </w:p>
        </w:tc>
        <w:tc>
          <w:tcPr>
            <w:tcW w:w="1023" w:type="dxa"/>
            <w:tcBorders>
              <w:top w:val="single" w:sz="12" w:space="0" w:color="000000"/>
              <w:left w:val="single" w:sz="2" w:space="0" w:color="FFFFFF"/>
              <w:bottom w:val="single" w:sz="6" w:space="0" w:color="D9D9D9"/>
              <w:right w:val="single" w:sz="2" w:space="0" w:color="FFFFFF"/>
            </w:tcBorders>
          </w:tcPr>
          <w:p w14:paraId="7BFC614B" w14:textId="77777777" w:rsidR="00410CB0" w:rsidRPr="00FA2D11" w:rsidRDefault="00410CB0" w:rsidP="00410CB0">
            <w:pPr>
              <w:pStyle w:val="16TableText"/>
            </w:pPr>
            <w:r>
              <w:rPr>
                <w:rFonts w:hint="eastAsia"/>
              </w:rPr>
              <w:t>Y</w:t>
            </w:r>
            <w:r>
              <w:t>es</w:t>
            </w:r>
          </w:p>
        </w:tc>
      </w:tr>
      <w:tr w:rsidR="00410CB0" w:rsidRPr="00FA2D11" w14:paraId="259526FE" w14:textId="77777777" w:rsidTr="00AF3671">
        <w:trPr>
          <w:trHeight w:val="207"/>
        </w:trPr>
        <w:tc>
          <w:tcPr>
            <w:tcW w:w="1003"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17A2A0D2" w14:textId="77777777" w:rsidR="00410CB0" w:rsidRPr="00FA2D11" w:rsidRDefault="00410CB0" w:rsidP="00410CB0">
            <w:pPr>
              <w:pStyle w:val="16TableText"/>
              <w:rPr>
                <w:rFonts w:cs="SimSun"/>
                <w:lang w:val="af-ZA"/>
              </w:rPr>
            </w:pPr>
            <w:r w:rsidRPr="00FA2D11">
              <w:rPr>
                <w:lang w:val="af-ZA"/>
              </w:rPr>
              <w:t>Home</w:t>
            </w:r>
            <w:r>
              <w:rPr>
                <w:lang w:val="af-ZA"/>
              </w:rPr>
              <w:t xml:space="preserve"> </w:t>
            </w:r>
            <w:r w:rsidRPr="00FA2D11">
              <w:rPr>
                <w:lang w:val="af-ZA"/>
              </w:rPr>
              <w:t>B​​</w:t>
            </w:r>
          </w:p>
        </w:tc>
        <w:tc>
          <w:tcPr>
            <w:tcW w:w="776"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55005521" w14:textId="77777777" w:rsidR="00410CB0" w:rsidRPr="00FA2D11" w:rsidRDefault="00410CB0" w:rsidP="00410CB0">
            <w:pPr>
              <w:pStyle w:val="16TableText"/>
              <w:rPr>
                <w:rFonts w:cs="SimSun"/>
              </w:rPr>
            </w:pPr>
            <w:r w:rsidRPr="00FA2D11">
              <w:t>2</w:t>
            </w:r>
            <w:r>
              <w:t>560</w:t>
            </w:r>
          </w:p>
        </w:tc>
        <w:tc>
          <w:tcPr>
            <w:tcW w:w="1212"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08CEBFB7" w14:textId="77777777" w:rsidR="00410CB0" w:rsidRPr="00FA2D11" w:rsidRDefault="00410CB0" w:rsidP="00410CB0">
            <w:pPr>
              <w:pStyle w:val="16TableText"/>
              <w:rPr>
                <w:rFonts w:cs="SimSun"/>
                <w:lang w:val="af-ZA"/>
              </w:rPr>
            </w:pPr>
            <w:r w:rsidRPr="00FA2D11">
              <w:rPr>
                <w:lang w:val="af-ZA"/>
              </w:rPr>
              <w:t>10-20</w:t>
            </w:r>
            <w:r>
              <w:rPr>
                <w:lang w:val="af-ZA"/>
              </w:rPr>
              <w:t xml:space="preserve"> </w:t>
            </w:r>
            <w:r w:rsidRPr="00FA2D11">
              <w:rPr>
                <w:lang w:val="af-ZA"/>
              </w:rPr>
              <w:t>years​​</w:t>
            </w:r>
          </w:p>
        </w:tc>
        <w:tc>
          <w:tcPr>
            <w:tcW w:w="1170"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7E9D7218" w14:textId="77777777" w:rsidR="00410CB0" w:rsidRPr="00FA2D11" w:rsidRDefault="00410CB0" w:rsidP="00410CB0">
            <w:pPr>
              <w:pStyle w:val="16TableText"/>
              <w:rPr>
                <w:rFonts w:cs="SimSun"/>
                <w:lang w:val="af-ZA"/>
              </w:rPr>
            </w:pPr>
            <w:r w:rsidRPr="00FA2D11">
              <w:rPr>
                <w:lang w:val="af-ZA"/>
              </w:rPr>
              <w:t>Concrete​​</w:t>
            </w:r>
          </w:p>
        </w:tc>
        <w:tc>
          <w:tcPr>
            <w:tcW w:w="899"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792EFFC5" w14:textId="77777777" w:rsidR="00410CB0" w:rsidRPr="00FA2D11" w:rsidRDefault="00410CB0" w:rsidP="00410CB0">
            <w:pPr>
              <w:pStyle w:val="16TableText"/>
              <w:rPr>
                <w:rFonts w:cs="SimSun"/>
                <w:lang w:val="af-ZA"/>
              </w:rPr>
            </w:pPr>
            <w:r w:rsidRPr="00FA2D11">
              <w:rPr>
                <w:lang w:val="af-ZA"/>
              </w:rPr>
              <w:t>1-3</w:t>
            </w:r>
            <w:r>
              <w:rPr>
                <w:lang w:val="af-ZA"/>
              </w:rPr>
              <w:t xml:space="preserve"> </w:t>
            </w:r>
            <w:r w:rsidRPr="00FA2D11">
              <w:rPr>
                <w:lang w:val="af-ZA"/>
              </w:rPr>
              <w:t>years​​</w:t>
            </w:r>
          </w:p>
        </w:tc>
        <w:tc>
          <w:tcPr>
            <w:tcW w:w="821"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1B172EEA" w14:textId="77777777" w:rsidR="00410CB0" w:rsidRPr="00FA2D11" w:rsidRDefault="00410CB0" w:rsidP="00410CB0">
            <w:pPr>
              <w:pStyle w:val="16TableText"/>
              <w:rPr>
                <w:rFonts w:cs="SimSun"/>
              </w:rPr>
            </w:pPr>
            <w:r w:rsidRPr="00FA2D11">
              <w:rPr>
                <w:position w:val="1"/>
              </w:rPr>
              <w:t>2</w:t>
            </w:r>
            <w:r w:rsidRPr="00FA2D11">
              <w:t>​</w:t>
            </w:r>
          </w:p>
        </w:tc>
        <w:tc>
          <w:tcPr>
            <w:tcW w:w="1339"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636F94B5" w14:textId="77777777" w:rsidR="00410CB0" w:rsidRPr="00FA2D11" w:rsidRDefault="00410CB0" w:rsidP="00410CB0">
            <w:pPr>
              <w:pStyle w:val="16TableText"/>
            </w:pPr>
            <w:r w:rsidRPr="00FA2D11">
              <w:rPr>
                <w:rFonts w:hint="eastAsia"/>
              </w:rPr>
              <w:t>3</w:t>
            </w:r>
            <w:r>
              <w:t xml:space="preserve"> </w:t>
            </w:r>
            <w:r w:rsidRPr="00FA2D11">
              <w:t>(up)/4</w:t>
            </w:r>
            <w:r>
              <w:t xml:space="preserve"> </w:t>
            </w:r>
            <w:r w:rsidRPr="00FA2D11">
              <w:t>(down)</w:t>
            </w:r>
          </w:p>
        </w:tc>
        <w:tc>
          <w:tcPr>
            <w:tcW w:w="754" w:type="dxa"/>
            <w:tcBorders>
              <w:top w:val="single" w:sz="6" w:space="0" w:color="D9D9D9"/>
              <w:left w:val="single" w:sz="2" w:space="0" w:color="FFFFFF"/>
              <w:bottom w:val="single" w:sz="6" w:space="0" w:color="D9D9D9"/>
              <w:right w:val="single" w:sz="2" w:space="0" w:color="FFFFFF"/>
            </w:tcBorders>
            <w:vAlign w:val="center"/>
          </w:tcPr>
          <w:p w14:paraId="4AA8CB74" w14:textId="77777777" w:rsidR="00410CB0" w:rsidRPr="00FA2D11" w:rsidRDefault="00410CB0" w:rsidP="00410CB0">
            <w:pPr>
              <w:pStyle w:val="16TableText"/>
            </w:pPr>
            <w:r w:rsidRPr="00FA2D11">
              <w:rPr>
                <w:rFonts w:hint="eastAsia"/>
              </w:rPr>
              <w:t>-</w:t>
            </w:r>
          </w:p>
        </w:tc>
        <w:tc>
          <w:tcPr>
            <w:tcW w:w="1023" w:type="dxa"/>
            <w:tcBorders>
              <w:top w:val="single" w:sz="6" w:space="0" w:color="D9D9D9"/>
              <w:left w:val="single" w:sz="2" w:space="0" w:color="FFFFFF"/>
              <w:bottom w:val="single" w:sz="6" w:space="0" w:color="D9D9D9"/>
              <w:right w:val="single" w:sz="2" w:space="0" w:color="FFFFFF"/>
            </w:tcBorders>
          </w:tcPr>
          <w:p w14:paraId="489209F7" w14:textId="77777777" w:rsidR="00410CB0" w:rsidRPr="00FA2D11" w:rsidRDefault="00410CB0" w:rsidP="00410CB0">
            <w:pPr>
              <w:pStyle w:val="16TableText"/>
            </w:pPr>
            <w:r>
              <w:rPr>
                <w:rFonts w:hint="eastAsia"/>
              </w:rPr>
              <w:t>Y</w:t>
            </w:r>
            <w:r>
              <w:t>es</w:t>
            </w:r>
          </w:p>
        </w:tc>
      </w:tr>
      <w:tr w:rsidR="00410CB0" w:rsidRPr="00FA2D11" w14:paraId="6F1BD865" w14:textId="77777777" w:rsidTr="00AF3671">
        <w:trPr>
          <w:trHeight w:val="207"/>
        </w:trPr>
        <w:tc>
          <w:tcPr>
            <w:tcW w:w="1003"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6605A514" w14:textId="77777777" w:rsidR="00410CB0" w:rsidRPr="00FA2D11" w:rsidRDefault="00410CB0" w:rsidP="00410CB0">
            <w:pPr>
              <w:pStyle w:val="16TableText"/>
              <w:rPr>
                <w:rFonts w:cs="SimSun"/>
                <w:lang w:val="af-ZA"/>
              </w:rPr>
            </w:pPr>
            <w:r w:rsidRPr="00FA2D11">
              <w:rPr>
                <w:lang w:val="af-ZA"/>
              </w:rPr>
              <w:t>Home</w:t>
            </w:r>
            <w:r>
              <w:rPr>
                <w:lang w:val="af-ZA"/>
              </w:rPr>
              <w:t xml:space="preserve"> </w:t>
            </w:r>
            <w:r w:rsidRPr="00FA2D11">
              <w:rPr>
                <w:lang w:val="af-ZA"/>
              </w:rPr>
              <w:t>C​​</w:t>
            </w:r>
          </w:p>
        </w:tc>
        <w:tc>
          <w:tcPr>
            <w:tcW w:w="776"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019AE30F" w14:textId="77777777" w:rsidR="00410CB0" w:rsidRPr="00FA2D11" w:rsidRDefault="00410CB0" w:rsidP="00410CB0">
            <w:pPr>
              <w:pStyle w:val="16TableText"/>
              <w:rPr>
                <w:rFonts w:cs="SimSun"/>
              </w:rPr>
            </w:pPr>
            <w:r w:rsidRPr="00FA2D11">
              <w:t>3500​​</w:t>
            </w:r>
          </w:p>
        </w:tc>
        <w:tc>
          <w:tcPr>
            <w:tcW w:w="1212"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2E05746B" w14:textId="77777777" w:rsidR="00410CB0" w:rsidRPr="00FA2D11" w:rsidRDefault="00410CB0" w:rsidP="00410CB0">
            <w:pPr>
              <w:pStyle w:val="16TableText"/>
              <w:rPr>
                <w:rFonts w:cs="SimSun"/>
                <w:lang w:val="af-ZA"/>
              </w:rPr>
            </w:pPr>
            <w:r>
              <w:rPr>
                <w:lang w:val="af-ZA"/>
              </w:rPr>
              <w:t>A</w:t>
            </w:r>
            <w:r w:rsidRPr="00FA2D11">
              <w:rPr>
                <w:lang w:val="af-ZA"/>
              </w:rPr>
              <w:t>bove</w:t>
            </w:r>
            <w:r>
              <w:rPr>
                <w:lang w:val="af-ZA"/>
              </w:rPr>
              <w:t xml:space="preserve"> </w:t>
            </w:r>
            <w:r w:rsidRPr="00FA2D11">
              <w:rPr>
                <w:lang w:val="af-ZA"/>
              </w:rPr>
              <w:t>20</w:t>
            </w:r>
            <w:r>
              <w:rPr>
                <w:lang w:val="af-ZA"/>
              </w:rPr>
              <w:t xml:space="preserve"> </w:t>
            </w:r>
            <w:r w:rsidRPr="00FA2D11">
              <w:rPr>
                <w:lang w:val="af-ZA"/>
              </w:rPr>
              <w:t>years​​</w:t>
            </w:r>
          </w:p>
        </w:tc>
        <w:tc>
          <w:tcPr>
            <w:tcW w:w="1170"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224FE8AB" w14:textId="77777777" w:rsidR="00410CB0" w:rsidRPr="00FA2D11" w:rsidRDefault="00410CB0" w:rsidP="00410CB0">
            <w:pPr>
              <w:pStyle w:val="16TableText"/>
              <w:rPr>
                <w:rFonts w:cs="SimSun"/>
                <w:lang w:val="af-ZA"/>
              </w:rPr>
            </w:pPr>
            <w:r w:rsidRPr="00FA2D11">
              <w:rPr>
                <w:lang w:val="af-ZA"/>
              </w:rPr>
              <w:t>Wood</w:t>
            </w:r>
            <w:r>
              <w:rPr>
                <w:lang w:val="af-ZA"/>
              </w:rPr>
              <w:t xml:space="preserve"> </w:t>
            </w:r>
            <w:r w:rsidRPr="00FA2D11">
              <w:rPr>
                <w:lang w:val="af-ZA"/>
              </w:rPr>
              <w:t>Frame​​</w:t>
            </w:r>
          </w:p>
        </w:tc>
        <w:tc>
          <w:tcPr>
            <w:tcW w:w="899"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6E9DA526" w14:textId="77777777" w:rsidR="00410CB0" w:rsidRPr="00FA2D11" w:rsidRDefault="00410CB0" w:rsidP="00410CB0">
            <w:pPr>
              <w:pStyle w:val="16TableText"/>
              <w:rPr>
                <w:rFonts w:cs="SimSun"/>
                <w:lang w:val="af-ZA"/>
              </w:rPr>
            </w:pPr>
            <w:r w:rsidRPr="00FA2D11">
              <w:rPr>
                <w:lang w:val="af-ZA"/>
              </w:rPr>
              <w:t>0-1</w:t>
            </w:r>
            <w:r>
              <w:rPr>
                <w:lang w:val="af-ZA"/>
              </w:rPr>
              <w:t xml:space="preserve"> </w:t>
            </w:r>
            <w:r w:rsidRPr="00FA2D11">
              <w:rPr>
                <w:lang w:val="af-ZA"/>
              </w:rPr>
              <w:t>years​​</w:t>
            </w:r>
          </w:p>
        </w:tc>
        <w:tc>
          <w:tcPr>
            <w:tcW w:w="821"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30D58DC4" w14:textId="77777777" w:rsidR="00410CB0" w:rsidRPr="00FA2D11" w:rsidRDefault="00410CB0" w:rsidP="00410CB0">
            <w:pPr>
              <w:pStyle w:val="16TableText"/>
              <w:rPr>
                <w:rFonts w:cs="SimSun"/>
              </w:rPr>
            </w:pPr>
            <w:r w:rsidRPr="00FA2D11">
              <w:rPr>
                <w:position w:val="1"/>
              </w:rPr>
              <w:t>2</w:t>
            </w:r>
            <w:r w:rsidRPr="00FA2D11">
              <w:t>​</w:t>
            </w:r>
          </w:p>
        </w:tc>
        <w:tc>
          <w:tcPr>
            <w:tcW w:w="1339"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0BAC6A1A" w14:textId="77777777" w:rsidR="00410CB0" w:rsidRPr="00FA2D11" w:rsidRDefault="00410CB0" w:rsidP="00410CB0">
            <w:pPr>
              <w:pStyle w:val="16TableText"/>
            </w:pPr>
            <w:r w:rsidRPr="00FA2D11">
              <w:rPr>
                <w:rFonts w:hint="eastAsia"/>
              </w:rPr>
              <w:t>2</w:t>
            </w:r>
            <w:r w:rsidRPr="00FA2D11">
              <w:t>.5</w:t>
            </w:r>
            <w:r>
              <w:t xml:space="preserve"> </w:t>
            </w:r>
            <w:r w:rsidRPr="00FA2D11">
              <w:t>(up)/4</w:t>
            </w:r>
            <w:r>
              <w:t xml:space="preserve"> </w:t>
            </w:r>
            <w:r w:rsidRPr="00FA2D11">
              <w:t>(down)</w:t>
            </w:r>
          </w:p>
        </w:tc>
        <w:tc>
          <w:tcPr>
            <w:tcW w:w="754" w:type="dxa"/>
            <w:tcBorders>
              <w:top w:val="single" w:sz="6" w:space="0" w:color="D9D9D9"/>
              <w:left w:val="single" w:sz="2" w:space="0" w:color="FFFFFF"/>
              <w:bottom w:val="single" w:sz="6" w:space="0" w:color="D9D9D9"/>
              <w:right w:val="single" w:sz="2" w:space="0" w:color="FFFFFF"/>
            </w:tcBorders>
            <w:vAlign w:val="center"/>
          </w:tcPr>
          <w:p w14:paraId="706F2F60" w14:textId="77777777" w:rsidR="00410CB0" w:rsidRPr="00FA2D11" w:rsidRDefault="00410CB0" w:rsidP="00410CB0">
            <w:pPr>
              <w:pStyle w:val="16TableText"/>
            </w:pPr>
            <w:r w:rsidRPr="00FA2D11">
              <w:rPr>
                <w:rFonts w:hint="eastAsia"/>
              </w:rPr>
              <w:t>Y</w:t>
            </w:r>
            <w:r w:rsidRPr="00FA2D11">
              <w:t>es</w:t>
            </w:r>
          </w:p>
        </w:tc>
        <w:tc>
          <w:tcPr>
            <w:tcW w:w="1023" w:type="dxa"/>
            <w:tcBorders>
              <w:top w:val="single" w:sz="6" w:space="0" w:color="D9D9D9"/>
              <w:left w:val="single" w:sz="2" w:space="0" w:color="FFFFFF"/>
              <w:bottom w:val="single" w:sz="6" w:space="0" w:color="D9D9D9"/>
              <w:right w:val="single" w:sz="2" w:space="0" w:color="FFFFFF"/>
            </w:tcBorders>
          </w:tcPr>
          <w:p w14:paraId="74795E19" w14:textId="77777777" w:rsidR="00410CB0" w:rsidRPr="00FA2D11" w:rsidRDefault="00410CB0" w:rsidP="00410CB0">
            <w:pPr>
              <w:pStyle w:val="16TableText"/>
            </w:pPr>
            <w:r>
              <w:rPr>
                <w:rFonts w:hint="eastAsia"/>
              </w:rPr>
              <w:t>-</w:t>
            </w:r>
          </w:p>
        </w:tc>
      </w:tr>
      <w:tr w:rsidR="00410CB0" w:rsidRPr="00FA2D11" w14:paraId="6A2FC8E6" w14:textId="77777777" w:rsidTr="00AF3671">
        <w:trPr>
          <w:trHeight w:val="207"/>
        </w:trPr>
        <w:tc>
          <w:tcPr>
            <w:tcW w:w="1003"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1A498983" w14:textId="77777777" w:rsidR="00410CB0" w:rsidRPr="00FA2D11" w:rsidRDefault="00410CB0" w:rsidP="00410CB0">
            <w:pPr>
              <w:pStyle w:val="16TableText"/>
              <w:rPr>
                <w:rFonts w:cs="SimSun"/>
                <w:lang w:val="af-ZA"/>
              </w:rPr>
            </w:pPr>
            <w:r w:rsidRPr="00FA2D11">
              <w:rPr>
                <w:lang w:val="af-ZA"/>
              </w:rPr>
              <w:t>Home</w:t>
            </w:r>
            <w:r>
              <w:rPr>
                <w:lang w:val="af-ZA"/>
              </w:rPr>
              <w:t xml:space="preserve"> </w:t>
            </w:r>
            <w:r w:rsidRPr="00FA2D11">
              <w:rPr>
                <w:lang w:val="af-ZA"/>
              </w:rPr>
              <w:t>D​​</w:t>
            </w:r>
          </w:p>
        </w:tc>
        <w:tc>
          <w:tcPr>
            <w:tcW w:w="776"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122D32F2" w14:textId="77777777" w:rsidR="00410CB0" w:rsidRPr="00FA2D11" w:rsidRDefault="00410CB0" w:rsidP="00410CB0">
            <w:pPr>
              <w:pStyle w:val="16TableText"/>
              <w:rPr>
                <w:rFonts w:cs="SimSun"/>
              </w:rPr>
            </w:pPr>
            <w:r w:rsidRPr="00FA2D11">
              <w:t>2500​​</w:t>
            </w:r>
          </w:p>
        </w:tc>
        <w:tc>
          <w:tcPr>
            <w:tcW w:w="1212"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6B0824E9" w14:textId="77777777" w:rsidR="00410CB0" w:rsidRPr="00FA2D11" w:rsidRDefault="00410CB0" w:rsidP="00410CB0">
            <w:pPr>
              <w:pStyle w:val="16TableText"/>
              <w:rPr>
                <w:rFonts w:cs="SimSun"/>
                <w:lang w:val="af-ZA"/>
              </w:rPr>
            </w:pPr>
            <w:r w:rsidRPr="00FA2D11">
              <w:rPr>
                <w:lang w:val="af-ZA"/>
              </w:rPr>
              <w:t>10-20</w:t>
            </w:r>
            <w:r>
              <w:rPr>
                <w:lang w:val="af-ZA"/>
              </w:rPr>
              <w:t xml:space="preserve"> </w:t>
            </w:r>
            <w:r w:rsidRPr="00FA2D11">
              <w:rPr>
                <w:lang w:val="af-ZA"/>
              </w:rPr>
              <w:t>years​​</w:t>
            </w:r>
          </w:p>
        </w:tc>
        <w:tc>
          <w:tcPr>
            <w:tcW w:w="1170"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327CE4EC" w14:textId="77777777" w:rsidR="00410CB0" w:rsidRPr="00FA2D11" w:rsidRDefault="00410CB0" w:rsidP="00410CB0">
            <w:pPr>
              <w:pStyle w:val="16TableText"/>
              <w:rPr>
                <w:rFonts w:cs="SimSun"/>
                <w:lang w:val="af-ZA"/>
              </w:rPr>
            </w:pPr>
            <w:r w:rsidRPr="00FA2D11">
              <w:rPr>
                <w:lang w:val="af-ZA"/>
              </w:rPr>
              <w:t>Wood</w:t>
            </w:r>
            <w:r>
              <w:rPr>
                <w:lang w:val="af-ZA"/>
              </w:rPr>
              <w:t xml:space="preserve"> </w:t>
            </w:r>
            <w:r w:rsidRPr="00FA2D11">
              <w:rPr>
                <w:lang w:val="af-ZA"/>
              </w:rPr>
              <w:t>Frame​​</w:t>
            </w:r>
          </w:p>
        </w:tc>
        <w:tc>
          <w:tcPr>
            <w:tcW w:w="899"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7C670952" w14:textId="77777777" w:rsidR="00410CB0" w:rsidRPr="00FA2D11" w:rsidRDefault="00410CB0" w:rsidP="00410CB0">
            <w:pPr>
              <w:pStyle w:val="16TableText"/>
              <w:rPr>
                <w:rFonts w:cs="SimSun"/>
                <w:lang w:val="af-ZA"/>
              </w:rPr>
            </w:pPr>
            <w:r w:rsidRPr="00FA2D11">
              <w:rPr>
                <w:lang w:val="af-ZA"/>
              </w:rPr>
              <w:t>8-15</w:t>
            </w:r>
            <w:r>
              <w:rPr>
                <w:lang w:val="af-ZA"/>
              </w:rPr>
              <w:t xml:space="preserve"> </w:t>
            </w:r>
            <w:r w:rsidRPr="00FA2D11">
              <w:rPr>
                <w:lang w:val="af-ZA"/>
              </w:rPr>
              <w:t>years​​</w:t>
            </w:r>
          </w:p>
        </w:tc>
        <w:tc>
          <w:tcPr>
            <w:tcW w:w="821"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17DD9BF5" w14:textId="77777777" w:rsidR="00410CB0" w:rsidRPr="00FA2D11" w:rsidRDefault="00410CB0" w:rsidP="00410CB0">
            <w:pPr>
              <w:pStyle w:val="16TableText"/>
              <w:rPr>
                <w:rFonts w:cs="SimSun"/>
              </w:rPr>
            </w:pPr>
            <w:r w:rsidRPr="00FA2D11">
              <w:rPr>
                <w:position w:val="1"/>
              </w:rPr>
              <w:t>1</w:t>
            </w:r>
            <w:r w:rsidRPr="00FA2D11">
              <w:t>​</w:t>
            </w:r>
          </w:p>
        </w:tc>
        <w:tc>
          <w:tcPr>
            <w:tcW w:w="1339"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2BB4C193" w14:textId="77777777" w:rsidR="00410CB0" w:rsidRPr="00FA2D11" w:rsidRDefault="00410CB0" w:rsidP="00410CB0">
            <w:pPr>
              <w:pStyle w:val="16TableText"/>
            </w:pPr>
            <w:r w:rsidRPr="00FA2D11">
              <w:rPr>
                <w:rFonts w:hint="eastAsia"/>
              </w:rPr>
              <w:t>3</w:t>
            </w:r>
            <w:r w:rsidRPr="00FA2D11">
              <w:t>.5</w:t>
            </w:r>
          </w:p>
        </w:tc>
        <w:tc>
          <w:tcPr>
            <w:tcW w:w="754" w:type="dxa"/>
            <w:tcBorders>
              <w:top w:val="single" w:sz="6" w:space="0" w:color="D9D9D9"/>
              <w:left w:val="single" w:sz="2" w:space="0" w:color="FFFFFF"/>
              <w:bottom w:val="single" w:sz="6" w:space="0" w:color="D9D9D9"/>
              <w:right w:val="single" w:sz="2" w:space="0" w:color="FFFFFF"/>
            </w:tcBorders>
            <w:vAlign w:val="center"/>
          </w:tcPr>
          <w:p w14:paraId="5072E763" w14:textId="77777777" w:rsidR="00410CB0" w:rsidRPr="00FA2D11" w:rsidRDefault="00410CB0" w:rsidP="00410CB0">
            <w:pPr>
              <w:pStyle w:val="16TableText"/>
            </w:pPr>
            <w:r w:rsidRPr="00FA2D11">
              <w:rPr>
                <w:rFonts w:hint="eastAsia"/>
              </w:rPr>
              <w:t>-</w:t>
            </w:r>
          </w:p>
        </w:tc>
        <w:tc>
          <w:tcPr>
            <w:tcW w:w="1023" w:type="dxa"/>
            <w:tcBorders>
              <w:top w:val="single" w:sz="6" w:space="0" w:color="D9D9D9"/>
              <w:left w:val="single" w:sz="2" w:space="0" w:color="FFFFFF"/>
              <w:bottom w:val="single" w:sz="6" w:space="0" w:color="D9D9D9"/>
              <w:right w:val="single" w:sz="2" w:space="0" w:color="FFFFFF"/>
            </w:tcBorders>
          </w:tcPr>
          <w:p w14:paraId="6323A9A3" w14:textId="77777777" w:rsidR="00410CB0" w:rsidRPr="00FA2D11" w:rsidRDefault="00410CB0" w:rsidP="00410CB0">
            <w:pPr>
              <w:pStyle w:val="16TableText"/>
            </w:pPr>
            <w:r>
              <w:rPr>
                <w:rFonts w:hint="eastAsia"/>
              </w:rPr>
              <w:t>-</w:t>
            </w:r>
          </w:p>
        </w:tc>
      </w:tr>
      <w:tr w:rsidR="00410CB0" w:rsidRPr="00FA2D11" w14:paraId="37544BB5" w14:textId="77777777" w:rsidTr="00AF3671">
        <w:trPr>
          <w:trHeight w:val="207"/>
        </w:trPr>
        <w:tc>
          <w:tcPr>
            <w:tcW w:w="1003"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463B14F8" w14:textId="77777777" w:rsidR="00410CB0" w:rsidRPr="00FA2D11" w:rsidRDefault="00410CB0" w:rsidP="00410CB0">
            <w:pPr>
              <w:pStyle w:val="16TableText"/>
              <w:rPr>
                <w:rFonts w:cs="SimSun"/>
                <w:lang w:val="af-ZA"/>
              </w:rPr>
            </w:pPr>
            <w:r w:rsidRPr="00FA2D11">
              <w:rPr>
                <w:lang w:val="af-ZA"/>
              </w:rPr>
              <w:t>Home</w:t>
            </w:r>
            <w:r>
              <w:rPr>
                <w:lang w:val="af-ZA"/>
              </w:rPr>
              <w:t xml:space="preserve"> </w:t>
            </w:r>
            <w:r w:rsidRPr="00FA2D11">
              <w:rPr>
                <w:lang w:val="af-ZA"/>
              </w:rPr>
              <w:t>E​​</w:t>
            </w:r>
          </w:p>
        </w:tc>
        <w:tc>
          <w:tcPr>
            <w:tcW w:w="776"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63A039C5" w14:textId="77777777" w:rsidR="00410CB0" w:rsidRPr="00FA2D11" w:rsidRDefault="00410CB0" w:rsidP="00410CB0">
            <w:pPr>
              <w:pStyle w:val="16TableText"/>
              <w:rPr>
                <w:rFonts w:cs="SimSun"/>
              </w:rPr>
            </w:pPr>
            <w:r w:rsidRPr="00FA2D11">
              <w:t>1540​​</w:t>
            </w:r>
          </w:p>
        </w:tc>
        <w:tc>
          <w:tcPr>
            <w:tcW w:w="1212"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14D525F1" w14:textId="77777777" w:rsidR="00410CB0" w:rsidRPr="00FA2D11" w:rsidRDefault="00410CB0" w:rsidP="00410CB0">
            <w:pPr>
              <w:pStyle w:val="16TableText"/>
              <w:rPr>
                <w:rFonts w:cs="SimSun"/>
                <w:lang w:val="af-ZA"/>
              </w:rPr>
            </w:pPr>
            <w:r w:rsidRPr="00FA2D11">
              <w:rPr>
                <w:lang w:val="af-ZA"/>
              </w:rPr>
              <w:t>1-5</w:t>
            </w:r>
            <w:r>
              <w:rPr>
                <w:lang w:val="af-ZA"/>
              </w:rPr>
              <w:t xml:space="preserve"> </w:t>
            </w:r>
            <w:r w:rsidRPr="00FA2D11">
              <w:rPr>
                <w:lang w:val="af-ZA"/>
              </w:rPr>
              <w:t>years​​</w:t>
            </w:r>
          </w:p>
        </w:tc>
        <w:tc>
          <w:tcPr>
            <w:tcW w:w="1170"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501D4D31" w14:textId="77777777" w:rsidR="00410CB0" w:rsidRPr="00FA2D11" w:rsidRDefault="00410CB0" w:rsidP="00410CB0">
            <w:pPr>
              <w:pStyle w:val="16TableText"/>
              <w:rPr>
                <w:rFonts w:cs="SimSun"/>
                <w:lang w:val="af-ZA"/>
              </w:rPr>
            </w:pPr>
            <w:r w:rsidRPr="00FA2D11">
              <w:rPr>
                <w:lang w:val="af-ZA"/>
              </w:rPr>
              <w:t>Wood</w:t>
            </w:r>
            <w:r>
              <w:rPr>
                <w:lang w:val="af-ZA"/>
              </w:rPr>
              <w:t xml:space="preserve"> </w:t>
            </w:r>
            <w:r w:rsidRPr="00FA2D11">
              <w:rPr>
                <w:lang w:val="af-ZA"/>
              </w:rPr>
              <w:t>Frame​​</w:t>
            </w:r>
          </w:p>
        </w:tc>
        <w:tc>
          <w:tcPr>
            <w:tcW w:w="899"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0F2724F3" w14:textId="77777777" w:rsidR="00410CB0" w:rsidRPr="00FA2D11" w:rsidRDefault="00410CB0" w:rsidP="00410CB0">
            <w:pPr>
              <w:pStyle w:val="16TableText"/>
              <w:rPr>
                <w:rFonts w:cs="SimSun"/>
                <w:lang w:val="af-ZA"/>
              </w:rPr>
            </w:pPr>
            <w:r w:rsidRPr="00FA2D11">
              <w:rPr>
                <w:lang w:val="af-ZA"/>
              </w:rPr>
              <w:t>1-3</w:t>
            </w:r>
            <w:r>
              <w:rPr>
                <w:lang w:val="af-ZA"/>
              </w:rPr>
              <w:t xml:space="preserve"> </w:t>
            </w:r>
            <w:r w:rsidRPr="00FA2D11">
              <w:rPr>
                <w:lang w:val="af-ZA"/>
              </w:rPr>
              <w:t>years​​</w:t>
            </w:r>
          </w:p>
        </w:tc>
        <w:tc>
          <w:tcPr>
            <w:tcW w:w="821"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6BC13114" w14:textId="77777777" w:rsidR="00410CB0" w:rsidRPr="00FA2D11" w:rsidRDefault="00410CB0" w:rsidP="00410CB0">
            <w:pPr>
              <w:pStyle w:val="16TableText"/>
              <w:rPr>
                <w:rFonts w:cs="SimSun"/>
              </w:rPr>
            </w:pPr>
            <w:r w:rsidRPr="00FA2D11">
              <w:rPr>
                <w:position w:val="1"/>
              </w:rPr>
              <w:t>1</w:t>
            </w:r>
            <w:r w:rsidRPr="00FA2D11">
              <w:t>​</w:t>
            </w:r>
          </w:p>
        </w:tc>
        <w:tc>
          <w:tcPr>
            <w:tcW w:w="1339"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6D84ABF2" w14:textId="77777777" w:rsidR="00410CB0" w:rsidRPr="00FA2D11" w:rsidRDefault="00410CB0" w:rsidP="00410CB0">
            <w:pPr>
              <w:pStyle w:val="16TableText"/>
            </w:pPr>
            <w:r w:rsidRPr="00FA2D11">
              <w:rPr>
                <w:rFonts w:hint="eastAsia"/>
              </w:rPr>
              <w:t>2</w:t>
            </w:r>
            <w:r w:rsidRPr="00FA2D11">
              <w:t>.5</w:t>
            </w:r>
          </w:p>
        </w:tc>
        <w:tc>
          <w:tcPr>
            <w:tcW w:w="754" w:type="dxa"/>
            <w:tcBorders>
              <w:top w:val="single" w:sz="6" w:space="0" w:color="D9D9D9"/>
              <w:left w:val="single" w:sz="2" w:space="0" w:color="FFFFFF"/>
              <w:bottom w:val="single" w:sz="6" w:space="0" w:color="D9D9D9"/>
              <w:right w:val="single" w:sz="2" w:space="0" w:color="FFFFFF"/>
            </w:tcBorders>
            <w:vAlign w:val="center"/>
          </w:tcPr>
          <w:p w14:paraId="15C56179" w14:textId="77777777" w:rsidR="00410CB0" w:rsidRPr="00FA2D11" w:rsidRDefault="00410CB0" w:rsidP="00410CB0">
            <w:pPr>
              <w:pStyle w:val="16TableText"/>
            </w:pPr>
            <w:r w:rsidRPr="00FA2D11">
              <w:rPr>
                <w:rFonts w:hint="eastAsia"/>
              </w:rPr>
              <w:t>-</w:t>
            </w:r>
          </w:p>
        </w:tc>
        <w:tc>
          <w:tcPr>
            <w:tcW w:w="1023" w:type="dxa"/>
            <w:tcBorders>
              <w:top w:val="single" w:sz="6" w:space="0" w:color="D9D9D9"/>
              <w:left w:val="single" w:sz="2" w:space="0" w:color="FFFFFF"/>
              <w:bottom w:val="single" w:sz="6" w:space="0" w:color="D9D9D9"/>
              <w:right w:val="single" w:sz="2" w:space="0" w:color="FFFFFF"/>
            </w:tcBorders>
          </w:tcPr>
          <w:p w14:paraId="50390A7D" w14:textId="77777777" w:rsidR="00410CB0" w:rsidRPr="00FA2D11" w:rsidRDefault="00410CB0" w:rsidP="00410CB0">
            <w:pPr>
              <w:pStyle w:val="16TableText"/>
            </w:pPr>
            <w:r>
              <w:rPr>
                <w:rFonts w:hint="eastAsia"/>
              </w:rPr>
              <w:t>-</w:t>
            </w:r>
          </w:p>
        </w:tc>
      </w:tr>
      <w:tr w:rsidR="00410CB0" w:rsidRPr="00FA2D11" w14:paraId="4F40A90F" w14:textId="77777777" w:rsidTr="00AF3671">
        <w:trPr>
          <w:trHeight w:val="207"/>
        </w:trPr>
        <w:tc>
          <w:tcPr>
            <w:tcW w:w="1003"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37E9209E" w14:textId="77777777" w:rsidR="00410CB0" w:rsidRPr="00FA2D11" w:rsidRDefault="00410CB0" w:rsidP="00410CB0">
            <w:pPr>
              <w:pStyle w:val="16TableText"/>
              <w:rPr>
                <w:rFonts w:cs="SimSun"/>
              </w:rPr>
            </w:pPr>
            <w:r w:rsidRPr="00FA2D11">
              <w:rPr>
                <w:lang w:val="af-ZA"/>
              </w:rPr>
              <w:t>Home</w:t>
            </w:r>
            <w:r>
              <w:rPr>
                <w:lang w:val="af-ZA"/>
              </w:rPr>
              <w:t xml:space="preserve"> </w:t>
            </w:r>
            <w:r w:rsidRPr="00FA2D11">
              <w:rPr>
                <w:lang w:val="af-ZA"/>
              </w:rPr>
              <w:t>F​​*</w:t>
            </w:r>
          </w:p>
        </w:tc>
        <w:tc>
          <w:tcPr>
            <w:tcW w:w="776"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05951A47" w14:textId="77777777" w:rsidR="00410CB0" w:rsidRPr="00FA2D11" w:rsidRDefault="00410CB0" w:rsidP="00410CB0">
            <w:pPr>
              <w:pStyle w:val="16TableText"/>
              <w:rPr>
                <w:rFonts w:cs="SimSun"/>
              </w:rPr>
            </w:pPr>
            <w:r w:rsidRPr="00FA2D11">
              <w:t>1812​​</w:t>
            </w:r>
          </w:p>
        </w:tc>
        <w:tc>
          <w:tcPr>
            <w:tcW w:w="1212"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441DD735" w14:textId="77777777" w:rsidR="00410CB0" w:rsidRPr="00FA2D11" w:rsidRDefault="00410CB0" w:rsidP="00410CB0">
            <w:pPr>
              <w:pStyle w:val="16TableText"/>
              <w:rPr>
                <w:rFonts w:cs="SimSun"/>
                <w:lang w:val="af-ZA"/>
              </w:rPr>
            </w:pPr>
            <w:r w:rsidRPr="00FA2D11">
              <w:rPr>
                <w:lang w:val="af-ZA"/>
              </w:rPr>
              <w:t>10-20</w:t>
            </w:r>
            <w:r>
              <w:rPr>
                <w:lang w:val="af-ZA"/>
              </w:rPr>
              <w:t xml:space="preserve"> </w:t>
            </w:r>
            <w:r w:rsidRPr="00FA2D11">
              <w:rPr>
                <w:lang w:val="af-ZA"/>
              </w:rPr>
              <w:t>years​​</w:t>
            </w:r>
          </w:p>
        </w:tc>
        <w:tc>
          <w:tcPr>
            <w:tcW w:w="1170"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47D5D5AF" w14:textId="77777777" w:rsidR="00410CB0" w:rsidRPr="00FA2D11" w:rsidRDefault="00410CB0" w:rsidP="00410CB0">
            <w:pPr>
              <w:pStyle w:val="16TableText"/>
              <w:rPr>
                <w:rFonts w:cs="SimSun"/>
                <w:lang w:val="af-ZA"/>
              </w:rPr>
            </w:pPr>
            <w:r w:rsidRPr="00FA2D11">
              <w:rPr>
                <w:lang w:val="af-ZA"/>
              </w:rPr>
              <w:t>Wood</w:t>
            </w:r>
            <w:r>
              <w:rPr>
                <w:lang w:val="af-ZA"/>
              </w:rPr>
              <w:t xml:space="preserve"> </w:t>
            </w:r>
            <w:r w:rsidRPr="00FA2D11">
              <w:rPr>
                <w:lang w:val="af-ZA"/>
              </w:rPr>
              <w:t>Frame​​</w:t>
            </w:r>
          </w:p>
        </w:tc>
        <w:tc>
          <w:tcPr>
            <w:tcW w:w="899"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717374B6" w14:textId="77777777" w:rsidR="00410CB0" w:rsidRPr="00FA2D11" w:rsidRDefault="00410CB0" w:rsidP="00410CB0">
            <w:pPr>
              <w:pStyle w:val="16TableText"/>
              <w:rPr>
                <w:rFonts w:cs="SimSun"/>
                <w:lang w:val="af-ZA"/>
              </w:rPr>
            </w:pPr>
            <w:r w:rsidRPr="00FA2D11">
              <w:rPr>
                <w:lang w:val="af-ZA"/>
              </w:rPr>
              <w:t>1-3</w:t>
            </w:r>
            <w:r>
              <w:rPr>
                <w:lang w:val="af-ZA"/>
              </w:rPr>
              <w:t xml:space="preserve"> </w:t>
            </w:r>
            <w:r w:rsidRPr="00FA2D11">
              <w:rPr>
                <w:lang w:val="af-ZA"/>
              </w:rPr>
              <w:t>years​​</w:t>
            </w:r>
          </w:p>
        </w:tc>
        <w:tc>
          <w:tcPr>
            <w:tcW w:w="821"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755157A9" w14:textId="77777777" w:rsidR="00410CB0" w:rsidRPr="00FA2D11" w:rsidRDefault="00410CB0" w:rsidP="00410CB0">
            <w:pPr>
              <w:pStyle w:val="16TableText"/>
              <w:rPr>
                <w:rFonts w:cs="SimSun"/>
              </w:rPr>
            </w:pPr>
            <w:r w:rsidRPr="00FA2D11">
              <w:rPr>
                <w:position w:val="1"/>
              </w:rPr>
              <w:t>1</w:t>
            </w:r>
            <w:r w:rsidRPr="00FA2D11">
              <w:t>​</w:t>
            </w:r>
          </w:p>
        </w:tc>
        <w:tc>
          <w:tcPr>
            <w:tcW w:w="1339"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4C9CDDD0" w14:textId="77777777" w:rsidR="00410CB0" w:rsidRPr="00FA2D11" w:rsidRDefault="00410CB0" w:rsidP="00410CB0">
            <w:pPr>
              <w:pStyle w:val="16TableText"/>
            </w:pPr>
            <w:r w:rsidRPr="00FA2D11">
              <w:rPr>
                <w:rFonts w:hint="eastAsia"/>
              </w:rPr>
              <w:t>-</w:t>
            </w:r>
          </w:p>
        </w:tc>
        <w:tc>
          <w:tcPr>
            <w:tcW w:w="754" w:type="dxa"/>
            <w:tcBorders>
              <w:top w:val="single" w:sz="6" w:space="0" w:color="D9D9D9"/>
              <w:left w:val="single" w:sz="2" w:space="0" w:color="FFFFFF"/>
              <w:bottom w:val="single" w:sz="6" w:space="0" w:color="D9D9D9"/>
              <w:right w:val="single" w:sz="2" w:space="0" w:color="FFFFFF"/>
            </w:tcBorders>
            <w:vAlign w:val="center"/>
          </w:tcPr>
          <w:p w14:paraId="38F6524C" w14:textId="77777777" w:rsidR="00410CB0" w:rsidRPr="00FA2D11" w:rsidRDefault="00410CB0" w:rsidP="00410CB0">
            <w:pPr>
              <w:pStyle w:val="16TableText"/>
            </w:pPr>
            <w:r w:rsidRPr="00FA2D11">
              <w:rPr>
                <w:rFonts w:hint="eastAsia"/>
              </w:rPr>
              <w:t>-</w:t>
            </w:r>
          </w:p>
        </w:tc>
        <w:tc>
          <w:tcPr>
            <w:tcW w:w="1023" w:type="dxa"/>
            <w:tcBorders>
              <w:top w:val="single" w:sz="6" w:space="0" w:color="D9D9D9"/>
              <w:left w:val="single" w:sz="2" w:space="0" w:color="FFFFFF"/>
              <w:bottom w:val="single" w:sz="6" w:space="0" w:color="D9D9D9"/>
              <w:right w:val="single" w:sz="2" w:space="0" w:color="FFFFFF"/>
            </w:tcBorders>
          </w:tcPr>
          <w:p w14:paraId="5CC0105D" w14:textId="77777777" w:rsidR="00410CB0" w:rsidRPr="00FA2D11" w:rsidRDefault="00410CB0" w:rsidP="00410CB0">
            <w:pPr>
              <w:pStyle w:val="16TableText"/>
            </w:pPr>
            <w:r>
              <w:rPr>
                <w:rFonts w:hint="eastAsia"/>
              </w:rPr>
              <w:t>-</w:t>
            </w:r>
          </w:p>
        </w:tc>
      </w:tr>
      <w:tr w:rsidR="00410CB0" w:rsidRPr="00FA2D11" w14:paraId="1D5679BA" w14:textId="77777777" w:rsidTr="00AF3671">
        <w:trPr>
          <w:trHeight w:val="207"/>
        </w:trPr>
        <w:tc>
          <w:tcPr>
            <w:tcW w:w="1003"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7EA28627" w14:textId="77777777" w:rsidR="00410CB0" w:rsidRPr="00FA2D11" w:rsidRDefault="00410CB0" w:rsidP="00410CB0">
            <w:pPr>
              <w:pStyle w:val="16TableText"/>
              <w:rPr>
                <w:rFonts w:cs="SimSun"/>
                <w:lang w:val="af-ZA"/>
              </w:rPr>
            </w:pPr>
            <w:r w:rsidRPr="00FA2D11">
              <w:rPr>
                <w:lang w:val="af-ZA"/>
              </w:rPr>
              <w:t>Home</w:t>
            </w:r>
            <w:r>
              <w:rPr>
                <w:lang w:val="af-ZA"/>
              </w:rPr>
              <w:t xml:space="preserve"> </w:t>
            </w:r>
            <w:r w:rsidRPr="00FA2D11">
              <w:rPr>
                <w:lang w:val="af-ZA"/>
              </w:rPr>
              <w:t>G​​</w:t>
            </w:r>
          </w:p>
        </w:tc>
        <w:tc>
          <w:tcPr>
            <w:tcW w:w="776"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3C0180FA" w14:textId="77777777" w:rsidR="00410CB0" w:rsidRPr="00FA2D11" w:rsidRDefault="00410CB0" w:rsidP="00410CB0">
            <w:pPr>
              <w:pStyle w:val="16TableText"/>
              <w:rPr>
                <w:rFonts w:cs="SimSun"/>
              </w:rPr>
            </w:pPr>
            <w:r w:rsidRPr="00FA2D11">
              <w:t>1800​​</w:t>
            </w:r>
          </w:p>
        </w:tc>
        <w:tc>
          <w:tcPr>
            <w:tcW w:w="1212"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20BDC592" w14:textId="77777777" w:rsidR="00410CB0" w:rsidRPr="00FA2D11" w:rsidRDefault="00410CB0" w:rsidP="00410CB0">
            <w:pPr>
              <w:pStyle w:val="16TableText"/>
              <w:rPr>
                <w:rFonts w:cs="SimSun"/>
                <w:lang w:val="af-ZA"/>
              </w:rPr>
            </w:pPr>
            <w:r>
              <w:rPr>
                <w:lang w:val="af-ZA"/>
              </w:rPr>
              <w:t>A</w:t>
            </w:r>
            <w:r w:rsidRPr="00FA2D11">
              <w:rPr>
                <w:lang w:val="af-ZA"/>
              </w:rPr>
              <w:t>bove</w:t>
            </w:r>
            <w:r>
              <w:rPr>
                <w:lang w:val="af-ZA"/>
              </w:rPr>
              <w:t xml:space="preserve"> </w:t>
            </w:r>
            <w:r w:rsidRPr="00FA2D11">
              <w:rPr>
                <w:lang w:val="af-ZA"/>
              </w:rPr>
              <w:t>20</w:t>
            </w:r>
            <w:r>
              <w:rPr>
                <w:lang w:val="af-ZA"/>
              </w:rPr>
              <w:t xml:space="preserve"> </w:t>
            </w:r>
            <w:r w:rsidRPr="00FA2D11">
              <w:rPr>
                <w:lang w:val="af-ZA"/>
              </w:rPr>
              <w:t>years​​</w:t>
            </w:r>
          </w:p>
        </w:tc>
        <w:tc>
          <w:tcPr>
            <w:tcW w:w="1170"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2B514835" w14:textId="77777777" w:rsidR="00410CB0" w:rsidRPr="00FA2D11" w:rsidRDefault="00410CB0" w:rsidP="00410CB0">
            <w:pPr>
              <w:pStyle w:val="16TableText"/>
              <w:rPr>
                <w:rFonts w:cs="SimSun"/>
                <w:lang w:val="af-ZA"/>
              </w:rPr>
            </w:pPr>
            <w:r w:rsidRPr="00FA2D11">
              <w:rPr>
                <w:lang w:val="af-ZA"/>
              </w:rPr>
              <w:t>Wood Frame</w:t>
            </w:r>
          </w:p>
        </w:tc>
        <w:tc>
          <w:tcPr>
            <w:tcW w:w="899"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684BEEBF" w14:textId="77777777" w:rsidR="00410CB0" w:rsidRPr="00FA2D11" w:rsidRDefault="00410CB0" w:rsidP="00410CB0">
            <w:pPr>
              <w:pStyle w:val="16TableText"/>
              <w:rPr>
                <w:rFonts w:cs="SimSun"/>
                <w:lang w:val="af-ZA"/>
              </w:rPr>
            </w:pPr>
            <w:r w:rsidRPr="00FA2D11">
              <w:rPr>
                <w:lang w:val="af-ZA"/>
              </w:rPr>
              <w:t>1-3</w:t>
            </w:r>
            <w:r>
              <w:rPr>
                <w:lang w:val="af-ZA"/>
              </w:rPr>
              <w:t xml:space="preserve"> </w:t>
            </w:r>
            <w:r w:rsidRPr="00FA2D11">
              <w:rPr>
                <w:lang w:val="af-ZA"/>
              </w:rPr>
              <w:t>years​​</w:t>
            </w:r>
          </w:p>
        </w:tc>
        <w:tc>
          <w:tcPr>
            <w:tcW w:w="821"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4412F8E4" w14:textId="77777777" w:rsidR="00410CB0" w:rsidRPr="00FA2D11" w:rsidRDefault="00410CB0" w:rsidP="00410CB0">
            <w:pPr>
              <w:pStyle w:val="16TableText"/>
              <w:rPr>
                <w:rFonts w:cs="SimSun"/>
              </w:rPr>
            </w:pPr>
            <w:r w:rsidRPr="00FA2D11">
              <w:rPr>
                <w:position w:val="1"/>
              </w:rPr>
              <w:t>1</w:t>
            </w:r>
            <w:r w:rsidRPr="00FA2D11">
              <w:t>​</w:t>
            </w:r>
          </w:p>
        </w:tc>
        <w:tc>
          <w:tcPr>
            <w:tcW w:w="1339"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26E32510" w14:textId="77777777" w:rsidR="00410CB0" w:rsidRPr="00FA2D11" w:rsidRDefault="00410CB0" w:rsidP="00410CB0">
            <w:pPr>
              <w:pStyle w:val="16TableText"/>
              <w:rPr>
                <w:rFonts w:cs="SimSun"/>
              </w:rPr>
            </w:pPr>
            <w:r w:rsidRPr="00FA2D11">
              <w:t>4</w:t>
            </w:r>
          </w:p>
        </w:tc>
        <w:tc>
          <w:tcPr>
            <w:tcW w:w="754" w:type="dxa"/>
            <w:tcBorders>
              <w:top w:val="single" w:sz="6" w:space="0" w:color="D9D9D9"/>
              <w:left w:val="single" w:sz="2" w:space="0" w:color="FFFFFF"/>
              <w:bottom w:val="single" w:sz="6" w:space="0" w:color="D9D9D9"/>
              <w:right w:val="single" w:sz="2" w:space="0" w:color="FFFFFF"/>
            </w:tcBorders>
            <w:vAlign w:val="center"/>
          </w:tcPr>
          <w:p w14:paraId="73118F4E" w14:textId="77777777" w:rsidR="00410CB0" w:rsidRPr="00FA2D11" w:rsidRDefault="00410CB0" w:rsidP="00410CB0">
            <w:pPr>
              <w:pStyle w:val="16TableText"/>
            </w:pPr>
            <w:r w:rsidRPr="00FA2D11">
              <w:rPr>
                <w:rFonts w:hint="eastAsia"/>
              </w:rPr>
              <w:t>-</w:t>
            </w:r>
          </w:p>
        </w:tc>
        <w:tc>
          <w:tcPr>
            <w:tcW w:w="1023" w:type="dxa"/>
            <w:tcBorders>
              <w:top w:val="single" w:sz="6" w:space="0" w:color="D9D9D9"/>
              <w:left w:val="single" w:sz="2" w:space="0" w:color="FFFFFF"/>
              <w:bottom w:val="single" w:sz="6" w:space="0" w:color="D9D9D9"/>
              <w:right w:val="single" w:sz="2" w:space="0" w:color="FFFFFF"/>
            </w:tcBorders>
          </w:tcPr>
          <w:p w14:paraId="03B3A1E5" w14:textId="77777777" w:rsidR="00410CB0" w:rsidRPr="00FA2D11" w:rsidRDefault="00410CB0" w:rsidP="00410CB0">
            <w:pPr>
              <w:pStyle w:val="16TableText"/>
            </w:pPr>
            <w:r>
              <w:rPr>
                <w:rFonts w:hint="eastAsia"/>
              </w:rPr>
              <w:t>-</w:t>
            </w:r>
          </w:p>
        </w:tc>
      </w:tr>
      <w:tr w:rsidR="00410CB0" w:rsidRPr="00FA2D11" w14:paraId="5E05C41A" w14:textId="77777777" w:rsidTr="00AF3671">
        <w:trPr>
          <w:trHeight w:val="207"/>
        </w:trPr>
        <w:tc>
          <w:tcPr>
            <w:tcW w:w="1003"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19889C81" w14:textId="77777777" w:rsidR="00410CB0" w:rsidRPr="00FA2D11" w:rsidRDefault="00410CB0" w:rsidP="00410CB0">
            <w:pPr>
              <w:pStyle w:val="16TableText"/>
              <w:rPr>
                <w:rFonts w:cs="SimSun"/>
                <w:lang w:val="af-ZA"/>
              </w:rPr>
            </w:pPr>
            <w:r w:rsidRPr="00FA2D11">
              <w:rPr>
                <w:lang w:val="af-ZA"/>
              </w:rPr>
              <w:t>Home</w:t>
            </w:r>
            <w:r>
              <w:rPr>
                <w:lang w:val="af-ZA"/>
              </w:rPr>
              <w:t xml:space="preserve"> </w:t>
            </w:r>
            <w:r w:rsidRPr="00FA2D11">
              <w:rPr>
                <w:lang w:val="af-ZA"/>
              </w:rPr>
              <w:t>H​​**</w:t>
            </w:r>
          </w:p>
        </w:tc>
        <w:tc>
          <w:tcPr>
            <w:tcW w:w="776"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28E8C2BA" w14:textId="77777777" w:rsidR="00410CB0" w:rsidRPr="00FA2D11" w:rsidRDefault="00410CB0" w:rsidP="00410CB0">
            <w:pPr>
              <w:pStyle w:val="16TableText"/>
              <w:rPr>
                <w:rFonts w:cs="SimSun"/>
              </w:rPr>
            </w:pPr>
            <w:r w:rsidRPr="00FA2D11">
              <w:t>3000​​</w:t>
            </w:r>
          </w:p>
        </w:tc>
        <w:tc>
          <w:tcPr>
            <w:tcW w:w="1212"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04832673" w14:textId="77777777" w:rsidR="00410CB0" w:rsidRPr="00FA2D11" w:rsidRDefault="00410CB0" w:rsidP="00410CB0">
            <w:pPr>
              <w:pStyle w:val="16TableText"/>
              <w:rPr>
                <w:rFonts w:cs="SimSun"/>
                <w:lang w:val="af-ZA"/>
              </w:rPr>
            </w:pPr>
            <w:r>
              <w:rPr>
                <w:lang w:val="af-ZA"/>
              </w:rPr>
              <w:t>A</w:t>
            </w:r>
            <w:r w:rsidRPr="00FA2D11">
              <w:rPr>
                <w:lang w:val="af-ZA"/>
              </w:rPr>
              <w:t>bove</w:t>
            </w:r>
            <w:r>
              <w:rPr>
                <w:lang w:val="af-ZA"/>
              </w:rPr>
              <w:t xml:space="preserve"> </w:t>
            </w:r>
            <w:r w:rsidRPr="00FA2D11">
              <w:rPr>
                <w:lang w:val="af-ZA"/>
              </w:rPr>
              <w:t>20</w:t>
            </w:r>
            <w:r>
              <w:rPr>
                <w:lang w:val="af-ZA"/>
              </w:rPr>
              <w:t xml:space="preserve"> </w:t>
            </w:r>
            <w:r w:rsidRPr="00FA2D11">
              <w:rPr>
                <w:lang w:val="af-ZA"/>
              </w:rPr>
              <w:t>years​​</w:t>
            </w:r>
          </w:p>
        </w:tc>
        <w:tc>
          <w:tcPr>
            <w:tcW w:w="1170"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3666CB31" w14:textId="77777777" w:rsidR="00410CB0" w:rsidRPr="00FA2D11" w:rsidRDefault="00410CB0" w:rsidP="00410CB0">
            <w:pPr>
              <w:pStyle w:val="16TableText"/>
              <w:rPr>
                <w:rFonts w:cs="SimSun"/>
                <w:lang w:val="af-ZA"/>
              </w:rPr>
            </w:pPr>
            <w:r w:rsidRPr="00FA2D11">
              <w:rPr>
                <w:lang w:val="af-ZA"/>
              </w:rPr>
              <w:t>Wood</w:t>
            </w:r>
            <w:r>
              <w:rPr>
                <w:lang w:val="af-ZA"/>
              </w:rPr>
              <w:t xml:space="preserve"> </w:t>
            </w:r>
            <w:r w:rsidRPr="00FA2D11">
              <w:rPr>
                <w:lang w:val="af-ZA"/>
              </w:rPr>
              <w:t>Frame​​</w:t>
            </w:r>
          </w:p>
        </w:tc>
        <w:tc>
          <w:tcPr>
            <w:tcW w:w="899"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208DE03C" w14:textId="77777777" w:rsidR="00410CB0" w:rsidRPr="00FA2D11" w:rsidRDefault="00410CB0" w:rsidP="00410CB0">
            <w:pPr>
              <w:pStyle w:val="16TableText"/>
              <w:rPr>
                <w:rFonts w:cs="SimSun"/>
                <w:lang w:val="af-ZA"/>
              </w:rPr>
            </w:pPr>
            <w:r w:rsidRPr="00FA2D11">
              <w:rPr>
                <w:lang w:val="af-ZA"/>
              </w:rPr>
              <w:t>8-15</w:t>
            </w:r>
            <w:r>
              <w:rPr>
                <w:lang w:val="af-ZA"/>
              </w:rPr>
              <w:t xml:space="preserve"> </w:t>
            </w:r>
            <w:r w:rsidRPr="00FA2D11">
              <w:rPr>
                <w:lang w:val="af-ZA"/>
              </w:rPr>
              <w:t>years​​</w:t>
            </w:r>
          </w:p>
        </w:tc>
        <w:tc>
          <w:tcPr>
            <w:tcW w:w="821"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7DE01192" w14:textId="77777777" w:rsidR="00410CB0" w:rsidRPr="00FA2D11" w:rsidRDefault="00410CB0" w:rsidP="00410CB0">
            <w:pPr>
              <w:pStyle w:val="16TableText"/>
              <w:rPr>
                <w:rFonts w:cs="SimSun"/>
              </w:rPr>
            </w:pPr>
            <w:r w:rsidRPr="00FA2D11">
              <w:rPr>
                <w:position w:val="1"/>
              </w:rPr>
              <w:t>1</w:t>
            </w:r>
            <w:r w:rsidRPr="00FA2D11">
              <w:t>​</w:t>
            </w:r>
          </w:p>
        </w:tc>
        <w:tc>
          <w:tcPr>
            <w:tcW w:w="1339"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180EFB96" w14:textId="77777777" w:rsidR="00410CB0" w:rsidRPr="00FA2D11" w:rsidRDefault="00410CB0" w:rsidP="00410CB0">
            <w:pPr>
              <w:pStyle w:val="16TableText"/>
            </w:pPr>
            <w:r w:rsidRPr="00FA2D11">
              <w:rPr>
                <w:rFonts w:hint="eastAsia"/>
              </w:rPr>
              <w:t>-</w:t>
            </w:r>
          </w:p>
        </w:tc>
        <w:tc>
          <w:tcPr>
            <w:tcW w:w="754" w:type="dxa"/>
            <w:tcBorders>
              <w:top w:val="single" w:sz="6" w:space="0" w:color="D9D9D9"/>
              <w:left w:val="single" w:sz="2" w:space="0" w:color="FFFFFF"/>
              <w:bottom w:val="single" w:sz="6" w:space="0" w:color="D9D9D9"/>
              <w:right w:val="single" w:sz="2" w:space="0" w:color="FFFFFF"/>
            </w:tcBorders>
            <w:vAlign w:val="center"/>
          </w:tcPr>
          <w:p w14:paraId="11D6728D" w14:textId="77777777" w:rsidR="00410CB0" w:rsidRPr="00FA2D11" w:rsidRDefault="00410CB0" w:rsidP="00410CB0">
            <w:pPr>
              <w:pStyle w:val="16TableText"/>
            </w:pPr>
            <w:r w:rsidRPr="00FA2D11">
              <w:rPr>
                <w:rFonts w:hint="eastAsia"/>
              </w:rPr>
              <w:t>-</w:t>
            </w:r>
          </w:p>
        </w:tc>
        <w:tc>
          <w:tcPr>
            <w:tcW w:w="1023" w:type="dxa"/>
            <w:tcBorders>
              <w:top w:val="single" w:sz="6" w:space="0" w:color="D9D9D9"/>
              <w:left w:val="single" w:sz="2" w:space="0" w:color="FFFFFF"/>
              <w:bottom w:val="single" w:sz="6" w:space="0" w:color="D9D9D9"/>
              <w:right w:val="single" w:sz="2" w:space="0" w:color="FFFFFF"/>
            </w:tcBorders>
          </w:tcPr>
          <w:p w14:paraId="6AF54284" w14:textId="77777777" w:rsidR="00410CB0" w:rsidRPr="00FA2D11" w:rsidRDefault="00410CB0" w:rsidP="00410CB0">
            <w:pPr>
              <w:pStyle w:val="16TableText"/>
            </w:pPr>
            <w:r>
              <w:rPr>
                <w:rFonts w:hint="eastAsia"/>
              </w:rPr>
              <w:t>-</w:t>
            </w:r>
          </w:p>
        </w:tc>
      </w:tr>
      <w:tr w:rsidR="00410CB0" w:rsidRPr="00FA2D11" w14:paraId="69C27331" w14:textId="77777777" w:rsidTr="00AF3671">
        <w:trPr>
          <w:trHeight w:val="207"/>
        </w:trPr>
        <w:tc>
          <w:tcPr>
            <w:tcW w:w="1003"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1E4106EB" w14:textId="77777777" w:rsidR="00410CB0" w:rsidRPr="00FA2D11" w:rsidRDefault="00410CB0" w:rsidP="00410CB0">
            <w:pPr>
              <w:pStyle w:val="16TableText"/>
              <w:rPr>
                <w:rFonts w:cs="SimSun"/>
                <w:lang w:val="af-ZA"/>
              </w:rPr>
            </w:pPr>
            <w:r w:rsidRPr="00FA2D11" w:rsidDel="007A1AF6">
              <w:rPr>
                <w:lang w:val="af-ZA"/>
              </w:rPr>
              <w:t>Home</w:t>
            </w:r>
            <w:r w:rsidRPr="00FA2D11">
              <w:rPr>
                <w:lang w:val="af-ZA"/>
              </w:rPr>
              <w:t xml:space="preserve"> I​​</w:t>
            </w:r>
          </w:p>
        </w:tc>
        <w:tc>
          <w:tcPr>
            <w:tcW w:w="776"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3FB3274F" w14:textId="77777777" w:rsidR="00410CB0" w:rsidRPr="00FA2D11" w:rsidRDefault="00410CB0" w:rsidP="00410CB0">
            <w:pPr>
              <w:pStyle w:val="16TableText"/>
              <w:rPr>
                <w:rFonts w:cs="SimSun"/>
              </w:rPr>
            </w:pPr>
            <w:r w:rsidRPr="00FA2D11">
              <w:t>2600​​</w:t>
            </w:r>
          </w:p>
        </w:tc>
        <w:tc>
          <w:tcPr>
            <w:tcW w:w="1212"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56F7D58B" w14:textId="77777777" w:rsidR="00410CB0" w:rsidRPr="00FA2D11" w:rsidRDefault="00410CB0" w:rsidP="00410CB0">
            <w:pPr>
              <w:pStyle w:val="16TableText"/>
              <w:rPr>
                <w:rFonts w:cs="SimSun"/>
                <w:lang w:val="af-ZA"/>
              </w:rPr>
            </w:pPr>
            <w:r>
              <w:rPr>
                <w:lang w:val="af-ZA"/>
              </w:rPr>
              <w:t>A</w:t>
            </w:r>
            <w:r w:rsidRPr="00FA2D11">
              <w:rPr>
                <w:lang w:val="af-ZA"/>
              </w:rPr>
              <w:t>bove</w:t>
            </w:r>
            <w:r>
              <w:rPr>
                <w:lang w:val="af-ZA"/>
              </w:rPr>
              <w:t xml:space="preserve"> </w:t>
            </w:r>
            <w:r w:rsidRPr="00FA2D11">
              <w:rPr>
                <w:lang w:val="af-ZA"/>
              </w:rPr>
              <w:t>20</w:t>
            </w:r>
            <w:r>
              <w:rPr>
                <w:lang w:val="af-ZA"/>
              </w:rPr>
              <w:t xml:space="preserve"> </w:t>
            </w:r>
            <w:r w:rsidRPr="00FA2D11">
              <w:rPr>
                <w:lang w:val="af-ZA"/>
              </w:rPr>
              <w:t>years​​</w:t>
            </w:r>
          </w:p>
        </w:tc>
        <w:tc>
          <w:tcPr>
            <w:tcW w:w="1170"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7CC81926" w14:textId="77777777" w:rsidR="00410CB0" w:rsidRPr="00FA2D11" w:rsidRDefault="00410CB0" w:rsidP="00410CB0">
            <w:pPr>
              <w:pStyle w:val="16TableText"/>
              <w:rPr>
                <w:rFonts w:cs="SimSun"/>
                <w:lang w:val="af-ZA"/>
              </w:rPr>
            </w:pPr>
            <w:r>
              <w:rPr>
                <w:lang w:val="af-ZA"/>
              </w:rPr>
              <w:t>U</w:t>
            </w:r>
            <w:r w:rsidRPr="00FA2D11">
              <w:rPr>
                <w:lang w:val="af-ZA"/>
              </w:rPr>
              <w:t>nknown​​</w:t>
            </w:r>
          </w:p>
        </w:tc>
        <w:tc>
          <w:tcPr>
            <w:tcW w:w="899"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2379B6F9" w14:textId="77777777" w:rsidR="00410CB0" w:rsidRPr="00FA2D11" w:rsidRDefault="00410CB0" w:rsidP="00410CB0">
            <w:pPr>
              <w:pStyle w:val="16TableText"/>
              <w:rPr>
                <w:rFonts w:cs="SimSun"/>
                <w:lang w:val="af-ZA"/>
              </w:rPr>
            </w:pPr>
            <w:r w:rsidRPr="00FA2D11">
              <w:rPr>
                <w:lang w:val="af-ZA"/>
              </w:rPr>
              <w:t>0-1 years​​</w:t>
            </w:r>
          </w:p>
        </w:tc>
        <w:tc>
          <w:tcPr>
            <w:tcW w:w="821"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0F6D4527" w14:textId="77777777" w:rsidR="00410CB0" w:rsidRPr="00FA2D11" w:rsidRDefault="00410CB0" w:rsidP="00410CB0">
            <w:pPr>
              <w:pStyle w:val="16TableText"/>
              <w:rPr>
                <w:rFonts w:cs="SimSun"/>
              </w:rPr>
            </w:pPr>
            <w:r w:rsidRPr="00FA2D11">
              <w:rPr>
                <w:position w:val="1"/>
              </w:rPr>
              <w:t>1</w:t>
            </w:r>
            <w:r w:rsidRPr="00FA2D11">
              <w:t>​</w:t>
            </w:r>
          </w:p>
        </w:tc>
        <w:tc>
          <w:tcPr>
            <w:tcW w:w="1339"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6E02A2B6" w14:textId="77777777" w:rsidR="00410CB0" w:rsidRPr="00FA2D11" w:rsidRDefault="00410CB0" w:rsidP="00410CB0">
            <w:pPr>
              <w:pStyle w:val="16TableText"/>
            </w:pPr>
            <w:r w:rsidRPr="00FA2D11">
              <w:rPr>
                <w:rFonts w:hint="eastAsia"/>
              </w:rPr>
              <w:t>5</w:t>
            </w:r>
          </w:p>
        </w:tc>
        <w:tc>
          <w:tcPr>
            <w:tcW w:w="754" w:type="dxa"/>
            <w:tcBorders>
              <w:top w:val="single" w:sz="6" w:space="0" w:color="D9D9D9"/>
              <w:left w:val="single" w:sz="2" w:space="0" w:color="FFFFFF"/>
              <w:bottom w:val="single" w:sz="6" w:space="0" w:color="D9D9D9"/>
              <w:right w:val="single" w:sz="2" w:space="0" w:color="FFFFFF"/>
            </w:tcBorders>
            <w:vAlign w:val="center"/>
          </w:tcPr>
          <w:p w14:paraId="76290D23" w14:textId="77777777" w:rsidR="00410CB0" w:rsidRPr="00FA2D11" w:rsidRDefault="00410CB0" w:rsidP="00410CB0">
            <w:pPr>
              <w:pStyle w:val="16TableText"/>
            </w:pPr>
            <w:r w:rsidRPr="00FA2D11">
              <w:rPr>
                <w:rFonts w:hint="eastAsia"/>
              </w:rPr>
              <w:t>-</w:t>
            </w:r>
          </w:p>
        </w:tc>
        <w:tc>
          <w:tcPr>
            <w:tcW w:w="1023" w:type="dxa"/>
            <w:tcBorders>
              <w:top w:val="single" w:sz="6" w:space="0" w:color="D9D9D9"/>
              <w:left w:val="single" w:sz="2" w:space="0" w:color="FFFFFF"/>
              <w:bottom w:val="single" w:sz="6" w:space="0" w:color="D9D9D9"/>
              <w:right w:val="single" w:sz="2" w:space="0" w:color="FFFFFF"/>
            </w:tcBorders>
          </w:tcPr>
          <w:p w14:paraId="1FE9DCA5" w14:textId="77777777" w:rsidR="00410CB0" w:rsidRPr="00FA2D11" w:rsidRDefault="00410CB0" w:rsidP="00410CB0">
            <w:pPr>
              <w:pStyle w:val="16TableText"/>
            </w:pPr>
            <w:r>
              <w:rPr>
                <w:rFonts w:hint="eastAsia"/>
              </w:rPr>
              <w:t>Y</w:t>
            </w:r>
            <w:r>
              <w:t>es</w:t>
            </w:r>
          </w:p>
        </w:tc>
      </w:tr>
      <w:tr w:rsidR="00410CB0" w:rsidRPr="00FA2D11" w14:paraId="0703D194" w14:textId="77777777" w:rsidTr="00AF3671">
        <w:trPr>
          <w:trHeight w:val="207"/>
        </w:trPr>
        <w:tc>
          <w:tcPr>
            <w:tcW w:w="1003"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63CA030E" w14:textId="77777777" w:rsidR="00410CB0" w:rsidRPr="00FA2D11" w:rsidRDefault="00410CB0" w:rsidP="00410CB0">
            <w:pPr>
              <w:pStyle w:val="16TableText"/>
              <w:rPr>
                <w:rFonts w:cs="SimSun"/>
                <w:lang w:val="af-ZA"/>
              </w:rPr>
            </w:pPr>
            <w:r w:rsidRPr="00FA2D11">
              <w:rPr>
                <w:lang w:val="af-ZA"/>
              </w:rPr>
              <w:t>Home</w:t>
            </w:r>
            <w:r>
              <w:rPr>
                <w:lang w:val="af-ZA"/>
              </w:rPr>
              <w:t xml:space="preserve"> </w:t>
            </w:r>
            <w:r w:rsidRPr="00FA2D11">
              <w:rPr>
                <w:lang w:val="af-ZA"/>
              </w:rPr>
              <w:t>J​​</w:t>
            </w:r>
          </w:p>
        </w:tc>
        <w:tc>
          <w:tcPr>
            <w:tcW w:w="776"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57E40B46" w14:textId="77777777" w:rsidR="00410CB0" w:rsidRPr="00FA2D11" w:rsidRDefault="00410CB0" w:rsidP="00410CB0">
            <w:pPr>
              <w:pStyle w:val="16TableText"/>
              <w:rPr>
                <w:rFonts w:cs="SimSun"/>
              </w:rPr>
            </w:pPr>
            <w:r w:rsidRPr="00FA2D11">
              <w:t>2150​​</w:t>
            </w:r>
          </w:p>
        </w:tc>
        <w:tc>
          <w:tcPr>
            <w:tcW w:w="1212"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62915871" w14:textId="77777777" w:rsidR="00410CB0" w:rsidRPr="00FA2D11" w:rsidRDefault="00410CB0" w:rsidP="00410CB0">
            <w:pPr>
              <w:pStyle w:val="16TableText"/>
              <w:rPr>
                <w:rFonts w:cs="SimSun"/>
                <w:lang w:val="af-ZA"/>
              </w:rPr>
            </w:pPr>
            <w:r w:rsidRPr="00FA2D11">
              <w:rPr>
                <w:lang w:val="af-ZA"/>
              </w:rPr>
              <w:t>10-20</w:t>
            </w:r>
            <w:r>
              <w:rPr>
                <w:lang w:val="af-ZA"/>
              </w:rPr>
              <w:t xml:space="preserve"> </w:t>
            </w:r>
            <w:r w:rsidRPr="00FA2D11">
              <w:rPr>
                <w:lang w:val="af-ZA"/>
              </w:rPr>
              <w:t>years​​</w:t>
            </w:r>
          </w:p>
        </w:tc>
        <w:tc>
          <w:tcPr>
            <w:tcW w:w="1170"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7CFAC2FC" w14:textId="77777777" w:rsidR="00410CB0" w:rsidRPr="00FA2D11" w:rsidRDefault="00410CB0" w:rsidP="00410CB0">
            <w:pPr>
              <w:pStyle w:val="16TableText"/>
              <w:rPr>
                <w:rFonts w:cs="SimSun"/>
                <w:lang w:val="af-ZA"/>
              </w:rPr>
            </w:pPr>
            <w:r w:rsidRPr="00FA2D11">
              <w:rPr>
                <w:lang w:val="af-ZA"/>
              </w:rPr>
              <w:t>Wood</w:t>
            </w:r>
            <w:r>
              <w:rPr>
                <w:lang w:val="af-ZA"/>
              </w:rPr>
              <w:t xml:space="preserve"> </w:t>
            </w:r>
            <w:r w:rsidRPr="00FA2D11">
              <w:rPr>
                <w:lang w:val="af-ZA"/>
              </w:rPr>
              <w:t>Frame​​</w:t>
            </w:r>
          </w:p>
        </w:tc>
        <w:tc>
          <w:tcPr>
            <w:tcW w:w="899"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3B1738E1" w14:textId="77777777" w:rsidR="00410CB0" w:rsidRPr="00FA2D11" w:rsidRDefault="00410CB0" w:rsidP="00410CB0">
            <w:pPr>
              <w:pStyle w:val="16TableText"/>
              <w:rPr>
                <w:rFonts w:cs="SimSun"/>
                <w:lang w:val="af-ZA"/>
              </w:rPr>
            </w:pPr>
            <w:r w:rsidRPr="00FA2D11">
              <w:rPr>
                <w:lang w:val="af-ZA"/>
              </w:rPr>
              <w:t>8-15</w:t>
            </w:r>
            <w:r>
              <w:rPr>
                <w:lang w:val="af-ZA"/>
              </w:rPr>
              <w:t xml:space="preserve"> </w:t>
            </w:r>
            <w:r w:rsidRPr="00FA2D11">
              <w:rPr>
                <w:lang w:val="af-ZA"/>
              </w:rPr>
              <w:t>years​​</w:t>
            </w:r>
          </w:p>
        </w:tc>
        <w:tc>
          <w:tcPr>
            <w:tcW w:w="821"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04EDE8FB" w14:textId="77777777" w:rsidR="00410CB0" w:rsidRPr="00FA2D11" w:rsidRDefault="00410CB0" w:rsidP="00410CB0">
            <w:pPr>
              <w:pStyle w:val="16TableText"/>
              <w:rPr>
                <w:rFonts w:cs="SimSun"/>
              </w:rPr>
            </w:pPr>
            <w:r w:rsidRPr="00FA2D11">
              <w:rPr>
                <w:position w:val="1"/>
              </w:rPr>
              <w:t>1</w:t>
            </w:r>
            <w:r w:rsidRPr="00FA2D11">
              <w:t>​</w:t>
            </w:r>
          </w:p>
        </w:tc>
        <w:tc>
          <w:tcPr>
            <w:tcW w:w="1339" w:type="dxa"/>
            <w:tcBorders>
              <w:top w:val="single" w:sz="6" w:space="0" w:color="D9D9D9"/>
              <w:left w:val="single" w:sz="2" w:space="0" w:color="FFFFFF"/>
              <w:bottom w:val="single" w:sz="6" w:space="0" w:color="D9D9D9"/>
              <w:right w:val="single" w:sz="2" w:space="0" w:color="FFFFFF"/>
            </w:tcBorders>
            <w:shd w:val="clear" w:color="auto" w:fill="auto"/>
            <w:vAlign w:val="center"/>
            <w:hideMark/>
          </w:tcPr>
          <w:p w14:paraId="360FA579" w14:textId="77777777" w:rsidR="00410CB0" w:rsidRPr="00FA2D11" w:rsidRDefault="00410CB0" w:rsidP="00410CB0">
            <w:pPr>
              <w:pStyle w:val="16TableText"/>
            </w:pPr>
            <w:r w:rsidRPr="00FA2D11">
              <w:rPr>
                <w:rFonts w:hint="eastAsia"/>
              </w:rPr>
              <w:t>2</w:t>
            </w:r>
            <w:r w:rsidRPr="00FA2D11">
              <w:t>.5</w:t>
            </w:r>
          </w:p>
        </w:tc>
        <w:tc>
          <w:tcPr>
            <w:tcW w:w="754" w:type="dxa"/>
            <w:tcBorders>
              <w:top w:val="single" w:sz="6" w:space="0" w:color="D9D9D9"/>
              <w:left w:val="single" w:sz="2" w:space="0" w:color="FFFFFF"/>
              <w:bottom w:val="single" w:sz="6" w:space="0" w:color="D9D9D9"/>
              <w:right w:val="single" w:sz="2" w:space="0" w:color="FFFFFF"/>
            </w:tcBorders>
            <w:vAlign w:val="center"/>
          </w:tcPr>
          <w:p w14:paraId="114BE6F4" w14:textId="77777777" w:rsidR="00410CB0" w:rsidRPr="00FA2D11" w:rsidRDefault="00410CB0" w:rsidP="00410CB0">
            <w:pPr>
              <w:pStyle w:val="16TableText"/>
            </w:pPr>
            <w:r w:rsidRPr="00FA2D11">
              <w:rPr>
                <w:rFonts w:hint="eastAsia"/>
              </w:rPr>
              <w:t>Y</w:t>
            </w:r>
            <w:r w:rsidRPr="00FA2D11">
              <w:t>es</w:t>
            </w:r>
          </w:p>
        </w:tc>
        <w:tc>
          <w:tcPr>
            <w:tcW w:w="1023" w:type="dxa"/>
            <w:tcBorders>
              <w:top w:val="single" w:sz="6" w:space="0" w:color="D9D9D9"/>
              <w:left w:val="single" w:sz="2" w:space="0" w:color="FFFFFF"/>
              <w:bottom w:val="single" w:sz="6" w:space="0" w:color="D9D9D9"/>
              <w:right w:val="single" w:sz="2" w:space="0" w:color="FFFFFF"/>
            </w:tcBorders>
          </w:tcPr>
          <w:p w14:paraId="27E7E9DF" w14:textId="77777777" w:rsidR="00410CB0" w:rsidRPr="00FA2D11" w:rsidRDefault="00410CB0" w:rsidP="00410CB0">
            <w:pPr>
              <w:pStyle w:val="16TableText"/>
            </w:pPr>
            <w:r>
              <w:rPr>
                <w:rFonts w:hint="eastAsia"/>
              </w:rPr>
              <w:t>Y</w:t>
            </w:r>
            <w:r>
              <w:t>es</w:t>
            </w:r>
          </w:p>
        </w:tc>
      </w:tr>
      <w:tr w:rsidR="00410CB0" w:rsidRPr="00FA2D11" w14:paraId="06AE5D23" w14:textId="77777777" w:rsidTr="00AF3671">
        <w:trPr>
          <w:trHeight w:val="207"/>
        </w:trPr>
        <w:tc>
          <w:tcPr>
            <w:tcW w:w="1003" w:type="dxa"/>
            <w:tcBorders>
              <w:top w:val="single" w:sz="6" w:space="0" w:color="D9D9D9"/>
              <w:left w:val="single" w:sz="2" w:space="0" w:color="FFFFFF"/>
              <w:bottom w:val="single" w:sz="6" w:space="0" w:color="000000"/>
              <w:right w:val="single" w:sz="2" w:space="0" w:color="FFFFFF"/>
            </w:tcBorders>
            <w:shd w:val="clear" w:color="auto" w:fill="auto"/>
            <w:vAlign w:val="center"/>
            <w:hideMark/>
          </w:tcPr>
          <w:p w14:paraId="388BCBC5" w14:textId="77777777" w:rsidR="00410CB0" w:rsidRPr="00FA2D11" w:rsidRDefault="00410CB0" w:rsidP="00410CB0">
            <w:pPr>
              <w:pStyle w:val="16TableText"/>
              <w:rPr>
                <w:rFonts w:cs="SimSun"/>
                <w:lang w:val="af-ZA"/>
              </w:rPr>
            </w:pPr>
            <w:r w:rsidRPr="00FA2D11">
              <w:rPr>
                <w:lang w:val="af-ZA"/>
              </w:rPr>
              <w:t>Lab</w:t>
            </w:r>
            <w:r>
              <w:rPr>
                <w:lang w:val="af-ZA"/>
              </w:rPr>
              <w:t xml:space="preserve"> </w:t>
            </w:r>
            <w:r w:rsidRPr="00FA2D11">
              <w:rPr>
                <w:lang w:val="af-ZA"/>
              </w:rPr>
              <w:t>House​​</w:t>
            </w:r>
          </w:p>
        </w:tc>
        <w:tc>
          <w:tcPr>
            <w:tcW w:w="776" w:type="dxa"/>
            <w:tcBorders>
              <w:top w:val="single" w:sz="6" w:space="0" w:color="D9D9D9"/>
              <w:left w:val="single" w:sz="2" w:space="0" w:color="FFFFFF"/>
              <w:bottom w:val="single" w:sz="6" w:space="0" w:color="000000"/>
              <w:right w:val="single" w:sz="2" w:space="0" w:color="FFFFFF"/>
            </w:tcBorders>
            <w:shd w:val="clear" w:color="auto" w:fill="auto"/>
            <w:vAlign w:val="center"/>
            <w:hideMark/>
          </w:tcPr>
          <w:p w14:paraId="66151676" w14:textId="77777777" w:rsidR="00410CB0" w:rsidRPr="00FA2D11" w:rsidRDefault="00410CB0" w:rsidP="00410CB0">
            <w:pPr>
              <w:pStyle w:val="16TableText"/>
              <w:rPr>
                <w:rFonts w:cs="SimSun"/>
              </w:rPr>
            </w:pPr>
            <w:r w:rsidRPr="00FA2D11">
              <w:t>1658​​</w:t>
            </w:r>
          </w:p>
        </w:tc>
        <w:tc>
          <w:tcPr>
            <w:tcW w:w="1212" w:type="dxa"/>
            <w:tcBorders>
              <w:top w:val="single" w:sz="6" w:space="0" w:color="D9D9D9"/>
              <w:left w:val="single" w:sz="2" w:space="0" w:color="FFFFFF"/>
              <w:bottom w:val="single" w:sz="6" w:space="0" w:color="000000"/>
              <w:right w:val="single" w:sz="2" w:space="0" w:color="FFFFFF"/>
            </w:tcBorders>
            <w:shd w:val="clear" w:color="auto" w:fill="auto"/>
            <w:vAlign w:val="center"/>
            <w:hideMark/>
          </w:tcPr>
          <w:p w14:paraId="520B9B29" w14:textId="77777777" w:rsidR="00410CB0" w:rsidRPr="00FA2D11" w:rsidRDefault="00410CB0" w:rsidP="00410CB0">
            <w:pPr>
              <w:pStyle w:val="16TableText"/>
              <w:rPr>
                <w:rFonts w:cs="SimSun"/>
                <w:lang w:val="af-ZA"/>
              </w:rPr>
            </w:pPr>
            <w:r>
              <w:rPr>
                <w:lang w:val="af-ZA"/>
              </w:rPr>
              <w:t>A</w:t>
            </w:r>
            <w:r w:rsidRPr="00FA2D11">
              <w:rPr>
                <w:lang w:val="af-ZA"/>
              </w:rPr>
              <w:t>bove</w:t>
            </w:r>
            <w:r>
              <w:rPr>
                <w:lang w:val="af-ZA"/>
              </w:rPr>
              <w:t xml:space="preserve"> </w:t>
            </w:r>
            <w:r w:rsidRPr="00FA2D11">
              <w:rPr>
                <w:lang w:val="af-ZA"/>
              </w:rPr>
              <w:t>20</w:t>
            </w:r>
            <w:r>
              <w:rPr>
                <w:lang w:val="af-ZA"/>
              </w:rPr>
              <w:t xml:space="preserve"> </w:t>
            </w:r>
            <w:r w:rsidRPr="00FA2D11">
              <w:rPr>
                <w:lang w:val="af-ZA"/>
              </w:rPr>
              <w:t>years​​</w:t>
            </w:r>
          </w:p>
        </w:tc>
        <w:tc>
          <w:tcPr>
            <w:tcW w:w="1170" w:type="dxa"/>
            <w:tcBorders>
              <w:top w:val="single" w:sz="6" w:space="0" w:color="D9D9D9"/>
              <w:left w:val="single" w:sz="2" w:space="0" w:color="FFFFFF"/>
              <w:bottom w:val="single" w:sz="6" w:space="0" w:color="000000"/>
              <w:right w:val="single" w:sz="2" w:space="0" w:color="FFFFFF"/>
            </w:tcBorders>
            <w:shd w:val="clear" w:color="auto" w:fill="auto"/>
            <w:vAlign w:val="center"/>
            <w:hideMark/>
          </w:tcPr>
          <w:p w14:paraId="224C5C1F" w14:textId="77777777" w:rsidR="00410CB0" w:rsidRPr="00FA2D11" w:rsidRDefault="00410CB0" w:rsidP="00410CB0">
            <w:pPr>
              <w:pStyle w:val="16TableText"/>
              <w:rPr>
                <w:rFonts w:cs="SimSun"/>
                <w:lang w:val="af-ZA"/>
              </w:rPr>
            </w:pPr>
            <w:r w:rsidRPr="00FA2D11">
              <w:rPr>
                <w:lang w:val="af-ZA"/>
              </w:rPr>
              <w:t>Wood Frame</w:t>
            </w:r>
          </w:p>
        </w:tc>
        <w:tc>
          <w:tcPr>
            <w:tcW w:w="899" w:type="dxa"/>
            <w:tcBorders>
              <w:top w:val="single" w:sz="6" w:space="0" w:color="D9D9D9"/>
              <w:left w:val="single" w:sz="2" w:space="0" w:color="FFFFFF"/>
              <w:bottom w:val="single" w:sz="6" w:space="0" w:color="000000"/>
              <w:right w:val="single" w:sz="2" w:space="0" w:color="FFFFFF"/>
            </w:tcBorders>
            <w:shd w:val="clear" w:color="auto" w:fill="auto"/>
            <w:vAlign w:val="center"/>
            <w:hideMark/>
          </w:tcPr>
          <w:p w14:paraId="6676DE23" w14:textId="77777777" w:rsidR="00410CB0" w:rsidRPr="00FA2D11" w:rsidRDefault="00410CB0" w:rsidP="00410CB0">
            <w:pPr>
              <w:pStyle w:val="16TableText"/>
              <w:rPr>
                <w:rFonts w:cs="SimSun"/>
                <w:lang w:val="af-ZA"/>
              </w:rPr>
            </w:pPr>
            <w:r w:rsidRPr="00FA2D11">
              <w:rPr>
                <w:lang w:val="af-ZA"/>
              </w:rPr>
              <w:t>1-3</w:t>
            </w:r>
            <w:r>
              <w:rPr>
                <w:lang w:val="af-ZA"/>
              </w:rPr>
              <w:t xml:space="preserve"> </w:t>
            </w:r>
            <w:r w:rsidRPr="00FA2D11">
              <w:rPr>
                <w:lang w:val="af-ZA"/>
              </w:rPr>
              <w:t>years​​</w:t>
            </w:r>
          </w:p>
        </w:tc>
        <w:tc>
          <w:tcPr>
            <w:tcW w:w="821" w:type="dxa"/>
            <w:tcBorders>
              <w:top w:val="single" w:sz="6" w:space="0" w:color="D9D9D9"/>
              <w:left w:val="single" w:sz="2" w:space="0" w:color="FFFFFF"/>
              <w:bottom w:val="single" w:sz="6" w:space="0" w:color="000000"/>
              <w:right w:val="single" w:sz="2" w:space="0" w:color="FFFFFF"/>
            </w:tcBorders>
            <w:shd w:val="clear" w:color="auto" w:fill="auto"/>
            <w:vAlign w:val="center"/>
            <w:hideMark/>
          </w:tcPr>
          <w:p w14:paraId="7934CC7D" w14:textId="77777777" w:rsidR="00410CB0" w:rsidRPr="00FA2D11" w:rsidRDefault="00410CB0" w:rsidP="00410CB0">
            <w:pPr>
              <w:pStyle w:val="16TableText"/>
              <w:rPr>
                <w:rFonts w:cs="SimSun"/>
              </w:rPr>
            </w:pPr>
            <w:r w:rsidRPr="00FA2D11">
              <w:rPr>
                <w:position w:val="1"/>
              </w:rPr>
              <w:t>1</w:t>
            </w:r>
            <w:r w:rsidRPr="00FA2D11">
              <w:t>​</w:t>
            </w:r>
          </w:p>
        </w:tc>
        <w:tc>
          <w:tcPr>
            <w:tcW w:w="1339" w:type="dxa"/>
            <w:tcBorders>
              <w:top w:val="single" w:sz="6" w:space="0" w:color="D9D9D9"/>
              <w:left w:val="single" w:sz="2" w:space="0" w:color="FFFFFF"/>
              <w:bottom w:val="single" w:sz="6" w:space="0" w:color="000000"/>
              <w:right w:val="single" w:sz="2" w:space="0" w:color="FFFFFF"/>
            </w:tcBorders>
            <w:shd w:val="clear" w:color="auto" w:fill="auto"/>
            <w:vAlign w:val="center"/>
            <w:hideMark/>
          </w:tcPr>
          <w:p w14:paraId="7995C733" w14:textId="77777777" w:rsidR="00410CB0" w:rsidRPr="00FA2D11" w:rsidRDefault="00410CB0" w:rsidP="00410CB0">
            <w:pPr>
              <w:pStyle w:val="16TableText"/>
            </w:pPr>
            <w:r w:rsidRPr="00FA2D11">
              <w:rPr>
                <w:rFonts w:hint="eastAsia"/>
              </w:rPr>
              <w:t>3</w:t>
            </w:r>
            <w:r w:rsidRPr="00FA2D11">
              <w:t>.5</w:t>
            </w:r>
          </w:p>
        </w:tc>
        <w:tc>
          <w:tcPr>
            <w:tcW w:w="754" w:type="dxa"/>
            <w:tcBorders>
              <w:top w:val="single" w:sz="6" w:space="0" w:color="D9D9D9"/>
              <w:left w:val="single" w:sz="2" w:space="0" w:color="FFFFFF"/>
              <w:bottom w:val="single" w:sz="6" w:space="0" w:color="000000"/>
              <w:right w:val="single" w:sz="2" w:space="0" w:color="FFFFFF"/>
            </w:tcBorders>
            <w:vAlign w:val="center"/>
          </w:tcPr>
          <w:p w14:paraId="0207F009" w14:textId="77777777" w:rsidR="00410CB0" w:rsidRPr="00FA2D11" w:rsidRDefault="00410CB0" w:rsidP="00410CB0">
            <w:pPr>
              <w:pStyle w:val="16TableText"/>
            </w:pPr>
            <w:r w:rsidRPr="00FA2D11">
              <w:rPr>
                <w:rFonts w:hint="eastAsia"/>
              </w:rPr>
              <w:t>-</w:t>
            </w:r>
          </w:p>
        </w:tc>
        <w:tc>
          <w:tcPr>
            <w:tcW w:w="1023" w:type="dxa"/>
            <w:tcBorders>
              <w:top w:val="single" w:sz="6" w:space="0" w:color="D9D9D9"/>
              <w:left w:val="single" w:sz="2" w:space="0" w:color="FFFFFF"/>
              <w:bottom w:val="single" w:sz="6" w:space="0" w:color="000000"/>
              <w:right w:val="single" w:sz="2" w:space="0" w:color="FFFFFF"/>
            </w:tcBorders>
          </w:tcPr>
          <w:p w14:paraId="05902A2B" w14:textId="77777777" w:rsidR="00410CB0" w:rsidRPr="00FA2D11" w:rsidRDefault="00410CB0" w:rsidP="00410CB0">
            <w:pPr>
              <w:pStyle w:val="16TableText"/>
            </w:pPr>
            <w:r>
              <w:rPr>
                <w:rFonts w:hint="eastAsia"/>
              </w:rPr>
              <w:t>Y</w:t>
            </w:r>
            <w:r>
              <w:t>es</w:t>
            </w:r>
          </w:p>
        </w:tc>
      </w:tr>
    </w:tbl>
    <w:p w14:paraId="3BB1439B" w14:textId="77777777" w:rsidR="00410CB0" w:rsidRDefault="00410CB0" w:rsidP="00410CB0">
      <w:pPr>
        <w:pStyle w:val="15TableTitle"/>
      </w:pPr>
    </w:p>
    <w:p w14:paraId="09672549" w14:textId="77777777" w:rsidR="00471941" w:rsidRPr="00FC1368" w:rsidRDefault="00471941" w:rsidP="00410CB0">
      <w:pPr>
        <w:pStyle w:val="15TableTitle"/>
      </w:pPr>
    </w:p>
    <w:p w14:paraId="145E520F" w14:textId="77777777" w:rsidR="00410CB0" w:rsidRPr="002A7FC6" w:rsidRDefault="00410CB0" w:rsidP="00410CB0">
      <w:pPr>
        <w:pStyle w:val="NoSpacing"/>
        <w:rPr>
          <w:rFonts w:ascii="Times New Roman" w:hAnsi="Times New Roman"/>
          <w:i/>
          <w:iCs/>
          <w:sz w:val="20"/>
          <w:szCs w:val="20"/>
        </w:rPr>
      </w:pPr>
      <w:r w:rsidRPr="002A7FC6">
        <w:rPr>
          <w:rFonts w:ascii="Times New Roman" w:hAnsi="Times New Roman"/>
          <w:i/>
          <w:iCs/>
          <w:sz w:val="20"/>
          <w:szCs w:val="20"/>
        </w:rPr>
        <w:t>* Th</w:t>
      </w:r>
      <w:r>
        <w:rPr>
          <w:rFonts w:ascii="Times New Roman" w:hAnsi="Times New Roman"/>
          <w:i/>
          <w:iCs/>
          <w:sz w:val="20"/>
          <w:szCs w:val="20"/>
        </w:rPr>
        <w:t>is</w:t>
      </w:r>
      <w:r w:rsidRPr="002A7FC6">
        <w:rPr>
          <w:rFonts w:ascii="Times New Roman" w:hAnsi="Times New Roman"/>
          <w:i/>
          <w:iCs/>
          <w:sz w:val="20"/>
          <w:szCs w:val="20"/>
        </w:rPr>
        <w:t xml:space="preserve"> </w:t>
      </w:r>
      <w:r>
        <w:rPr>
          <w:rFonts w:ascii="Times New Roman" w:hAnsi="Times New Roman"/>
          <w:i/>
          <w:iCs/>
          <w:sz w:val="20"/>
          <w:szCs w:val="20"/>
        </w:rPr>
        <w:t>home</w:t>
      </w:r>
      <w:r w:rsidRPr="002A7FC6">
        <w:rPr>
          <w:rFonts w:ascii="Times New Roman" w:hAnsi="Times New Roman"/>
          <w:i/>
          <w:iCs/>
          <w:sz w:val="20"/>
          <w:szCs w:val="20"/>
        </w:rPr>
        <w:t xml:space="preserve"> </w:t>
      </w:r>
      <w:r>
        <w:rPr>
          <w:rFonts w:ascii="Times New Roman" w:hAnsi="Times New Roman"/>
          <w:i/>
          <w:iCs/>
          <w:sz w:val="20"/>
          <w:szCs w:val="20"/>
        </w:rPr>
        <w:t>withdrew from participation when it was</w:t>
      </w:r>
      <w:r w:rsidRPr="002A7FC6">
        <w:rPr>
          <w:rFonts w:ascii="Times New Roman" w:hAnsi="Times New Roman"/>
          <w:i/>
          <w:iCs/>
          <w:sz w:val="20"/>
          <w:szCs w:val="20"/>
        </w:rPr>
        <w:t xml:space="preserve"> sold in June 2022. </w:t>
      </w:r>
    </w:p>
    <w:p w14:paraId="0C750A81" w14:textId="77777777" w:rsidR="00410CB0" w:rsidRDefault="00410CB0" w:rsidP="00471941">
      <w:pPr>
        <w:pStyle w:val="NoSpacing"/>
        <w:rPr>
          <w:rFonts w:ascii="Times New Roman" w:hAnsi="Times New Roman"/>
          <w:i/>
          <w:iCs/>
          <w:sz w:val="20"/>
          <w:szCs w:val="20"/>
        </w:rPr>
      </w:pPr>
    </w:p>
    <w:p w14:paraId="550E1212" w14:textId="5CFA9835" w:rsidR="00471941" w:rsidRPr="00410CB0" w:rsidRDefault="00471941" w:rsidP="00471941">
      <w:pPr>
        <w:pStyle w:val="NoSpacing"/>
        <w:rPr>
          <w:rFonts w:ascii="Times New Roman" w:hAnsi="Times New Roman"/>
          <w:i/>
          <w:iCs/>
          <w:sz w:val="20"/>
          <w:szCs w:val="20"/>
        </w:rPr>
      </w:pPr>
      <w:r w:rsidRPr="002A7FC6">
        <w:rPr>
          <w:rFonts w:ascii="Times New Roman" w:hAnsi="Times New Roman"/>
          <w:i/>
          <w:iCs/>
          <w:sz w:val="20"/>
          <w:szCs w:val="20"/>
        </w:rPr>
        <w:t xml:space="preserve">** </w:t>
      </w:r>
      <w:r>
        <w:rPr>
          <w:rFonts w:ascii="Times New Roman" w:hAnsi="Times New Roman"/>
          <w:i/>
          <w:iCs/>
          <w:sz w:val="20"/>
          <w:szCs w:val="20"/>
        </w:rPr>
        <w:t xml:space="preserve">This home withdrew from participation due to thermostat incompatibility. </w:t>
      </w:r>
    </w:p>
    <w:p w14:paraId="17D8315B" w14:textId="77777777" w:rsidR="00471941" w:rsidRDefault="00471941" w:rsidP="00623535">
      <w:pPr>
        <w:pStyle w:val="12FigureFormatSelectafigureandclickonthisstyle"/>
      </w:pPr>
      <w:r>
        <w:rPr>
          <w:noProof/>
        </w:rPr>
        <w:lastRenderedPageBreak/>
        <w:drawing>
          <wp:inline distT="0" distB="0" distL="0" distR="0" wp14:anchorId="4CC8255A" wp14:editId="354DCC68">
            <wp:extent cx="5731510" cy="3697605"/>
            <wp:effectExtent l="0" t="0" r="2540" b="0"/>
            <wp:docPr id="215538558" name="Picture 215538558" descr="A picture containing text, screenshot, diagram,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38558" name="Picture 1" descr="A picture containing text, screenshot, diagram, circle&#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31510" cy="3697605"/>
                    </a:xfrm>
                    <a:prstGeom prst="rect">
                      <a:avLst/>
                    </a:prstGeom>
                  </pic:spPr>
                </pic:pic>
              </a:graphicData>
            </a:graphic>
          </wp:inline>
        </w:drawing>
      </w:r>
    </w:p>
    <w:p w14:paraId="5BEA2A5A" w14:textId="7C919801" w:rsidR="00471941" w:rsidRDefault="00471941" w:rsidP="00471941">
      <w:pPr>
        <w:pStyle w:val="13FigureCaption"/>
      </w:pPr>
      <w:bookmarkStart w:id="274" w:name="_Ref139416083"/>
      <w:bookmarkStart w:id="275" w:name="_Toc141349924"/>
      <w:r>
        <w:t xml:space="preserve">Figure </w:t>
      </w:r>
      <w:fldSimple w:instr=" STYLEREF 1 \s ">
        <w:r w:rsidR="000E1725">
          <w:rPr>
            <w:noProof/>
          </w:rPr>
          <w:t>4</w:t>
        </w:r>
      </w:fldSimple>
      <w:r w:rsidR="005445E0">
        <w:t>.</w:t>
      </w:r>
      <w:fldSimple w:instr=" SEQ Figure \* ARABIC \s 1 ">
        <w:r w:rsidR="000E1725">
          <w:rPr>
            <w:noProof/>
          </w:rPr>
          <w:t>3</w:t>
        </w:r>
      </w:fldSimple>
      <w:bookmarkEnd w:id="274"/>
      <w:r>
        <w:t xml:space="preserve"> Test homes with diverse characteristics. (a) Building floor area distribution. (b) Count plot of AC tonnage. (c) Building ages (inner) and AC unit service time (outer).</w:t>
      </w:r>
      <w:bookmarkEnd w:id="275"/>
    </w:p>
    <w:p w14:paraId="4167A4AC" w14:textId="052E5607" w:rsidR="00471941" w:rsidRPr="00201F5B" w:rsidRDefault="00471941" w:rsidP="00471941">
      <w:r>
        <w:t>Although there were 11 test homes, two withdrew from participation shortly after the field test began (Home F was sold and Home H had thermostat incompatibility issues). In addition, during the test period, only two participants (Home C and Home J) enrolled in TOU</w:t>
      </w:r>
      <w:r w:rsidRPr="00961016">
        <w:t xml:space="preserve"> programs</w:t>
      </w:r>
      <w:r>
        <w:t>. For the rest who did not enroll, the MPC-based precooling test carried out anyway assuming that they did. At where the homes were located, three different TOU programs (i.e., rate structures) were available: Oklahoma Gas &amp; Electric (OG&amp;E) Smart Hou</w:t>
      </w:r>
      <w:r w:rsidRPr="00AF3D7B">
        <w:t xml:space="preserve">rs </w:t>
      </w:r>
      <w:r w:rsidRPr="00AF3D7B">
        <w:fldChar w:fldCharType="begin"/>
      </w:r>
      <w:r w:rsidR="0082416B">
        <w:instrText xml:space="preserve"> ADDIN ZOTERO_ITEM CSL_CITATION {"citationID":"aBTwMnsj","properties":{"formattedCitation":"[125]","plainCitation":"[125]","noteIndex":0},"citationItems":[{"id":1537,"uris":["http://zotero.org/users/5659608/items/GMKIGJLT"],"itemData":{"id":1537,"type":"webpage","title":"OG&amp;E - SmartHours","URL":"https://www.oge.com/wps/portal/ord/residential/pricing-options/smart-hours","author":[{"family":"Oklahoma Gas &amp; Electric","given":""}],"accessed":{"date-parts":[["2023",1,27]]},"issued":{"date-parts":[["2022"]]},"citation-key":"oklahomagas&amp;electricOGSmartHours2022"}}],"schema":"https://github.com/citation-style-language/schema/raw/master/csl-citation.json"} </w:instrText>
      </w:r>
      <w:r w:rsidRPr="00AF3D7B">
        <w:fldChar w:fldCharType="separate"/>
      </w:r>
      <w:r w:rsidR="0082416B" w:rsidRPr="0082416B">
        <w:t>[125]</w:t>
      </w:r>
      <w:r w:rsidRPr="00AF3D7B">
        <w:fldChar w:fldCharType="end"/>
      </w:r>
      <w:r w:rsidRPr="00AF3D7B">
        <w:t xml:space="preserve"> </w:t>
      </w:r>
      <w:r>
        <w:t xml:space="preserve">where on-peak </w:t>
      </w:r>
      <w:r w:rsidRPr="00AF3D7B">
        <w:t xml:space="preserve">hours </w:t>
      </w:r>
      <w:r>
        <w:t>run from</w:t>
      </w:r>
      <w:r w:rsidRPr="00AF3D7B">
        <w:t xml:space="preserve"> 2 pm </w:t>
      </w:r>
      <w:r>
        <w:t xml:space="preserve">to </w:t>
      </w:r>
      <w:r w:rsidRPr="00AF3D7B">
        <w:t xml:space="preserve">7 pm, Oklahoma Electric Corporate (OEC) TOU rate </w:t>
      </w:r>
      <w:r w:rsidRPr="00AF3D7B">
        <w:fldChar w:fldCharType="begin"/>
      </w:r>
      <w:r w:rsidR="0082416B">
        <w:instrText xml:space="preserve"> ADDIN ZOTERO_ITEM CSL_CITATION {"citationID":"xDtdxJDb","properties":{"formattedCitation":"[126]","plainCitation":"[126]","noteIndex":0},"citationItems":[{"id":1538,"uris":["http://zotero.org/users/5659608/items/MZQRV9B9"],"itemData":{"id":1538,"type":"webpage","abstract":"Time of Use Rate This rate includes $1/day service availability charge and: Winter Rate(January through May, November and December bills) First 1,000 kWh: 9.2752¢/kWh All other kWh: 6¢/kWh Shoulder Rate(June and October bills) On Peak*: 24¢/kWh All other kWh: 11¢/kWh *On peak hours are between 3 and 7 p.m. Monday through Friday between June 1 […]","container-title":"Oklahoma Electric Cooperative","language":"en-US","title":"Time of Use Rate","URL":"https://okcoop.org/time-of-use-rate/","author":[{"family":"Oklahoma Electric Corporate","given":""}],"accessed":{"date-parts":[["2023",1,27]]},"issued":{"date-parts":[["2022",5,9]]},"citation-key":"oklahomaelectriccorporateTimeUseRate2022"}}],"schema":"https://github.com/citation-style-language/schema/raw/master/csl-citation.json"} </w:instrText>
      </w:r>
      <w:r w:rsidRPr="00AF3D7B">
        <w:fldChar w:fldCharType="separate"/>
      </w:r>
      <w:r w:rsidR="0082416B" w:rsidRPr="0082416B">
        <w:t>[126]</w:t>
      </w:r>
      <w:r w:rsidRPr="00AF3D7B">
        <w:fldChar w:fldCharType="end"/>
      </w:r>
      <w:r w:rsidRPr="00AF3D7B">
        <w:t xml:space="preserve"> </w:t>
      </w:r>
      <w:r>
        <w:t>where</w:t>
      </w:r>
      <w:r w:rsidRPr="00AF3D7B">
        <w:t xml:space="preserve"> on-peak hours </w:t>
      </w:r>
      <w:r>
        <w:t xml:space="preserve">run </w:t>
      </w:r>
      <w:r w:rsidRPr="00AF3D7B">
        <w:t xml:space="preserve">from 3 pm to 7 pm, and Florida Power and Light (FPL) </w:t>
      </w:r>
      <w:r>
        <w:t xml:space="preserve">TOU </w:t>
      </w:r>
      <w:r w:rsidRPr="00AF3D7B">
        <w:t xml:space="preserve">rate </w:t>
      </w:r>
      <w:r w:rsidRPr="00AF3D7B">
        <w:fldChar w:fldCharType="begin"/>
      </w:r>
      <w:r w:rsidR="0082416B">
        <w:instrText xml:space="preserve"> ADDIN ZOTERO_ITEM CSL_CITATION {"citationID":"RQd2lEZe","properties":{"formattedCitation":"[127]","plainCitation":"[127]","noteIndex":0},"citationItems":[{"id":1539,"uris":["http://zotero.org/users/5659608/items/KDHIZAFR"],"itemData":{"id":1539,"type":"webpage","title":"Residential Time of Use Rate","URL":"https://www.fpl.com/rates/time-of-use.html","author":[{"family":"Florida Power &amp; Light","given":""}],"accessed":{"date-parts":[["2023",1,27]]},"issued":{"date-parts":[["2022"]]},"citation-key":"floridapower&amp;lightResidentialTimeUse2022"}}],"schema":"https://github.com/citation-style-language/schema/raw/master/csl-citation.json"} </w:instrText>
      </w:r>
      <w:r w:rsidRPr="00AF3D7B">
        <w:fldChar w:fldCharType="separate"/>
      </w:r>
      <w:r w:rsidR="0082416B" w:rsidRPr="0082416B">
        <w:t>[127]</w:t>
      </w:r>
      <w:r w:rsidRPr="00AF3D7B">
        <w:fldChar w:fldCharType="end"/>
      </w:r>
      <w:r w:rsidRPr="00AF3D7B">
        <w:t xml:space="preserve"> </w:t>
      </w:r>
      <w:r>
        <w:t>where</w:t>
      </w:r>
      <w:r w:rsidRPr="00AF3D7B">
        <w:t xml:space="preserve"> on-peak hours </w:t>
      </w:r>
      <w:r>
        <w:t xml:space="preserve">run </w:t>
      </w:r>
      <w:r w:rsidRPr="00AF3D7B">
        <w:t xml:space="preserve">from 12 pm to 9 pm. </w:t>
      </w:r>
      <w:r>
        <w:t xml:space="preserve">With the sponsorship of the research, all the </w:t>
      </w:r>
      <w:r>
        <w:lastRenderedPageBreak/>
        <w:t>homes were installed with s</w:t>
      </w:r>
      <w:r w:rsidRPr="00AF3D7B">
        <w:t>mart thermostat</w:t>
      </w:r>
      <w:r>
        <w:t>s</w:t>
      </w:r>
      <w:r w:rsidRPr="00AF3D7B">
        <w:t xml:space="preserve"> and node sensor</w:t>
      </w:r>
      <w:r>
        <w:t>s</w:t>
      </w:r>
      <w:r w:rsidRPr="00AF3D7B">
        <w:t xml:space="preserve">, </w:t>
      </w:r>
      <w:r>
        <w:t xml:space="preserve">among which </w:t>
      </w:r>
      <w:r w:rsidRPr="00AF3D7B">
        <w:t xml:space="preserve">five (Home A, Home B, Home I, Home J, and the Lab House) </w:t>
      </w:r>
      <w:r>
        <w:t xml:space="preserve">also had </w:t>
      </w:r>
      <w:r w:rsidRPr="00AF3D7B">
        <w:t xml:space="preserve">smart power meters </w:t>
      </w:r>
      <w:r>
        <w:t>installed for</w:t>
      </w:r>
      <w:r w:rsidRPr="00AF3D7B">
        <w:t xml:space="preserve"> collect</w:t>
      </w:r>
      <w:r>
        <w:t>ing</w:t>
      </w:r>
      <w:r w:rsidRPr="00AF3D7B">
        <w:t xml:space="preserve"> indoor and outdoor power measurements. </w:t>
      </w:r>
      <w:r>
        <w:t xml:space="preserve">For those houses without smart power meters, the total AC power usage </w:t>
      </w:r>
      <m:oMath>
        <m:r>
          <w:rPr>
            <w:rFonts w:ascii="Cambria Math" w:hAnsi="Cambria Math"/>
          </w:rPr>
          <m:t>P</m:t>
        </m:r>
      </m:oMath>
      <w:r>
        <w:rPr>
          <w:rFonts w:hint="eastAsia"/>
        </w:rPr>
        <w:t xml:space="preserve"> </w:t>
      </w:r>
      <w:r>
        <w:t xml:space="preserve">in </w:t>
      </w:r>
      <w:r>
        <w:fldChar w:fldCharType="begin"/>
      </w:r>
      <w:r>
        <w:instrText xml:space="preserve"> REF _Ref133874487 \h  \* MERGEFORMAT </w:instrText>
      </w:r>
      <w:r>
        <w:fldChar w:fldCharType="separate"/>
      </w:r>
      <w:r w:rsidR="000E1725">
        <w:t>(</w:t>
      </w:r>
      <w:r w:rsidR="000E1725">
        <w:rPr>
          <w:noProof/>
        </w:rPr>
        <w:t>23</w:t>
      </w:r>
      <w:r w:rsidR="000E1725">
        <w:t>)</w:t>
      </w:r>
      <w:r>
        <w:fldChar w:fldCharType="end"/>
      </w:r>
      <w:r>
        <w:t xml:space="preserve"> was assumed to be a constant depending on the AC model. </w:t>
      </w:r>
      <w:r w:rsidRPr="00AF3D7B">
        <w:t xml:space="preserve"> </w:t>
      </w:r>
    </w:p>
    <w:p w14:paraId="40253C7E" w14:textId="2C4EBFE5" w:rsidR="00471941" w:rsidRDefault="00471941" w:rsidP="00471941">
      <w:r>
        <w:t>The upper and lower temperature bounds in the MPC-based precooling test were determined based on observed homeowner preferences during normal operation and on what they considered to be acceptable during the MPC-based precooling test</w:t>
      </w:r>
      <w:r w:rsidR="00410CB0">
        <w:t xml:space="preserve">. </w:t>
      </w:r>
      <w:r w:rsidR="00410CB0">
        <w:fldChar w:fldCharType="begin"/>
      </w:r>
      <w:r w:rsidR="00410CB0">
        <w:instrText xml:space="preserve"> REF _Ref139416195 \h </w:instrText>
      </w:r>
      <w:r w:rsidR="00410CB0">
        <w:fldChar w:fldCharType="separate"/>
      </w:r>
      <w:r w:rsidR="000E1725" w:rsidRPr="00444828">
        <w:t xml:space="preserve">Figure </w:t>
      </w:r>
      <w:r w:rsidR="000E1725">
        <w:rPr>
          <w:noProof/>
        </w:rPr>
        <w:t>4</w:t>
      </w:r>
      <w:r w:rsidR="000E1725">
        <w:t>.</w:t>
      </w:r>
      <w:r w:rsidR="000E1725">
        <w:rPr>
          <w:noProof/>
        </w:rPr>
        <w:t>4</w:t>
      </w:r>
      <w:r w:rsidR="00410CB0">
        <w:fldChar w:fldCharType="end"/>
      </w:r>
      <w:r>
        <w:t xml:space="preserve"> presents the </w:t>
      </w:r>
      <w:r w:rsidRPr="0051630B">
        <w:t>Gaussianized</w:t>
      </w:r>
      <w:r>
        <w:t xml:space="preserve"> setpoint distribution of several homes during normal operation (black) and during the test (red). Note that a 90</w:t>
      </w:r>
      <m:oMath>
        <m:r>
          <w:rPr>
            <w:rFonts w:ascii="Cambria Math" w:hAnsi="Cambria Math"/>
          </w:rPr>
          <m:t>℉</m:t>
        </m:r>
      </m:oMath>
      <w:r>
        <w:rPr>
          <w:rFonts w:hint="eastAsia"/>
        </w:rPr>
        <w:t xml:space="preserve"> </w:t>
      </w:r>
      <w:r>
        <w:t>setpoint means the homeowner manually turned off the AC. Also note that because no one lived in the Lab House, its temperature bounds can be freely chosen. As such, the bounds were set to different values to allow us to examine their impact.</w:t>
      </w:r>
    </w:p>
    <w:p w14:paraId="6F8E77BA" w14:textId="77777777" w:rsidR="00471941" w:rsidRDefault="00471941" w:rsidP="00471941">
      <w:pPr>
        <w:pStyle w:val="13FigureCaption"/>
        <w:rPr>
          <w:rFonts w:eastAsia="PMingLiU"/>
        </w:rPr>
      </w:pPr>
      <w:r>
        <w:rPr>
          <w:noProof/>
        </w:rPr>
        <w:drawing>
          <wp:inline distT="0" distB="0" distL="0" distR="0" wp14:anchorId="04A77C0A" wp14:editId="284E3F56">
            <wp:extent cx="4440555" cy="2556518"/>
            <wp:effectExtent l="0" t="0" r="0" b="0"/>
            <wp:docPr id="2029546022" name="Picture 2029546022"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diagram, line&#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4440555" cy="2556518"/>
                    </a:xfrm>
                    <a:prstGeom prst="rect">
                      <a:avLst/>
                    </a:prstGeom>
                    <a:noFill/>
                    <a:ln>
                      <a:noFill/>
                    </a:ln>
                  </pic:spPr>
                </pic:pic>
              </a:graphicData>
            </a:graphic>
          </wp:inline>
        </w:drawing>
      </w:r>
    </w:p>
    <w:p w14:paraId="4793FF20" w14:textId="3257748F" w:rsidR="00471941" w:rsidRPr="00BE5239" w:rsidRDefault="00471941" w:rsidP="00471941">
      <w:pPr>
        <w:pStyle w:val="13FigureCaption"/>
      </w:pPr>
      <w:bookmarkStart w:id="276" w:name="_Ref139416195"/>
      <w:bookmarkStart w:id="277" w:name="_Toc141349925"/>
      <w:r w:rsidRPr="00444828">
        <w:t xml:space="preserve">Figure </w:t>
      </w:r>
      <w:fldSimple w:instr=" STYLEREF 1 \s ">
        <w:r w:rsidR="000E1725">
          <w:rPr>
            <w:noProof/>
          </w:rPr>
          <w:t>4</w:t>
        </w:r>
      </w:fldSimple>
      <w:r w:rsidR="005445E0">
        <w:t>.</w:t>
      </w:r>
      <w:fldSimple w:instr=" SEQ Figure \* ARABIC \s 1 ">
        <w:r w:rsidR="000E1725">
          <w:rPr>
            <w:noProof/>
          </w:rPr>
          <w:t>4</w:t>
        </w:r>
      </w:fldSimple>
      <w:bookmarkEnd w:id="276"/>
      <w:r w:rsidRPr="00444828">
        <w:t xml:space="preserve"> Setpoint distribution in </w:t>
      </w:r>
      <w:r>
        <w:t>several</w:t>
      </w:r>
      <w:r w:rsidRPr="00444828">
        <w:t xml:space="preserve"> test </w:t>
      </w:r>
      <w:r>
        <w:t>home</w:t>
      </w:r>
      <w:r w:rsidRPr="00444828">
        <w:t>s.</w:t>
      </w:r>
      <w:bookmarkEnd w:id="277"/>
      <w:r w:rsidRPr="00444828">
        <w:t xml:space="preserve"> </w:t>
      </w:r>
    </w:p>
    <w:p w14:paraId="13AF3F7A" w14:textId="77777777" w:rsidR="00471941" w:rsidRPr="005C37F7" w:rsidRDefault="00471941" w:rsidP="00471941">
      <w:pPr>
        <w:pStyle w:val="Heading4"/>
      </w:pPr>
      <w:bookmarkStart w:id="278" w:name="_Toc141991714"/>
      <w:r>
        <w:lastRenderedPageBreak/>
        <w:t>Temperature and power measurements</w:t>
      </w:r>
      <w:bookmarkEnd w:id="278"/>
      <w:r>
        <w:t xml:space="preserve"> </w:t>
      </w:r>
    </w:p>
    <w:p w14:paraId="4522DE6C" w14:textId="229E01BD" w:rsidR="00471941" w:rsidRDefault="00410CB0" w:rsidP="00471941">
      <w:r>
        <w:fldChar w:fldCharType="begin"/>
      </w:r>
      <w:r>
        <w:instrText xml:space="preserve"> REF _Ref139416331 \h </w:instrText>
      </w:r>
      <w:r>
        <w:fldChar w:fldCharType="separate"/>
      </w:r>
      <w:r w:rsidR="000E1725">
        <w:t xml:space="preserve">Figure </w:t>
      </w:r>
      <w:r w:rsidR="000E1725">
        <w:rPr>
          <w:noProof/>
        </w:rPr>
        <w:t>4</w:t>
      </w:r>
      <w:r w:rsidR="000E1725">
        <w:t>.</w:t>
      </w:r>
      <w:r w:rsidR="000E1725">
        <w:rPr>
          <w:noProof/>
        </w:rPr>
        <w:t>5</w:t>
      </w:r>
      <w:r>
        <w:fldChar w:fldCharType="end"/>
      </w:r>
      <w:r>
        <w:t xml:space="preserve"> </w:t>
      </w:r>
      <w:r w:rsidR="00471941">
        <w:t>shows the temperature and power measurement setup at some of the test homes. Specifically,</w:t>
      </w:r>
      <w:r w:rsidR="00471941" w:rsidRPr="00701516">
        <w:t xml:space="preserve"> </w:t>
      </w:r>
      <w:r>
        <w:fldChar w:fldCharType="begin"/>
      </w:r>
      <w:r>
        <w:instrText xml:space="preserve"> REF _Ref139416331 \h </w:instrText>
      </w:r>
      <w:r>
        <w:fldChar w:fldCharType="separate"/>
      </w:r>
      <w:r w:rsidR="000E1725">
        <w:t xml:space="preserve">Figure </w:t>
      </w:r>
      <w:r w:rsidR="000E1725">
        <w:rPr>
          <w:noProof/>
        </w:rPr>
        <w:t>4</w:t>
      </w:r>
      <w:r w:rsidR="000E1725">
        <w:t>.</w:t>
      </w:r>
      <w:r w:rsidR="000E1725">
        <w:rPr>
          <w:noProof/>
        </w:rPr>
        <w:t>5</w:t>
      </w:r>
      <w:r>
        <w:fldChar w:fldCharType="end"/>
      </w:r>
      <w:r w:rsidR="00471941">
        <w:t xml:space="preserve">(a) shows a smart thermostat for tracking the indoor air temperature and communicating with the cloud-based platform, </w:t>
      </w:r>
      <w:r>
        <w:fldChar w:fldCharType="begin"/>
      </w:r>
      <w:r>
        <w:instrText xml:space="preserve"> REF _Ref139416331 \h </w:instrText>
      </w:r>
      <w:r>
        <w:fldChar w:fldCharType="separate"/>
      </w:r>
      <w:r w:rsidR="000E1725">
        <w:t xml:space="preserve">Figure </w:t>
      </w:r>
      <w:r w:rsidR="000E1725">
        <w:rPr>
          <w:noProof/>
        </w:rPr>
        <w:t>4</w:t>
      </w:r>
      <w:r w:rsidR="000E1725">
        <w:t>.</w:t>
      </w:r>
      <w:r w:rsidR="000E1725">
        <w:rPr>
          <w:noProof/>
        </w:rPr>
        <w:t>5</w:t>
      </w:r>
      <w:r>
        <w:fldChar w:fldCharType="end"/>
      </w:r>
      <w:r w:rsidR="00471941" w:rsidDel="00D44380">
        <w:t>(b)</w:t>
      </w:r>
      <w:r w:rsidR="00471941">
        <w:t xml:space="preserve"> </w:t>
      </w:r>
      <w:r w:rsidR="00471941">
        <w:rPr>
          <w:rFonts w:hint="eastAsia"/>
        </w:rPr>
        <w:t>shows</w:t>
      </w:r>
      <w:r w:rsidR="00471941">
        <w:t xml:space="preserve"> a node sensor for measuring the interior wall surface temperature, and </w:t>
      </w:r>
      <w:r>
        <w:fldChar w:fldCharType="begin"/>
      </w:r>
      <w:r>
        <w:instrText xml:space="preserve"> REF _Ref139416331 \h </w:instrText>
      </w:r>
      <w:r>
        <w:fldChar w:fldCharType="separate"/>
      </w:r>
      <w:r w:rsidR="000E1725">
        <w:t xml:space="preserve">Figure </w:t>
      </w:r>
      <w:r w:rsidR="000E1725">
        <w:rPr>
          <w:noProof/>
        </w:rPr>
        <w:t>4</w:t>
      </w:r>
      <w:r w:rsidR="000E1725">
        <w:t>.</w:t>
      </w:r>
      <w:r w:rsidR="000E1725">
        <w:rPr>
          <w:noProof/>
        </w:rPr>
        <w:t>5</w:t>
      </w:r>
      <w:r>
        <w:fldChar w:fldCharType="end"/>
      </w:r>
      <w:r w:rsidR="00471941">
        <w:t xml:space="preserve">(c) shows a smart power meter for measuring the total energy usage of each circuit inside the electric panel. The latter makes it possible to distinguish between the energy consumed by indoor and outdoor AC units. </w:t>
      </w:r>
    </w:p>
    <w:p w14:paraId="65BBAA6D" w14:textId="63E22304" w:rsidR="00471941" w:rsidRDefault="00471941" w:rsidP="00471941">
      <w:r w:rsidRPr="0074529C">
        <w:t xml:space="preserve">In the </w:t>
      </w:r>
      <w:r>
        <w:t>2R2</w:t>
      </w:r>
      <w:r>
        <w:rPr>
          <w:rFonts w:hint="eastAsia"/>
        </w:rPr>
        <w:t>C</w:t>
      </w:r>
      <w:r>
        <w:t xml:space="preserve"> </w:t>
      </w:r>
      <w:r w:rsidRPr="0074529C">
        <w:t xml:space="preserve">model </w:t>
      </w:r>
      <w:r>
        <w:t xml:space="preserve">described by </w:t>
      </w:r>
      <w:r w:rsidR="00410CB0" w:rsidRPr="00544D05">
        <w:rPr>
          <w:szCs w:val="24"/>
        </w:rPr>
        <w:t>(</w:t>
      </w:r>
      <w:r w:rsidR="00410CB0" w:rsidRPr="00544D05">
        <w:rPr>
          <w:szCs w:val="24"/>
        </w:rPr>
        <w:fldChar w:fldCharType="begin"/>
      </w:r>
      <w:r w:rsidR="00410CB0" w:rsidRPr="00544D05">
        <w:rPr>
          <w:szCs w:val="24"/>
        </w:rPr>
        <w:instrText xml:space="preserve"> SEQ equation \* ARABIC </w:instrText>
      </w:r>
      <w:r w:rsidR="00410CB0" w:rsidRPr="00544D05">
        <w:rPr>
          <w:szCs w:val="24"/>
        </w:rPr>
        <w:fldChar w:fldCharType="separate"/>
      </w:r>
      <w:r w:rsidR="000E1725">
        <w:rPr>
          <w:noProof/>
          <w:szCs w:val="24"/>
        </w:rPr>
        <w:t>32</w:t>
      </w:r>
      <w:r w:rsidR="00410CB0" w:rsidRPr="00544D05">
        <w:rPr>
          <w:szCs w:val="24"/>
        </w:rPr>
        <w:fldChar w:fldCharType="end"/>
      </w:r>
      <w:r w:rsidR="00410CB0" w:rsidRPr="00544D05">
        <w:rPr>
          <w:szCs w:val="24"/>
        </w:rPr>
        <w:t>)</w:t>
      </w:r>
      <w:r w:rsidR="00410CB0">
        <w:rPr>
          <w:szCs w:val="24"/>
        </w:rPr>
        <w:t xml:space="preserve"> </w:t>
      </w:r>
      <w:r>
        <w:t xml:space="preserve">and </w:t>
      </w:r>
      <w:r w:rsidR="00410CB0">
        <w:t>(</w:t>
      </w:r>
      <w:fldSimple w:instr=" SEQ equation \* ARABIC ">
        <w:r w:rsidR="000E1725">
          <w:rPr>
            <w:noProof/>
          </w:rPr>
          <w:t>33</w:t>
        </w:r>
      </w:fldSimple>
      <w:r w:rsidR="00410CB0">
        <w:t>)</w:t>
      </w:r>
      <w:r>
        <w:t>,</w:t>
      </w:r>
      <w:r w:rsidRPr="0074529C">
        <w:t xml:space="preserve"> the </w:t>
      </w:r>
      <w:r>
        <w:t xml:space="preserve">interior </w:t>
      </w:r>
      <w:r w:rsidRPr="0074529C">
        <w:t xml:space="preserve">wall </w:t>
      </w:r>
      <w:r>
        <w:t>surface temperature is</w:t>
      </w:r>
      <w:r w:rsidRPr="0074529C">
        <w:t xml:space="preserve"> one of the</w:t>
      </w:r>
      <w:r>
        <w:t xml:space="preserve"> two</w:t>
      </w:r>
      <w:r w:rsidRPr="0074529C">
        <w:t xml:space="preserve"> states </w:t>
      </w:r>
      <w:r>
        <w:t>that reflects the heat transfer between indoor and outdoor environment</w:t>
      </w:r>
      <w:r w:rsidRPr="0074529C">
        <w:t xml:space="preserve">. </w:t>
      </w:r>
      <w:r>
        <w:t>Accurate measurement of such temperatur</w:t>
      </w:r>
      <w:r w:rsidRPr="006177CF">
        <w:rPr>
          <w:szCs w:val="24"/>
        </w:rPr>
        <w:t>e</w:t>
      </w:r>
      <w:r w:rsidRPr="006177CF">
        <w:rPr>
          <w:color w:val="202124"/>
          <w:szCs w:val="24"/>
          <w:shd w:val="clear" w:color="auto" w:fill="FFFFFF"/>
        </w:rPr>
        <w:t>—</w:t>
      </w:r>
      <w:r>
        <w:rPr>
          <w:color w:val="202124"/>
          <w:szCs w:val="24"/>
          <w:shd w:val="clear" w:color="auto" w:fill="FFFFFF"/>
        </w:rPr>
        <w:t>which depends heavily on the sensor location</w:t>
      </w:r>
      <w:r w:rsidRPr="006177CF">
        <w:rPr>
          <w:color w:val="202124"/>
          <w:szCs w:val="24"/>
          <w:shd w:val="clear" w:color="auto" w:fill="FFFFFF"/>
        </w:rPr>
        <w:t>—</w:t>
      </w:r>
      <w:r>
        <w:t xml:space="preserve">is therefore important. The node sensor is preferably mounted on a </w:t>
      </w:r>
      <w:r w:rsidRPr="0074529C">
        <w:t xml:space="preserve">wall </w:t>
      </w:r>
      <w:r>
        <w:t>with</w:t>
      </w:r>
      <w:r w:rsidRPr="0074529C">
        <w:t xml:space="preserve"> no direct solar, no wind</w:t>
      </w:r>
      <w:r>
        <w:t>, and no shading</w:t>
      </w:r>
      <w:r w:rsidRPr="0074529C">
        <w:t xml:space="preserve">. </w:t>
      </w:r>
      <w:r>
        <w:t>Thus,</w:t>
      </w:r>
      <w:r w:rsidRPr="0074529C">
        <w:t xml:space="preserve"> north</w:t>
      </w:r>
      <w:r>
        <w:t>-</w:t>
      </w:r>
      <w:r w:rsidRPr="0074529C">
        <w:t>facing wal</w:t>
      </w:r>
      <w:r>
        <w:t>ls</w:t>
      </w:r>
      <w:r w:rsidRPr="0074529C">
        <w:t xml:space="preserve"> </w:t>
      </w:r>
      <w:r>
        <w:t xml:space="preserve">were selected </w:t>
      </w:r>
      <w:r w:rsidRPr="0074529C">
        <w:t>because</w:t>
      </w:r>
      <w:r>
        <w:t xml:space="preserve"> solar impact from the sun was lower </w:t>
      </w:r>
      <w:r w:rsidRPr="0074529C">
        <w:t xml:space="preserve">compared </w:t>
      </w:r>
      <w:r>
        <w:t>to</w:t>
      </w:r>
      <w:r w:rsidRPr="0074529C">
        <w:t xml:space="preserve"> south</w:t>
      </w:r>
      <w:r>
        <w:t>-</w:t>
      </w:r>
      <w:r w:rsidRPr="0074529C">
        <w:t xml:space="preserve"> and west</w:t>
      </w:r>
      <w:r>
        <w:t>-</w:t>
      </w:r>
      <w:r w:rsidRPr="0074529C">
        <w:t xml:space="preserve">facing </w:t>
      </w:r>
      <w:r>
        <w:t xml:space="preserve">walls, and </w:t>
      </w:r>
      <w:r w:rsidRPr="0074529C">
        <w:t>east</w:t>
      </w:r>
      <w:r>
        <w:t>-</w:t>
      </w:r>
      <w:r w:rsidRPr="0074529C">
        <w:t>facing wall</w:t>
      </w:r>
      <w:r>
        <w:t>s for some of the test homes were chosen due to</w:t>
      </w:r>
      <w:r w:rsidRPr="0074529C">
        <w:t xml:space="preserve"> </w:t>
      </w:r>
      <w:r>
        <w:t>their</w:t>
      </w:r>
      <w:r w:rsidRPr="0074529C">
        <w:t xml:space="preserve"> structure. </w:t>
      </w:r>
      <w:r>
        <w:t>The walls near a diffuser,</w:t>
      </w:r>
      <w:r w:rsidRPr="0074529C">
        <w:t xml:space="preserve"> the kitchen</w:t>
      </w:r>
      <w:r>
        <w:t>,</w:t>
      </w:r>
      <w:r w:rsidRPr="0074529C">
        <w:t xml:space="preserve"> </w:t>
      </w:r>
      <w:r>
        <w:t>and the windows were avoided to not expose the sensor to unwanted disturbances.</w:t>
      </w:r>
    </w:p>
    <w:p w14:paraId="6B860597" w14:textId="77777777" w:rsidR="00471941" w:rsidRPr="00573E70" w:rsidRDefault="00471941" w:rsidP="00623535">
      <w:pPr>
        <w:pStyle w:val="12FigureFormatSelectafigureandclickonthisstyle"/>
      </w:pPr>
      <w:r>
        <w:rPr>
          <w:noProof/>
        </w:rPr>
        <w:lastRenderedPageBreak/>
        <w:drawing>
          <wp:inline distT="0" distB="0" distL="0" distR="0" wp14:anchorId="5CE08674" wp14:editId="2C930388">
            <wp:extent cx="4104748" cy="3471983"/>
            <wp:effectExtent l="0" t="0" r="0" b="0"/>
            <wp:docPr id="818399141" name="Picture 818399141" descr="A picture containing text, electronics, furniture, home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electronics, furniture, home appliance&#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104748" cy="3471983"/>
                    </a:xfrm>
                    <a:prstGeom prst="rect">
                      <a:avLst/>
                    </a:prstGeom>
                  </pic:spPr>
                </pic:pic>
              </a:graphicData>
            </a:graphic>
          </wp:inline>
        </w:drawing>
      </w:r>
    </w:p>
    <w:p w14:paraId="0F916493" w14:textId="1976A4CA" w:rsidR="00471941" w:rsidRDefault="00471941" w:rsidP="00471941">
      <w:pPr>
        <w:pStyle w:val="13FigureCaption"/>
      </w:pPr>
      <w:bookmarkStart w:id="279" w:name="_Ref139416331"/>
      <w:bookmarkStart w:id="280" w:name="_Toc141349926"/>
      <w:r>
        <w:t xml:space="preserve">Figure </w:t>
      </w:r>
      <w:fldSimple w:instr=" STYLEREF 1 \s ">
        <w:r w:rsidR="000E1725">
          <w:rPr>
            <w:noProof/>
          </w:rPr>
          <w:t>4</w:t>
        </w:r>
      </w:fldSimple>
      <w:r w:rsidR="005445E0">
        <w:t>.</w:t>
      </w:r>
      <w:fldSimple w:instr=" SEQ Figure \* ARABIC \s 1 ">
        <w:r w:rsidR="000E1725">
          <w:rPr>
            <w:noProof/>
          </w:rPr>
          <w:t>5</w:t>
        </w:r>
      </w:fldSimple>
      <w:bookmarkEnd w:id="279"/>
      <w:r w:rsidRPr="00B82650">
        <w:t xml:space="preserve"> </w:t>
      </w:r>
      <w:r>
        <w:t>Equipment installed at test homes. (a) Smart thermostat. (b) Node sensor. (c) Smart power meter</w:t>
      </w:r>
      <w:r w:rsidRPr="002F1B9D">
        <w:t>.</w:t>
      </w:r>
      <w:bookmarkEnd w:id="280"/>
    </w:p>
    <w:p w14:paraId="57CC1279" w14:textId="77777777" w:rsidR="00471941" w:rsidRDefault="00471941" w:rsidP="00471941">
      <w:pPr>
        <w:pStyle w:val="Heading3"/>
      </w:pPr>
      <w:bookmarkStart w:id="281" w:name="_Toc133542381"/>
      <w:bookmarkStart w:id="282" w:name="_Toc132122480"/>
      <w:bookmarkStart w:id="283" w:name="_Toc132122604"/>
      <w:bookmarkStart w:id="284" w:name="_Toc141991715"/>
      <w:r>
        <w:t>MPC precooling test filed test results</w:t>
      </w:r>
      <w:bookmarkEnd w:id="281"/>
      <w:bookmarkEnd w:id="282"/>
      <w:bookmarkEnd w:id="283"/>
      <w:bookmarkEnd w:id="284"/>
    </w:p>
    <w:p w14:paraId="4AED9934" w14:textId="77777777" w:rsidR="00471941" w:rsidRDefault="00471941" w:rsidP="00471941">
      <w:bookmarkStart w:id="285" w:name="_Toc124149451"/>
      <w:bookmarkStart w:id="286" w:name="_Toc132122481"/>
      <w:bookmarkStart w:id="287" w:name="_Toc132122605"/>
      <w:bookmarkStart w:id="288" w:name="_Toc133542382"/>
      <w:bookmarkStart w:id="289" w:name="_Ref134412600"/>
      <w:r w:rsidRPr="00934727">
        <w:t xml:space="preserve">In this section, </w:t>
      </w:r>
      <w:r>
        <w:t>a discussion of the MPC agent performance a</w:t>
      </w:r>
      <w:r>
        <w:rPr>
          <w:rFonts w:hint="eastAsia"/>
        </w:rPr>
        <w:t>t</w:t>
      </w:r>
      <w:r>
        <w:t xml:space="preserve"> one test home is presented first. Then, by using results from multiple test homes, assessment of the MPC agent through with and without performance comparison and energy flexibility comparison are demonstrated.</w:t>
      </w:r>
      <w:r w:rsidRPr="00934727">
        <w:t xml:space="preserve"> </w:t>
      </w:r>
      <w:r>
        <w:t>T</w:t>
      </w:r>
      <w:r w:rsidRPr="00934727">
        <w:t xml:space="preserve">he </w:t>
      </w:r>
      <w:r>
        <w:t>dominant</w:t>
      </w:r>
      <w:r w:rsidRPr="00934727">
        <w:t xml:space="preserve"> </w:t>
      </w:r>
      <w:r>
        <w:t>factors</w:t>
      </w:r>
      <w:r w:rsidRPr="00934727">
        <w:t xml:space="preserve"> that </w:t>
      </w:r>
      <w:r>
        <w:t>impacted</w:t>
      </w:r>
      <w:r w:rsidRPr="00934727">
        <w:t xml:space="preserve"> the </w:t>
      </w:r>
      <w:r>
        <w:t>MPC-based precooling test are analyzed at the end</w:t>
      </w:r>
      <w:r w:rsidRPr="00934727">
        <w:t xml:space="preserve">.  </w:t>
      </w:r>
    </w:p>
    <w:p w14:paraId="62946448" w14:textId="32B2BCBF" w:rsidR="001950F8" w:rsidRPr="001950F8" w:rsidRDefault="001950F8" w:rsidP="001950F8">
      <w:pPr>
        <w:pStyle w:val="Heading4"/>
      </w:pPr>
      <w:bookmarkStart w:id="290" w:name="_Toc141991716"/>
      <w:bookmarkStart w:id="291" w:name="_Ref139627186"/>
      <w:bookmarkStart w:id="292" w:name="_Ref139627190"/>
      <w:r w:rsidRPr="001950F8">
        <w:t xml:space="preserve">MPC </w:t>
      </w:r>
      <w:r w:rsidR="004D3161">
        <w:t>p</w:t>
      </w:r>
      <w:r w:rsidRPr="001950F8">
        <w:t xml:space="preserve">erformance </w:t>
      </w:r>
      <w:r w:rsidR="004D3161">
        <w:t>a</w:t>
      </w:r>
      <w:r w:rsidRPr="001950F8">
        <w:t xml:space="preserve">ssessment at </w:t>
      </w:r>
      <w:r w:rsidR="004D3161">
        <w:t>o</w:t>
      </w:r>
      <w:r w:rsidRPr="001950F8">
        <w:t xml:space="preserve">ne </w:t>
      </w:r>
      <w:r w:rsidR="004D3161">
        <w:t>t</w:t>
      </w:r>
      <w:r w:rsidRPr="001950F8">
        <w:t xml:space="preserve">est </w:t>
      </w:r>
      <w:r w:rsidR="004D3161">
        <w:t>h</w:t>
      </w:r>
      <w:r w:rsidRPr="001950F8">
        <w:t>ome</w:t>
      </w:r>
      <w:bookmarkEnd w:id="290"/>
    </w:p>
    <w:p w14:paraId="0283445E" w14:textId="77777777" w:rsidR="00D83C4C" w:rsidRPr="006F5B6A" w:rsidRDefault="00D83C4C" w:rsidP="00D83C4C">
      <w:pPr>
        <w:rPr>
          <w:rFonts w:eastAsia="PMingLiU"/>
        </w:rPr>
      </w:pPr>
      <w:bookmarkStart w:id="293" w:name="_Toc126326794"/>
      <w:bookmarkStart w:id="294" w:name="_Toc126327469"/>
      <w:bookmarkStart w:id="295" w:name="_Toc126327582"/>
      <w:bookmarkStart w:id="296" w:name="_Toc132122485"/>
      <w:bookmarkStart w:id="297" w:name="_Toc132122609"/>
      <w:bookmarkEnd w:id="285"/>
      <w:bookmarkEnd w:id="286"/>
      <w:bookmarkEnd w:id="287"/>
      <w:bookmarkEnd w:id="288"/>
      <w:bookmarkEnd w:id="289"/>
      <w:bookmarkEnd w:id="291"/>
      <w:bookmarkEnd w:id="292"/>
      <w:r>
        <w:t>F</w:t>
      </w:r>
      <w:r w:rsidRPr="00FE36EF">
        <w:t>rom July to October</w:t>
      </w:r>
      <w:r>
        <w:t xml:space="preserve"> 2022, a set of </w:t>
      </w:r>
      <w:r w:rsidRPr="00FE36EF">
        <w:t>MPC</w:t>
      </w:r>
      <w:r>
        <w:t>-based precooling</w:t>
      </w:r>
      <w:r w:rsidRPr="00FE36EF">
        <w:t xml:space="preserve"> test</w:t>
      </w:r>
      <w:r>
        <w:t>s</w:t>
      </w:r>
      <w:r w:rsidRPr="00FE36EF">
        <w:t xml:space="preserve"> </w:t>
      </w:r>
      <w:r>
        <w:t>were conducted at different times at the</w:t>
      </w:r>
      <w:r w:rsidRPr="00FE36EF">
        <w:t xml:space="preserve"> </w:t>
      </w:r>
      <w:r>
        <w:t>nine test homes including the Lab House. E</w:t>
      </w:r>
      <w:r w:rsidRPr="00FE36EF">
        <w:t>ach test last</w:t>
      </w:r>
      <w:r>
        <w:t>ed</w:t>
      </w:r>
      <w:r w:rsidRPr="00FE36EF">
        <w:t xml:space="preserve"> </w:t>
      </w:r>
      <w:r>
        <w:t>five</w:t>
      </w:r>
      <w:r w:rsidRPr="00FE36EF">
        <w:t xml:space="preserve"> to</w:t>
      </w:r>
      <w:r>
        <w:t xml:space="preserve"> 20</w:t>
      </w:r>
      <w:r w:rsidRPr="00FE36EF">
        <w:t xml:space="preserve"> days </w:t>
      </w:r>
      <w:r>
        <w:t>depending</w:t>
      </w:r>
      <w:r w:rsidRPr="00FE36EF">
        <w:t xml:space="preserve"> on </w:t>
      </w:r>
      <w:r>
        <w:t>the homeowner’s</w:t>
      </w:r>
      <w:r w:rsidRPr="00FE36EF">
        <w:t xml:space="preserve"> schedule</w:t>
      </w:r>
      <w:r>
        <w:t xml:space="preserve">, except for the test at Home G, which was terminated </w:t>
      </w:r>
      <w:r>
        <w:lastRenderedPageBreak/>
        <w:t>prematurely at the homeowner’s request</w:t>
      </w:r>
      <w:r w:rsidRPr="00FE36EF">
        <w:t>.</w:t>
      </w:r>
      <w:r>
        <w:t xml:space="preserve"> This section describes the MPC agent performance at one test home</w:t>
      </w:r>
      <w:r w:rsidRPr="004A44A3">
        <w:rPr>
          <w:color w:val="202124"/>
          <w:szCs w:val="24"/>
          <w:shd w:val="clear" w:color="auto" w:fill="FFFFFF"/>
        </w:rPr>
        <w:t>—</w:t>
      </w:r>
      <w:r>
        <w:t xml:space="preserve">the Lab House. </w:t>
      </w:r>
    </w:p>
    <w:p w14:paraId="00E28BB7" w14:textId="6E3CE26F" w:rsidR="00D83C4C" w:rsidRPr="00282D40" w:rsidRDefault="00D83C4C" w:rsidP="00D83C4C">
      <w:r>
        <w:t xml:space="preserve"> </w:t>
      </w:r>
      <w:r>
        <w:fldChar w:fldCharType="begin"/>
      </w:r>
      <w:r>
        <w:instrText xml:space="preserve"> REF _Ref139416575 \h </w:instrText>
      </w:r>
      <w:r>
        <w:fldChar w:fldCharType="separate"/>
      </w:r>
      <w:r w:rsidR="000E1725" w:rsidRPr="00AD7026">
        <w:t xml:space="preserve">Figure </w:t>
      </w:r>
      <w:r w:rsidR="000E1725">
        <w:rPr>
          <w:noProof/>
        </w:rPr>
        <w:t>4</w:t>
      </w:r>
      <w:r w:rsidR="000E1725">
        <w:t>.</w:t>
      </w:r>
      <w:r w:rsidR="000E1725">
        <w:rPr>
          <w:noProof/>
        </w:rPr>
        <w:t>6</w:t>
      </w:r>
      <w:r>
        <w:fldChar w:fldCharType="end"/>
      </w:r>
      <w:r>
        <w:t xml:space="preserve"> shows seven </w:t>
      </w:r>
      <w:r w:rsidRPr="00F454E5">
        <w:t>consecutive days (from August 4</w:t>
      </w:r>
      <w:r>
        <w:t xml:space="preserve"> </w:t>
      </w:r>
      <w:r w:rsidRPr="00F454E5">
        <w:t xml:space="preserve">to August 10, 2022) of </w:t>
      </w:r>
      <w:r>
        <w:t>te</w:t>
      </w:r>
      <w:r w:rsidRPr="00F454E5">
        <w:t>s</w:t>
      </w:r>
      <w:r>
        <w:t>t results</w:t>
      </w:r>
      <w:r w:rsidRPr="00F454E5">
        <w:t xml:space="preserve"> </w:t>
      </w:r>
      <w:r>
        <w:t>at</w:t>
      </w:r>
      <w:r w:rsidRPr="00F454E5">
        <w:t xml:space="preserve"> the Lab Hous</w:t>
      </w:r>
      <w:r>
        <w:t>e</w:t>
      </w:r>
      <w:r w:rsidRPr="00F454E5">
        <w:t xml:space="preserve">. </w:t>
      </w:r>
      <w:r>
        <w:t xml:space="preserve">Specifically, </w:t>
      </w:r>
      <w:r>
        <w:fldChar w:fldCharType="begin"/>
      </w:r>
      <w:r>
        <w:instrText xml:space="preserve"> REF _Ref139416575 \h </w:instrText>
      </w:r>
      <w:r>
        <w:fldChar w:fldCharType="separate"/>
      </w:r>
      <w:r w:rsidR="000E1725" w:rsidRPr="00AD7026">
        <w:t xml:space="preserve">Figure </w:t>
      </w:r>
      <w:r w:rsidR="000E1725">
        <w:rPr>
          <w:noProof/>
        </w:rPr>
        <w:t>4</w:t>
      </w:r>
      <w:r w:rsidR="000E1725">
        <w:t>.</w:t>
      </w:r>
      <w:r w:rsidR="000E1725">
        <w:rPr>
          <w:noProof/>
        </w:rPr>
        <w:t>6</w:t>
      </w:r>
      <w:r>
        <w:fldChar w:fldCharType="end"/>
      </w:r>
      <w:r>
        <w:t xml:space="preserve">(a) depicts the indoor air temperature </w:t>
      </w:r>
      <m:oMath>
        <m:sSub>
          <m:sSubPr>
            <m:ctrlPr>
              <w:rPr>
                <w:rFonts w:ascii="Cambria Math" w:hAnsi="Cambria Math"/>
                <w:i/>
              </w:rPr>
            </m:ctrlPr>
          </m:sSubPr>
          <m:e>
            <m:r>
              <w:rPr>
                <w:rFonts w:ascii="Cambria Math" w:hAnsi="Cambria Math"/>
              </w:rPr>
              <m:t>T</m:t>
            </m:r>
          </m:e>
          <m:sub>
            <m:r>
              <w:rPr>
                <w:rFonts w:ascii="Cambria Math" w:hAnsi="Cambria Math"/>
              </w:rPr>
              <m:t>in</m:t>
            </m:r>
          </m:sub>
        </m:sSub>
      </m:oMath>
      <w:r>
        <w:rPr>
          <w:rFonts w:hint="eastAsia"/>
        </w:rPr>
        <w:t xml:space="preserve"> </w:t>
      </w:r>
      <w:r>
        <w:t xml:space="preserve">(blue) and interior wall surface temperature </w:t>
      </w:r>
      <m:oMath>
        <m:sSub>
          <m:sSubPr>
            <m:ctrlPr>
              <w:rPr>
                <w:rFonts w:ascii="Cambria Math" w:hAnsi="Cambria Math"/>
                <w:i/>
              </w:rPr>
            </m:ctrlPr>
          </m:sSubPr>
          <m:e>
            <m:r>
              <w:rPr>
                <w:rFonts w:ascii="Cambria Math" w:hAnsi="Cambria Math"/>
              </w:rPr>
              <m:t>T</m:t>
            </m:r>
          </m:e>
          <m:sub>
            <m:r>
              <w:rPr>
                <w:rFonts w:ascii="Cambria Math" w:hAnsi="Cambria Math"/>
              </w:rPr>
              <m:t>ie</m:t>
            </m:r>
          </m:sub>
        </m:sSub>
      </m:oMath>
      <w:r>
        <w:t xml:space="preserve"> (red) along with the thermal comfort range </w:t>
      </w:r>
      <m:oMath>
        <m:sSub>
          <m:sSubPr>
            <m:ctrlPr>
              <w:rPr>
                <w:rFonts w:ascii="Cambria Math" w:hAnsi="Cambria Math"/>
                <w:i/>
              </w:rPr>
            </m:ctrlPr>
          </m:sSubPr>
          <m:e>
            <m:r>
              <w:rPr>
                <w:rFonts w:ascii="Cambria Math" w:hAnsi="Cambria Math"/>
              </w:rPr>
              <m:t>T</m:t>
            </m:r>
          </m:e>
          <m:sub>
            <m:r>
              <w:rPr>
                <w:rFonts w:ascii="Cambria Math" w:hAnsi="Cambria Math"/>
              </w:rPr>
              <m:t>ub</m:t>
            </m:r>
          </m:sub>
        </m:sSub>
      </m:oMath>
      <w:r>
        <w:t xml:space="preserve"> and </w:t>
      </w:r>
      <m:oMath>
        <m:sSub>
          <m:sSubPr>
            <m:ctrlPr>
              <w:rPr>
                <w:rFonts w:ascii="Cambria Math" w:hAnsi="Cambria Math"/>
                <w:i/>
              </w:rPr>
            </m:ctrlPr>
          </m:sSubPr>
          <m:e>
            <m:r>
              <w:rPr>
                <w:rFonts w:ascii="Cambria Math" w:hAnsi="Cambria Math"/>
              </w:rPr>
              <m:t>T</m:t>
            </m:r>
          </m:e>
          <m:sub>
            <m:r>
              <w:rPr>
                <w:rFonts w:ascii="Cambria Math" w:hAnsi="Cambria Math"/>
              </w:rPr>
              <m:t>lb</m:t>
            </m:r>
          </m:sub>
        </m:sSub>
      </m:oMath>
      <w:r>
        <w:t xml:space="preserve"> (black). </w:t>
      </w:r>
      <w:r>
        <w:fldChar w:fldCharType="begin"/>
      </w:r>
      <w:r>
        <w:instrText xml:space="preserve"> REF _Ref139416575 \h </w:instrText>
      </w:r>
      <w:r>
        <w:fldChar w:fldCharType="separate"/>
      </w:r>
      <w:r w:rsidR="000E1725" w:rsidRPr="00AD7026">
        <w:t xml:space="preserve">Figure </w:t>
      </w:r>
      <w:r w:rsidR="000E1725">
        <w:rPr>
          <w:noProof/>
        </w:rPr>
        <w:t>4</w:t>
      </w:r>
      <w:r w:rsidR="000E1725">
        <w:t>.</w:t>
      </w:r>
      <w:r w:rsidR="000E1725">
        <w:rPr>
          <w:noProof/>
        </w:rPr>
        <w:t>6</w:t>
      </w:r>
      <w:r>
        <w:fldChar w:fldCharType="end"/>
      </w:r>
      <w:r>
        <w:t xml:space="preserve"> (b) displays the TOU rate and number of seconds in a 5-minute interval during which the AC was on. </w:t>
      </w:r>
      <w:r>
        <w:fldChar w:fldCharType="begin"/>
      </w:r>
      <w:r>
        <w:instrText xml:space="preserve"> REF _Ref139416575 \h </w:instrText>
      </w:r>
      <w:r>
        <w:fldChar w:fldCharType="separate"/>
      </w:r>
      <w:r w:rsidR="000E1725" w:rsidRPr="00AD7026">
        <w:t xml:space="preserve">Figure </w:t>
      </w:r>
      <w:r w:rsidR="000E1725">
        <w:rPr>
          <w:noProof/>
        </w:rPr>
        <w:t>4</w:t>
      </w:r>
      <w:r w:rsidR="000E1725">
        <w:t>.</w:t>
      </w:r>
      <w:r w:rsidR="000E1725">
        <w:rPr>
          <w:noProof/>
        </w:rPr>
        <w:t>6</w:t>
      </w:r>
      <w:r>
        <w:fldChar w:fldCharType="end"/>
      </w:r>
      <w:r>
        <w:t xml:space="preserve"> (c) shows the actual weather conditions (solar irradiation </w:t>
      </w:r>
      <m:oMath>
        <m:r>
          <w:rPr>
            <w:rFonts w:ascii="Cambria Math" w:hAnsi="Cambria Math"/>
          </w:rPr>
          <m:t>S</m:t>
        </m:r>
      </m:oMath>
      <w:r>
        <w:t xml:space="preserve">, wind speed </w:t>
      </w:r>
      <m:oMath>
        <m:r>
          <w:rPr>
            <w:rFonts w:ascii="Cambria Math" w:hAnsi="Cambria Math"/>
          </w:rPr>
          <m:t>W</m:t>
        </m:r>
      </m:oMath>
      <w:r>
        <w:rPr>
          <w:rFonts w:hint="eastAsia"/>
        </w:rPr>
        <w:t>,</w:t>
      </w:r>
      <w:r>
        <w:t xml:space="preserve"> and outdoor air temperature </w:t>
      </w:r>
      <m:oMath>
        <m:sSub>
          <m:sSubPr>
            <m:ctrlPr>
              <w:rPr>
                <w:rFonts w:ascii="Cambria Math" w:hAnsi="Cambria Math"/>
                <w:i/>
              </w:rPr>
            </m:ctrlPr>
          </m:sSubPr>
          <m:e>
            <m:r>
              <w:rPr>
                <w:rFonts w:ascii="Cambria Math" w:hAnsi="Cambria Math"/>
              </w:rPr>
              <m:t>T</m:t>
            </m:r>
          </m:e>
          <m:sub>
            <m:r>
              <w:rPr>
                <w:rFonts w:ascii="Cambria Math" w:hAnsi="Cambria Math"/>
              </w:rPr>
              <m:t>o</m:t>
            </m:r>
          </m:sub>
        </m:sSub>
      </m:oMath>
      <w:r>
        <w:rPr>
          <w:rFonts w:hint="eastAsia"/>
        </w:rPr>
        <w:t>)</w:t>
      </w:r>
      <w:r w:rsidRPr="00F454E5">
        <w:t xml:space="preserve">. </w:t>
      </w:r>
      <w:r>
        <w:t xml:space="preserve">Also shown in the figure are red-shaded areas representing the on-peak hours. Analyzing </w:t>
      </w:r>
      <w:r>
        <w:fldChar w:fldCharType="begin"/>
      </w:r>
      <w:r>
        <w:instrText xml:space="preserve"> REF _Ref139416575 \h </w:instrText>
      </w:r>
      <w:r>
        <w:fldChar w:fldCharType="separate"/>
      </w:r>
      <w:r w:rsidR="000E1725" w:rsidRPr="00AD7026">
        <w:t xml:space="preserve">Figure </w:t>
      </w:r>
      <w:r w:rsidR="000E1725">
        <w:rPr>
          <w:noProof/>
        </w:rPr>
        <w:t>4</w:t>
      </w:r>
      <w:r w:rsidR="000E1725">
        <w:t>.</w:t>
      </w:r>
      <w:r w:rsidR="000E1725">
        <w:rPr>
          <w:noProof/>
        </w:rPr>
        <w:t>6</w:t>
      </w:r>
      <w:r>
        <w:fldChar w:fldCharType="end"/>
      </w:r>
      <w:r>
        <w:t xml:space="preserve"> , several observations can be made. First, </w:t>
      </w:r>
      <m:oMath>
        <m:sSub>
          <m:sSubPr>
            <m:ctrlPr>
              <w:rPr>
                <w:rFonts w:ascii="Cambria Math" w:hAnsi="Cambria Math"/>
                <w:i/>
              </w:rPr>
            </m:ctrlPr>
          </m:sSubPr>
          <m:e>
            <m:r>
              <w:rPr>
                <w:rFonts w:ascii="Cambria Math" w:hAnsi="Cambria Math"/>
              </w:rPr>
              <m:t>T</m:t>
            </m:r>
          </m:e>
          <m:sub>
            <m:r>
              <w:rPr>
                <w:rFonts w:ascii="Cambria Math" w:hAnsi="Cambria Math"/>
              </w:rPr>
              <m:t>in</m:t>
            </m:r>
          </m:sub>
        </m:sSub>
      </m:oMath>
      <w:r>
        <w:rPr>
          <w:rFonts w:hint="eastAsia"/>
        </w:rPr>
        <w:t xml:space="preserve"> </w:t>
      </w:r>
      <w:r>
        <w:t>mostly stayed within</w:t>
      </w:r>
      <w:r w:rsidRPr="00F454E5">
        <w:t xml:space="preserve"> </w:t>
      </w:r>
      <m:oMath>
        <m:sSub>
          <m:sSubPr>
            <m:ctrlPr>
              <w:rPr>
                <w:rFonts w:ascii="Cambria Math" w:hAnsi="Cambria Math"/>
                <w:i/>
              </w:rPr>
            </m:ctrlPr>
          </m:sSubPr>
          <m:e>
            <m:r>
              <w:rPr>
                <w:rFonts w:ascii="Cambria Math" w:hAnsi="Cambria Math"/>
              </w:rPr>
              <m:t>T</m:t>
            </m:r>
          </m:e>
          <m:sub>
            <m:r>
              <w:rPr>
                <w:rFonts w:ascii="Cambria Math" w:hAnsi="Cambria Math"/>
              </w:rPr>
              <m:t>ub</m:t>
            </m:r>
          </m:sub>
        </m:sSub>
      </m:oMath>
      <w:r>
        <w:rPr>
          <w:rFonts w:eastAsia="PMingLiU"/>
        </w:rPr>
        <w:t xml:space="preserve"> and </w:t>
      </w:r>
      <m:oMath>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lb</m:t>
            </m:r>
          </m:sub>
        </m:sSub>
      </m:oMath>
      <w:r>
        <w:rPr>
          <w:rFonts w:eastAsia="PMingLiU"/>
        </w:rPr>
        <w:t xml:space="preserve"> but did occasionally exceed </w:t>
      </w:r>
      <m:oMath>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ub</m:t>
            </m:r>
          </m:sub>
        </m:sSub>
      </m:oMath>
      <w:r>
        <w:rPr>
          <w:rFonts w:eastAsia="PMingLiU"/>
        </w:rPr>
        <w:t xml:space="preserve">. When </w:t>
      </w:r>
      <m:oMath>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in</m:t>
            </m:r>
          </m:sub>
        </m:sSub>
      </m:oMath>
      <w:r>
        <w:rPr>
          <w:rFonts w:eastAsia="PMingLiU"/>
        </w:rPr>
        <w:t xml:space="preserve"> exceeded </w:t>
      </w:r>
      <m:oMath>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ub</m:t>
            </m:r>
          </m:sub>
        </m:sSub>
      </m:oMath>
      <w:r>
        <w:rPr>
          <w:rFonts w:eastAsia="PMingLiU"/>
        </w:rPr>
        <w:t xml:space="preserve">, the slack variables in </w:t>
      </w:r>
      <w:r>
        <w:rPr>
          <w:rFonts w:eastAsia="PMingLiU"/>
        </w:rPr>
        <w:fldChar w:fldCharType="begin"/>
      </w:r>
      <w:r>
        <w:rPr>
          <w:rFonts w:eastAsia="PMingLiU"/>
        </w:rPr>
        <w:instrText xml:space="preserve"> REF _Ref134223675 \h </w:instrText>
      </w:r>
      <w:r>
        <w:rPr>
          <w:rFonts w:eastAsia="PMingLiU"/>
        </w:rPr>
      </w:r>
      <w:r>
        <w:rPr>
          <w:rFonts w:eastAsia="PMingLiU"/>
        </w:rPr>
        <w:fldChar w:fldCharType="separate"/>
      </w:r>
      <w:r w:rsidR="000E1725">
        <w:t>(</w:t>
      </w:r>
      <w:r w:rsidR="000E1725">
        <w:rPr>
          <w:noProof/>
        </w:rPr>
        <w:t>22</w:t>
      </w:r>
      <w:r w:rsidR="000E1725">
        <w:t>)</w:t>
      </w:r>
      <w:r>
        <w:rPr>
          <w:rFonts w:eastAsia="PMingLiU"/>
        </w:rPr>
        <w:fldChar w:fldCharType="end"/>
      </w:r>
      <w:r>
        <w:rPr>
          <w:rFonts w:eastAsia="PMingLiU"/>
        </w:rPr>
        <w:t xml:space="preserve"> imposed a penalty on the objective function. If this happened during the on-peak hours, the penalty might be small compared to the high electricity cost and hence might not cause the AC to turn on immediately. Second, </w:t>
      </w:r>
      <m:oMath>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ie</m:t>
            </m:r>
          </m:sub>
        </m:sSub>
      </m:oMath>
      <w:r>
        <w:rPr>
          <w:rFonts w:eastAsia="PMingLiU"/>
        </w:rPr>
        <w:t xml:space="preserve"> changed much more slowly compared to </w:t>
      </w:r>
      <m:oMath>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in</m:t>
            </m:r>
          </m:sub>
        </m:sSub>
      </m:oMath>
      <w:r>
        <w:rPr>
          <w:rFonts w:hint="eastAsia"/>
        </w:rPr>
        <w:t>.</w:t>
      </w:r>
      <w:r>
        <w:t xml:space="preserve"> This was because the building structure was a much larger thermal storage compared to indoor air. Such a difference also justified the use of the 2R2C model. Third, the MPC agent was able to take advantage of the cooler early morning air to precool the space with higher efficiency. More importantly, unlike rule-based precooling control which has a fixed precooling schedule regardless of weather, the MPC agent was capable of adapting its schedule to weather, TOU rates, etc. For example, precooling began at 4:40 am on August 4 and 5:50 am on August 10. Fourth, despite the </w:t>
      </w:r>
      <w:r>
        <w:lastRenderedPageBreak/>
        <w:t xml:space="preserve">precooling, </w:t>
      </w:r>
      <m:oMath>
        <m:sSub>
          <m:sSubPr>
            <m:ctrlPr>
              <w:rPr>
                <w:rFonts w:ascii="Cambria Math" w:hAnsi="Cambria Math"/>
                <w:i/>
              </w:rPr>
            </m:ctrlPr>
          </m:sSubPr>
          <m:e>
            <m:r>
              <w:rPr>
                <w:rFonts w:ascii="Cambria Math" w:hAnsi="Cambria Math" w:hint="eastAsia"/>
              </w:rPr>
              <m:t>T</m:t>
            </m:r>
            <m:ctrlPr>
              <w:rPr>
                <w:rFonts w:ascii="Cambria Math" w:hAnsi="Cambria Math" w:hint="eastAsia"/>
                <w:i/>
              </w:rPr>
            </m:ctrlPr>
          </m:e>
          <m:sub>
            <m:r>
              <w:rPr>
                <w:rFonts w:ascii="Cambria Math" w:hAnsi="Cambria Math"/>
              </w:rPr>
              <m:t>in</m:t>
            </m:r>
          </m:sub>
        </m:sSub>
      </m:oMath>
      <w:r>
        <w:rPr>
          <w:rFonts w:hint="eastAsia"/>
        </w:rPr>
        <w:t xml:space="preserve"> </w:t>
      </w:r>
      <w:r>
        <w:t xml:space="preserve">often reached </w:t>
      </w:r>
      <m:oMath>
        <m:sSub>
          <m:sSubPr>
            <m:ctrlPr>
              <w:rPr>
                <w:rFonts w:ascii="Cambria Math" w:hAnsi="Cambria Math"/>
                <w:i/>
              </w:rPr>
            </m:ctrlPr>
          </m:sSubPr>
          <m:e>
            <m:r>
              <w:rPr>
                <w:rFonts w:ascii="Cambria Math" w:hAnsi="Cambria Math"/>
              </w:rPr>
              <m:t>T</m:t>
            </m:r>
          </m:e>
          <m:sub>
            <m:r>
              <w:rPr>
                <w:rFonts w:ascii="Cambria Math" w:hAnsi="Cambria Math"/>
              </w:rPr>
              <m:t>ub</m:t>
            </m:r>
          </m:sub>
        </m:sSub>
      </m:oMath>
      <w:r>
        <w:rPr>
          <w:rFonts w:hint="eastAsia"/>
        </w:rPr>
        <w:t xml:space="preserve"> </w:t>
      </w:r>
      <w:r>
        <w:t xml:space="preserve">before the on-peak hours ended, forcing the AC to be on even though that was costly. </w:t>
      </w:r>
      <w:r>
        <w:rPr>
          <w:rFonts w:hint="eastAsia"/>
        </w:rPr>
        <w:t>These</w:t>
      </w:r>
      <w:r>
        <w:t xml:space="preserve"> observations show that the MPC agent behaved as intended. Finally, we remark that the reason </w:t>
      </w:r>
      <m:oMath>
        <m:sSub>
          <m:sSubPr>
            <m:ctrlPr>
              <w:rPr>
                <w:rFonts w:ascii="Cambria Math" w:hAnsi="Cambria Math"/>
                <w:i/>
              </w:rPr>
            </m:ctrlPr>
          </m:sSubPr>
          <m:e>
            <m:r>
              <w:rPr>
                <w:rFonts w:ascii="Cambria Math" w:hAnsi="Cambria Math"/>
              </w:rPr>
              <m:t>T</m:t>
            </m:r>
          </m:e>
          <m:sub>
            <m:r>
              <w:rPr>
                <w:rFonts w:ascii="Cambria Math" w:hAnsi="Cambria Math"/>
              </w:rPr>
              <m:t>in</m:t>
            </m:r>
          </m:sub>
        </m:sSub>
      </m:oMath>
      <w:r>
        <w:rPr>
          <w:rFonts w:hint="eastAsia"/>
        </w:rPr>
        <w:t xml:space="preserve"> </w:t>
      </w:r>
      <w:r>
        <w:t xml:space="preserve">reached as high as 83℉ on August 10 was that the MPC agent went offline unexpectedly. </w:t>
      </w:r>
    </w:p>
    <w:p w14:paraId="514D82D0" w14:textId="77777777" w:rsidR="00471941" w:rsidRDefault="00471941" w:rsidP="00623535">
      <w:pPr>
        <w:pStyle w:val="12FigureFormatSelectafigureandclickonthisstyle"/>
      </w:pPr>
      <w:bookmarkStart w:id="298" w:name="_Ref114511242"/>
      <w:r>
        <w:rPr>
          <w:noProof/>
        </w:rPr>
        <w:drawing>
          <wp:inline distT="0" distB="0" distL="0" distR="0" wp14:anchorId="1EFB47C2" wp14:editId="28FC9EAA">
            <wp:extent cx="5749671" cy="3423564"/>
            <wp:effectExtent l="0" t="0" r="0" b="0"/>
            <wp:docPr id="585651092" name="Picture 585651092"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包含 图形用户界面&#10;&#10;描述已自动生成"/>
                    <pic:cNvPicPr/>
                  </pic:nvPicPr>
                  <pic:blipFill>
                    <a:blip r:embed="rId46">
                      <a:extLst>
                        <a:ext uri="{28A0092B-C50C-407E-A947-70E740481C1C}">
                          <a14:useLocalDpi xmlns:a14="http://schemas.microsoft.com/office/drawing/2010/main" val="0"/>
                        </a:ext>
                      </a:extLst>
                    </a:blip>
                    <a:stretch>
                      <a:fillRect/>
                    </a:stretch>
                  </pic:blipFill>
                  <pic:spPr>
                    <a:xfrm>
                      <a:off x="0" y="0"/>
                      <a:ext cx="5756912" cy="3427875"/>
                    </a:xfrm>
                    <a:prstGeom prst="rect">
                      <a:avLst/>
                    </a:prstGeom>
                  </pic:spPr>
                </pic:pic>
              </a:graphicData>
            </a:graphic>
          </wp:inline>
        </w:drawing>
      </w:r>
    </w:p>
    <w:p w14:paraId="25A053A2" w14:textId="206EBABC" w:rsidR="00471941" w:rsidRDefault="00471941" w:rsidP="00471941">
      <w:pPr>
        <w:pStyle w:val="13FigureCaption"/>
      </w:pPr>
      <w:bookmarkStart w:id="299" w:name="_Ref139416575"/>
      <w:bookmarkStart w:id="300" w:name="_Toc141349927"/>
      <w:bookmarkStart w:id="301" w:name="_Ref114638529"/>
      <w:r w:rsidRPr="00AD7026">
        <w:t xml:space="preserve">Figure </w:t>
      </w:r>
      <w:fldSimple w:instr=" STYLEREF 1 \s ">
        <w:r w:rsidR="000E1725">
          <w:rPr>
            <w:noProof/>
          </w:rPr>
          <w:t>4</w:t>
        </w:r>
      </w:fldSimple>
      <w:r w:rsidR="005445E0">
        <w:t>.</w:t>
      </w:r>
      <w:fldSimple w:instr=" SEQ Figure \* ARABIC \s 1 ">
        <w:r w:rsidR="000E1725">
          <w:rPr>
            <w:noProof/>
          </w:rPr>
          <w:t>6</w:t>
        </w:r>
      </w:fldSimple>
      <w:bookmarkEnd w:id="299"/>
      <w:r w:rsidRPr="00052560">
        <w:t xml:space="preserve"> </w:t>
      </w:r>
      <w:r>
        <w:t>Seven c</w:t>
      </w:r>
      <w:r w:rsidRPr="00052560">
        <w:t xml:space="preserve">onsecutive </w:t>
      </w:r>
      <w:r>
        <w:t>d</w:t>
      </w:r>
      <w:r w:rsidRPr="00052560">
        <w:t xml:space="preserve">ays </w:t>
      </w:r>
      <w:r>
        <w:t xml:space="preserve">of </w:t>
      </w:r>
      <w:r w:rsidRPr="00052560">
        <w:t>MPC</w:t>
      </w:r>
      <w:r>
        <w:t>-based precooling test r</w:t>
      </w:r>
      <w:r w:rsidRPr="00052560">
        <w:t>esults.</w:t>
      </w:r>
      <w:r>
        <w:t xml:space="preserve"> (a) Smart thermostat and node sensor measurements. (b) AC signals and TOU rate. (c) Actual weather conditions.</w:t>
      </w:r>
      <w:bookmarkEnd w:id="300"/>
      <w:r>
        <w:t xml:space="preserve"> </w:t>
      </w:r>
    </w:p>
    <w:p w14:paraId="12B5412D" w14:textId="0CE6D1D7" w:rsidR="00471941" w:rsidRPr="00B01372" w:rsidRDefault="00471941" w:rsidP="00471941">
      <w:pPr>
        <w:pStyle w:val="Heading4"/>
      </w:pPr>
      <w:bookmarkStart w:id="302" w:name="_Toc133542383"/>
      <w:bookmarkStart w:id="303" w:name="_Ref139416983"/>
      <w:bookmarkStart w:id="304" w:name="_Toc141991717"/>
      <w:bookmarkEnd w:id="298"/>
      <w:bookmarkEnd w:id="301"/>
      <w:r w:rsidRPr="00B01372">
        <w:t xml:space="preserve">MPC </w:t>
      </w:r>
      <w:r w:rsidR="004D3161">
        <w:t>p</w:t>
      </w:r>
      <w:r w:rsidRPr="00B01372">
        <w:t xml:space="preserve">erformance </w:t>
      </w:r>
      <w:r w:rsidR="004D3161">
        <w:t>a</w:t>
      </w:r>
      <w:r w:rsidRPr="00B01372">
        <w:t xml:space="preserve">ssessment </w:t>
      </w:r>
      <w:r w:rsidR="00895B1C">
        <w:t>at</w:t>
      </w:r>
      <w:r w:rsidRPr="00B01372">
        <w:t xml:space="preserve"> </w:t>
      </w:r>
      <w:r w:rsidR="004D3161">
        <w:t>m</w:t>
      </w:r>
      <w:r w:rsidRPr="00B01372">
        <w:t>ultiple</w:t>
      </w:r>
      <w:r w:rsidR="00895B1C">
        <w:t xml:space="preserve"> </w:t>
      </w:r>
      <w:r w:rsidR="004D3161">
        <w:t>t</w:t>
      </w:r>
      <w:r w:rsidR="00895B1C">
        <w:t>est</w:t>
      </w:r>
      <w:r w:rsidRPr="00B01372">
        <w:t xml:space="preserve"> </w:t>
      </w:r>
      <w:r w:rsidR="004D3161">
        <w:t>h</w:t>
      </w:r>
      <w:r w:rsidRPr="00B01372">
        <w:t>omes</w:t>
      </w:r>
      <w:bookmarkEnd w:id="302"/>
      <w:bookmarkEnd w:id="303"/>
      <w:bookmarkEnd w:id="304"/>
    </w:p>
    <w:p w14:paraId="4E920E39" w14:textId="77777777" w:rsidR="00471941" w:rsidRPr="00921737" w:rsidRDefault="00471941" w:rsidP="00471941">
      <w:pPr>
        <w:rPr>
          <w:rFonts w:eastAsia="PMingLiU"/>
        </w:rPr>
      </w:pPr>
      <w:r>
        <w:rPr>
          <w:rFonts w:hint="eastAsia"/>
        </w:rPr>
        <w:t>I</w:t>
      </w:r>
      <w:r>
        <w:t xml:space="preserve">n this section, the result with and without the MPC agent are compared and then the building's energy flexibility is assessed by comparing the flexibility factors across multiple homes. Since the weather is a dominant input variable for AC operation, to eliminate the weather influence, a modified matrix profile-based weather clustering algorithm is introduced </w:t>
      </w:r>
      <w:r>
        <w:lastRenderedPageBreak/>
        <w:t xml:space="preserve">to assess the MPC performance in different weather conditions. </w:t>
      </w:r>
    </w:p>
    <w:p w14:paraId="5438875C" w14:textId="77777777" w:rsidR="00471941" w:rsidRPr="00B01372" w:rsidRDefault="00471941" w:rsidP="00471941">
      <w:pPr>
        <w:pStyle w:val="Heading5"/>
        <w:numPr>
          <w:ilvl w:val="0"/>
          <w:numId w:val="55"/>
        </w:numPr>
        <w:ind w:left="0" w:firstLine="482"/>
      </w:pPr>
      <w:bookmarkStart w:id="305" w:name="_Toc133542384"/>
      <w:r w:rsidRPr="00B01372">
        <w:t>Weather clustering</w:t>
      </w:r>
      <w:bookmarkEnd w:id="305"/>
      <w:r w:rsidRPr="00B01372">
        <w:t xml:space="preserve"> </w:t>
      </w:r>
    </w:p>
    <w:p w14:paraId="17ADA86B" w14:textId="518625B8" w:rsidR="00471941" w:rsidRDefault="00471941" w:rsidP="00471941">
      <w:r>
        <w:t>To allow fair comparisons without complicated calculation, and filter out the abnormal weather conditions, a modified weather clustering algorithm is developed</w:t>
      </w:r>
      <w:r w:rsidDel="0015546D">
        <w:t xml:space="preserve"> by </w:t>
      </w:r>
      <w:r>
        <w:t xml:space="preserve">combing Matrix Profile-based algorithms discussed in a series of studies </w:t>
      </w:r>
      <w:r>
        <w:fldChar w:fldCharType="begin"/>
      </w:r>
      <w:r w:rsidR="0082416B">
        <w:instrText xml:space="preserve"> ADDIN ZOTERO_ITEM CSL_CITATION {"citationID":"Kn9940oC","properties":{"formattedCitation":"[128\\uc0\\u8211{}130]","plainCitation":"[128–130]","noteIndex":0},"citationItems":[{"id":1248,"uris":["http://zotero.org/users/5659608/items/42QIDJ5N"],"itemData":{"id":1248,"type":"paper-conference","abstract":"Time series motifs are approximately repeating patterns in real-valued time series data. They are useful for exploratory data mining and are often used as inputs for various time series clustering, classification, segmentation, rule discovery, and visualization algorithms. Since the introduction of the first motif discovery algorithm for univariate time series in 2002, multiple efforts have been made to generalize motifs to the multidimensional case. In this work, we show that these efforts, which typically attempt to find motifs on all dimensions, will not produce meaningful motifs except in the most contrived situations. We explain this finding and introduce mSTAMP, an algorithm that allows meaningful discovery of multidimensional motifs. Beyond producing objectively and subjectively meaningful results, our algorithm has a host of additional advantages, including being much faster, requiring fewer parameters and supporting streaming data. We demonstrate the utility of our mSTAMPbased motif discovery framework on domains as diverse as audio processing, industry, and sports analytics.","container-title":"2017 IEEE International Conference on Data Mining (ICDM)","DOI":"10.1109/ICDM.2017.66","event-place":"New Orleans, LA","event-title":"2017 IEEE International Conference on Data Mining (ICDM)","ISBN":"978-1-5386-3835-4","language":"en","page":"565-574","publisher":"IEEE","publisher-place":"New Orleans, LA","source":"DOI.org (Crossref)","title":"Matrix Profile VI: Meaningful Multidimensional Motif Discovery","title-short":"Matrix Profile VI","URL":"http://ieeexplore.ieee.org/document/8215529/","author":[{"family":"Yeh","given":"Chin-Chia Michael"},{"family":"Kavantzas","given":"Nickolas"},{"family":"Keogh","given":"Eamonn"}],"accessed":{"date-parts":[["2022",11,20]]},"issued":{"date-parts":[["2017",11]]},"citation-key":"yehMatrixProfileVI2017"}},{"id":1252,"uris":["http://zotero.org/users/5659608/items/JYUX9SJD"],"itemData":{"id":1252,"type":"paper-conference","abstract":"At their core, many time series data mining algorithms can be reduced to reasoning about the shapes of time series subsequences. This requires a distance measure, and most algorithms use Euclidean Distance or Dynamic Time Warping (DTW) as their core subroutine. We argue that these distance measures are not as robust as the community believes. The undue faith in these measures derives from an overreliance on benchmark datasets and self-selection bias. The community is reluctant to address more difficult domains, for which current distance measures are ill-suited. In this work, we introduce a novel distance measure MPdist. We show that our proposed distance measure is much more robust than current distance measures. Furthermore, it allows us to successfully mine datasets that would defeat any Euclidean or DTW distance-based algorithm. Additionally, we show that our distance measure can be computed so efficiently, it allows analytics on fast streams.","container-title":"2018 IEEE International Conference on Data Mining (ICDM)","DOI":"10.1109/ICDM.2018.00119","event-place":"Singapore","event-title":"2018 IEEE International Conference on Data Mining (ICDM)","ISBN":"978-1-5386-9159-5","language":"en","page":"965-970","publisher":"IEEE","publisher-place":"Singapore","source":"DOI.org (Crossref)","title":"Matrix Profile XII: MPdist: A Novel Time Series Distance Measure to Allow Data Mining in More Challenging Scenarios","title-short":"Matrix Profile XII","URL":"https://ieeexplore.ieee.org/document/8594928/","author":[{"family":"Gharghabi","given":"Shaghayegh"},{"family":"Imani","given":"Shima"},{"family":"Bagnall","given":"Anthony"},{"family":"Darvishzadeh","given":"Amirali"},{"family":"Keogh","given":"Eamonn"}],"accessed":{"date-parts":[["2022",11,20]]},"issued":{"date-parts":[["2018",11]]},"citation-key":"gharghabiMatrixProfileXII2018"}},{"id":1250,"uris":["http://zotero.org/users/5659608/items/X7KDK899"],"itemData":{"id":1250,"type":"paper-conference","abstract":"Perhaps the most basic query made by a data analyst confronting a new data source is “Show me some representative/typical data.” Answering this question is trivial in many domains, but surprisingly, it is very difficult in large time series datasets. The major difficulty is not time or space complexity, but defining what it means to be representative data in this domain. In this work, we show that the obvious candidate definitions: motifs, shapelets, cluster centers, random samples etc., are all poor choices. Thus motivated, we introduce time series snippets, a novel representation of typical time series subsequences. Beyond their utility for visualizing and summarizing massive time series collections, we show that time series snippets have utility for high-level comparison of large time series collections.","container-title":"2018 IEEE International Conference on Big Knowledge (ICBK)","DOI":"10.1109/ICBK.2018.00058","event-place":"Singapore","event-title":"2018 IEEE International Conference on Big Knowledge (ICBK)","ISBN":"978-1-5386-9125-0","language":"en","page":"382-389","publisher":"IEEE","publisher-place":"Singapore","source":"DOI.org (Crossref)","title":"Matrix Profile XIII: Time Series Snippets: A New Primitive for Time Series Data Mining","title-short":"Matrix Profile XIII","URL":"https://ieeexplore.ieee.org/document/8588817/","author":[{"family":"Imani","given":"Shima"},{"family":"Madrid","given":"Frank"},{"family":"Ding","given":"Wei"},{"family":"Crouter","given":"Scott"},{"family":"Keogh","given":"Eamonn"}],"accessed":{"date-parts":[["2022",11,20]]},"issued":{"date-parts":[["2018",11]]},"citation-key":"imaniMatrixProfileXIII2018"}}],"schema":"https://github.com/citation-style-language/schema/raw/master/csl-citation.json"} </w:instrText>
      </w:r>
      <w:r>
        <w:fldChar w:fldCharType="separate"/>
      </w:r>
      <w:r w:rsidR="0082416B" w:rsidRPr="0082416B">
        <w:rPr>
          <w:kern w:val="0"/>
          <w:szCs w:val="24"/>
        </w:rPr>
        <w:t>[128–130]</w:t>
      </w:r>
      <w:r>
        <w:fldChar w:fldCharType="end"/>
      </w:r>
      <w:r w:rsidRPr="00632A4D">
        <w:t>.</w:t>
      </w:r>
      <w:r>
        <w:t xml:space="preserve"> To cluster the long (four months, 5 minute interval), time-series (focusing on clustering subsequences rather than a single point), and multi-dimension (outdoor air temperature, solar, and humidity) data, the </w:t>
      </w:r>
      <w:r w:rsidRPr="00070EA0">
        <w:t>Snippets algorithm</w:t>
      </w:r>
      <w:r>
        <w:t xml:space="preserve"> </w:t>
      </w:r>
      <w:r>
        <w:fldChar w:fldCharType="begin"/>
      </w:r>
      <w:r w:rsidR="0082416B">
        <w:instrText xml:space="preserve"> ADDIN ZOTERO_ITEM CSL_CITATION {"citationID":"MxYhPRve","properties":{"formattedCitation":"[130]","plainCitation":"[130]","noteIndex":0},"citationItems":[{"id":1250,"uris":["http://zotero.org/users/5659608/items/X7KDK899"],"itemData":{"id":1250,"type":"paper-conference","abstract":"Perhaps the most basic query made by a data analyst confronting a new data source is “Show me some representative/typical data.” Answering this question is trivial in many domains, but surprisingly, it is very difficult in large time series datasets. The major difficulty is not time or space complexity, but defining what it means to be representative data in this domain. In this work, we show that the obvious candidate definitions: motifs, shapelets, cluster centers, random samples etc., are all poor choices. Thus motivated, we introduce time series snippets, a novel representation of typical time series subsequences. Beyond their utility for visualizing and summarizing massive time series collections, we show that time series snippets have utility for high-level comparison of large time series collections.","container-title":"2018 IEEE International Conference on Big Knowledge (ICBK)","DOI":"10.1109/ICBK.2018.00058","event-place":"Singapore","event-title":"2018 IEEE International Conference on Big Knowledge (ICBK)","ISBN":"978-1-5386-9125-0","language":"en","page":"382-389","publisher":"IEEE","publisher-place":"Singapore","source":"DOI.org (Crossref)","title":"Matrix Profile XIII: Time Series Snippets: A New Primitive for Time Series Data Mining","title-short":"Matrix Profile XIII","URL":"https://ieeexplore.ieee.org/document/8588817/","author":[{"family":"Imani","given":"Shima"},{"family":"Madrid","given":"Frank"},{"family":"Ding","given":"Wei"},{"family":"Crouter","given":"Scott"},{"family":"Keogh","given":"Eamonn"}],"accessed":{"date-parts":[["2022",11,20]]},"issued":{"date-parts":[["2018",11]]},"citation-key":"imaniMatrixProfileXIII2018"}}],"schema":"https://github.com/citation-style-language/schema/raw/master/csl-citation.json"} </w:instrText>
      </w:r>
      <w:r>
        <w:fldChar w:fldCharType="separate"/>
      </w:r>
      <w:r w:rsidR="0082416B" w:rsidRPr="0082416B">
        <w:t>[130]</w:t>
      </w:r>
      <w:r>
        <w:fldChar w:fldCharType="end"/>
      </w:r>
      <w:r>
        <w:t xml:space="preserve"> is used to find the three most representative days of the test period. Then, days exhibiting high pattern similarity with the representative days are selected using the modified </w:t>
      </w:r>
      <w:r w:rsidRPr="00412453">
        <w:t>algorithm</w:t>
      </w:r>
      <w:r>
        <w:t xml:space="preserve"> which considers solar irradiation, outdoor air, and relative humidity. The details of the modified algorithm can be seen in Appendix A.</w:t>
      </w:r>
    </w:p>
    <w:p w14:paraId="7C22DC19" w14:textId="02F36BF1" w:rsidR="00471941" w:rsidRPr="00C926E0" w:rsidRDefault="00471941" w:rsidP="00471941">
      <w:pPr>
        <w:rPr>
          <w:rFonts w:eastAsia="PMingLiU"/>
        </w:rPr>
      </w:pPr>
      <w:r>
        <w:fldChar w:fldCharType="begin"/>
      </w:r>
      <w:r>
        <w:instrText xml:space="preserve"> REF _Ref120744278 \h  \* MERGEFORMAT </w:instrText>
      </w:r>
      <w:r>
        <w:fldChar w:fldCharType="separate"/>
      </w:r>
      <w:r w:rsidR="000E1725">
        <w:t xml:space="preserve">Figure </w:t>
      </w:r>
      <w:r w:rsidR="000E1725">
        <w:rPr>
          <w:noProof/>
        </w:rPr>
        <w:t>4.7</w:t>
      </w:r>
      <w:r>
        <w:fldChar w:fldCharType="end"/>
      </w:r>
      <w:r w:rsidRPr="002800D3">
        <w:t xml:space="preserve"> </w:t>
      </w:r>
      <w:r>
        <w:t>shows</w:t>
      </w:r>
      <w:r w:rsidRPr="002800D3">
        <w:t xml:space="preserve"> the weather clustering results for Norman</w:t>
      </w:r>
      <w:r>
        <w:t xml:space="preserve"> (Subplot (a))</w:t>
      </w:r>
      <w:r w:rsidRPr="002800D3">
        <w:t xml:space="preserve"> and Miami</w:t>
      </w:r>
      <w:r>
        <w:t xml:space="preserve"> (Subplot (b)).</w:t>
      </w:r>
      <w:r w:rsidRPr="002800D3">
        <w:t xml:space="preserve"> The</w:t>
      </w:r>
      <w:r>
        <w:t xml:space="preserve"> bold curves </w:t>
      </w:r>
      <w:r w:rsidRPr="002800D3">
        <w:t>show</w:t>
      </w:r>
      <w:r>
        <w:t xml:space="preserve"> </w:t>
      </w:r>
      <w:r w:rsidRPr="002800D3">
        <w:t>the</w:t>
      </w:r>
      <w:r>
        <w:t xml:space="preserve"> outdoor temperatures of</w:t>
      </w:r>
      <w:r w:rsidRPr="002800D3">
        <w:t xml:space="preserve"> </w:t>
      </w:r>
      <w:r>
        <w:t>three</w:t>
      </w:r>
      <w:r w:rsidRPr="002800D3">
        <w:t xml:space="preserve"> representative days</w:t>
      </w:r>
      <w:r>
        <w:t>, the hot (red), mild (</w:t>
      </w:r>
      <w:r>
        <w:rPr>
          <w:rFonts w:hint="eastAsia"/>
        </w:rPr>
        <w:t>orange</w:t>
      </w:r>
      <w:r>
        <w:t xml:space="preserve">), and cold (blue) days found by the Snippets algorithm from July to </w:t>
      </w:r>
      <w:r>
        <w:rPr>
          <w:rFonts w:hint="eastAsia"/>
        </w:rPr>
        <w:t>October</w:t>
      </w:r>
      <w:r w:rsidRPr="002800D3">
        <w:t xml:space="preserve">. The </w:t>
      </w:r>
      <w:r>
        <w:t>dashed curves</w:t>
      </w:r>
      <w:r w:rsidRPr="002800D3">
        <w:t xml:space="preserve"> are </w:t>
      </w:r>
      <w:r>
        <w:t xml:space="preserve">the 24-hour </w:t>
      </w:r>
      <w:r w:rsidRPr="002800D3">
        <w:t xml:space="preserve">time series </w:t>
      </w:r>
      <w:r>
        <w:t>weather data associated with the three representative days. T</w:t>
      </w:r>
      <w:r w:rsidRPr="002800D3">
        <w:t xml:space="preserve">he solar </w:t>
      </w:r>
      <w:r>
        <w:t>ir</w:t>
      </w:r>
      <w:r w:rsidRPr="002800D3">
        <w:t>radiation and relative humidity are also considered</w:t>
      </w:r>
      <w:r>
        <w:t>, but not shown</w:t>
      </w:r>
      <w:r w:rsidRPr="002800D3">
        <w:t xml:space="preserve"> </w:t>
      </w:r>
      <w:r>
        <w:t>in the figures</w:t>
      </w:r>
      <w:r w:rsidRPr="002800D3">
        <w:t xml:space="preserve">. The </w:t>
      </w:r>
      <w:r>
        <w:t>grey</w:t>
      </w:r>
      <w:r w:rsidRPr="002800D3">
        <w:t xml:space="preserve"> curves are the rest of </w:t>
      </w:r>
      <w:r>
        <w:t xml:space="preserve">the </w:t>
      </w:r>
      <w:r w:rsidRPr="002800D3">
        <w:t xml:space="preserve">days </w:t>
      </w:r>
      <w:r>
        <w:t xml:space="preserve">that </w:t>
      </w:r>
      <w:r w:rsidRPr="002800D3">
        <w:t xml:space="preserve">are not included in any cluster, which are labeled as extreme days. </w:t>
      </w:r>
      <w:r>
        <w:t>For the data in Norman</w:t>
      </w:r>
      <w:r w:rsidRPr="002800D3">
        <w:t>,</w:t>
      </w:r>
      <w:r>
        <w:t xml:space="preserve"> the </w:t>
      </w:r>
      <w:r w:rsidRPr="002800D3">
        <w:t>layer between each cluster is clear</w:t>
      </w:r>
      <w:r w:rsidRPr="002800D3">
        <w:rPr>
          <w:rFonts w:hint="eastAsia"/>
        </w:rPr>
        <w:t>,</w:t>
      </w:r>
      <w:r w:rsidRPr="002800D3">
        <w:t xml:space="preserve"> which means the data </w:t>
      </w:r>
      <w:r>
        <w:t>within</w:t>
      </w:r>
      <w:r w:rsidRPr="002800D3">
        <w:t xml:space="preserve"> each group </w:t>
      </w:r>
      <w:r>
        <w:t>are</w:t>
      </w:r>
      <w:r w:rsidRPr="002800D3">
        <w:t xml:space="preserve"> similar </w:t>
      </w:r>
      <w:r>
        <w:t>to</w:t>
      </w:r>
      <w:r w:rsidRPr="002800D3">
        <w:t xml:space="preserve"> each other. </w:t>
      </w:r>
      <w:r>
        <w:t>Since</w:t>
      </w:r>
      <w:r w:rsidRPr="002800D3">
        <w:t xml:space="preserve"> Miami </w:t>
      </w:r>
      <w:r w:rsidRPr="002800D3">
        <w:lastRenderedPageBreak/>
        <w:t>experienced</w:t>
      </w:r>
      <w:r>
        <w:t xml:space="preserve"> a severe thunderstorm during the test period, its cold cluster includes some abnormal weather change periods c</w:t>
      </w:r>
      <w:r w:rsidRPr="002800D3">
        <w:t xml:space="preserve">ompared with </w:t>
      </w:r>
      <w:r>
        <w:t xml:space="preserve">the hot and mild clusters. Hence, each day in the cold cluster has a large difference, but a similar shape. </w:t>
      </w:r>
    </w:p>
    <w:tbl>
      <w:tblPr>
        <w:tblStyle w:val="TableGrid"/>
        <w:tblW w:w="0" w:type="auto"/>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8"/>
        <w:gridCol w:w="4230"/>
      </w:tblGrid>
      <w:tr w:rsidR="00471941" w14:paraId="031DC97D" w14:textId="77777777" w:rsidTr="008833F3">
        <w:trPr>
          <w:trHeight w:val="2411"/>
        </w:trPr>
        <w:tc>
          <w:tcPr>
            <w:tcW w:w="4394" w:type="dxa"/>
            <w:vAlign w:val="center"/>
          </w:tcPr>
          <w:p w14:paraId="60629302" w14:textId="77777777" w:rsidR="00471941" w:rsidRDefault="00471941" w:rsidP="002023DB">
            <w:pPr>
              <w:ind w:firstLine="0"/>
            </w:pPr>
            <w:r>
              <w:rPr>
                <w:rFonts w:hint="eastAsia"/>
                <w:noProof/>
              </w:rPr>
              <w:drawing>
                <wp:inline distT="0" distB="0" distL="0" distR="0" wp14:anchorId="7E5FBAA4" wp14:editId="39883272">
                  <wp:extent cx="2693782" cy="1616270"/>
                  <wp:effectExtent l="0" t="0" r="0" b="3175"/>
                  <wp:docPr id="29" name="Picture 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93782" cy="1616270"/>
                          </a:xfrm>
                          <a:prstGeom prst="rect">
                            <a:avLst/>
                          </a:prstGeom>
                        </pic:spPr>
                      </pic:pic>
                    </a:graphicData>
                  </a:graphic>
                </wp:inline>
              </w:drawing>
            </w:r>
          </w:p>
        </w:tc>
        <w:tc>
          <w:tcPr>
            <w:tcW w:w="4230" w:type="dxa"/>
            <w:vAlign w:val="center"/>
          </w:tcPr>
          <w:p w14:paraId="40AE8B2B" w14:textId="77777777" w:rsidR="00471941" w:rsidRDefault="00471941" w:rsidP="008833F3">
            <w:pPr>
              <w:ind w:firstLine="0"/>
            </w:pPr>
            <w:r>
              <w:rPr>
                <w:rFonts w:hint="eastAsia"/>
                <w:noProof/>
              </w:rPr>
              <w:drawing>
                <wp:inline distT="0" distB="0" distL="0" distR="0" wp14:anchorId="39040579" wp14:editId="575CC6E3">
                  <wp:extent cx="2422879" cy="1453727"/>
                  <wp:effectExtent l="0" t="0" r="3175" b="0"/>
                  <wp:docPr id="1837632226" name="Picture 183763222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442679" cy="1465607"/>
                          </a:xfrm>
                          <a:prstGeom prst="rect">
                            <a:avLst/>
                          </a:prstGeom>
                        </pic:spPr>
                      </pic:pic>
                    </a:graphicData>
                  </a:graphic>
                </wp:inline>
              </w:drawing>
            </w:r>
          </w:p>
        </w:tc>
      </w:tr>
    </w:tbl>
    <w:p w14:paraId="28C78439" w14:textId="3227F3C7" w:rsidR="00471941" w:rsidRDefault="00471941" w:rsidP="00471941">
      <w:pPr>
        <w:pStyle w:val="13FigureCaption"/>
      </w:pPr>
      <w:bookmarkStart w:id="306" w:name="_Ref120744278"/>
      <w:bookmarkStart w:id="307" w:name="_Toc141349928"/>
      <w:r>
        <w:t xml:space="preserve">Figure </w:t>
      </w:r>
      <w:fldSimple w:instr=" STYLEREF 1 \s ">
        <w:r w:rsidR="000E1725">
          <w:rPr>
            <w:noProof/>
          </w:rPr>
          <w:t>4</w:t>
        </w:r>
      </w:fldSimple>
      <w:r w:rsidR="005445E0">
        <w:t>.</w:t>
      </w:r>
      <w:fldSimple w:instr=" SEQ Figure \* ARABIC \s 1 ">
        <w:r w:rsidR="000E1725">
          <w:rPr>
            <w:noProof/>
          </w:rPr>
          <w:t>7</w:t>
        </w:r>
      </w:fldSimple>
      <w:bookmarkEnd w:id="306"/>
      <w:r>
        <w:t xml:space="preserve"> Weather clustering results in (a) Norman and (b) Miami from July to October</w:t>
      </w:r>
      <w:bookmarkEnd w:id="307"/>
    </w:p>
    <w:p w14:paraId="3CACA86C" w14:textId="77777777" w:rsidR="0009128D" w:rsidRPr="0009128D" w:rsidRDefault="0009128D" w:rsidP="0009128D">
      <w:pPr>
        <w:pStyle w:val="ListParagraph"/>
        <w:numPr>
          <w:ilvl w:val="0"/>
          <w:numId w:val="55"/>
        </w:numPr>
        <w:ind w:firstLineChars="0"/>
        <w:rPr>
          <w:bCs/>
          <w:i/>
          <w:szCs w:val="24"/>
        </w:rPr>
      </w:pPr>
      <w:bookmarkStart w:id="308" w:name="_Toc133542385"/>
      <w:r w:rsidRPr="0009128D">
        <w:rPr>
          <w:bCs/>
          <w:i/>
          <w:szCs w:val="24"/>
        </w:rPr>
        <w:t xml:space="preserve">Performance with and without MPC agent  </w:t>
      </w:r>
    </w:p>
    <w:bookmarkEnd w:id="308"/>
    <w:p w14:paraId="68506445" w14:textId="41EE8E6B" w:rsidR="00471941" w:rsidRDefault="00471941" w:rsidP="00471941">
      <w:pPr>
        <w:rPr>
          <w:noProof/>
        </w:rPr>
      </w:pPr>
      <w:r>
        <w:fldChar w:fldCharType="begin"/>
      </w:r>
      <w:r>
        <w:instrText xml:space="preserve"> REF _Ref127122883 \h  \* MERGEFORMAT </w:instrText>
      </w:r>
      <w:r>
        <w:fldChar w:fldCharType="separate"/>
      </w:r>
      <w:r w:rsidR="000E1725" w:rsidRPr="004566DF">
        <w:t xml:space="preserve">Figure </w:t>
      </w:r>
      <w:r w:rsidR="000E1725">
        <w:rPr>
          <w:noProof/>
        </w:rPr>
        <w:t>4.8</w:t>
      </w:r>
      <w:r>
        <w:fldChar w:fldCharType="end"/>
      </w:r>
      <w:r>
        <w:t xml:space="preserve"> show</w:t>
      </w:r>
      <w:r w:rsidRPr="002800D3">
        <w:t xml:space="preserve">s </w:t>
      </w:r>
      <w:r>
        <w:t>the breakdown of the average daily AC system cost by on-peak and off-peak hours, comparing MPC agent performance to normal operation on hot summer days</w:t>
      </w:r>
      <w:r w:rsidRPr="002800D3">
        <w:t xml:space="preserve">. </w:t>
      </w:r>
      <w:r>
        <w:t xml:space="preserve">The test homes are listed in descending order of total cost reduction. The homes which did not have any MPC test on hot summer days are excluded. </w:t>
      </w:r>
      <w:r w:rsidRPr="002800D3">
        <w:t xml:space="preserve">The </w:t>
      </w:r>
      <w:r>
        <w:t xml:space="preserve">average daily </w:t>
      </w:r>
      <w:r w:rsidRPr="002800D3">
        <w:t>total cost</w:t>
      </w:r>
      <w:r>
        <w:t xml:space="preserve">s are </w:t>
      </w:r>
      <w:r w:rsidRPr="002800D3">
        <w:t>listed on</w:t>
      </w:r>
      <w:r>
        <w:t xml:space="preserve"> the</w:t>
      </w:r>
      <w:r w:rsidRPr="002800D3">
        <w:t xml:space="preserve"> </w:t>
      </w:r>
      <w:r>
        <w:t xml:space="preserve">top of each </w:t>
      </w:r>
      <w:r w:rsidRPr="002800D3">
        <w:t>bar</w:t>
      </w:r>
      <w:r>
        <w:t>. The percentage reduction of total cost and on-peak hour cost between the normal and MPC operation are listed underneath. Across</w:t>
      </w:r>
      <w:r w:rsidRPr="002800D3">
        <w:t xml:space="preserve"> different </w:t>
      </w:r>
      <w:r>
        <w:t>home</w:t>
      </w:r>
      <w:r w:rsidRPr="002800D3">
        <w:t>s, the average cost saving</w:t>
      </w:r>
      <w:r>
        <w:t>s</w:t>
      </w:r>
      <w:r w:rsidRPr="002800D3">
        <w:t xml:space="preserve"> </w:t>
      </w:r>
      <w:r>
        <w:t>of using the MPC agent on hot summer days range from 28.72% to 51.306</w:t>
      </w:r>
      <w:r w:rsidRPr="002800D3">
        <w:t>%</w:t>
      </w:r>
      <w:r>
        <w:t xml:space="preserve"> compared to normal operations</w:t>
      </w:r>
      <w:r w:rsidRPr="002800D3">
        <w:t>.</w:t>
      </w:r>
      <w:r>
        <w:t xml:space="preserve"> In all cases, the cost savings are contributed by the savings during on-peak hours (cost savings during on-peak hours range from 36.174% to 68.436%</w:t>
      </w:r>
      <w:r>
        <w:rPr>
          <w:rFonts w:hint="eastAsia"/>
        </w:rPr>
        <w:t>)</w:t>
      </w:r>
      <w:r>
        <w:t xml:space="preserve"> indicating the load shifting effectiveness of the MPC agent. </w:t>
      </w:r>
    </w:p>
    <w:p w14:paraId="6F239B88" w14:textId="77777777" w:rsidR="00471941" w:rsidRDefault="00471941" w:rsidP="00623535">
      <w:pPr>
        <w:pStyle w:val="12FigureFormatSelectafigureandclickonthisstyle"/>
      </w:pPr>
      <w:r>
        <w:rPr>
          <w:noProof/>
        </w:rPr>
        <w:lastRenderedPageBreak/>
        <w:drawing>
          <wp:inline distT="0" distB="0" distL="0" distR="0" wp14:anchorId="04932AC7" wp14:editId="27B60E6D">
            <wp:extent cx="5708591" cy="2152576"/>
            <wp:effectExtent l="0" t="0" r="0" b="0"/>
            <wp:docPr id="4" name="Picture 4" descr="Chart, histogram,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 waterfall chart&#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5729611" cy="2160502"/>
                    </a:xfrm>
                    <a:prstGeom prst="rect">
                      <a:avLst/>
                    </a:prstGeom>
                    <a:noFill/>
                    <a:ln>
                      <a:noFill/>
                    </a:ln>
                  </pic:spPr>
                </pic:pic>
              </a:graphicData>
            </a:graphic>
          </wp:inline>
        </w:drawing>
      </w:r>
    </w:p>
    <w:p w14:paraId="4412A2E6" w14:textId="00991759" w:rsidR="00471941" w:rsidRPr="001001A8" w:rsidRDefault="00471941" w:rsidP="00471941">
      <w:pPr>
        <w:pStyle w:val="13FigureCaption"/>
      </w:pPr>
      <w:bookmarkStart w:id="309" w:name="_Ref127122883"/>
      <w:bookmarkStart w:id="310" w:name="_Toc141349929"/>
      <w:r w:rsidRPr="004566DF">
        <w:t xml:space="preserve">Figure </w:t>
      </w:r>
      <w:fldSimple w:instr=" STYLEREF 1 \s ">
        <w:r w:rsidR="000E1725">
          <w:rPr>
            <w:noProof/>
          </w:rPr>
          <w:t>4</w:t>
        </w:r>
      </w:fldSimple>
      <w:r w:rsidR="005445E0">
        <w:t>.</w:t>
      </w:r>
      <w:fldSimple w:instr=" SEQ Figure \* ARABIC \s 1 ">
        <w:r w:rsidR="000E1725">
          <w:rPr>
            <w:noProof/>
          </w:rPr>
          <w:t>8</w:t>
        </w:r>
      </w:fldSimple>
      <w:bookmarkEnd w:id="309"/>
      <w:r>
        <w:t xml:space="preserve"> C</w:t>
      </w:r>
      <w:r w:rsidRPr="001D7E02">
        <w:t xml:space="preserve">ost saving summary for each </w:t>
      </w:r>
      <w:r>
        <w:t>home</w:t>
      </w:r>
      <w:r w:rsidRPr="001D7E02">
        <w:t xml:space="preserve"> </w:t>
      </w:r>
      <w:r>
        <w:t>on</w:t>
      </w:r>
      <w:r w:rsidRPr="001D7E02">
        <w:t xml:space="preserve"> hot summer days for normal operation days and MPC operation days</w:t>
      </w:r>
      <w:r>
        <w:t>.</w:t>
      </w:r>
      <w:bookmarkEnd w:id="310"/>
    </w:p>
    <w:p w14:paraId="1A001A03" w14:textId="7EBB466C" w:rsidR="00471941" w:rsidRDefault="00471941" w:rsidP="00471941">
      <w:pPr>
        <w:rPr>
          <w:noProof/>
        </w:rPr>
      </w:pPr>
      <w:r>
        <w:rPr>
          <w:b/>
          <w:bCs/>
        </w:rPr>
        <w:fldChar w:fldCharType="begin"/>
      </w:r>
      <w:r>
        <w:instrText xml:space="preserve"> REF _Ref127122898 \h </w:instrText>
      </w:r>
      <w:r>
        <w:rPr>
          <w:b/>
          <w:bCs/>
        </w:rPr>
        <w:instrText xml:space="preserve"> \* MERGEFORMAT </w:instrText>
      </w:r>
      <w:r>
        <w:rPr>
          <w:b/>
          <w:bCs/>
        </w:rPr>
      </w:r>
      <w:r>
        <w:rPr>
          <w:b/>
          <w:bCs/>
        </w:rPr>
        <w:fldChar w:fldCharType="separate"/>
      </w:r>
      <w:r w:rsidR="000E1725">
        <w:t xml:space="preserve">Figure </w:t>
      </w:r>
      <w:r w:rsidR="000E1725">
        <w:rPr>
          <w:noProof/>
        </w:rPr>
        <w:t>4.9</w:t>
      </w:r>
      <w:r>
        <w:rPr>
          <w:b/>
          <w:bCs/>
        </w:rPr>
        <w:fldChar w:fldCharType="end"/>
      </w:r>
      <w:r>
        <w:rPr>
          <w:b/>
          <w:bCs/>
        </w:rPr>
        <w:t xml:space="preserve"> </w:t>
      </w:r>
      <w:r>
        <w:t xml:space="preserve">is the daily average cost summary of the mild summer days. The legend in </w:t>
      </w:r>
      <w:r>
        <w:fldChar w:fldCharType="begin"/>
      </w:r>
      <w:r>
        <w:instrText xml:space="preserve"> REF _Ref127122883 \h  \* MERGEFORMAT </w:instrText>
      </w:r>
      <w:r>
        <w:fldChar w:fldCharType="separate"/>
      </w:r>
      <w:r w:rsidR="000E1725" w:rsidRPr="004566DF">
        <w:t xml:space="preserve">Figure </w:t>
      </w:r>
      <w:r w:rsidR="000E1725">
        <w:rPr>
          <w:noProof/>
        </w:rPr>
        <w:t>4.8</w:t>
      </w:r>
      <w:r>
        <w:fldChar w:fldCharType="end"/>
      </w:r>
      <w:r>
        <w:t xml:space="preserve"> also applies to this figure. Although significant savings were obtained during on-peak hours, indicating MPC load shifting effectiveness, the total cost savings including on-peak and off-peak hours show a wider range compared with the results for hot summer days, from 6.737% to 60.318% while the main floor of Home C shows negative savings. The smaller saving percentages occur to the three AC units which have very small baseline costs and therefore the savings can be easily concealed by variations of home activities and operation changes. For example, Home C main floor (Home-C down in Figure 11) shows a negative saving. It is because the MPC agent was only allowed to work with a 2-degree temperature band (78-80℉, from 9:00 pm to 6:00 am), and a 3-degree temperature band (rest of the day, 78-81℉) were set. The narrow comfortable temperature band impedes the benefit of the precooling. In addition, the homeowner requested to switch indoor temperature comfort range </w:t>
      </w:r>
      <w:r>
        <w:lastRenderedPageBreak/>
        <w:t xml:space="preserve">upper limit from 81℉ to 80℉ at 9 pm, leading to excessive AC operation at night, resulting in higher off-peak hour costs (the white space of the bar), and thus higher total costs. </w:t>
      </w:r>
    </w:p>
    <w:p w14:paraId="10F2B15F" w14:textId="77777777" w:rsidR="00471941" w:rsidRDefault="00471941" w:rsidP="00623535">
      <w:pPr>
        <w:pStyle w:val="12FigureFormatSelectafigureandclickonthisstyle"/>
      </w:pPr>
      <w:r>
        <w:rPr>
          <w:noProof/>
        </w:rPr>
        <w:drawing>
          <wp:inline distT="0" distB="0" distL="0" distR="0" wp14:anchorId="5D97FA59" wp14:editId="2A6C12E2">
            <wp:extent cx="5735111" cy="2112962"/>
            <wp:effectExtent l="0" t="0" r="0" b="1905"/>
            <wp:docPr id="48" name="Picture 4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35111" cy="2112962"/>
                    </a:xfrm>
                    <a:prstGeom prst="rect">
                      <a:avLst/>
                    </a:prstGeom>
                  </pic:spPr>
                </pic:pic>
              </a:graphicData>
            </a:graphic>
          </wp:inline>
        </w:drawing>
      </w:r>
    </w:p>
    <w:p w14:paraId="498B398A" w14:textId="5E2E3032" w:rsidR="00471941" w:rsidRPr="002D3736" w:rsidRDefault="00471941" w:rsidP="00471941">
      <w:pPr>
        <w:pStyle w:val="13FigureCaption"/>
      </w:pPr>
      <w:bookmarkStart w:id="311" w:name="_Ref127122898"/>
      <w:bookmarkStart w:id="312" w:name="_Toc141349930"/>
      <w:r>
        <w:t xml:space="preserve">Figure </w:t>
      </w:r>
      <w:fldSimple w:instr=" STYLEREF 1 \s ">
        <w:r w:rsidR="000E1725">
          <w:rPr>
            <w:noProof/>
          </w:rPr>
          <w:t>4</w:t>
        </w:r>
      </w:fldSimple>
      <w:r w:rsidR="005445E0">
        <w:t>.</w:t>
      </w:r>
      <w:fldSimple w:instr=" SEQ Figure \* ARABIC \s 1 ">
        <w:r w:rsidR="000E1725">
          <w:rPr>
            <w:noProof/>
          </w:rPr>
          <w:t>9</w:t>
        </w:r>
      </w:fldSimple>
      <w:bookmarkEnd w:id="311"/>
      <w:r>
        <w:t xml:space="preserve"> C</w:t>
      </w:r>
      <w:r w:rsidRPr="001D7E02">
        <w:t xml:space="preserve">ost saving summary for each </w:t>
      </w:r>
      <w:r>
        <w:t>home</w:t>
      </w:r>
      <w:r w:rsidRPr="001D7E02">
        <w:t xml:space="preserve"> </w:t>
      </w:r>
      <w:r>
        <w:t>on</w:t>
      </w:r>
      <w:r w:rsidRPr="001D7E02">
        <w:t xml:space="preserve"> mild summer days for normal operation days and MPC operation day</w:t>
      </w:r>
      <w:r>
        <w:t>s.</w:t>
      </w:r>
      <w:bookmarkEnd w:id="312"/>
    </w:p>
    <w:p w14:paraId="7D2B4D87" w14:textId="42364964" w:rsidR="00471941" w:rsidRPr="00C95C82" w:rsidRDefault="00471941" w:rsidP="00471941">
      <w:pPr>
        <w:rPr>
          <w:noProof/>
        </w:rPr>
      </w:pPr>
      <w:r>
        <w:fldChar w:fldCharType="begin"/>
      </w:r>
      <w:r>
        <w:instrText xml:space="preserve"> REF _Ref130202100 \h  \* MERGEFORMAT </w:instrText>
      </w:r>
      <w:r>
        <w:fldChar w:fldCharType="separate"/>
      </w:r>
      <w:r w:rsidR="000E1725">
        <w:t xml:space="preserve">Table </w:t>
      </w:r>
      <w:r w:rsidR="000E1725">
        <w:rPr>
          <w:noProof/>
        </w:rPr>
        <w:t>4.3</w:t>
      </w:r>
      <w:r>
        <w:fldChar w:fldCharType="end"/>
      </w:r>
      <w:r>
        <w:t xml:space="preserve"> includes the daily average of total costs, the cost during on-peak hours, energy consumption, and the AC run time during on-peak hours (in percentage) with and without the MPC agent. </w:t>
      </w:r>
      <w:r>
        <w:fldChar w:fldCharType="begin"/>
      </w:r>
      <w:r>
        <w:instrText xml:space="preserve"> REF _Ref130202284 \h  \* MERGEFORMAT </w:instrText>
      </w:r>
      <w:r>
        <w:fldChar w:fldCharType="separate"/>
      </w:r>
      <w:r w:rsidR="000E1725">
        <w:t xml:space="preserve">Table </w:t>
      </w:r>
      <w:r w:rsidR="000E1725">
        <w:rPr>
          <w:noProof/>
        </w:rPr>
        <w:t>4.4</w:t>
      </w:r>
      <w:r>
        <w:fldChar w:fldCharType="end"/>
      </w:r>
      <w:r>
        <w:t xml:space="preserve"> shows a detailed summary of the tests on mild summer days. </w:t>
      </w:r>
      <w:r>
        <w:fldChar w:fldCharType="begin"/>
      </w:r>
      <w:r>
        <w:instrText xml:space="preserve"> REF _Ref130202291 \h  \* MERGEFORMAT </w:instrText>
      </w:r>
      <w:r>
        <w:fldChar w:fldCharType="separate"/>
      </w:r>
      <w:r w:rsidR="000E1725">
        <w:t xml:space="preserve">Table </w:t>
      </w:r>
      <w:r w:rsidR="000E1725">
        <w:rPr>
          <w:noProof/>
        </w:rPr>
        <w:t>4.5</w:t>
      </w:r>
      <w:r>
        <w:fldChar w:fldCharType="end"/>
      </w:r>
      <w:r>
        <w:t xml:space="preserve"> is a detailed summary of the tests on cold summer days. Despite the colder outdoor condition, cost savings still exist when MPC agents were used on the main floor of Home B an</w:t>
      </w:r>
      <w:r>
        <w:rPr>
          <w:rFonts w:hint="eastAsia"/>
        </w:rPr>
        <w:t>d</w:t>
      </w:r>
      <w:r>
        <w:t xml:space="preserve"> Home D. These dollar savings after MPC agent implementation not only further incentivize homeowners to participate in the DR programs, but also bring a positive impact on grid reliability, as large cost savings during on-peak hours indicates significant load shifting capacity. </w:t>
      </w:r>
    </w:p>
    <w:bookmarkStart w:id="313" w:name="_Ref130202100"/>
    <w:bookmarkStart w:id="314" w:name="_Toc141343901"/>
    <w:p w14:paraId="014A318D" w14:textId="1982E94D" w:rsidR="00471941" w:rsidRDefault="00471941" w:rsidP="00410CB0">
      <w:pPr>
        <w:pStyle w:val="15TableTitle"/>
      </w:pPr>
      <w:r>
        <w:rPr>
          <w:noProof/>
        </w:rPr>
        <mc:AlternateContent>
          <mc:Choice Requires="wpi">
            <w:drawing>
              <wp:anchor distT="0" distB="0" distL="114300" distR="114300" simplePos="0" relativeHeight="251658240" behindDoc="0" locked="0" layoutInCell="1" allowOverlap="1" wp14:anchorId="0F1D26D2" wp14:editId="6C66FB09">
                <wp:simplePos x="0" y="0"/>
                <wp:positionH relativeFrom="column">
                  <wp:posOffset>-2129790</wp:posOffset>
                </wp:positionH>
                <wp:positionV relativeFrom="paragraph">
                  <wp:posOffset>1418585</wp:posOffset>
                </wp:positionV>
                <wp:extent cx="360" cy="9720"/>
                <wp:effectExtent l="38100" t="38100" r="38100" b="47625"/>
                <wp:wrapNone/>
                <wp:docPr id="20" name="Ink 20"/>
                <wp:cNvGraphicFramePr/>
                <a:graphic xmlns:a="http://schemas.openxmlformats.org/drawingml/2006/main">
                  <a:graphicData uri="http://schemas.microsoft.com/office/word/2010/wordprocessingInk">
                    <w14:contentPart bwMode="auto" r:id="rId51">
                      <w14:nvContentPartPr>
                        <w14:cNvContentPartPr/>
                      </w14:nvContentPartPr>
                      <w14:xfrm>
                        <a:off x="0" y="0"/>
                        <a:ext cx="360" cy="9720"/>
                      </w14:xfrm>
                    </w14:contentPart>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xmlns:w16du="http://schemas.microsoft.com/office/word/2023/wordml/word16du">
            <w:pict w14:anchorId="36A4539E">
              <v:shapetype id="_x0000_t75" coordsize="21600,21600" filled="f" stroked="f" o:spt="75" o:preferrelative="t" path="m@4@5l@4@11@9@11@9@5xe" w14:anchorId="0CB72B2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20" style="position:absolute;margin-left:-168.05pt;margin-top:111.35pt;width:.75pt;height:1.45pt;z-index:2516592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">
                <v:imagedata o:title="" r:id="rId54"/>
              </v:shape>
            </w:pict>
          </mc:Fallback>
        </mc:AlternateContent>
      </w:r>
      <w:r>
        <w:t xml:space="preserve">Table </w:t>
      </w:r>
      <w:fldSimple w:instr=" STYLEREF 1 \s ">
        <w:r w:rsidR="000E1725">
          <w:rPr>
            <w:noProof/>
          </w:rPr>
          <w:t>4</w:t>
        </w:r>
      </w:fldSimple>
      <w:r w:rsidR="00146A55">
        <w:t>.</w:t>
      </w:r>
      <w:fldSimple w:instr=" SEQ Table \* ARABIC \s 1 ">
        <w:r w:rsidR="000E1725">
          <w:rPr>
            <w:noProof/>
          </w:rPr>
          <w:t>3</w:t>
        </w:r>
      </w:fldSimple>
      <w:bookmarkEnd w:id="313"/>
      <w:r>
        <w:t xml:space="preserve"> Cost and energy consumption summary for homes on hot summer days.</w:t>
      </w:r>
      <w:bookmarkEnd w:id="314"/>
    </w:p>
    <w:tbl>
      <w:tblPr>
        <w:tblW w:w="9000" w:type="dxa"/>
        <w:tblLayout w:type="fixed"/>
        <w:tblLook w:val="04A0" w:firstRow="1" w:lastRow="0" w:firstColumn="1" w:lastColumn="0" w:noHBand="0" w:noVBand="1"/>
      </w:tblPr>
      <w:tblGrid>
        <w:gridCol w:w="990"/>
        <w:gridCol w:w="1159"/>
        <w:gridCol w:w="911"/>
        <w:gridCol w:w="1080"/>
        <w:gridCol w:w="990"/>
        <w:gridCol w:w="1170"/>
        <w:gridCol w:w="990"/>
        <w:gridCol w:w="720"/>
        <w:gridCol w:w="990"/>
      </w:tblGrid>
      <w:tr w:rsidR="00471941" w:rsidRPr="002A6148" w14:paraId="5A20DBD0" w14:textId="77777777" w:rsidTr="00AF3671">
        <w:trPr>
          <w:trHeight w:val="300"/>
        </w:trPr>
        <w:tc>
          <w:tcPr>
            <w:tcW w:w="990" w:type="dxa"/>
            <w:tcBorders>
              <w:top w:val="single" w:sz="12" w:space="0" w:color="000000"/>
              <w:left w:val="nil"/>
              <w:bottom w:val="nil"/>
              <w:right w:val="nil"/>
            </w:tcBorders>
            <w:shd w:val="clear" w:color="auto" w:fill="auto"/>
            <w:vAlign w:val="center"/>
            <w:hideMark/>
          </w:tcPr>
          <w:p w14:paraId="165BAB4B" w14:textId="77777777" w:rsidR="00471941" w:rsidRPr="002A6148" w:rsidRDefault="00471941" w:rsidP="002023DB">
            <w:pPr>
              <w:pStyle w:val="16TableText"/>
              <w:rPr>
                <w:rFonts w:eastAsia="DengXian"/>
              </w:rPr>
            </w:pPr>
          </w:p>
        </w:tc>
        <w:tc>
          <w:tcPr>
            <w:tcW w:w="2070" w:type="dxa"/>
            <w:gridSpan w:val="2"/>
            <w:tcBorders>
              <w:top w:val="single" w:sz="12" w:space="0" w:color="000000"/>
              <w:left w:val="nil"/>
              <w:bottom w:val="single" w:sz="8" w:space="0" w:color="auto"/>
              <w:right w:val="nil"/>
            </w:tcBorders>
            <w:shd w:val="clear" w:color="auto" w:fill="auto"/>
            <w:vAlign w:val="center"/>
            <w:hideMark/>
          </w:tcPr>
          <w:p w14:paraId="55C71125" w14:textId="77777777" w:rsidR="00471941" w:rsidRPr="002A6148" w:rsidRDefault="00471941" w:rsidP="002023DB">
            <w:pPr>
              <w:pStyle w:val="16TableText"/>
              <w:rPr>
                <w:rFonts w:eastAsia="DengXian"/>
              </w:rPr>
            </w:pPr>
            <w:r w:rsidRPr="002A6148">
              <w:rPr>
                <w:rFonts w:eastAsia="DengXian"/>
              </w:rPr>
              <w:t>Cost, $</w:t>
            </w:r>
          </w:p>
        </w:tc>
        <w:tc>
          <w:tcPr>
            <w:tcW w:w="2070" w:type="dxa"/>
            <w:gridSpan w:val="2"/>
            <w:tcBorders>
              <w:top w:val="single" w:sz="12" w:space="0" w:color="000000"/>
              <w:left w:val="nil"/>
              <w:bottom w:val="single" w:sz="8" w:space="0" w:color="auto"/>
              <w:right w:val="nil"/>
            </w:tcBorders>
            <w:shd w:val="clear" w:color="auto" w:fill="auto"/>
            <w:vAlign w:val="center"/>
            <w:hideMark/>
          </w:tcPr>
          <w:p w14:paraId="50E9A6EC" w14:textId="77777777" w:rsidR="00471941" w:rsidRPr="002A6148" w:rsidRDefault="00471941" w:rsidP="002023DB">
            <w:pPr>
              <w:pStyle w:val="16TableText"/>
              <w:rPr>
                <w:rFonts w:eastAsia="DengXian"/>
              </w:rPr>
            </w:pPr>
            <w:r w:rsidRPr="002A6148">
              <w:rPr>
                <w:rFonts w:eastAsia="DengXian"/>
              </w:rPr>
              <w:t>Energy, kWh</w:t>
            </w:r>
          </w:p>
        </w:tc>
        <w:tc>
          <w:tcPr>
            <w:tcW w:w="2160" w:type="dxa"/>
            <w:gridSpan w:val="2"/>
            <w:tcBorders>
              <w:top w:val="single" w:sz="12" w:space="0" w:color="000000"/>
              <w:left w:val="nil"/>
              <w:bottom w:val="single" w:sz="8" w:space="0" w:color="auto"/>
              <w:right w:val="nil"/>
            </w:tcBorders>
            <w:shd w:val="clear" w:color="auto" w:fill="auto"/>
            <w:vAlign w:val="center"/>
            <w:hideMark/>
          </w:tcPr>
          <w:p w14:paraId="2EB5923D" w14:textId="77777777" w:rsidR="00471941" w:rsidRPr="002A6148" w:rsidRDefault="00471941" w:rsidP="002023DB">
            <w:pPr>
              <w:pStyle w:val="16TableText"/>
              <w:rPr>
                <w:rFonts w:eastAsia="DengXian"/>
              </w:rPr>
            </w:pPr>
            <w:r w:rsidRPr="002A6148">
              <w:rPr>
                <w:rFonts w:eastAsia="DengXian"/>
              </w:rPr>
              <w:t>Peak Cost, $</w:t>
            </w:r>
          </w:p>
        </w:tc>
        <w:tc>
          <w:tcPr>
            <w:tcW w:w="1710" w:type="dxa"/>
            <w:gridSpan w:val="2"/>
            <w:tcBorders>
              <w:top w:val="single" w:sz="12" w:space="0" w:color="000000"/>
              <w:left w:val="nil"/>
              <w:bottom w:val="single" w:sz="8" w:space="0" w:color="auto"/>
              <w:right w:val="nil"/>
            </w:tcBorders>
            <w:shd w:val="clear" w:color="auto" w:fill="auto"/>
            <w:vAlign w:val="center"/>
            <w:hideMark/>
          </w:tcPr>
          <w:p w14:paraId="06B7F439" w14:textId="77777777" w:rsidR="00471941" w:rsidRPr="002A6148" w:rsidRDefault="00471941" w:rsidP="002023DB">
            <w:pPr>
              <w:pStyle w:val="16TableText"/>
              <w:rPr>
                <w:rFonts w:eastAsia="DengXian"/>
              </w:rPr>
            </w:pPr>
            <w:r w:rsidRPr="002A6148">
              <w:rPr>
                <w:rFonts w:eastAsia="DengXian"/>
              </w:rPr>
              <w:t>TOU run time, %</w:t>
            </w:r>
          </w:p>
        </w:tc>
      </w:tr>
      <w:tr w:rsidR="00471941" w:rsidRPr="002A6148" w14:paraId="5B470DFF" w14:textId="77777777" w:rsidTr="00AF3671">
        <w:trPr>
          <w:trHeight w:val="300"/>
        </w:trPr>
        <w:tc>
          <w:tcPr>
            <w:tcW w:w="990" w:type="dxa"/>
            <w:tcBorders>
              <w:top w:val="nil"/>
              <w:left w:val="nil"/>
              <w:bottom w:val="single" w:sz="12" w:space="0" w:color="000000"/>
              <w:right w:val="nil"/>
            </w:tcBorders>
            <w:shd w:val="clear" w:color="auto" w:fill="auto"/>
            <w:vAlign w:val="center"/>
            <w:hideMark/>
          </w:tcPr>
          <w:p w14:paraId="399DA1BD" w14:textId="77777777" w:rsidR="00471941" w:rsidRPr="002A6148" w:rsidRDefault="00471941" w:rsidP="002023DB">
            <w:pPr>
              <w:pStyle w:val="16TableText"/>
              <w:rPr>
                <w:rFonts w:eastAsia="DengXian"/>
              </w:rPr>
            </w:pPr>
          </w:p>
        </w:tc>
        <w:tc>
          <w:tcPr>
            <w:tcW w:w="1159" w:type="dxa"/>
            <w:tcBorders>
              <w:top w:val="single" w:sz="8" w:space="0" w:color="auto"/>
              <w:left w:val="nil"/>
              <w:bottom w:val="single" w:sz="12" w:space="0" w:color="000000"/>
              <w:right w:val="nil"/>
            </w:tcBorders>
            <w:shd w:val="clear" w:color="auto" w:fill="auto"/>
            <w:vAlign w:val="center"/>
            <w:hideMark/>
          </w:tcPr>
          <w:p w14:paraId="6F52AE11" w14:textId="77777777" w:rsidR="00471941" w:rsidRPr="002A6148" w:rsidRDefault="00471941" w:rsidP="002023DB">
            <w:pPr>
              <w:pStyle w:val="16TableText"/>
              <w:rPr>
                <w:rFonts w:eastAsia="DengXian"/>
              </w:rPr>
            </w:pPr>
            <w:r w:rsidRPr="002A6148">
              <w:rPr>
                <w:rFonts w:eastAsia="DengXian"/>
              </w:rPr>
              <w:t>MPC</w:t>
            </w:r>
          </w:p>
        </w:tc>
        <w:tc>
          <w:tcPr>
            <w:tcW w:w="911" w:type="dxa"/>
            <w:tcBorders>
              <w:top w:val="single" w:sz="8" w:space="0" w:color="auto"/>
              <w:left w:val="nil"/>
              <w:bottom w:val="single" w:sz="12" w:space="0" w:color="000000"/>
              <w:right w:val="nil"/>
            </w:tcBorders>
            <w:shd w:val="clear" w:color="auto" w:fill="auto"/>
            <w:vAlign w:val="center"/>
            <w:hideMark/>
          </w:tcPr>
          <w:p w14:paraId="51ECBD48" w14:textId="77777777" w:rsidR="00471941" w:rsidRPr="002A6148" w:rsidRDefault="00471941" w:rsidP="002023DB">
            <w:pPr>
              <w:pStyle w:val="16TableText"/>
              <w:rPr>
                <w:rFonts w:eastAsia="DengXian"/>
              </w:rPr>
            </w:pPr>
            <w:r w:rsidRPr="002A6148">
              <w:rPr>
                <w:rFonts w:eastAsia="DengXian"/>
              </w:rPr>
              <w:t>normal</w:t>
            </w:r>
          </w:p>
        </w:tc>
        <w:tc>
          <w:tcPr>
            <w:tcW w:w="1080" w:type="dxa"/>
            <w:tcBorders>
              <w:top w:val="single" w:sz="8" w:space="0" w:color="auto"/>
              <w:left w:val="nil"/>
              <w:bottom w:val="single" w:sz="12" w:space="0" w:color="000000"/>
              <w:right w:val="nil"/>
            </w:tcBorders>
            <w:shd w:val="clear" w:color="auto" w:fill="auto"/>
            <w:vAlign w:val="center"/>
            <w:hideMark/>
          </w:tcPr>
          <w:p w14:paraId="02265DC9" w14:textId="77777777" w:rsidR="00471941" w:rsidRPr="002A6148" w:rsidRDefault="00471941" w:rsidP="002023DB">
            <w:pPr>
              <w:pStyle w:val="16TableText"/>
              <w:rPr>
                <w:rFonts w:eastAsia="DengXian"/>
              </w:rPr>
            </w:pPr>
            <w:r w:rsidRPr="002A6148">
              <w:rPr>
                <w:rFonts w:eastAsia="DengXian"/>
              </w:rPr>
              <w:t>MPC</w:t>
            </w:r>
          </w:p>
        </w:tc>
        <w:tc>
          <w:tcPr>
            <w:tcW w:w="990" w:type="dxa"/>
            <w:tcBorders>
              <w:top w:val="single" w:sz="8" w:space="0" w:color="auto"/>
              <w:left w:val="nil"/>
              <w:bottom w:val="single" w:sz="12" w:space="0" w:color="000000"/>
              <w:right w:val="nil"/>
            </w:tcBorders>
            <w:shd w:val="clear" w:color="auto" w:fill="auto"/>
            <w:vAlign w:val="center"/>
            <w:hideMark/>
          </w:tcPr>
          <w:p w14:paraId="14E88758" w14:textId="77777777" w:rsidR="00471941" w:rsidRPr="002A6148" w:rsidRDefault="00471941" w:rsidP="002023DB">
            <w:pPr>
              <w:pStyle w:val="16TableText"/>
              <w:rPr>
                <w:rFonts w:eastAsia="DengXian"/>
              </w:rPr>
            </w:pPr>
            <w:r w:rsidRPr="002A6148">
              <w:rPr>
                <w:rFonts w:eastAsia="DengXian"/>
              </w:rPr>
              <w:t>normal</w:t>
            </w:r>
          </w:p>
        </w:tc>
        <w:tc>
          <w:tcPr>
            <w:tcW w:w="1170" w:type="dxa"/>
            <w:tcBorders>
              <w:top w:val="single" w:sz="8" w:space="0" w:color="auto"/>
              <w:left w:val="nil"/>
              <w:bottom w:val="single" w:sz="12" w:space="0" w:color="000000"/>
              <w:right w:val="nil"/>
            </w:tcBorders>
            <w:shd w:val="clear" w:color="auto" w:fill="auto"/>
            <w:vAlign w:val="center"/>
            <w:hideMark/>
          </w:tcPr>
          <w:p w14:paraId="379CEB9A" w14:textId="77777777" w:rsidR="00471941" w:rsidRPr="002A6148" w:rsidRDefault="00471941" w:rsidP="002023DB">
            <w:pPr>
              <w:pStyle w:val="16TableText"/>
              <w:rPr>
                <w:rFonts w:eastAsia="DengXian"/>
              </w:rPr>
            </w:pPr>
            <w:r w:rsidRPr="002A6148">
              <w:rPr>
                <w:rFonts w:eastAsia="DengXian"/>
              </w:rPr>
              <w:t>MPC</w:t>
            </w:r>
          </w:p>
        </w:tc>
        <w:tc>
          <w:tcPr>
            <w:tcW w:w="990" w:type="dxa"/>
            <w:tcBorders>
              <w:top w:val="single" w:sz="8" w:space="0" w:color="auto"/>
              <w:left w:val="nil"/>
              <w:bottom w:val="single" w:sz="12" w:space="0" w:color="000000"/>
              <w:right w:val="nil"/>
            </w:tcBorders>
            <w:shd w:val="clear" w:color="auto" w:fill="auto"/>
            <w:vAlign w:val="center"/>
            <w:hideMark/>
          </w:tcPr>
          <w:p w14:paraId="1A073902" w14:textId="77777777" w:rsidR="00471941" w:rsidRPr="002A6148" w:rsidRDefault="00471941" w:rsidP="002023DB">
            <w:pPr>
              <w:pStyle w:val="16TableText"/>
              <w:rPr>
                <w:rFonts w:eastAsia="DengXian"/>
              </w:rPr>
            </w:pPr>
            <w:r w:rsidRPr="002A6148">
              <w:rPr>
                <w:rFonts w:eastAsia="DengXian"/>
              </w:rPr>
              <w:t>normal</w:t>
            </w:r>
          </w:p>
        </w:tc>
        <w:tc>
          <w:tcPr>
            <w:tcW w:w="720" w:type="dxa"/>
            <w:tcBorders>
              <w:top w:val="single" w:sz="8" w:space="0" w:color="auto"/>
              <w:left w:val="nil"/>
              <w:bottom w:val="single" w:sz="12" w:space="0" w:color="000000"/>
              <w:right w:val="nil"/>
            </w:tcBorders>
            <w:shd w:val="clear" w:color="auto" w:fill="auto"/>
            <w:vAlign w:val="center"/>
            <w:hideMark/>
          </w:tcPr>
          <w:p w14:paraId="2222AED6" w14:textId="77777777" w:rsidR="00471941" w:rsidRPr="002A6148" w:rsidRDefault="00471941" w:rsidP="002023DB">
            <w:pPr>
              <w:pStyle w:val="16TableText"/>
              <w:rPr>
                <w:rFonts w:eastAsia="DengXian"/>
              </w:rPr>
            </w:pPr>
            <w:r w:rsidRPr="002A6148">
              <w:rPr>
                <w:rFonts w:eastAsia="DengXian"/>
              </w:rPr>
              <w:t>MPC</w:t>
            </w:r>
          </w:p>
        </w:tc>
        <w:tc>
          <w:tcPr>
            <w:tcW w:w="990" w:type="dxa"/>
            <w:tcBorders>
              <w:top w:val="single" w:sz="8" w:space="0" w:color="auto"/>
              <w:left w:val="nil"/>
              <w:bottom w:val="single" w:sz="12" w:space="0" w:color="000000"/>
              <w:right w:val="nil"/>
            </w:tcBorders>
            <w:shd w:val="clear" w:color="auto" w:fill="auto"/>
            <w:vAlign w:val="center"/>
            <w:hideMark/>
          </w:tcPr>
          <w:p w14:paraId="279A088F" w14:textId="77777777" w:rsidR="00471941" w:rsidRPr="002A6148" w:rsidRDefault="00471941" w:rsidP="002023DB">
            <w:pPr>
              <w:pStyle w:val="16TableText"/>
              <w:rPr>
                <w:rFonts w:eastAsia="DengXian"/>
              </w:rPr>
            </w:pPr>
            <w:r w:rsidRPr="002A6148">
              <w:rPr>
                <w:rFonts w:eastAsia="DengXian"/>
              </w:rPr>
              <w:t>normal</w:t>
            </w:r>
          </w:p>
        </w:tc>
      </w:tr>
      <w:tr w:rsidR="00471941" w:rsidRPr="002A6148" w14:paraId="15ACD4EC" w14:textId="77777777" w:rsidTr="00AF3671">
        <w:trPr>
          <w:trHeight w:val="285"/>
        </w:trPr>
        <w:tc>
          <w:tcPr>
            <w:tcW w:w="990" w:type="dxa"/>
            <w:tcBorders>
              <w:top w:val="nil"/>
              <w:left w:val="nil"/>
              <w:bottom w:val="nil"/>
              <w:right w:val="nil"/>
            </w:tcBorders>
            <w:shd w:val="clear" w:color="000000" w:fill="FFFFFF"/>
            <w:vAlign w:val="center"/>
            <w:hideMark/>
          </w:tcPr>
          <w:p w14:paraId="4FF0C461" w14:textId="77777777" w:rsidR="00471941" w:rsidRPr="002A6148" w:rsidRDefault="00471941" w:rsidP="002023DB">
            <w:pPr>
              <w:pStyle w:val="16TableText"/>
              <w:rPr>
                <w:rFonts w:eastAsia="DengXian"/>
              </w:rPr>
            </w:pPr>
            <w:r w:rsidRPr="002A6148">
              <w:rPr>
                <w:rFonts w:eastAsia="DengXian"/>
              </w:rPr>
              <w:t>Home-A</w:t>
            </w:r>
          </w:p>
        </w:tc>
        <w:tc>
          <w:tcPr>
            <w:tcW w:w="1159" w:type="dxa"/>
            <w:tcBorders>
              <w:top w:val="nil"/>
              <w:left w:val="nil"/>
              <w:bottom w:val="nil"/>
              <w:right w:val="nil"/>
            </w:tcBorders>
            <w:shd w:val="clear" w:color="000000" w:fill="FFFFFF"/>
            <w:vAlign w:val="center"/>
            <w:hideMark/>
          </w:tcPr>
          <w:p w14:paraId="62AAA7C9" w14:textId="77777777" w:rsidR="00471941" w:rsidRPr="00A63F99" w:rsidRDefault="00471941" w:rsidP="002023DB">
            <w:pPr>
              <w:pStyle w:val="16TableText"/>
              <w:rPr>
                <w:rFonts w:eastAsia="DengXian"/>
              </w:rPr>
            </w:pPr>
            <w:r w:rsidRPr="00A63F99">
              <w:rPr>
                <w:rFonts w:eastAsia="DengXian"/>
              </w:rPr>
              <w:t xml:space="preserve">6.67 </w:t>
            </w:r>
          </w:p>
        </w:tc>
        <w:tc>
          <w:tcPr>
            <w:tcW w:w="911" w:type="dxa"/>
            <w:tcBorders>
              <w:top w:val="nil"/>
              <w:left w:val="nil"/>
              <w:bottom w:val="nil"/>
              <w:right w:val="single" w:sz="4" w:space="0" w:color="auto"/>
            </w:tcBorders>
            <w:shd w:val="clear" w:color="000000" w:fill="FFFFFF"/>
            <w:vAlign w:val="center"/>
            <w:hideMark/>
          </w:tcPr>
          <w:p w14:paraId="47F3AF19" w14:textId="77777777" w:rsidR="00471941" w:rsidRPr="00A63F99" w:rsidRDefault="00471941" w:rsidP="002023DB">
            <w:pPr>
              <w:pStyle w:val="16TableText"/>
              <w:rPr>
                <w:rFonts w:eastAsia="DengXian"/>
              </w:rPr>
            </w:pPr>
            <w:r w:rsidRPr="00A63F99">
              <w:rPr>
                <w:rFonts w:eastAsia="DengXian"/>
              </w:rPr>
              <w:t xml:space="preserve">9.49 </w:t>
            </w:r>
          </w:p>
        </w:tc>
        <w:tc>
          <w:tcPr>
            <w:tcW w:w="1080" w:type="dxa"/>
            <w:tcBorders>
              <w:top w:val="nil"/>
              <w:left w:val="single" w:sz="4" w:space="0" w:color="auto"/>
              <w:bottom w:val="nil"/>
              <w:right w:val="nil"/>
            </w:tcBorders>
            <w:shd w:val="clear" w:color="000000" w:fill="FFFFFF"/>
            <w:vAlign w:val="center"/>
            <w:hideMark/>
          </w:tcPr>
          <w:p w14:paraId="6A912D31" w14:textId="77777777" w:rsidR="00471941" w:rsidRPr="00A63F99" w:rsidRDefault="00471941" w:rsidP="002023DB">
            <w:pPr>
              <w:pStyle w:val="16TableText"/>
              <w:rPr>
                <w:rFonts w:eastAsia="DengXian"/>
              </w:rPr>
            </w:pPr>
            <w:r w:rsidRPr="00A63F99">
              <w:rPr>
                <w:rFonts w:eastAsia="DengXian"/>
              </w:rPr>
              <w:t xml:space="preserve">53.50 </w:t>
            </w:r>
          </w:p>
        </w:tc>
        <w:tc>
          <w:tcPr>
            <w:tcW w:w="990" w:type="dxa"/>
            <w:tcBorders>
              <w:top w:val="nil"/>
              <w:left w:val="nil"/>
              <w:bottom w:val="nil"/>
              <w:right w:val="single" w:sz="4" w:space="0" w:color="auto"/>
            </w:tcBorders>
            <w:shd w:val="clear" w:color="000000" w:fill="FFFFFF"/>
            <w:vAlign w:val="center"/>
            <w:hideMark/>
          </w:tcPr>
          <w:p w14:paraId="5E7FAC35" w14:textId="77777777" w:rsidR="00471941" w:rsidRPr="00A63F99" w:rsidRDefault="00471941" w:rsidP="002023DB">
            <w:pPr>
              <w:pStyle w:val="16TableText"/>
              <w:rPr>
                <w:rFonts w:eastAsia="DengXian"/>
              </w:rPr>
            </w:pPr>
            <w:r w:rsidRPr="00A63F99">
              <w:rPr>
                <w:rFonts w:eastAsia="DengXian"/>
              </w:rPr>
              <w:t xml:space="preserve">66.93 </w:t>
            </w:r>
          </w:p>
        </w:tc>
        <w:tc>
          <w:tcPr>
            <w:tcW w:w="1170" w:type="dxa"/>
            <w:tcBorders>
              <w:top w:val="nil"/>
              <w:left w:val="single" w:sz="4" w:space="0" w:color="auto"/>
              <w:bottom w:val="nil"/>
              <w:right w:val="nil"/>
            </w:tcBorders>
            <w:shd w:val="clear" w:color="000000" w:fill="FFFFFF"/>
            <w:vAlign w:val="center"/>
            <w:hideMark/>
          </w:tcPr>
          <w:p w14:paraId="62FE4D4F" w14:textId="77777777" w:rsidR="00471941" w:rsidRPr="00A63F99" w:rsidRDefault="00471941" w:rsidP="002023DB">
            <w:pPr>
              <w:pStyle w:val="16TableText"/>
              <w:rPr>
                <w:rFonts w:eastAsia="DengXian"/>
              </w:rPr>
            </w:pPr>
            <w:r w:rsidRPr="00A63F99">
              <w:rPr>
                <w:rFonts w:eastAsia="DengXian"/>
              </w:rPr>
              <w:t xml:space="preserve">3.59 </w:t>
            </w:r>
          </w:p>
        </w:tc>
        <w:tc>
          <w:tcPr>
            <w:tcW w:w="990" w:type="dxa"/>
            <w:tcBorders>
              <w:top w:val="nil"/>
              <w:left w:val="nil"/>
              <w:bottom w:val="nil"/>
              <w:right w:val="single" w:sz="4" w:space="0" w:color="auto"/>
            </w:tcBorders>
            <w:shd w:val="clear" w:color="000000" w:fill="FFFFFF"/>
            <w:vAlign w:val="center"/>
            <w:hideMark/>
          </w:tcPr>
          <w:p w14:paraId="50E8CAA8" w14:textId="77777777" w:rsidR="00471941" w:rsidRPr="00A63F99" w:rsidRDefault="00471941" w:rsidP="002023DB">
            <w:pPr>
              <w:pStyle w:val="16TableText"/>
              <w:rPr>
                <w:rFonts w:eastAsia="DengXian"/>
              </w:rPr>
            </w:pPr>
            <w:r w:rsidRPr="00A63F99">
              <w:rPr>
                <w:rFonts w:eastAsia="DengXian"/>
              </w:rPr>
              <w:t xml:space="preserve">6.19 </w:t>
            </w:r>
          </w:p>
        </w:tc>
        <w:tc>
          <w:tcPr>
            <w:tcW w:w="720" w:type="dxa"/>
            <w:tcBorders>
              <w:top w:val="nil"/>
              <w:left w:val="single" w:sz="4" w:space="0" w:color="auto"/>
              <w:bottom w:val="nil"/>
              <w:right w:val="nil"/>
            </w:tcBorders>
            <w:shd w:val="clear" w:color="000000" w:fill="FFFFFF"/>
            <w:vAlign w:val="center"/>
            <w:hideMark/>
          </w:tcPr>
          <w:p w14:paraId="0DB36BA5" w14:textId="77777777" w:rsidR="00471941" w:rsidRPr="00A63F99" w:rsidRDefault="00471941" w:rsidP="002023DB">
            <w:pPr>
              <w:pStyle w:val="16TableText"/>
              <w:rPr>
                <w:rFonts w:eastAsia="DengXian"/>
              </w:rPr>
            </w:pPr>
            <w:r w:rsidRPr="00A63F99">
              <w:rPr>
                <w:rFonts w:eastAsia="DengXian"/>
              </w:rPr>
              <w:t xml:space="preserve">59.46 </w:t>
            </w:r>
          </w:p>
        </w:tc>
        <w:tc>
          <w:tcPr>
            <w:tcW w:w="990" w:type="dxa"/>
            <w:tcBorders>
              <w:top w:val="nil"/>
              <w:left w:val="nil"/>
              <w:bottom w:val="nil"/>
              <w:right w:val="nil"/>
            </w:tcBorders>
            <w:shd w:val="clear" w:color="000000" w:fill="FFFFFF"/>
            <w:vAlign w:val="center"/>
            <w:hideMark/>
          </w:tcPr>
          <w:p w14:paraId="37355FE6" w14:textId="77777777" w:rsidR="00471941" w:rsidRPr="00A63F99" w:rsidRDefault="00471941" w:rsidP="002023DB">
            <w:pPr>
              <w:pStyle w:val="16TableText"/>
              <w:rPr>
                <w:rFonts w:eastAsia="DengXian"/>
              </w:rPr>
            </w:pPr>
            <w:r w:rsidRPr="00A63F99">
              <w:rPr>
                <w:rFonts w:eastAsia="DengXian"/>
              </w:rPr>
              <w:t xml:space="preserve">93.84 </w:t>
            </w:r>
          </w:p>
        </w:tc>
      </w:tr>
      <w:tr w:rsidR="00471941" w:rsidRPr="002A6148" w14:paraId="2F81B64E" w14:textId="77777777" w:rsidTr="00AF3671">
        <w:trPr>
          <w:trHeight w:val="285"/>
        </w:trPr>
        <w:tc>
          <w:tcPr>
            <w:tcW w:w="990" w:type="dxa"/>
            <w:tcBorders>
              <w:top w:val="nil"/>
              <w:left w:val="nil"/>
              <w:bottom w:val="nil"/>
              <w:right w:val="nil"/>
            </w:tcBorders>
            <w:shd w:val="clear" w:color="000000" w:fill="FFFFFF"/>
            <w:vAlign w:val="center"/>
            <w:hideMark/>
          </w:tcPr>
          <w:p w14:paraId="22711776" w14:textId="77777777" w:rsidR="00471941" w:rsidRPr="002A6148" w:rsidRDefault="00471941" w:rsidP="002023DB">
            <w:pPr>
              <w:pStyle w:val="16TableText"/>
              <w:rPr>
                <w:rFonts w:eastAsia="DengXian"/>
              </w:rPr>
            </w:pPr>
            <w:r w:rsidRPr="002A6148">
              <w:rPr>
                <w:rFonts w:eastAsia="DengXian"/>
              </w:rPr>
              <w:lastRenderedPageBreak/>
              <w:t>Home-E</w:t>
            </w:r>
          </w:p>
        </w:tc>
        <w:tc>
          <w:tcPr>
            <w:tcW w:w="1159" w:type="dxa"/>
            <w:tcBorders>
              <w:top w:val="nil"/>
              <w:left w:val="nil"/>
              <w:bottom w:val="nil"/>
              <w:right w:val="nil"/>
            </w:tcBorders>
            <w:shd w:val="clear" w:color="000000" w:fill="FFFFFF"/>
            <w:vAlign w:val="center"/>
            <w:hideMark/>
          </w:tcPr>
          <w:p w14:paraId="679DC668" w14:textId="77777777" w:rsidR="00471941" w:rsidRPr="00A63F99" w:rsidRDefault="00471941" w:rsidP="002023DB">
            <w:pPr>
              <w:pStyle w:val="16TableText"/>
              <w:rPr>
                <w:rFonts w:eastAsia="DengXian"/>
              </w:rPr>
            </w:pPr>
            <w:r w:rsidRPr="00A63F99">
              <w:rPr>
                <w:rFonts w:eastAsia="DengXian"/>
              </w:rPr>
              <w:t xml:space="preserve">1.59 </w:t>
            </w:r>
          </w:p>
        </w:tc>
        <w:tc>
          <w:tcPr>
            <w:tcW w:w="911" w:type="dxa"/>
            <w:tcBorders>
              <w:top w:val="nil"/>
              <w:left w:val="nil"/>
              <w:bottom w:val="nil"/>
              <w:right w:val="single" w:sz="4" w:space="0" w:color="auto"/>
            </w:tcBorders>
            <w:shd w:val="clear" w:color="000000" w:fill="FFFFFF"/>
            <w:vAlign w:val="center"/>
            <w:hideMark/>
          </w:tcPr>
          <w:p w14:paraId="2AD17AFE" w14:textId="77777777" w:rsidR="00471941" w:rsidRPr="00A63F99" w:rsidRDefault="00471941" w:rsidP="002023DB">
            <w:pPr>
              <w:pStyle w:val="16TableText"/>
              <w:rPr>
                <w:rFonts w:eastAsia="DengXian"/>
              </w:rPr>
            </w:pPr>
            <w:r w:rsidRPr="00A63F99">
              <w:rPr>
                <w:rFonts w:eastAsia="DengXian"/>
              </w:rPr>
              <w:t xml:space="preserve">2.23 </w:t>
            </w:r>
          </w:p>
        </w:tc>
        <w:tc>
          <w:tcPr>
            <w:tcW w:w="1080" w:type="dxa"/>
            <w:tcBorders>
              <w:top w:val="nil"/>
              <w:left w:val="single" w:sz="4" w:space="0" w:color="auto"/>
              <w:bottom w:val="nil"/>
              <w:right w:val="nil"/>
            </w:tcBorders>
            <w:shd w:val="clear" w:color="000000" w:fill="FFFFFF"/>
            <w:vAlign w:val="center"/>
            <w:hideMark/>
          </w:tcPr>
          <w:p w14:paraId="41683BBD" w14:textId="77777777" w:rsidR="00471941" w:rsidRPr="00A63F99" w:rsidRDefault="00471941" w:rsidP="002023DB">
            <w:pPr>
              <w:pStyle w:val="16TableText"/>
              <w:rPr>
                <w:rFonts w:eastAsia="DengXian"/>
              </w:rPr>
            </w:pPr>
            <w:r w:rsidRPr="00A63F99">
              <w:rPr>
                <w:rFonts w:eastAsia="DengXian"/>
              </w:rPr>
              <w:t xml:space="preserve">13.48 </w:t>
            </w:r>
          </w:p>
        </w:tc>
        <w:tc>
          <w:tcPr>
            <w:tcW w:w="990" w:type="dxa"/>
            <w:tcBorders>
              <w:top w:val="nil"/>
              <w:left w:val="nil"/>
              <w:bottom w:val="nil"/>
              <w:right w:val="single" w:sz="4" w:space="0" w:color="auto"/>
            </w:tcBorders>
            <w:shd w:val="clear" w:color="000000" w:fill="FFFFFF"/>
            <w:vAlign w:val="center"/>
            <w:hideMark/>
          </w:tcPr>
          <w:p w14:paraId="56C896DA" w14:textId="77777777" w:rsidR="00471941" w:rsidRPr="00A63F99" w:rsidRDefault="00471941" w:rsidP="002023DB">
            <w:pPr>
              <w:pStyle w:val="16TableText"/>
              <w:rPr>
                <w:rFonts w:eastAsia="DengXian"/>
              </w:rPr>
            </w:pPr>
            <w:r w:rsidRPr="00A63F99">
              <w:rPr>
                <w:rFonts w:eastAsia="DengXian"/>
              </w:rPr>
              <w:t xml:space="preserve">17.86 </w:t>
            </w:r>
          </w:p>
        </w:tc>
        <w:tc>
          <w:tcPr>
            <w:tcW w:w="1170" w:type="dxa"/>
            <w:tcBorders>
              <w:top w:val="nil"/>
              <w:left w:val="single" w:sz="4" w:space="0" w:color="auto"/>
              <w:bottom w:val="nil"/>
              <w:right w:val="nil"/>
            </w:tcBorders>
            <w:shd w:val="clear" w:color="000000" w:fill="FFFFFF"/>
            <w:vAlign w:val="center"/>
            <w:hideMark/>
          </w:tcPr>
          <w:p w14:paraId="68501730" w14:textId="77777777" w:rsidR="00471941" w:rsidRPr="00A63F99" w:rsidRDefault="00471941" w:rsidP="002023DB">
            <w:pPr>
              <w:pStyle w:val="16TableText"/>
              <w:rPr>
                <w:rFonts w:eastAsia="DengXian"/>
              </w:rPr>
            </w:pPr>
            <w:r w:rsidRPr="00A63F99">
              <w:rPr>
                <w:rFonts w:eastAsia="DengXian"/>
              </w:rPr>
              <w:t xml:space="preserve">0.77 </w:t>
            </w:r>
          </w:p>
        </w:tc>
        <w:tc>
          <w:tcPr>
            <w:tcW w:w="990" w:type="dxa"/>
            <w:tcBorders>
              <w:top w:val="nil"/>
              <w:left w:val="nil"/>
              <w:bottom w:val="nil"/>
              <w:right w:val="single" w:sz="4" w:space="0" w:color="auto"/>
            </w:tcBorders>
            <w:shd w:val="clear" w:color="000000" w:fill="FFFFFF"/>
            <w:vAlign w:val="center"/>
            <w:hideMark/>
          </w:tcPr>
          <w:p w14:paraId="63967F27" w14:textId="77777777" w:rsidR="00471941" w:rsidRPr="00A63F99" w:rsidRDefault="00471941" w:rsidP="002023DB">
            <w:pPr>
              <w:pStyle w:val="16TableText"/>
              <w:rPr>
                <w:rFonts w:eastAsia="DengXian"/>
              </w:rPr>
            </w:pPr>
            <w:r w:rsidRPr="00A63F99">
              <w:rPr>
                <w:rFonts w:eastAsia="DengXian"/>
              </w:rPr>
              <w:t xml:space="preserve">1.20 </w:t>
            </w:r>
          </w:p>
        </w:tc>
        <w:tc>
          <w:tcPr>
            <w:tcW w:w="720" w:type="dxa"/>
            <w:tcBorders>
              <w:top w:val="nil"/>
              <w:left w:val="single" w:sz="4" w:space="0" w:color="auto"/>
              <w:bottom w:val="nil"/>
              <w:right w:val="nil"/>
            </w:tcBorders>
            <w:shd w:val="clear" w:color="000000" w:fill="FFFFFF"/>
            <w:vAlign w:val="center"/>
            <w:hideMark/>
          </w:tcPr>
          <w:p w14:paraId="1F98D888" w14:textId="77777777" w:rsidR="00471941" w:rsidRPr="00A63F99" w:rsidRDefault="00471941" w:rsidP="002023DB">
            <w:pPr>
              <w:pStyle w:val="16TableText"/>
              <w:rPr>
                <w:rFonts w:eastAsia="DengXian"/>
              </w:rPr>
            </w:pPr>
            <w:r w:rsidRPr="00A63F99">
              <w:rPr>
                <w:rFonts w:eastAsia="DengXian"/>
              </w:rPr>
              <w:t xml:space="preserve">22.66 </w:t>
            </w:r>
          </w:p>
        </w:tc>
        <w:tc>
          <w:tcPr>
            <w:tcW w:w="990" w:type="dxa"/>
            <w:tcBorders>
              <w:top w:val="nil"/>
              <w:left w:val="nil"/>
              <w:bottom w:val="nil"/>
              <w:right w:val="nil"/>
            </w:tcBorders>
            <w:shd w:val="clear" w:color="000000" w:fill="FFFFFF"/>
            <w:vAlign w:val="center"/>
            <w:hideMark/>
          </w:tcPr>
          <w:p w14:paraId="45B79952" w14:textId="77777777" w:rsidR="00471941" w:rsidRPr="00A63F99" w:rsidRDefault="00471941" w:rsidP="002023DB">
            <w:pPr>
              <w:pStyle w:val="16TableText"/>
              <w:rPr>
                <w:rFonts w:eastAsia="DengXian"/>
              </w:rPr>
            </w:pPr>
            <w:r w:rsidRPr="00A63F99">
              <w:rPr>
                <w:rFonts w:eastAsia="DengXian"/>
              </w:rPr>
              <w:t xml:space="preserve">38.06 </w:t>
            </w:r>
          </w:p>
        </w:tc>
      </w:tr>
      <w:tr w:rsidR="00471941" w:rsidRPr="002A6148" w14:paraId="243A7DA3" w14:textId="77777777" w:rsidTr="00AF3671">
        <w:trPr>
          <w:trHeight w:val="285"/>
        </w:trPr>
        <w:tc>
          <w:tcPr>
            <w:tcW w:w="990" w:type="dxa"/>
            <w:tcBorders>
              <w:top w:val="nil"/>
              <w:left w:val="nil"/>
              <w:bottom w:val="nil"/>
              <w:right w:val="nil"/>
            </w:tcBorders>
            <w:shd w:val="clear" w:color="000000" w:fill="FFFFFF"/>
            <w:vAlign w:val="center"/>
            <w:hideMark/>
          </w:tcPr>
          <w:p w14:paraId="1E3BAE2C" w14:textId="77777777" w:rsidR="00471941" w:rsidRPr="002A6148" w:rsidRDefault="00471941" w:rsidP="002023DB">
            <w:pPr>
              <w:pStyle w:val="16TableText"/>
              <w:rPr>
                <w:rFonts w:eastAsia="DengXian"/>
              </w:rPr>
            </w:pPr>
            <w:r w:rsidRPr="002A6148">
              <w:rPr>
                <w:rFonts w:eastAsia="DengXian"/>
              </w:rPr>
              <w:t>Home-G</w:t>
            </w:r>
          </w:p>
        </w:tc>
        <w:tc>
          <w:tcPr>
            <w:tcW w:w="1159" w:type="dxa"/>
            <w:tcBorders>
              <w:top w:val="nil"/>
              <w:left w:val="nil"/>
              <w:bottom w:val="nil"/>
              <w:right w:val="nil"/>
            </w:tcBorders>
            <w:shd w:val="clear" w:color="000000" w:fill="FFFFFF"/>
            <w:vAlign w:val="center"/>
            <w:hideMark/>
          </w:tcPr>
          <w:p w14:paraId="72958DAC" w14:textId="77777777" w:rsidR="00471941" w:rsidRPr="00A63F99" w:rsidRDefault="00471941" w:rsidP="002023DB">
            <w:pPr>
              <w:pStyle w:val="16TableText"/>
              <w:rPr>
                <w:rFonts w:eastAsia="DengXian"/>
              </w:rPr>
            </w:pPr>
            <w:r w:rsidRPr="00A63F99">
              <w:rPr>
                <w:rFonts w:eastAsia="DengXian"/>
              </w:rPr>
              <w:t xml:space="preserve">1.98 </w:t>
            </w:r>
          </w:p>
        </w:tc>
        <w:tc>
          <w:tcPr>
            <w:tcW w:w="911" w:type="dxa"/>
            <w:tcBorders>
              <w:top w:val="nil"/>
              <w:left w:val="nil"/>
              <w:bottom w:val="nil"/>
              <w:right w:val="single" w:sz="4" w:space="0" w:color="auto"/>
            </w:tcBorders>
            <w:shd w:val="clear" w:color="000000" w:fill="FFFFFF"/>
            <w:vAlign w:val="center"/>
            <w:hideMark/>
          </w:tcPr>
          <w:p w14:paraId="6E68E875" w14:textId="77777777" w:rsidR="00471941" w:rsidRPr="00A63F99" w:rsidRDefault="00471941" w:rsidP="002023DB">
            <w:pPr>
              <w:pStyle w:val="16TableText"/>
              <w:rPr>
                <w:rFonts w:eastAsia="DengXian"/>
              </w:rPr>
            </w:pPr>
            <w:r w:rsidRPr="00A63F99">
              <w:rPr>
                <w:rFonts w:eastAsia="DengXian"/>
              </w:rPr>
              <w:t xml:space="preserve">3.94 </w:t>
            </w:r>
          </w:p>
        </w:tc>
        <w:tc>
          <w:tcPr>
            <w:tcW w:w="1080" w:type="dxa"/>
            <w:tcBorders>
              <w:top w:val="nil"/>
              <w:left w:val="single" w:sz="4" w:space="0" w:color="auto"/>
              <w:bottom w:val="nil"/>
              <w:right w:val="nil"/>
            </w:tcBorders>
            <w:shd w:val="clear" w:color="000000" w:fill="FFFFFF"/>
            <w:vAlign w:val="center"/>
            <w:hideMark/>
          </w:tcPr>
          <w:p w14:paraId="49AABCC6" w14:textId="77777777" w:rsidR="00471941" w:rsidRPr="00A63F99" w:rsidRDefault="00471941" w:rsidP="002023DB">
            <w:pPr>
              <w:pStyle w:val="16TableText"/>
              <w:rPr>
                <w:rFonts w:eastAsia="DengXian"/>
              </w:rPr>
            </w:pPr>
            <w:r w:rsidRPr="00A63F99">
              <w:rPr>
                <w:rFonts w:eastAsia="DengXian"/>
              </w:rPr>
              <w:t xml:space="preserve">17.81 </w:t>
            </w:r>
          </w:p>
        </w:tc>
        <w:tc>
          <w:tcPr>
            <w:tcW w:w="990" w:type="dxa"/>
            <w:tcBorders>
              <w:top w:val="nil"/>
              <w:left w:val="nil"/>
              <w:bottom w:val="nil"/>
              <w:right w:val="single" w:sz="4" w:space="0" w:color="auto"/>
            </w:tcBorders>
            <w:shd w:val="clear" w:color="000000" w:fill="FFFFFF"/>
            <w:vAlign w:val="center"/>
            <w:hideMark/>
          </w:tcPr>
          <w:p w14:paraId="3618E3E7" w14:textId="77777777" w:rsidR="00471941" w:rsidRPr="00A63F99" w:rsidRDefault="00471941" w:rsidP="002023DB">
            <w:pPr>
              <w:pStyle w:val="16TableText"/>
              <w:rPr>
                <w:rFonts w:eastAsia="DengXian"/>
              </w:rPr>
            </w:pPr>
            <w:r w:rsidRPr="00A63F99">
              <w:rPr>
                <w:rFonts w:eastAsia="DengXian"/>
              </w:rPr>
              <w:t xml:space="preserve">24.53 </w:t>
            </w:r>
          </w:p>
        </w:tc>
        <w:tc>
          <w:tcPr>
            <w:tcW w:w="1170" w:type="dxa"/>
            <w:tcBorders>
              <w:top w:val="nil"/>
              <w:left w:val="single" w:sz="4" w:space="0" w:color="auto"/>
              <w:bottom w:val="nil"/>
              <w:right w:val="nil"/>
            </w:tcBorders>
            <w:shd w:val="clear" w:color="000000" w:fill="FFFFFF"/>
            <w:vAlign w:val="center"/>
            <w:hideMark/>
          </w:tcPr>
          <w:p w14:paraId="73EBE4F0" w14:textId="77777777" w:rsidR="00471941" w:rsidRPr="00A63F99" w:rsidRDefault="00471941" w:rsidP="002023DB">
            <w:pPr>
              <w:pStyle w:val="16TableText"/>
              <w:rPr>
                <w:rFonts w:eastAsia="DengXian"/>
              </w:rPr>
            </w:pPr>
            <w:r w:rsidRPr="00A63F99">
              <w:rPr>
                <w:rFonts w:eastAsia="DengXian"/>
              </w:rPr>
              <w:t xml:space="preserve">0.83 </w:t>
            </w:r>
          </w:p>
        </w:tc>
        <w:tc>
          <w:tcPr>
            <w:tcW w:w="990" w:type="dxa"/>
            <w:tcBorders>
              <w:top w:val="nil"/>
              <w:left w:val="nil"/>
              <w:bottom w:val="nil"/>
              <w:right w:val="single" w:sz="4" w:space="0" w:color="auto"/>
            </w:tcBorders>
            <w:shd w:val="clear" w:color="000000" w:fill="FFFFFF"/>
            <w:vAlign w:val="center"/>
            <w:hideMark/>
          </w:tcPr>
          <w:p w14:paraId="3BBACB17" w14:textId="77777777" w:rsidR="00471941" w:rsidRPr="00A63F99" w:rsidRDefault="00471941" w:rsidP="002023DB">
            <w:pPr>
              <w:pStyle w:val="16TableText"/>
              <w:rPr>
                <w:rFonts w:eastAsia="DengXian"/>
              </w:rPr>
            </w:pPr>
            <w:r w:rsidRPr="00A63F99">
              <w:rPr>
                <w:rFonts w:eastAsia="DengXian"/>
              </w:rPr>
              <w:t xml:space="preserve">2.97 </w:t>
            </w:r>
          </w:p>
        </w:tc>
        <w:tc>
          <w:tcPr>
            <w:tcW w:w="720" w:type="dxa"/>
            <w:tcBorders>
              <w:top w:val="nil"/>
              <w:left w:val="single" w:sz="4" w:space="0" w:color="auto"/>
              <w:bottom w:val="nil"/>
              <w:right w:val="nil"/>
            </w:tcBorders>
            <w:shd w:val="clear" w:color="000000" w:fill="FFFFFF"/>
            <w:vAlign w:val="center"/>
            <w:hideMark/>
          </w:tcPr>
          <w:p w14:paraId="080E0D99" w14:textId="77777777" w:rsidR="00471941" w:rsidRPr="00A63F99" w:rsidRDefault="00471941" w:rsidP="002023DB">
            <w:pPr>
              <w:pStyle w:val="16TableText"/>
              <w:rPr>
                <w:rFonts w:eastAsia="DengXian"/>
              </w:rPr>
            </w:pPr>
            <w:r w:rsidRPr="00A63F99">
              <w:rPr>
                <w:rFonts w:eastAsia="DengXian"/>
              </w:rPr>
              <w:t xml:space="preserve">20.92 </w:t>
            </w:r>
          </w:p>
        </w:tc>
        <w:tc>
          <w:tcPr>
            <w:tcW w:w="990" w:type="dxa"/>
            <w:tcBorders>
              <w:top w:val="nil"/>
              <w:left w:val="nil"/>
              <w:bottom w:val="nil"/>
              <w:right w:val="nil"/>
            </w:tcBorders>
            <w:shd w:val="clear" w:color="000000" w:fill="FFFFFF"/>
            <w:vAlign w:val="center"/>
            <w:hideMark/>
          </w:tcPr>
          <w:p w14:paraId="1E2C4AB3" w14:textId="77777777" w:rsidR="00471941" w:rsidRPr="00A63F99" w:rsidRDefault="00471941" w:rsidP="002023DB">
            <w:pPr>
              <w:pStyle w:val="16TableText"/>
              <w:rPr>
                <w:rFonts w:eastAsia="DengXian"/>
              </w:rPr>
            </w:pPr>
            <w:r w:rsidRPr="00A63F99">
              <w:rPr>
                <w:rFonts w:eastAsia="DengXian"/>
              </w:rPr>
              <w:t xml:space="preserve">68.99 </w:t>
            </w:r>
          </w:p>
        </w:tc>
      </w:tr>
      <w:tr w:rsidR="00471941" w:rsidRPr="002A6148" w14:paraId="77CED936" w14:textId="77777777" w:rsidTr="00AF3671">
        <w:trPr>
          <w:trHeight w:val="285"/>
        </w:trPr>
        <w:tc>
          <w:tcPr>
            <w:tcW w:w="990" w:type="dxa"/>
            <w:tcBorders>
              <w:top w:val="nil"/>
              <w:left w:val="nil"/>
              <w:bottom w:val="nil"/>
              <w:right w:val="nil"/>
            </w:tcBorders>
            <w:shd w:val="clear" w:color="000000" w:fill="FFFFFF"/>
            <w:vAlign w:val="center"/>
            <w:hideMark/>
          </w:tcPr>
          <w:p w14:paraId="72F28A10" w14:textId="77777777" w:rsidR="00471941" w:rsidRPr="002A6148" w:rsidRDefault="00471941" w:rsidP="002023DB">
            <w:pPr>
              <w:pStyle w:val="16TableText"/>
              <w:rPr>
                <w:rFonts w:eastAsia="DengXian"/>
              </w:rPr>
            </w:pPr>
            <w:r w:rsidRPr="002A6148">
              <w:rPr>
                <w:rFonts w:eastAsia="DengXian"/>
              </w:rPr>
              <w:t>Home-I</w:t>
            </w:r>
          </w:p>
        </w:tc>
        <w:tc>
          <w:tcPr>
            <w:tcW w:w="1159" w:type="dxa"/>
            <w:tcBorders>
              <w:top w:val="nil"/>
              <w:left w:val="nil"/>
              <w:bottom w:val="nil"/>
              <w:right w:val="nil"/>
            </w:tcBorders>
            <w:shd w:val="clear" w:color="000000" w:fill="FFFFFF"/>
            <w:vAlign w:val="center"/>
            <w:hideMark/>
          </w:tcPr>
          <w:p w14:paraId="5DA77C53" w14:textId="77777777" w:rsidR="00471941" w:rsidRPr="00A63F99" w:rsidRDefault="00471941" w:rsidP="002023DB">
            <w:pPr>
              <w:pStyle w:val="16TableText"/>
              <w:rPr>
                <w:rFonts w:eastAsia="DengXian"/>
              </w:rPr>
            </w:pPr>
            <w:r w:rsidRPr="00A63F99">
              <w:rPr>
                <w:rFonts w:eastAsia="DengXian"/>
              </w:rPr>
              <w:t xml:space="preserve">4.47 </w:t>
            </w:r>
          </w:p>
        </w:tc>
        <w:tc>
          <w:tcPr>
            <w:tcW w:w="911" w:type="dxa"/>
            <w:tcBorders>
              <w:top w:val="nil"/>
              <w:left w:val="nil"/>
              <w:bottom w:val="nil"/>
              <w:right w:val="single" w:sz="4" w:space="0" w:color="auto"/>
            </w:tcBorders>
            <w:shd w:val="clear" w:color="000000" w:fill="FFFFFF"/>
            <w:vAlign w:val="center"/>
            <w:hideMark/>
          </w:tcPr>
          <w:p w14:paraId="7D59675F" w14:textId="77777777" w:rsidR="00471941" w:rsidRPr="00A63F99" w:rsidRDefault="00471941" w:rsidP="002023DB">
            <w:pPr>
              <w:pStyle w:val="16TableText"/>
              <w:rPr>
                <w:rFonts w:eastAsia="DengXian"/>
              </w:rPr>
            </w:pPr>
            <w:r w:rsidRPr="00A63F99">
              <w:rPr>
                <w:rFonts w:eastAsia="DengXian"/>
              </w:rPr>
              <w:t xml:space="preserve">8.03 </w:t>
            </w:r>
          </w:p>
        </w:tc>
        <w:tc>
          <w:tcPr>
            <w:tcW w:w="1080" w:type="dxa"/>
            <w:tcBorders>
              <w:top w:val="nil"/>
              <w:left w:val="single" w:sz="4" w:space="0" w:color="auto"/>
              <w:bottom w:val="nil"/>
              <w:right w:val="nil"/>
            </w:tcBorders>
            <w:shd w:val="clear" w:color="000000" w:fill="FFFFFF"/>
            <w:vAlign w:val="center"/>
            <w:hideMark/>
          </w:tcPr>
          <w:p w14:paraId="69DFA4F1" w14:textId="77777777" w:rsidR="00471941" w:rsidRPr="00A63F99" w:rsidRDefault="00471941" w:rsidP="002023DB">
            <w:pPr>
              <w:pStyle w:val="16TableText"/>
              <w:rPr>
                <w:rFonts w:eastAsia="DengXian"/>
              </w:rPr>
            </w:pPr>
            <w:r w:rsidRPr="00A63F99">
              <w:rPr>
                <w:rFonts w:eastAsia="DengXian"/>
              </w:rPr>
              <w:t xml:space="preserve">41.65 </w:t>
            </w:r>
          </w:p>
        </w:tc>
        <w:tc>
          <w:tcPr>
            <w:tcW w:w="990" w:type="dxa"/>
            <w:tcBorders>
              <w:top w:val="nil"/>
              <w:left w:val="nil"/>
              <w:bottom w:val="nil"/>
              <w:right w:val="single" w:sz="4" w:space="0" w:color="auto"/>
            </w:tcBorders>
            <w:shd w:val="clear" w:color="000000" w:fill="FFFFFF"/>
            <w:vAlign w:val="center"/>
            <w:hideMark/>
          </w:tcPr>
          <w:p w14:paraId="43C78E16" w14:textId="77777777" w:rsidR="00471941" w:rsidRPr="00A63F99" w:rsidRDefault="00471941" w:rsidP="002023DB">
            <w:pPr>
              <w:pStyle w:val="16TableText"/>
              <w:rPr>
                <w:rFonts w:eastAsia="DengXian"/>
              </w:rPr>
            </w:pPr>
            <w:r w:rsidRPr="00A63F99">
              <w:rPr>
                <w:rFonts w:eastAsia="DengXian"/>
              </w:rPr>
              <w:t xml:space="preserve">58.03 </w:t>
            </w:r>
          </w:p>
        </w:tc>
        <w:tc>
          <w:tcPr>
            <w:tcW w:w="1170" w:type="dxa"/>
            <w:tcBorders>
              <w:top w:val="nil"/>
              <w:left w:val="single" w:sz="4" w:space="0" w:color="auto"/>
              <w:bottom w:val="nil"/>
              <w:right w:val="nil"/>
            </w:tcBorders>
            <w:shd w:val="clear" w:color="000000" w:fill="FFFFFF"/>
            <w:vAlign w:val="center"/>
            <w:hideMark/>
          </w:tcPr>
          <w:p w14:paraId="59A2C858" w14:textId="77777777" w:rsidR="00471941" w:rsidRPr="00A63F99" w:rsidRDefault="00471941" w:rsidP="002023DB">
            <w:pPr>
              <w:pStyle w:val="16TableText"/>
              <w:rPr>
                <w:rFonts w:eastAsia="DengXian"/>
              </w:rPr>
            </w:pPr>
            <w:r w:rsidRPr="00A63F99">
              <w:rPr>
                <w:rFonts w:eastAsia="DengXian"/>
              </w:rPr>
              <w:t xml:space="preserve">1.71 </w:t>
            </w:r>
          </w:p>
        </w:tc>
        <w:tc>
          <w:tcPr>
            <w:tcW w:w="990" w:type="dxa"/>
            <w:tcBorders>
              <w:top w:val="nil"/>
              <w:left w:val="nil"/>
              <w:bottom w:val="nil"/>
              <w:right w:val="single" w:sz="4" w:space="0" w:color="auto"/>
            </w:tcBorders>
            <w:shd w:val="clear" w:color="000000" w:fill="FFFFFF"/>
            <w:vAlign w:val="center"/>
            <w:hideMark/>
          </w:tcPr>
          <w:p w14:paraId="54ECB674" w14:textId="77777777" w:rsidR="00471941" w:rsidRPr="00A63F99" w:rsidRDefault="00471941" w:rsidP="002023DB">
            <w:pPr>
              <w:pStyle w:val="16TableText"/>
              <w:rPr>
                <w:rFonts w:eastAsia="DengXian"/>
              </w:rPr>
            </w:pPr>
            <w:r w:rsidRPr="00A63F99">
              <w:rPr>
                <w:rFonts w:eastAsia="DengXian"/>
              </w:rPr>
              <w:t xml:space="preserve">5.08 </w:t>
            </w:r>
          </w:p>
        </w:tc>
        <w:tc>
          <w:tcPr>
            <w:tcW w:w="720" w:type="dxa"/>
            <w:tcBorders>
              <w:top w:val="nil"/>
              <w:left w:val="single" w:sz="4" w:space="0" w:color="auto"/>
              <w:bottom w:val="nil"/>
              <w:right w:val="nil"/>
            </w:tcBorders>
            <w:shd w:val="clear" w:color="000000" w:fill="FFFFFF"/>
            <w:vAlign w:val="center"/>
            <w:hideMark/>
          </w:tcPr>
          <w:p w14:paraId="18205BDB" w14:textId="77777777" w:rsidR="00471941" w:rsidRPr="00A63F99" w:rsidRDefault="00471941" w:rsidP="002023DB">
            <w:pPr>
              <w:pStyle w:val="16TableText"/>
              <w:rPr>
                <w:rFonts w:eastAsia="DengXian"/>
              </w:rPr>
            </w:pPr>
            <w:r w:rsidRPr="00A63F99">
              <w:rPr>
                <w:rFonts w:eastAsia="DengXian"/>
              </w:rPr>
              <w:t xml:space="preserve">28.10 </w:t>
            </w:r>
          </w:p>
        </w:tc>
        <w:tc>
          <w:tcPr>
            <w:tcW w:w="990" w:type="dxa"/>
            <w:tcBorders>
              <w:top w:val="nil"/>
              <w:left w:val="nil"/>
              <w:bottom w:val="nil"/>
              <w:right w:val="nil"/>
            </w:tcBorders>
            <w:shd w:val="clear" w:color="000000" w:fill="FFFFFF"/>
            <w:vAlign w:val="center"/>
            <w:hideMark/>
          </w:tcPr>
          <w:p w14:paraId="2C70A0A0" w14:textId="77777777" w:rsidR="00471941" w:rsidRPr="00A63F99" w:rsidRDefault="00471941" w:rsidP="002023DB">
            <w:pPr>
              <w:pStyle w:val="16TableText"/>
              <w:rPr>
                <w:rFonts w:eastAsia="DengXian"/>
              </w:rPr>
            </w:pPr>
            <w:r w:rsidRPr="00A63F99">
              <w:rPr>
                <w:rFonts w:eastAsia="DengXian"/>
              </w:rPr>
              <w:t xml:space="preserve">76.21 </w:t>
            </w:r>
          </w:p>
        </w:tc>
      </w:tr>
      <w:tr w:rsidR="00471941" w:rsidRPr="002A6148" w14:paraId="022F438D" w14:textId="77777777" w:rsidTr="00AF3671">
        <w:trPr>
          <w:trHeight w:val="285"/>
        </w:trPr>
        <w:tc>
          <w:tcPr>
            <w:tcW w:w="990" w:type="dxa"/>
            <w:tcBorders>
              <w:top w:val="nil"/>
              <w:left w:val="nil"/>
              <w:bottom w:val="nil"/>
              <w:right w:val="nil"/>
            </w:tcBorders>
            <w:shd w:val="clear" w:color="000000" w:fill="FFFFFF"/>
            <w:vAlign w:val="center"/>
            <w:hideMark/>
          </w:tcPr>
          <w:p w14:paraId="556FEA92" w14:textId="77777777" w:rsidR="00471941" w:rsidRPr="002A6148" w:rsidRDefault="00471941" w:rsidP="002023DB">
            <w:pPr>
              <w:pStyle w:val="16TableText"/>
              <w:rPr>
                <w:rFonts w:eastAsia="DengXian"/>
              </w:rPr>
            </w:pPr>
            <w:r w:rsidRPr="002A6148">
              <w:rPr>
                <w:rFonts w:eastAsia="DengXian"/>
              </w:rPr>
              <w:t>Home-J</w:t>
            </w:r>
          </w:p>
        </w:tc>
        <w:tc>
          <w:tcPr>
            <w:tcW w:w="1159" w:type="dxa"/>
            <w:tcBorders>
              <w:top w:val="nil"/>
              <w:left w:val="nil"/>
              <w:bottom w:val="nil"/>
              <w:right w:val="nil"/>
            </w:tcBorders>
            <w:shd w:val="clear" w:color="000000" w:fill="FFFFFF"/>
            <w:vAlign w:val="center"/>
            <w:hideMark/>
          </w:tcPr>
          <w:p w14:paraId="4186C9EA" w14:textId="77777777" w:rsidR="00471941" w:rsidRPr="00A63F99" w:rsidRDefault="00471941" w:rsidP="002023DB">
            <w:pPr>
              <w:pStyle w:val="16TableText"/>
              <w:rPr>
                <w:rFonts w:eastAsia="DengXian"/>
              </w:rPr>
            </w:pPr>
            <w:r w:rsidRPr="00A63F99">
              <w:rPr>
                <w:rFonts w:eastAsia="DengXian"/>
              </w:rPr>
              <w:t xml:space="preserve">2.68 </w:t>
            </w:r>
          </w:p>
        </w:tc>
        <w:tc>
          <w:tcPr>
            <w:tcW w:w="911" w:type="dxa"/>
            <w:tcBorders>
              <w:top w:val="nil"/>
              <w:left w:val="nil"/>
              <w:bottom w:val="nil"/>
              <w:right w:val="single" w:sz="4" w:space="0" w:color="auto"/>
            </w:tcBorders>
            <w:shd w:val="clear" w:color="000000" w:fill="FFFFFF"/>
            <w:vAlign w:val="center"/>
            <w:hideMark/>
          </w:tcPr>
          <w:p w14:paraId="6AFCFEE8" w14:textId="77777777" w:rsidR="00471941" w:rsidRPr="00A63F99" w:rsidRDefault="00471941" w:rsidP="002023DB">
            <w:pPr>
              <w:pStyle w:val="16TableText"/>
              <w:rPr>
                <w:rFonts w:eastAsia="DengXian"/>
              </w:rPr>
            </w:pPr>
            <w:r w:rsidRPr="00A63F99">
              <w:rPr>
                <w:rFonts w:eastAsia="DengXian"/>
              </w:rPr>
              <w:t xml:space="preserve">5.51 </w:t>
            </w:r>
          </w:p>
        </w:tc>
        <w:tc>
          <w:tcPr>
            <w:tcW w:w="1080" w:type="dxa"/>
            <w:tcBorders>
              <w:top w:val="nil"/>
              <w:left w:val="single" w:sz="4" w:space="0" w:color="auto"/>
              <w:bottom w:val="nil"/>
              <w:right w:val="nil"/>
            </w:tcBorders>
            <w:shd w:val="clear" w:color="000000" w:fill="FFFFFF"/>
            <w:vAlign w:val="center"/>
            <w:hideMark/>
          </w:tcPr>
          <w:p w14:paraId="06CBEF83" w14:textId="77777777" w:rsidR="00471941" w:rsidRPr="00A63F99" w:rsidRDefault="00471941" w:rsidP="002023DB">
            <w:pPr>
              <w:pStyle w:val="16TableText"/>
              <w:rPr>
                <w:rFonts w:eastAsia="DengXian"/>
              </w:rPr>
            </w:pPr>
            <w:r w:rsidRPr="00A63F99">
              <w:rPr>
                <w:rFonts w:eastAsia="DengXian"/>
              </w:rPr>
              <w:t xml:space="preserve">24.82 </w:t>
            </w:r>
          </w:p>
        </w:tc>
        <w:tc>
          <w:tcPr>
            <w:tcW w:w="990" w:type="dxa"/>
            <w:tcBorders>
              <w:top w:val="nil"/>
              <w:left w:val="nil"/>
              <w:bottom w:val="nil"/>
              <w:right w:val="single" w:sz="4" w:space="0" w:color="auto"/>
            </w:tcBorders>
            <w:shd w:val="clear" w:color="000000" w:fill="FFFFFF"/>
            <w:vAlign w:val="center"/>
            <w:hideMark/>
          </w:tcPr>
          <w:p w14:paraId="58B0375A" w14:textId="77777777" w:rsidR="00471941" w:rsidRPr="00A63F99" w:rsidRDefault="00471941" w:rsidP="002023DB">
            <w:pPr>
              <w:pStyle w:val="16TableText"/>
              <w:rPr>
                <w:rFonts w:eastAsia="DengXian"/>
              </w:rPr>
            </w:pPr>
            <w:r w:rsidRPr="00A63F99">
              <w:rPr>
                <w:rFonts w:eastAsia="DengXian"/>
              </w:rPr>
              <w:t xml:space="preserve">41.23 </w:t>
            </w:r>
          </w:p>
        </w:tc>
        <w:tc>
          <w:tcPr>
            <w:tcW w:w="1170" w:type="dxa"/>
            <w:tcBorders>
              <w:top w:val="nil"/>
              <w:left w:val="single" w:sz="4" w:space="0" w:color="auto"/>
              <w:bottom w:val="nil"/>
              <w:right w:val="nil"/>
            </w:tcBorders>
            <w:shd w:val="clear" w:color="000000" w:fill="FFFFFF"/>
            <w:vAlign w:val="center"/>
            <w:hideMark/>
          </w:tcPr>
          <w:p w14:paraId="7B484B76" w14:textId="77777777" w:rsidR="00471941" w:rsidRPr="00A63F99" w:rsidRDefault="00471941" w:rsidP="002023DB">
            <w:pPr>
              <w:pStyle w:val="16TableText"/>
              <w:rPr>
                <w:rFonts w:eastAsia="DengXian"/>
              </w:rPr>
            </w:pPr>
            <w:r w:rsidRPr="00A63F99">
              <w:rPr>
                <w:rFonts w:eastAsia="DengXian"/>
              </w:rPr>
              <w:t xml:space="preserve">1.05 </w:t>
            </w:r>
          </w:p>
        </w:tc>
        <w:tc>
          <w:tcPr>
            <w:tcW w:w="990" w:type="dxa"/>
            <w:tcBorders>
              <w:top w:val="nil"/>
              <w:left w:val="nil"/>
              <w:bottom w:val="nil"/>
              <w:right w:val="single" w:sz="4" w:space="0" w:color="auto"/>
            </w:tcBorders>
            <w:shd w:val="clear" w:color="000000" w:fill="FFFFFF"/>
            <w:vAlign w:val="center"/>
            <w:hideMark/>
          </w:tcPr>
          <w:p w14:paraId="1F83F0EB" w14:textId="77777777" w:rsidR="00471941" w:rsidRPr="00A63F99" w:rsidRDefault="00471941" w:rsidP="002023DB">
            <w:pPr>
              <w:pStyle w:val="16TableText"/>
              <w:rPr>
                <w:rFonts w:eastAsia="DengXian"/>
              </w:rPr>
            </w:pPr>
            <w:r w:rsidRPr="00A63F99">
              <w:rPr>
                <w:rFonts w:eastAsia="DengXian"/>
              </w:rPr>
              <w:t xml:space="preserve">3.33 </w:t>
            </w:r>
          </w:p>
        </w:tc>
        <w:tc>
          <w:tcPr>
            <w:tcW w:w="720" w:type="dxa"/>
            <w:tcBorders>
              <w:top w:val="nil"/>
              <w:left w:val="single" w:sz="4" w:space="0" w:color="auto"/>
              <w:bottom w:val="nil"/>
              <w:right w:val="nil"/>
            </w:tcBorders>
            <w:shd w:val="clear" w:color="000000" w:fill="FFFFFF"/>
            <w:vAlign w:val="center"/>
            <w:hideMark/>
          </w:tcPr>
          <w:p w14:paraId="23BE3560" w14:textId="77777777" w:rsidR="00471941" w:rsidRPr="00A63F99" w:rsidRDefault="00471941" w:rsidP="002023DB">
            <w:pPr>
              <w:pStyle w:val="16TableText"/>
              <w:rPr>
                <w:rFonts w:eastAsia="DengXian"/>
              </w:rPr>
            </w:pPr>
            <w:r w:rsidRPr="00A63F99">
              <w:rPr>
                <w:rFonts w:eastAsia="DengXian"/>
              </w:rPr>
              <w:t xml:space="preserve">29.42 </w:t>
            </w:r>
          </w:p>
        </w:tc>
        <w:tc>
          <w:tcPr>
            <w:tcW w:w="990" w:type="dxa"/>
            <w:tcBorders>
              <w:top w:val="nil"/>
              <w:left w:val="nil"/>
              <w:bottom w:val="nil"/>
              <w:right w:val="nil"/>
            </w:tcBorders>
            <w:shd w:val="clear" w:color="000000" w:fill="FFFFFF"/>
            <w:vAlign w:val="center"/>
            <w:hideMark/>
          </w:tcPr>
          <w:p w14:paraId="53125AB9" w14:textId="77777777" w:rsidR="00471941" w:rsidRPr="00A63F99" w:rsidRDefault="00471941" w:rsidP="002023DB">
            <w:pPr>
              <w:pStyle w:val="16TableText"/>
              <w:rPr>
                <w:rFonts w:eastAsia="DengXian"/>
              </w:rPr>
            </w:pPr>
            <w:r w:rsidRPr="00A63F99">
              <w:rPr>
                <w:rFonts w:eastAsia="DengXian"/>
              </w:rPr>
              <w:t xml:space="preserve">92.41 </w:t>
            </w:r>
          </w:p>
        </w:tc>
      </w:tr>
      <w:tr w:rsidR="00471941" w:rsidRPr="002A6148" w14:paraId="277A6C08" w14:textId="77777777" w:rsidTr="00AF3671">
        <w:trPr>
          <w:trHeight w:val="300"/>
        </w:trPr>
        <w:tc>
          <w:tcPr>
            <w:tcW w:w="990" w:type="dxa"/>
            <w:tcBorders>
              <w:top w:val="nil"/>
              <w:left w:val="nil"/>
              <w:bottom w:val="single" w:sz="12" w:space="0" w:color="000000"/>
              <w:right w:val="nil"/>
            </w:tcBorders>
            <w:shd w:val="clear" w:color="000000" w:fill="FFFFFF"/>
            <w:vAlign w:val="center"/>
            <w:hideMark/>
          </w:tcPr>
          <w:p w14:paraId="6A3F319E" w14:textId="77777777" w:rsidR="00471941" w:rsidRPr="002A6148" w:rsidRDefault="00471941" w:rsidP="002023DB">
            <w:pPr>
              <w:pStyle w:val="16TableText"/>
              <w:rPr>
                <w:rFonts w:eastAsia="DengXian"/>
              </w:rPr>
            </w:pPr>
            <w:r w:rsidRPr="002A6148">
              <w:rPr>
                <w:rFonts w:eastAsia="DengXian"/>
              </w:rPr>
              <w:t>Lab-house</w:t>
            </w:r>
          </w:p>
        </w:tc>
        <w:tc>
          <w:tcPr>
            <w:tcW w:w="1159" w:type="dxa"/>
            <w:tcBorders>
              <w:top w:val="nil"/>
              <w:left w:val="nil"/>
              <w:bottom w:val="single" w:sz="12" w:space="0" w:color="000000"/>
              <w:right w:val="nil"/>
            </w:tcBorders>
            <w:shd w:val="clear" w:color="000000" w:fill="FFFFFF"/>
            <w:vAlign w:val="center"/>
            <w:hideMark/>
          </w:tcPr>
          <w:p w14:paraId="155F597D" w14:textId="77777777" w:rsidR="00471941" w:rsidRPr="00A63F99" w:rsidRDefault="00471941" w:rsidP="002023DB">
            <w:pPr>
              <w:pStyle w:val="16TableText"/>
              <w:rPr>
                <w:rFonts w:eastAsia="DengXian"/>
              </w:rPr>
            </w:pPr>
            <w:r w:rsidRPr="00A63F99">
              <w:rPr>
                <w:rFonts w:eastAsia="DengXian"/>
              </w:rPr>
              <w:t xml:space="preserve">3.61 </w:t>
            </w:r>
          </w:p>
        </w:tc>
        <w:tc>
          <w:tcPr>
            <w:tcW w:w="911" w:type="dxa"/>
            <w:tcBorders>
              <w:top w:val="nil"/>
              <w:left w:val="nil"/>
              <w:bottom w:val="single" w:sz="12" w:space="0" w:color="000000"/>
              <w:right w:val="single" w:sz="4" w:space="0" w:color="auto"/>
            </w:tcBorders>
            <w:shd w:val="clear" w:color="000000" w:fill="FFFFFF"/>
            <w:vAlign w:val="center"/>
            <w:hideMark/>
          </w:tcPr>
          <w:p w14:paraId="05F8C7C9" w14:textId="77777777" w:rsidR="00471941" w:rsidRPr="00A63F99" w:rsidRDefault="00471941" w:rsidP="002023DB">
            <w:pPr>
              <w:pStyle w:val="16TableText"/>
              <w:rPr>
                <w:rFonts w:eastAsia="DengXian"/>
              </w:rPr>
            </w:pPr>
            <w:r w:rsidRPr="00A63F99">
              <w:rPr>
                <w:rFonts w:eastAsia="DengXian"/>
              </w:rPr>
              <w:t xml:space="preserve">5.73 </w:t>
            </w:r>
          </w:p>
        </w:tc>
        <w:tc>
          <w:tcPr>
            <w:tcW w:w="1080" w:type="dxa"/>
            <w:tcBorders>
              <w:top w:val="nil"/>
              <w:left w:val="single" w:sz="4" w:space="0" w:color="auto"/>
              <w:bottom w:val="single" w:sz="12" w:space="0" w:color="000000"/>
              <w:right w:val="nil"/>
            </w:tcBorders>
            <w:shd w:val="clear" w:color="000000" w:fill="FFFFFF"/>
            <w:vAlign w:val="center"/>
            <w:hideMark/>
          </w:tcPr>
          <w:p w14:paraId="3415266A" w14:textId="77777777" w:rsidR="00471941" w:rsidRPr="00A63F99" w:rsidRDefault="00471941" w:rsidP="002023DB">
            <w:pPr>
              <w:pStyle w:val="16TableText"/>
              <w:rPr>
                <w:rFonts w:eastAsia="DengXian"/>
              </w:rPr>
            </w:pPr>
            <w:r w:rsidRPr="00A63F99">
              <w:rPr>
                <w:rFonts w:eastAsia="DengXian"/>
              </w:rPr>
              <w:t xml:space="preserve">35.40 </w:t>
            </w:r>
          </w:p>
        </w:tc>
        <w:tc>
          <w:tcPr>
            <w:tcW w:w="990" w:type="dxa"/>
            <w:tcBorders>
              <w:top w:val="nil"/>
              <w:left w:val="nil"/>
              <w:bottom w:val="single" w:sz="12" w:space="0" w:color="000000"/>
              <w:right w:val="single" w:sz="4" w:space="0" w:color="auto"/>
            </w:tcBorders>
            <w:shd w:val="clear" w:color="000000" w:fill="FFFFFF"/>
            <w:vAlign w:val="center"/>
            <w:hideMark/>
          </w:tcPr>
          <w:p w14:paraId="2A6F736C" w14:textId="77777777" w:rsidR="00471941" w:rsidRPr="00A63F99" w:rsidRDefault="00471941" w:rsidP="002023DB">
            <w:pPr>
              <w:pStyle w:val="16TableText"/>
              <w:rPr>
                <w:rFonts w:eastAsia="DengXian"/>
              </w:rPr>
            </w:pPr>
            <w:r w:rsidRPr="00A63F99">
              <w:rPr>
                <w:rFonts w:eastAsia="DengXian"/>
              </w:rPr>
              <w:t xml:space="preserve">42.99 </w:t>
            </w:r>
          </w:p>
        </w:tc>
        <w:tc>
          <w:tcPr>
            <w:tcW w:w="1170" w:type="dxa"/>
            <w:tcBorders>
              <w:top w:val="nil"/>
              <w:left w:val="single" w:sz="4" w:space="0" w:color="auto"/>
              <w:bottom w:val="single" w:sz="12" w:space="0" w:color="000000"/>
              <w:right w:val="nil"/>
            </w:tcBorders>
            <w:shd w:val="clear" w:color="000000" w:fill="FFFFFF"/>
            <w:vAlign w:val="center"/>
            <w:hideMark/>
          </w:tcPr>
          <w:p w14:paraId="10ABB195" w14:textId="77777777" w:rsidR="00471941" w:rsidRPr="00A63F99" w:rsidRDefault="00471941" w:rsidP="002023DB">
            <w:pPr>
              <w:pStyle w:val="16TableText"/>
              <w:rPr>
                <w:rFonts w:eastAsia="DengXian"/>
              </w:rPr>
            </w:pPr>
            <w:r w:rsidRPr="00A63F99">
              <w:rPr>
                <w:rFonts w:eastAsia="DengXian"/>
              </w:rPr>
              <w:t xml:space="preserve">1.17 </w:t>
            </w:r>
          </w:p>
        </w:tc>
        <w:tc>
          <w:tcPr>
            <w:tcW w:w="990" w:type="dxa"/>
            <w:tcBorders>
              <w:top w:val="nil"/>
              <w:left w:val="nil"/>
              <w:bottom w:val="single" w:sz="12" w:space="0" w:color="000000"/>
              <w:right w:val="single" w:sz="4" w:space="0" w:color="auto"/>
            </w:tcBorders>
            <w:shd w:val="clear" w:color="000000" w:fill="FFFFFF"/>
            <w:vAlign w:val="center"/>
            <w:hideMark/>
          </w:tcPr>
          <w:p w14:paraId="25C84F36" w14:textId="77777777" w:rsidR="00471941" w:rsidRPr="00A63F99" w:rsidRDefault="00471941" w:rsidP="002023DB">
            <w:pPr>
              <w:pStyle w:val="16TableText"/>
              <w:rPr>
                <w:rFonts w:eastAsia="DengXian"/>
              </w:rPr>
            </w:pPr>
            <w:r w:rsidRPr="00A63F99">
              <w:rPr>
                <w:rFonts w:eastAsia="DengXian"/>
              </w:rPr>
              <w:t xml:space="preserve">3.43 </w:t>
            </w:r>
          </w:p>
        </w:tc>
        <w:tc>
          <w:tcPr>
            <w:tcW w:w="720" w:type="dxa"/>
            <w:tcBorders>
              <w:top w:val="nil"/>
              <w:left w:val="single" w:sz="4" w:space="0" w:color="auto"/>
              <w:bottom w:val="single" w:sz="12" w:space="0" w:color="000000"/>
              <w:right w:val="nil"/>
            </w:tcBorders>
            <w:shd w:val="clear" w:color="000000" w:fill="FFFFFF"/>
            <w:vAlign w:val="center"/>
            <w:hideMark/>
          </w:tcPr>
          <w:p w14:paraId="1093994C" w14:textId="77777777" w:rsidR="00471941" w:rsidRPr="00A63F99" w:rsidRDefault="00471941" w:rsidP="002023DB">
            <w:pPr>
              <w:pStyle w:val="16TableText"/>
              <w:rPr>
                <w:rFonts w:eastAsia="DengXian"/>
              </w:rPr>
            </w:pPr>
            <w:r w:rsidRPr="00A63F99">
              <w:rPr>
                <w:rFonts w:eastAsia="DengXian"/>
              </w:rPr>
              <w:t xml:space="preserve">34.47 </w:t>
            </w:r>
          </w:p>
        </w:tc>
        <w:tc>
          <w:tcPr>
            <w:tcW w:w="990" w:type="dxa"/>
            <w:tcBorders>
              <w:top w:val="nil"/>
              <w:left w:val="nil"/>
              <w:bottom w:val="single" w:sz="12" w:space="0" w:color="000000"/>
              <w:right w:val="nil"/>
            </w:tcBorders>
            <w:shd w:val="clear" w:color="000000" w:fill="FFFFFF"/>
            <w:vAlign w:val="center"/>
            <w:hideMark/>
          </w:tcPr>
          <w:p w14:paraId="096CA173" w14:textId="77777777" w:rsidR="00471941" w:rsidRPr="00A63F99" w:rsidRDefault="00471941" w:rsidP="002023DB">
            <w:pPr>
              <w:pStyle w:val="16TableText"/>
              <w:rPr>
                <w:rFonts w:eastAsia="DengXian"/>
              </w:rPr>
            </w:pPr>
            <w:r w:rsidRPr="00A63F99">
              <w:rPr>
                <w:rFonts w:eastAsia="DengXian"/>
              </w:rPr>
              <w:t xml:space="preserve">92.26 </w:t>
            </w:r>
          </w:p>
        </w:tc>
      </w:tr>
    </w:tbl>
    <w:p w14:paraId="1E8F2BAD" w14:textId="26BBDC11" w:rsidR="00471941" w:rsidRDefault="00471941" w:rsidP="00410CB0">
      <w:pPr>
        <w:pStyle w:val="15TableTitle"/>
      </w:pPr>
      <w:bookmarkStart w:id="315" w:name="_Ref130202284"/>
      <w:bookmarkStart w:id="316" w:name="_Toc141343902"/>
      <w:r>
        <w:t xml:space="preserve">Table </w:t>
      </w:r>
      <w:fldSimple w:instr=" STYLEREF 1 \s ">
        <w:r w:rsidR="000E1725">
          <w:rPr>
            <w:noProof/>
          </w:rPr>
          <w:t>4</w:t>
        </w:r>
      </w:fldSimple>
      <w:r w:rsidR="00146A55">
        <w:t>.</w:t>
      </w:r>
      <w:fldSimple w:instr=" SEQ Table \* ARABIC \s 1 ">
        <w:r w:rsidR="000E1725">
          <w:rPr>
            <w:noProof/>
          </w:rPr>
          <w:t>4</w:t>
        </w:r>
      </w:fldSimple>
      <w:bookmarkEnd w:id="315"/>
      <w:r>
        <w:t xml:space="preserve"> Cost and energy consumption summary for homes on mild summer days</w:t>
      </w:r>
      <w:bookmarkEnd w:id="316"/>
    </w:p>
    <w:tbl>
      <w:tblPr>
        <w:tblW w:w="9000" w:type="dxa"/>
        <w:tblLayout w:type="fixed"/>
        <w:tblLook w:val="04A0" w:firstRow="1" w:lastRow="0" w:firstColumn="1" w:lastColumn="0" w:noHBand="0" w:noVBand="1"/>
      </w:tblPr>
      <w:tblGrid>
        <w:gridCol w:w="990"/>
        <w:gridCol w:w="1159"/>
        <w:gridCol w:w="911"/>
        <w:gridCol w:w="1170"/>
        <w:gridCol w:w="900"/>
        <w:gridCol w:w="1170"/>
        <w:gridCol w:w="990"/>
        <w:gridCol w:w="810"/>
        <w:gridCol w:w="900"/>
      </w:tblGrid>
      <w:tr w:rsidR="00471941" w:rsidRPr="00A86BC4" w14:paraId="7846D10F" w14:textId="77777777" w:rsidTr="00AF3671">
        <w:trPr>
          <w:trHeight w:val="300"/>
        </w:trPr>
        <w:tc>
          <w:tcPr>
            <w:tcW w:w="990" w:type="dxa"/>
            <w:tcBorders>
              <w:top w:val="single" w:sz="12" w:space="0" w:color="000000"/>
              <w:left w:val="nil"/>
              <w:bottom w:val="nil"/>
              <w:right w:val="nil"/>
            </w:tcBorders>
            <w:shd w:val="clear" w:color="auto" w:fill="auto"/>
            <w:vAlign w:val="center"/>
            <w:hideMark/>
          </w:tcPr>
          <w:p w14:paraId="758B4B3C" w14:textId="77777777" w:rsidR="00471941" w:rsidRPr="00A86BC4" w:rsidRDefault="00471941" w:rsidP="002023DB">
            <w:pPr>
              <w:pStyle w:val="16TableText"/>
              <w:rPr>
                <w:rFonts w:eastAsia="DengXian"/>
              </w:rPr>
            </w:pPr>
          </w:p>
        </w:tc>
        <w:tc>
          <w:tcPr>
            <w:tcW w:w="2070" w:type="dxa"/>
            <w:gridSpan w:val="2"/>
            <w:tcBorders>
              <w:top w:val="single" w:sz="12" w:space="0" w:color="000000"/>
              <w:left w:val="nil"/>
              <w:bottom w:val="single" w:sz="8" w:space="0" w:color="auto"/>
              <w:right w:val="nil"/>
            </w:tcBorders>
            <w:shd w:val="clear" w:color="auto" w:fill="auto"/>
            <w:vAlign w:val="center"/>
            <w:hideMark/>
          </w:tcPr>
          <w:p w14:paraId="7BD23042" w14:textId="77777777" w:rsidR="00471941" w:rsidRPr="00A86BC4" w:rsidRDefault="00471941" w:rsidP="002023DB">
            <w:pPr>
              <w:pStyle w:val="16TableText"/>
              <w:rPr>
                <w:rFonts w:eastAsia="DengXian"/>
              </w:rPr>
            </w:pPr>
            <w:r w:rsidRPr="00A86BC4">
              <w:rPr>
                <w:rFonts w:eastAsia="DengXian"/>
              </w:rPr>
              <w:t>Cost, $</w:t>
            </w:r>
          </w:p>
        </w:tc>
        <w:tc>
          <w:tcPr>
            <w:tcW w:w="2070" w:type="dxa"/>
            <w:gridSpan w:val="2"/>
            <w:tcBorders>
              <w:top w:val="single" w:sz="12" w:space="0" w:color="000000"/>
              <w:left w:val="nil"/>
              <w:bottom w:val="single" w:sz="8" w:space="0" w:color="auto"/>
              <w:right w:val="nil"/>
            </w:tcBorders>
            <w:shd w:val="clear" w:color="auto" w:fill="auto"/>
            <w:vAlign w:val="center"/>
            <w:hideMark/>
          </w:tcPr>
          <w:p w14:paraId="499250BB" w14:textId="77777777" w:rsidR="00471941" w:rsidRPr="00A86BC4" w:rsidRDefault="00471941" w:rsidP="002023DB">
            <w:pPr>
              <w:pStyle w:val="16TableText"/>
              <w:rPr>
                <w:rFonts w:eastAsia="DengXian"/>
              </w:rPr>
            </w:pPr>
            <w:r w:rsidRPr="00A86BC4">
              <w:rPr>
                <w:rFonts w:eastAsia="DengXian"/>
              </w:rPr>
              <w:t>Energy, kWh</w:t>
            </w:r>
          </w:p>
        </w:tc>
        <w:tc>
          <w:tcPr>
            <w:tcW w:w="2160" w:type="dxa"/>
            <w:gridSpan w:val="2"/>
            <w:tcBorders>
              <w:top w:val="single" w:sz="12" w:space="0" w:color="000000"/>
              <w:left w:val="nil"/>
              <w:bottom w:val="single" w:sz="8" w:space="0" w:color="auto"/>
              <w:right w:val="nil"/>
            </w:tcBorders>
            <w:shd w:val="clear" w:color="auto" w:fill="auto"/>
            <w:vAlign w:val="center"/>
            <w:hideMark/>
          </w:tcPr>
          <w:p w14:paraId="0D300069" w14:textId="77777777" w:rsidR="00471941" w:rsidRPr="00A86BC4" w:rsidRDefault="00471941" w:rsidP="002023DB">
            <w:pPr>
              <w:pStyle w:val="16TableText"/>
              <w:rPr>
                <w:rFonts w:eastAsia="DengXian"/>
              </w:rPr>
            </w:pPr>
            <w:r w:rsidRPr="00A86BC4">
              <w:rPr>
                <w:rFonts w:eastAsia="DengXian"/>
              </w:rPr>
              <w:t>Peak Cost, $</w:t>
            </w:r>
          </w:p>
        </w:tc>
        <w:tc>
          <w:tcPr>
            <w:tcW w:w="1710" w:type="dxa"/>
            <w:gridSpan w:val="2"/>
            <w:tcBorders>
              <w:top w:val="single" w:sz="12" w:space="0" w:color="000000"/>
              <w:left w:val="nil"/>
              <w:bottom w:val="single" w:sz="8" w:space="0" w:color="auto"/>
              <w:right w:val="nil"/>
            </w:tcBorders>
            <w:shd w:val="clear" w:color="auto" w:fill="auto"/>
            <w:vAlign w:val="center"/>
            <w:hideMark/>
          </w:tcPr>
          <w:p w14:paraId="058C73E5" w14:textId="77777777" w:rsidR="00471941" w:rsidRPr="00A86BC4" w:rsidRDefault="00471941" w:rsidP="002023DB">
            <w:pPr>
              <w:pStyle w:val="16TableText"/>
              <w:rPr>
                <w:rFonts w:eastAsia="DengXian"/>
              </w:rPr>
            </w:pPr>
            <w:r w:rsidRPr="00A86BC4">
              <w:rPr>
                <w:rFonts w:eastAsia="DengXian"/>
              </w:rPr>
              <w:t>TOU run time, %</w:t>
            </w:r>
          </w:p>
        </w:tc>
      </w:tr>
      <w:tr w:rsidR="00471941" w:rsidRPr="00A86BC4" w14:paraId="4A0508F4" w14:textId="77777777" w:rsidTr="00AF3671">
        <w:trPr>
          <w:trHeight w:val="300"/>
        </w:trPr>
        <w:tc>
          <w:tcPr>
            <w:tcW w:w="990" w:type="dxa"/>
            <w:tcBorders>
              <w:top w:val="nil"/>
              <w:left w:val="nil"/>
              <w:bottom w:val="single" w:sz="12" w:space="0" w:color="000000"/>
              <w:right w:val="nil"/>
            </w:tcBorders>
            <w:shd w:val="clear" w:color="auto" w:fill="auto"/>
            <w:vAlign w:val="center"/>
            <w:hideMark/>
          </w:tcPr>
          <w:p w14:paraId="4FCF277B" w14:textId="77777777" w:rsidR="00471941" w:rsidRPr="00A86BC4" w:rsidRDefault="00471941" w:rsidP="002023DB">
            <w:pPr>
              <w:pStyle w:val="16TableText"/>
              <w:rPr>
                <w:rFonts w:eastAsia="DengXian"/>
              </w:rPr>
            </w:pPr>
          </w:p>
        </w:tc>
        <w:tc>
          <w:tcPr>
            <w:tcW w:w="1159" w:type="dxa"/>
            <w:tcBorders>
              <w:top w:val="single" w:sz="8" w:space="0" w:color="auto"/>
              <w:left w:val="nil"/>
              <w:bottom w:val="single" w:sz="12" w:space="0" w:color="000000"/>
              <w:right w:val="nil"/>
            </w:tcBorders>
            <w:shd w:val="clear" w:color="auto" w:fill="auto"/>
            <w:vAlign w:val="center"/>
            <w:hideMark/>
          </w:tcPr>
          <w:p w14:paraId="592A7D69" w14:textId="77777777" w:rsidR="00471941" w:rsidRPr="00A86BC4" w:rsidRDefault="00471941" w:rsidP="002023DB">
            <w:pPr>
              <w:pStyle w:val="16TableText"/>
              <w:rPr>
                <w:rFonts w:eastAsia="DengXian"/>
              </w:rPr>
            </w:pPr>
            <w:r w:rsidRPr="00A86BC4">
              <w:rPr>
                <w:rFonts w:eastAsia="DengXian"/>
              </w:rPr>
              <w:t>MPC</w:t>
            </w:r>
          </w:p>
        </w:tc>
        <w:tc>
          <w:tcPr>
            <w:tcW w:w="911" w:type="dxa"/>
            <w:tcBorders>
              <w:top w:val="single" w:sz="8" w:space="0" w:color="auto"/>
              <w:left w:val="nil"/>
              <w:bottom w:val="single" w:sz="12" w:space="0" w:color="000000"/>
              <w:right w:val="nil"/>
            </w:tcBorders>
            <w:shd w:val="clear" w:color="auto" w:fill="auto"/>
            <w:vAlign w:val="center"/>
            <w:hideMark/>
          </w:tcPr>
          <w:p w14:paraId="4E1A1C48" w14:textId="77777777" w:rsidR="00471941" w:rsidRPr="00A86BC4" w:rsidRDefault="00471941" w:rsidP="002023DB">
            <w:pPr>
              <w:pStyle w:val="16TableText"/>
              <w:rPr>
                <w:rFonts w:eastAsia="DengXian"/>
              </w:rPr>
            </w:pPr>
            <w:r w:rsidRPr="00A86BC4">
              <w:rPr>
                <w:rFonts w:eastAsia="DengXian"/>
              </w:rPr>
              <w:t>normal</w:t>
            </w:r>
          </w:p>
        </w:tc>
        <w:tc>
          <w:tcPr>
            <w:tcW w:w="1170" w:type="dxa"/>
            <w:tcBorders>
              <w:top w:val="single" w:sz="8" w:space="0" w:color="auto"/>
              <w:left w:val="nil"/>
              <w:bottom w:val="single" w:sz="12" w:space="0" w:color="000000"/>
              <w:right w:val="nil"/>
            </w:tcBorders>
            <w:shd w:val="clear" w:color="auto" w:fill="auto"/>
            <w:vAlign w:val="center"/>
            <w:hideMark/>
          </w:tcPr>
          <w:p w14:paraId="5ABBC8A7" w14:textId="77777777" w:rsidR="00471941" w:rsidRPr="00A86BC4" w:rsidRDefault="00471941" w:rsidP="002023DB">
            <w:pPr>
              <w:pStyle w:val="16TableText"/>
              <w:rPr>
                <w:rFonts w:eastAsia="DengXian"/>
              </w:rPr>
            </w:pPr>
            <w:r w:rsidRPr="00A86BC4">
              <w:rPr>
                <w:rFonts w:eastAsia="DengXian"/>
              </w:rPr>
              <w:t>MPC</w:t>
            </w:r>
          </w:p>
        </w:tc>
        <w:tc>
          <w:tcPr>
            <w:tcW w:w="900" w:type="dxa"/>
            <w:tcBorders>
              <w:top w:val="single" w:sz="8" w:space="0" w:color="auto"/>
              <w:left w:val="nil"/>
              <w:bottom w:val="single" w:sz="12" w:space="0" w:color="000000"/>
              <w:right w:val="nil"/>
            </w:tcBorders>
            <w:shd w:val="clear" w:color="auto" w:fill="auto"/>
            <w:vAlign w:val="center"/>
            <w:hideMark/>
          </w:tcPr>
          <w:p w14:paraId="710D87FB" w14:textId="77777777" w:rsidR="00471941" w:rsidRPr="00A86BC4" w:rsidRDefault="00471941" w:rsidP="002023DB">
            <w:pPr>
              <w:pStyle w:val="16TableText"/>
              <w:rPr>
                <w:rFonts w:eastAsia="DengXian"/>
              </w:rPr>
            </w:pPr>
            <w:r w:rsidRPr="00A86BC4">
              <w:rPr>
                <w:rFonts w:eastAsia="DengXian"/>
              </w:rPr>
              <w:t>normal</w:t>
            </w:r>
          </w:p>
        </w:tc>
        <w:tc>
          <w:tcPr>
            <w:tcW w:w="1170" w:type="dxa"/>
            <w:tcBorders>
              <w:top w:val="single" w:sz="8" w:space="0" w:color="auto"/>
              <w:left w:val="nil"/>
              <w:bottom w:val="single" w:sz="12" w:space="0" w:color="000000"/>
              <w:right w:val="nil"/>
            </w:tcBorders>
            <w:shd w:val="clear" w:color="auto" w:fill="auto"/>
            <w:vAlign w:val="center"/>
            <w:hideMark/>
          </w:tcPr>
          <w:p w14:paraId="2F2695CE" w14:textId="77777777" w:rsidR="00471941" w:rsidRPr="00A86BC4" w:rsidRDefault="00471941" w:rsidP="002023DB">
            <w:pPr>
              <w:pStyle w:val="16TableText"/>
              <w:rPr>
                <w:rFonts w:eastAsia="DengXian"/>
              </w:rPr>
            </w:pPr>
            <w:r w:rsidRPr="00A86BC4">
              <w:rPr>
                <w:rFonts w:eastAsia="DengXian"/>
              </w:rPr>
              <w:t>MPC</w:t>
            </w:r>
          </w:p>
        </w:tc>
        <w:tc>
          <w:tcPr>
            <w:tcW w:w="990" w:type="dxa"/>
            <w:tcBorders>
              <w:top w:val="single" w:sz="8" w:space="0" w:color="auto"/>
              <w:left w:val="nil"/>
              <w:bottom w:val="single" w:sz="12" w:space="0" w:color="000000"/>
              <w:right w:val="nil"/>
            </w:tcBorders>
            <w:shd w:val="clear" w:color="auto" w:fill="auto"/>
            <w:vAlign w:val="center"/>
            <w:hideMark/>
          </w:tcPr>
          <w:p w14:paraId="764DCFC8" w14:textId="77777777" w:rsidR="00471941" w:rsidRPr="00A86BC4" w:rsidRDefault="00471941" w:rsidP="002023DB">
            <w:pPr>
              <w:pStyle w:val="16TableText"/>
              <w:rPr>
                <w:rFonts w:eastAsia="DengXian"/>
              </w:rPr>
            </w:pPr>
            <w:r w:rsidRPr="00A86BC4">
              <w:rPr>
                <w:rFonts w:eastAsia="DengXian"/>
              </w:rPr>
              <w:t>normal</w:t>
            </w:r>
          </w:p>
        </w:tc>
        <w:tc>
          <w:tcPr>
            <w:tcW w:w="810" w:type="dxa"/>
            <w:tcBorders>
              <w:top w:val="single" w:sz="8" w:space="0" w:color="auto"/>
              <w:left w:val="nil"/>
              <w:bottom w:val="single" w:sz="12" w:space="0" w:color="000000"/>
              <w:right w:val="nil"/>
            </w:tcBorders>
            <w:shd w:val="clear" w:color="auto" w:fill="auto"/>
            <w:vAlign w:val="center"/>
            <w:hideMark/>
          </w:tcPr>
          <w:p w14:paraId="22292498" w14:textId="77777777" w:rsidR="00471941" w:rsidRPr="00A86BC4" w:rsidRDefault="00471941" w:rsidP="002023DB">
            <w:pPr>
              <w:pStyle w:val="16TableText"/>
              <w:rPr>
                <w:rFonts w:eastAsia="DengXian"/>
              </w:rPr>
            </w:pPr>
            <w:r w:rsidRPr="00A86BC4">
              <w:rPr>
                <w:rFonts w:eastAsia="DengXian"/>
              </w:rPr>
              <w:t>MPC</w:t>
            </w:r>
          </w:p>
        </w:tc>
        <w:tc>
          <w:tcPr>
            <w:tcW w:w="900" w:type="dxa"/>
            <w:tcBorders>
              <w:top w:val="single" w:sz="8" w:space="0" w:color="auto"/>
              <w:left w:val="nil"/>
              <w:bottom w:val="single" w:sz="12" w:space="0" w:color="000000"/>
              <w:right w:val="nil"/>
            </w:tcBorders>
            <w:shd w:val="clear" w:color="auto" w:fill="auto"/>
            <w:vAlign w:val="center"/>
            <w:hideMark/>
          </w:tcPr>
          <w:p w14:paraId="1F6D954A" w14:textId="77777777" w:rsidR="00471941" w:rsidRPr="00A86BC4" w:rsidRDefault="00471941" w:rsidP="002023DB">
            <w:pPr>
              <w:pStyle w:val="16TableText"/>
              <w:rPr>
                <w:rFonts w:eastAsia="DengXian"/>
              </w:rPr>
            </w:pPr>
            <w:r w:rsidRPr="00A86BC4">
              <w:rPr>
                <w:rFonts w:eastAsia="DengXian"/>
              </w:rPr>
              <w:t>normal</w:t>
            </w:r>
          </w:p>
        </w:tc>
      </w:tr>
      <w:tr w:rsidR="00471941" w:rsidRPr="00A86BC4" w14:paraId="698B545D" w14:textId="77777777" w:rsidTr="00AF3671">
        <w:trPr>
          <w:trHeight w:val="300"/>
        </w:trPr>
        <w:tc>
          <w:tcPr>
            <w:tcW w:w="990" w:type="dxa"/>
            <w:tcBorders>
              <w:top w:val="nil"/>
              <w:left w:val="nil"/>
              <w:bottom w:val="nil"/>
              <w:right w:val="nil"/>
            </w:tcBorders>
            <w:shd w:val="clear" w:color="000000" w:fill="FFFFFF"/>
            <w:vAlign w:val="center"/>
            <w:hideMark/>
          </w:tcPr>
          <w:p w14:paraId="3E356703" w14:textId="77777777" w:rsidR="00471941" w:rsidRPr="00A86BC4" w:rsidRDefault="00471941" w:rsidP="002023DB">
            <w:pPr>
              <w:pStyle w:val="16TableText"/>
              <w:rPr>
                <w:rFonts w:eastAsia="DengXian"/>
              </w:rPr>
            </w:pPr>
            <w:r w:rsidRPr="00A86BC4">
              <w:rPr>
                <w:rFonts w:eastAsia="DengXian"/>
              </w:rPr>
              <w:t>Home-A</w:t>
            </w:r>
          </w:p>
        </w:tc>
        <w:tc>
          <w:tcPr>
            <w:tcW w:w="1159" w:type="dxa"/>
            <w:tcBorders>
              <w:top w:val="nil"/>
              <w:left w:val="nil"/>
              <w:bottom w:val="nil"/>
              <w:right w:val="nil"/>
            </w:tcBorders>
            <w:shd w:val="clear" w:color="000000" w:fill="FFFFFF"/>
            <w:vAlign w:val="center"/>
            <w:hideMark/>
          </w:tcPr>
          <w:p w14:paraId="21BDA6EC" w14:textId="77777777" w:rsidR="00471941" w:rsidRPr="00517CEC" w:rsidRDefault="00471941" w:rsidP="002023DB">
            <w:pPr>
              <w:pStyle w:val="16TableText"/>
              <w:rPr>
                <w:rFonts w:eastAsia="DengXian"/>
              </w:rPr>
            </w:pPr>
            <w:r w:rsidRPr="00A63F99">
              <w:rPr>
                <w:rFonts w:eastAsia="DengXian"/>
              </w:rPr>
              <w:t xml:space="preserve">2.84 </w:t>
            </w:r>
          </w:p>
        </w:tc>
        <w:tc>
          <w:tcPr>
            <w:tcW w:w="911" w:type="dxa"/>
            <w:tcBorders>
              <w:top w:val="nil"/>
              <w:left w:val="nil"/>
              <w:bottom w:val="nil"/>
              <w:right w:val="single" w:sz="4" w:space="0" w:color="auto"/>
            </w:tcBorders>
            <w:shd w:val="clear" w:color="000000" w:fill="FFFFFF"/>
            <w:vAlign w:val="center"/>
            <w:hideMark/>
          </w:tcPr>
          <w:p w14:paraId="03B9747E" w14:textId="77777777" w:rsidR="00471941" w:rsidRPr="00517CEC" w:rsidRDefault="00471941" w:rsidP="002023DB">
            <w:pPr>
              <w:pStyle w:val="16TableText"/>
              <w:rPr>
                <w:rFonts w:eastAsia="DengXian"/>
              </w:rPr>
            </w:pPr>
            <w:r w:rsidRPr="00A63F99">
              <w:rPr>
                <w:rFonts w:eastAsia="DengXian"/>
              </w:rPr>
              <w:t xml:space="preserve">7.15 </w:t>
            </w:r>
          </w:p>
        </w:tc>
        <w:tc>
          <w:tcPr>
            <w:tcW w:w="1170" w:type="dxa"/>
            <w:tcBorders>
              <w:top w:val="nil"/>
              <w:left w:val="single" w:sz="4" w:space="0" w:color="auto"/>
              <w:bottom w:val="nil"/>
              <w:right w:val="nil"/>
            </w:tcBorders>
            <w:shd w:val="clear" w:color="000000" w:fill="FFFFFF"/>
            <w:vAlign w:val="center"/>
            <w:hideMark/>
          </w:tcPr>
          <w:p w14:paraId="7CB6C78F" w14:textId="77777777" w:rsidR="00471941" w:rsidRPr="00517CEC" w:rsidRDefault="00471941" w:rsidP="002023DB">
            <w:pPr>
              <w:pStyle w:val="16TableText"/>
              <w:rPr>
                <w:rFonts w:eastAsia="DengXian"/>
              </w:rPr>
            </w:pPr>
            <w:r w:rsidRPr="00A63F99">
              <w:rPr>
                <w:rFonts w:eastAsia="DengXian"/>
              </w:rPr>
              <w:t xml:space="preserve">21.92 </w:t>
            </w:r>
          </w:p>
        </w:tc>
        <w:tc>
          <w:tcPr>
            <w:tcW w:w="900" w:type="dxa"/>
            <w:tcBorders>
              <w:top w:val="nil"/>
              <w:left w:val="nil"/>
              <w:bottom w:val="nil"/>
              <w:right w:val="single" w:sz="4" w:space="0" w:color="auto"/>
            </w:tcBorders>
            <w:shd w:val="clear" w:color="000000" w:fill="FFFFFF"/>
            <w:vAlign w:val="center"/>
            <w:hideMark/>
          </w:tcPr>
          <w:p w14:paraId="0B12A539" w14:textId="77777777" w:rsidR="00471941" w:rsidRPr="00517CEC" w:rsidRDefault="00471941" w:rsidP="002023DB">
            <w:pPr>
              <w:pStyle w:val="16TableText"/>
              <w:rPr>
                <w:rFonts w:eastAsia="DengXian"/>
              </w:rPr>
            </w:pPr>
            <w:r w:rsidRPr="00A63F99">
              <w:rPr>
                <w:rFonts w:eastAsia="DengXian"/>
              </w:rPr>
              <w:t xml:space="preserve">47.51 </w:t>
            </w:r>
          </w:p>
        </w:tc>
        <w:tc>
          <w:tcPr>
            <w:tcW w:w="1170" w:type="dxa"/>
            <w:tcBorders>
              <w:top w:val="nil"/>
              <w:left w:val="single" w:sz="4" w:space="0" w:color="auto"/>
              <w:bottom w:val="nil"/>
              <w:right w:val="nil"/>
            </w:tcBorders>
            <w:shd w:val="clear" w:color="000000" w:fill="FFFFFF"/>
            <w:vAlign w:val="center"/>
            <w:hideMark/>
          </w:tcPr>
          <w:p w14:paraId="65594150" w14:textId="77777777" w:rsidR="00471941" w:rsidRPr="00517CEC" w:rsidRDefault="00471941" w:rsidP="002023DB">
            <w:pPr>
              <w:pStyle w:val="16TableText"/>
              <w:rPr>
                <w:rFonts w:eastAsia="DengXian"/>
              </w:rPr>
            </w:pPr>
            <w:r w:rsidRPr="00A63F99">
              <w:rPr>
                <w:rFonts w:eastAsia="DengXian"/>
              </w:rPr>
              <w:t xml:space="preserve">1.62 </w:t>
            </w:r>
          </w:p>
        </w:tc>
        <w:tc>
          <w:tcPr>
            <w:tcW w:w="990" w:type="dxa"/>
            <w:tcBorders>
              <w:top w:val="nil"/>
              <w:left w:val="nil"/>
              <w:bottom w:val="nil"/>
              <w:right w:val="single" w:sz="4" w:space="0" w:color="auto"/>
            </w:tcBorders>
            <w:shd w:val="clear" w:color="000000" w:fill="FFFFFF"/>
            <w:vAlign w:val="center"/>
            <w:hideMark/>
          </w:tcPr>
          <w:p w14:paraId="2C2B9073" w14:textId="77777777" w:rsidR="00471941" w:rsidRPr="00517CEC" w:rsidRDefault="00471941" w:rsidP="002023DB">
            <w:pPr>
              <w:pStyle w:val="16TableText"/>
              <w:rPr>
                <w:rFonts w:eastAsia="DengXian"/>
              </w:rPr>
            </w:pPr>
            <w:r w:rsidRPr="00A63F99">
              <w:rPr>
                <w:rFonts w:eastAsia="DengXian"/>
              </w:rPr>
              <w:t xml:space="preserve">5.03 </w:t>
            </w:r>
          </w:p>
        </w:tc>
        <w:tc>
          <w:tcPr>
            <w:tcW w:w="810" w:type="dxa"/>
            <w:tcBorders>
              <w:top w:val="nil"/>
              <w:left w:val="single" w:sz="4" w:space="0" w:color="auto"/>
              <w:bottom w:val="nil"/>
              <w:right w:val="nil"/>
            </w:tcBorders>
            <w:shd w:val="clear" w:color="000000" w:fill="FFFFFF"/>
            <w:vAlign w:val="center"/>
            <w:hideMark/>
          </w:tcPr>
          <w:p w14:paraId="1E516552" w14:textId="77777777" w:rsidR="00471941" w:rsidRPr="00517CEC" w:rsidRDefault="00471941" w:rsidP="002023DB">
            <w:pPr>
              <w:pStyle w:val="16TableText"/>
              <w:rPr>
                <w:rFonts w:eastAsia="DengXian"/>
              </w:rPr>
            </w:pPr>
            <w:r w:rsidRPr="00A63F99">
              <w:rPr>
                <w:rFonts w:eastAsia="DengXian"/>
              </w:rPr>
              <w:t xml:space="preserve">26.19 </w:t>
            </w:r>
          </w:p>
        </w:tc>
        <w:tc>
          <w:tcPr>
            <w:tcW w:w="900" w:type="dxa"/>
            <w:tcBorders>
              <w:top w:val="nil"/>
              <w:left w:val="nil"/>
              <w:bottom w:val="nil"/>
              <w:right w:val="nil"/>
            </w:tcBorders>
            <w:shd w:val="clear" w:color="000000" w:fill="FFFFFF"/>
            <w:vAlign w:val="center"/>
            <w:hideMark/>
          </w:tcPr>
          <w:p w14:paraId="33A8B097" w14:textId="77777777" w:rsidR="00471941" w:rsidRPr="00517CEC" w:rsidRDefault="00471941" w:rsidP="002023DB">
            <w:pPr>
              <w:pStyle w:val="16TableText"/>
              <w:rPr>
                <w:rFonts w:eastAsia="DengXian"/>
              </w:rPr>
            </w:pPr>
            <w:r w:rsidRPr="00A63F99">
              <w:rPr>
                <w:rFonts w:eastAsia="DengXian"/>
              </w:rPr>
              <w:t xml:space="preserve">80.54 </w:t>
            </w:r>
          </w:p>
        </w:tc>
      </w:tr>
      <w:tr w:rsidR="00471941" w:rsidRPr="00A86BC4" w14:paraId="73037F04" w14:textId="77777777" w:rsidTr="00AF3671">
        <w:trPr>
          <w:trHeight w:val="420"/>
        </w:trPr>
        <w:tc>
          <w:tcPr>
            <w:tcW w:w="990" w:type="dxa"/>
            <w:tcBorders>
              <w:top w:val="nil"/>
              <w:left w:val="nil"/>
              <w:bottom w:val="nil"/>
              <w:right w:val="nil"/>
            </w:tcBorders>
            <w:shd w:val="clear" w:color="000000" w:fill="FFFFFF"/>
            <w:vAlign w:val="center"/>
            <w:hideMark/>
          </w:tcPr>
          <w:p w14:paraId="213066E1" w14:textId="77777777" w:rsidR="00471941" w:rsidRPr="00A86BC4" w:rsidRDefault="00471941" w:rsidP="002023DB">
            <w:pPr>
              <w:pStyle w:val="16TableText"/>
              <w:rPr>
                <w:rFonts w:eastAsia="DengXian"/>
              </w:rPr>
            </w:pPr>
            <w:r w:rsidRPr="00A86BC4">
              <w:rPr>
                <w:rFonts w:eastAsia="DengXian"/>
              </w:rPr>
              <w:t>Home-B down</w:t>
            </w:r>
          </w:p>
        </w:tc>
        <w:tc>
          <w:tcPr>
            <w:tcW w:w="1159" w:type="dxa"/>
            <w:tcBorders>
              <w:top w:val="nil"/>
              <w:left w:val="nil"/>
              <w:bottom w:val="nil"/>
              <w:right w:val="nil"/>
            </w:tcBorders>
            <w:shd w:val="clear" w:color="000000" w:fill="FFFFFF"/>
            <w:vAlign w:val="center"/>
            <w:hideMark/>
          </w:tcPr>
          <w:p w14:paraId="58E77936" w14:textId="77777777" w:rsidR="00471941" w:rsidRPr="00517CEC" w:rsidRDefault="00471941" w:rsidP="002023DB">
            <w:pPr>
              <w:pStyle w:val="16TableText"/>
              <w:rPr>
                <w:rFonts w:eastAsia="DengXian"/>
              </w:rPr>
            </w:pPr>
            <w:r w:rsidRPr="00A63F99">
              <w:rPr>
                <w:rFonts w:eastAsia="DengXian"/>
              </w:rPr>
              <w:t xml:space="preserve">1.51 </w:t>
            </w:r>
          </w:p>
        </w:tc>
        <w:tc>
          <w:tcPr>
            <w:tcW w:w="911" w:type="dxa"/>
            <w:tcBorders>
              <w:top w:val="nil"/>
              <w:left w:val="nil"/>
              <w:bottom w:val="nil"/>
              <w:right w:val="single" w:sz="4" w:space="0" w:color="auto"/>
            </w:tcBorders>
            <w:shd w:val="clear" w:color="000000" w:fill="FFFFFF"/>
            <w:vAlign w:val="center"/>
            <w:hideMark/>
          </w:tcPr>
          <w:p w14:paraId="432204A7" w14:textId="77777777" w:rsidR="00471941" w:rsidRPr="00517CEC" w:rsidRDefault="00471941" w:rsidP="002023DB">
            <w:pPr>
              <w:pStyle w:val="16TableText"/>
              <w:rPr>
                <w:rFonts w:eastAsia="DengXian"/>
              </w:rPr>
            </w:pPr>
            <w:r w:rsidRPr="00A63F99">
              <w:rPr>
                <w:rFonts w:eastAsia="DengXian"/>
              </w:rPr>
              <w:t xml:space="preserve">1.25 </w:t>
            </w:r>
          </w:p>
        </w:tc>
        <w:tc>
          <w:tcPr>
            <w:tcW w:w="1170" w:type="dxa"/>
            <w:tcBorders>
              <w:top w:val="nil"/>
              <w:left w:val="single" w:sz="4" w:space="0" w:color="auto"/>
              <w:bottom w:val="nil"/>
              <w:right w:val="nil"/>
            </w:tcBorders>
            <w:shd w:val="clear" w:color="000000" w:fill="FFFFFF"/>
            <w:vAlign w:val="center"/>
            <w:hideMark/>
          </w:tcPr>
          <w:p w14:paraId="0B195410" w14:textId="77777777" w:rsidR="00471941" w:rsidRPr="00517CEC" w:rsidRDefault="00471941" w:rsidP="002023DB">
            <w:pPr>
              <w:pStyle w:val="16TableText"/>
              <w:rPr>
                <w:rFonts w:eastAsia="DengXian"/>
              </w:rPr>
            </w:pPr>
            <w:r w:rsidRPr="00A63F99">
              <w:rPr>
                <w:rFonts w:eastAsia="DengXian"/>
              </w:rPr>
              <w:t xml:space="preserve">18.48 </w:t>
            </w:r>
          </w:p>
        </w:tc>
        <w:tc>
          <w:tcPr>
            <w:tcW w:w="900" w:type="dxa"/>
            <w:tcBorders>
              <w:top w:val="nil"/>
              <w:left w:val="nil"/>
              <w:bottom w:val="nil"/>
              <w:right w:val="single" w:sz="4" w:space="0" w:color="auto"/>
            </w:tcBorders>
            <w:shd w:val="clear" w:color="000000" w:fill="FFFFFF"/>
            <w:vAlign w:val="center"/>
            <w:hideMark/>
          </w:tcPr>
          <w:p w14:paraId="65BA91AC" w14:textId="77777777" w:rsidR="00471941" w:rsidRPr="00517CEC" w:rsidRDefault="00471941" w:rsidP="002023DB">
            <w:pPr>
              <w:pStyle w:val="16TableText"/>
              <w:rPr>
                <w:rFonts w:eastAsia="DengXian"/>
              </w:rPr>
            </w:pPr>
            <w:r w:rsidRPr="00A63F99">
              <w:rPr>
                <w:rFonts w:eastAsia="DengXian"/>
              </w:rPr>
              <w:t xml:space="preserve">9.89 </w:t>
            </w:r>
          </w:p>
        </w:tc>
        <w:tc>
          <w:tcPr>
            <w:tcW w:w="1170" w:type="dxa"/>
            <w:tcBorders>
              <w:top w:val="nil"/>
              <w:left w:val="single" w:sz="4" w:space="0" w:color="auto"/>
              <w:bottom w:val="nil"/>
              <w:right w:val="nil"/>
            </w:tcBorders>
            <w:shd w:val="clear" w:color="000000" w:fill="FFFFFF"/>
            <w:vAlign w:val="center"/>
            <w:hideMark/>
          </w:tcPr>
          <w:p w14:paraId="4173659A" w14:textId="77777777" w:rsidR="00471941" w:rsidRPr="00517CEC" w:rsidRDefault="00471941" w:rsidP="002023DB">
            <w:pPr>
              <w:pStyle w:val="16TableText"/>
              <w:rPr>
                <w:rFonts w:eastAsia="DengXian"/>
              </w:rPr>
            </w:pPr>
            <w:r w:rsidRPr="00A63F99">
              <w:rPr>
                <w:rFonts w:eastAsia="DengXian"/>
              </w:rPr>
              <w:t xml:space="preserve">0.90 </w:t>
            </w:r>
          </w:p>
        </w:tc>
        <w:tc>
          <w:tcPr>
            <w:tcW w:w="990" w:type="dxa"/>
            <w:tcBorders>
              <w:top w:val="nil"/>
              <w:left w:val="nil"/>
              <w:bottom w:val="nil"/>
              <w:right w:val="single" w:sz="4" w:space="0" w:color="auto"/>
            </w:tcBorders>
            <w:shd w:val="clear" w:color="000000" w:fill="FFFFFF"/>
            <w:vAlign w:val="center"/>
            <w:hideMark/>
          </w:tcPr>
          <w:p w14:paraId="030D90ED" w14:textId="77777777" w:rsidR="00471941" w:rsidRPr="00517CEC" w:rsidRDefault="00471941" w:rsidP="002023DB">
            <w:pPr>
              <w:pStyle w:val="16TableText"/>
              <w:rPr>
                <w:rFonts w:eastAsia="DengXian"/>
              </w:rPr>
            </w:pPr>
            <w:r w:rsidRPr="00A63F99">
              <w:rPr>
                <w:rFonts w:eastAsia="DengXian"/>
              </w:rPr>
              <w:t xml:space="preserve">1.05 </w:t>
            </w:r>
          </w:p>
        </w:tc>
        <w:tc>
          <w:tcPr>
            <w:tcW w:w="810" w:type="dxa"/>
            <w:tcBorders>
              <w:top w:val="nil"/>
              <w:left w:val="single" w:sz="4" w:space="0" w:color="auto"/>
              <w:bottom w:val="nil"/>
              <w:right w:val="nil"/>
            </w:tcBorders>
            <w:shd w:val="clear" w:color="000000" w:fill="FFFFFF"/>
            <w:vAlign w:val="center"/>
            <w:hideMark/>
          </w:tcPr>
          <w:p w14:paraId="3A7D8E9E" w14:textId="77777777" w:rsidR="00471941" w:rsidRPr="00517CEC" w:rsidRDefault="00471941" w:rsidP="002023DB">
            <w:pPr>
              <w:pStyle w:val="16TableText"/>
              <w:rPr>
                <w:rFonts w:eastAsia="DengXian"/>
              </w:rPr>
            </w:pPr>
            <w:r w:rsidRPr="00A63F99">
              <w:rPr>
                <w:rFonts w:eastAsia="DengXian"/>
              </w:rPr>
              <w:t xml:space="preserve">14.63 </w:t>
            </w:r>
          </w:p>
        </w:tc>
        <w:tc>
          <w:tcPr>
            <w:tcW w:w="900" w:type="dxa"/>
            <w:tcBorders>
              <w:top w:val="nil"/>
              <w:left w:val="nil"/>
              <w:bottom w:val="nil"/>
              <w:right w:val="nil"/>
            </w:tcBorders>
            <w:shd w:val="clear" w:color="000000" w:fill="FFFFFF"/>
            <w:vAlign w:val="center"/>
            <w:hideMark/>
          </w:tcPr>
          <w:p w14:paraId="7DD517EB" w14:textId="77777777" w:rsidR="00471941" w:rsidRPr="00517CEC" w:rsidRDefault="00471941" w:rsidP="002023DB">
            <w:pPr>
              <w:pStyle w:val="16TableText"/>
              <w:rPr>
                <w:rFonts w:eastAsia="DengXian"/>
              </w:rPr>
            </w:pPr>
            <w:r w:rsidRPr="00A63F99">
              <w:rPr>
                <w:rFonts w:eastAsia="DengXian"/>
              </w:rPr>
              <w:t xml:space="preserve">16.87 </w:t>
            </w:r>
          </w:p>
        </w:tc>
      </w:tr>
      <w:tr w:rsidR="00471941" w:rsidRPr="00A86BC4" w14:paraId="72419225" w14:textId="77777777" w:rsidTr="00AF3671">
        <w:trPr>
          <w:trHeight w:val="420"/>
        </w:trPr>
        <w:tc>
          <w:tcPr>
            <w:tcW w:w="990" w:type="dxa"/>
            <w:tcBorders>
              <w:top w:val="nil"/>
              <w:left w:val="nil"/>
              <w:bottom w:val="nil"/>
              <w:right w:val="nil"/>
            </w:tcBorders>
            <w:shd w:val="clear" w:color="000000" w:fill="FFFFFF"/>
            <w:vAlign w:val="center"/>
            <w:hideMark/>
          </w:tcPr>
          <w:p w14:paraId="682CA4FA" w14:textId="77777777" w:rsidR="00471941" w:rsidRPr="00A86BC4" w:rsidRDefault="00471941" w:rsidP="002023DB">
            <w:pPr>
              <w:pStyle w:val="16TableText"/>
              <w:rPr>
                <w:rFonts w:eastAsia="DengXian"/>
              </w:rPr>
            </w:pPr>
            <w:r w:rsidRPr="00A86BC4">
              <w:rPr>
                <w:rFonts w:eastAsia="DengXian"/>
              </w:rPr>
              <w:t>Home-C down</w:t>
            </w:r>
          </w:p>
        </w:tc>
        <w:tc>
          <w:tcPr>
            <w:tcW w:w="1159" w:type="dxa"/>
            <w:tcBorders>
              <w:top w:val="nil"/>
              <w:left w:val="nil"/>
              <w:bottom w:val="nil"/>
              <w:right w:val="nil"/>
            </w:tcBorders>
            <w:shd w:val="clear" w:color="000000" w:fill="FFFFFF"/>
            <w:vAlign w:val="center"/>
            <w:hideMark/>
          </w:tcPr>
          <w:p w14:paraId="13C1F3A6" w14:textId="77777777" w:rsidR="00471941" w:rsidRPr="00517CEC" w:rsidRDefault="00471941" w:rsidP="002023DB">
            <w:pPr>
              <w:pStyle w:val="16TableText"/>
              <w:rPr>
                <w:rFonts w:eastAsia="DengXian"/>
              </w:rPr>
            </w:pPr>
            <w:r w:rsidRPr="00A63F99">
              <w:rPr>
                <w:rFonts w:eastAsia="DengXian"/>
              </w:rPr>
              <w:t xml:space="preserve">2.82 </w:t>
            </w:r>
          </w:p>
        </w:tc>
        <w:tc>
          <w:tcPr>
            <w:tcW w:w="911" w:type="dxa"/>
            <w:tcBorders>
              <w:top w:val="nil"/>
              <w:left w:val="nil"/>
              <w:bottom w:val="nil"/>
              <w:right w:val="single" w:sz="4" w:space="0" w:color="auto"/>
            </w:tcBorders>
            <w:shd w:val="clear" w:color="000000" w:fill="FFFFFF"/>
            <w:vAlign w:val="center"/>
            <w:hideMark/>
          </w:tcPr>
          <w:p w14:paraId="12ACDF34" w14:textId="77777777" w:rsidR="00471941" w:rsidRPr="00517CEC" w:rsidRDefault="00471941" w:rsidP="002023DB">
            <w:pPr>
              <w:pStyle w:val="16TableText"/>
              <w:rPr>
                <w:rFonts w:eastAsia="DengXian"/>
              </w:rPr>
            </w:pPr>
            <w:r w:rsidRPr="00A63F99">
              <w:rPr>
                <w:rFonts w:eastAsia="DengXian"/>
              </w:rPr>
              <w:t xml:space="preserve">2.46 </w:t>
            </w:r>
          </w:p>
        </w:tc>
        <w:tc>
          <w:tcPr>
            <w:tcW w:w="1170" w:type="dxa"/>
            <w:tcBorders>
              <w:top w:val="nil"/>
              <w:left w:val="single" w:sz="4" w:space="0" w:color="auto"/>
              <w:bottom w:val="nil"/>
              <w:right w:val="nil"/>
            </w:tcBorders>
            <w:shd w:val="clear" w:color="000000" w:fill="FFFFFF"/>
            <w:vAlign w:val="center"/>
            <w:hideMark/>
          </w:tcPr>
          <w:p w14:paraId="0CFB94B4" w14:textId="77777777" w:rsidR="00471941" w:rsidRPr="00517CEC" w:rsidRDefault="00471941" w:rsidP="002023DB">
            <w:pPr>
              <w:pStyle w:val="16TableText"/>
              <w:rPr>
                <w:rFonts w:eastAsia="DengXian"/>
              </w:rPr>
            </w:pPr>
            <w:r w:rsidRPr="00A63F99">
              <w:rPr>
                <w:rFonts w:eastAsia="DengXian"/>
              </w:rPr>
              <w:t xml:space="preserve">22.51 </w:t>
            </w:r>
          </w:p>
        </w:tc>
        <w:tc>
          <w:tcPr>
            <w:tcW w:w="900" w:type="dxa"/>
            <w:tcBorders>
              <w:top w:val="nil"/>
              <w:left w:val="nil"/>
              <w:bottom w:val="nil"/>
              <w:right w:val="single" w:sz="4" w:space="0" w:color="auto"/>
            </w:tcBorders>
            <w:shd w:val="clear" w:color="000000" w:fill="FFFFFF"/>
            <w:vAlign w:val="center"/>
            <w:hideMark/>
          </w:tcPr>
          <w:p w14:paraId="2A846375" w14:textId="77777777" w:rsidR="00471941" w:rsidRPr="00517CEC" w:rsidRDefault="00471941" w:rsidP="002023DB">
            <w:pPr>
              <w:pStyle w:val="16TableText"/>
              <w:rPr>
                <w:rFonts w:eastAsia="DengXian"/>
              </w:rPr>
            </w:pPr>
            <w:r w:rsidRPr="00A63F99">
              <w:rPr>
                <w:rFonts w:eastAsia="DengXian"/>
              </w:rPr>
              <w:t xml:space="preserve">17.50 </w:t>
            </w:r>
          </w:p>
        </w:tc>
        <w:tc>
          <w:tcPr>
            <w:tcW w:w="1170" w:type="dxa"/>
            <w:tcBorders>
              <w:top w:val="nil"/>
              <w:left w:val="single" w:sz="4" w:space="0" w:color="auto"/>
              <w:bottom w:val="nil"/>
              <w:right w:val="nil"/>
            </w:tcBorders>
            <w:shd w:val="clear" w:color="000000" w:fill="FFFFFF"/>
            <w:vAlign w:val="center"/>
            <w:hideMark/>
          </w:tcPr>
          <w:p w14:paraId="33E83D78" w14:textId="77777777" w:rsidR="00471941" w:rsidRPr="00517CEC" w:rsidRDefault="00471941" w:rsidP="002023DB">
            <w:pPr>
              <w:pStyle w:val="16TableText"/>
              <w:rPr>
                <w:rFonts w:eastAsia="DengXian"/>
              </w:rPr>
            </w:pPr>
            <w:r w:rsidRPr="00A63F99">
              <w:rPr>
                <w:rFonts w:eastAsia="DengXian"/>
              </w:rPr>
              <w:t xml:space="preserve">1.01 </w:t>
            </w:r>
          </w:p>
        </w:tc>
        <w:tc>
          <w:tcPr>
            <w:tcW w:w="990" w:type="dxa"/>
            <w:tcBorders>
              <w:top w:val="nil"/>
              <w:left w:val="nil"/>
              <w:bottom w:val="nil"/>
              <w:right w:val="single" w:sz="4" w:space="0" w:color="auto"/>
            </w:tcBorders>
            <w:shd w:val="clear" w:color="000000" w:fill="FFFFFF"/>
            <w:vAlign w:val="center"/>
            <w:hideMark/>
          </w:tcPr>
          <w:p w14:paraId="6F8B06BF" w14:textId="77777777" w:rsidR="00471941" w:rsidRPr="00517CEC" w:rsidRDefault="00471941" w:rsidP="002023DB">
            <w:pPr>
              <w:pStyle w:val="16TableText"/>
              <w:rPr>
                <w:rFonts w:eastAsia="DengXian"/>
              </w:rPr>
            </w:pPr>
            <w:r w:rsidRPr="00A63F99">
              <w:rPr>
                <w:rFonts w:eastAsia="DengXian"/>
              </w:rPr>
              <w:t xml:space="preserve">1.24 </w:t>
            </w:r>
          </w:p>
        </w:tc>
        <w:tc>
          <w:tcPr>
            <w:tcW w:w="810" w:type="dxa"/>
            <w:tcBorders>
              <w:top w:val="nil"/>
              <w:left w:val="single" w:sz="4" w:space="0" w:color="auto"/>
              <w:bottom w:val="nil"/>
              <w:right w:val="nil"/>
            </w:tcBorders>
            <w:shd w:val="clear" w:color="000000" w:fill="FFFFFF"/>
            <w:vAlign w:val="center"/>
            <w:hideMark/>
          </w:tcPr>
          <w:p w14:paraId="438ECBA4" w14:textId="77777777" w:rsidR="00471941" w:rsidRPr="00517CEC" w:rsidRDefault="00471941" w:rsidP="002023DB">
            <w:pPr>
              <w:pStyle w:val="16TableText"/>
              <w:rPr>
                <w:rFonts w:eastAsia="DengXian"/>
              </w:rPr>
            </w:pPr>
            <w:r w:rsidRPr="00A63F99">
              <w:rPr>
                <w:rFonts w:eastAsia="DengXian"/>
              </w:rPr>
              <w:t xml:space="preserve">26.11 </w:t>
            </w:r>
          </w:p>
        </w:tc>
        <w:tc>
          <w:tcPr>
            <w:tcW w:w="900" w:type="dxa"/>
            <w:tcBorders>
              <w:top w:val="nil"/>
              <w:left w:val="nil"/>
              <w:bottom w:val="nil"/>
              <w:right w:val="nil"/>
            </w:tcBorders>
            <w:shd w:val="clear" w:color="000000" w:fill="FFFFFF"/>
            <w:vAlign w:val="center"/>
            <w:hideMark/>
          </w:tcPr>
          <w:p w14:paraId="58272EF7" w14:textId="77777777" w:rsidR="00471941" w:rsidRPr="00517CEC" w:rsidRDefault="00471941" w:rsidP="002023DB">
            <w:pPr>
              <w:pStyle w:val="16TableText"/>
              <w:rPr>
                <w:rFonts w:eastAsia="DengXian"/>
              </w:rPr>
            </w:pPr>
            <w:r w:rsidRPr="00A63F99">
              <w:rPr>
                <w:rFonts w:eastAsia="DengXian"/>
              </w:rPr>
              <w:t xml:space="preserve">32.10 </w:t>
            </w:r>
          </w:p>
        </w:tc>
      </w:tr>
      <w:tr w:rsidR="00471941" w:rsidRPr="00A86BC4" w14:paraId="284C2AB3" w14:textId="77777777" w:rsidTr="00AF3671">
        <w:trPr>
          <w:trHeight w:val="285"/>
        </w:trPr>
        <w:tc>
          <w:tcPr>
            <w:tcW w:w="990" w:type="dxa"/>
            <w:tcBorders>
              <w:top w:val="nil"/>
              <w:left w:val="nil"/>
              <w:bottom w:val="nil"/>
              <w:right w:val="nil"/>
            </w:tcBorders>
            <w:shd w:val="clear" w:color="000000" w:fill="FFFFFF"/>
            <w:vAlign w:val="center"/>
            <w:hideMark/>
          </w:tcPr>
          <w:p w14:paraId="58907C2B" w14:textId="77777777" w:rsidR="00471941" w:rsidRPr="00A86BC4" w:rsidRDefault="00471941" w:rsidP="002023DB">
            <w:pPr>
              <w:pStyle w:val="16TableText"/>
              <w:rPr>
                <w:rFonts w:eastAsia="DengXian"/>
              </w:rPr>
            </w:pPr>
            <w:r w:rsidRPr="00A86BC4">
              <w:rPr>
                <w:rFonts w:eastAsia="DengXian"/>
              </w:rPr>
              <w:t>Home-C up</w:t>
            </w:r>
          </w:p>
        </w:tc>
        <w:tc>
          <w:tcPr>
            <w:tcW w:w="1159" w:type="dxa"/>
            <w:tcBorders>
              <w:top w:val="nil"/>
              <w:left w:val="nil"/>
              <w:bottom w:val="nil"/>
              <w:right w:val="nil"/>
            </w:tcBorders>
            <w:shd w:val="clear" w:color="000000" w:fill="FFFFFF"/>
            <w:vAlign w:val="center"/>
            <w:hideMark/>
          </w:tcPr>
          <w:p w14:paraId="39F858A9" w14:textId="77777777" w:rsidR="00471941" w:rsidRPr="00517CEC" w:rsidRDefault="00471941" w:rsidP="002023DB">
            <w:pPr>
              <w:pStyle w:val="16TableText"/>
              <w:rPr>
                <w:rFonts w:eastAsia="DengXian"/>
              </w:rPr>
            </w:pPr>
            <w:r w:rsidRPr="00A63F99">
              <w:rPr>
                <w:rFonts w:eastAsia="DengXian"/>
              </w:rPr>
              <w:t xml:space="preserve">1.77 </w:t>
            </w:r>
          </w:p>
        </w:tc>
        <w:tc>
          <w:tcPr>
            <w:tcW w:w="911" w:type="dxa"/>
            <w:tcBorders>
              <w:top w:val="nil"/>
              <w:left w:val="nil"/>
              <w:bottom w:val="nil"/>
              <w:right w:val="single" w:sz="4" w:space="0" w:color="auto"/>
            </w:tcBorders>
            <w:shd w:val="clear" w:color="000000" w:fill="FFFFFF"/>
            <w:vAlign w:val="center"/>
            <w:hideMark/>
          </w:tcPr>
          <w:p w14:paraId="076E1979" w14:textId="77777777" w:rsidR="00471941" w:rsidRPr="00517CEC" w:rsidRDefault="00471941" w:rsidP="002023DB">
            <w:pPr>
              <w:pStyle w:val="16TableText"/>
              <w:rPr>
                <w:rFonts w:eastAsia="DengXian"/>
              </w:rPr>
            </w:pPr>
            <w:r w:rsidRPr="00A63F99">
              <w:rPr>
                <w:rFonts w:eastAsia="DengXian"/>
              </w:rPr>
              <w:t xml:space="preserve">1.97 </w:t>
            </w:r>
          </w:p>
        </w:tc>
        <w:tc>
          <w:tcPr>
            <w:tcW w:w="1170" w:type="dxa"/>
            <w:tcBorders>
              <w:top w:val="nil"/>
              <w:left w:val="single" w:sz="4" w:space="0" w:color="auto"/>
              <w:bottom w:val="nil"/>
              <w:right w:val="nil"/>
            </w:tcBorders>
            <w:shd w:val="clear" w:color="000000" w:fill="FFFFFF"/>
            <w:vAlign w:val="center"/>
            <w:hideMark/>
          </w:tcPr>
          <w:p w14:paraId="25D3F4C6" w14:textId="77777777" w:rsidR="00471941" w:rsidRPr="00517CEC" w:rsidRDefault="00471941" w:rsidP="002023DB">
            <w:pPr>
              <w:pStyle w:val="16TableText"/>
              <w:rPr>
                <w:rFonts w:eastAsia="DengXian"/>
              </w:rPr>
            </w:pPr>
            <w:r w:rsidRPr="00A63F99">
              <w:rPr>
                <w:rFonts w:eastAsia="DengXian"/>
              </w:rPr>
              <w:t xml:space="preserve">12.12 </w:t>
            </w:r>
          </w:p>
        </w:tc>
        <w:tc>
          <w:tcPr>
            <w:tcW w:w="900" w:type="dxa"/>
            <w:tcBorders>
              <w:top w:val="nil"/>
              <w:left w:val="nil"/>
              <w:bottom w:val="nil"/>
              <w:right w:val="single" w:sz="4" w:space="0" w:color="auto"/>
            </w:tcBorders>
            <w:shd w:val="clear" w:color="000000" w:fill="FFFFFF"/>
            <w:vAlign w:val="center"/>
            <w:hideMark/>
          </w:tcPr>
          <w:p w14:paraId="4F622426" w14:textId="77777777" w:rsidR="00471941" w:rsidRPr="00517CEC" w:rsidRDefault="00471941" w:rsidP="002023DB">
            <w:pPr>
              <w:pStyle w:val="16TableText"/>
              <w:rPr>
                <w:rFonts w:eastAsia="DengXian"/>
              </w:rPr>
            </w:pPr>
            <w:r w:rsidRPr="00A63F99">
              <w:rPr>
                <w:rFonts w:eastAsia="DengXian"/>
              </w:rPr>
              <w:t xml:space="preserve">12.12 </w:t>
            </w:r>
          </w:p>
        </w:tc>
        <w:tc>
          <w:tcPr>
            <w:tcW w:w="1170" w:type="dxa"/>
            <w:tcBorders>
              <w:top w:val="nil"/>
              <w:left w:val="single" w:sz="4" w:space="0" w:color="auto"/>
              <w:bottom w:val="nil"/>
              <w:right w:val="nil"/>
            </w:tcBorders>
            <w:shd w:val="clear" w:color="000000" w:fill="FFFFFF"/>
            <w:vAlign w:val="center"/>
            <w:hideMark/>
          </w:tcPr>
          <w:p w14:paraId="0311A5F1" w14:textId="77777777" w:rsidR="00471941" w:rsidRPr="00517CEC" w:rsidRDefault="00471941" w:rsidP="002023DB">
            <w:pPr>
              <w:pStyle w:val="16TableText"/>
              <w:rPr>
                <w:rFonts w:eastAsia="DengXian"/>
              </w:rPr>
            </w:pPr>
            <w:r w:rsidRPr="00A63F99">
              <w:rPr>
                <w:rFonts w:eastAsia="DengXian"/>
              </w:rPr>
              <w:t xml:space="preserve">0.98 </w:t>
            </w:r>
          </w:p>
        </w:tc>
        <w:tc>
          <w:tcPr>
            <w:tcW w:w="990" w:type="dxa"/>
            <w:tcBorders>
              <w:top w:val="nil"/>
              <w:left w:val="nil"/>
              <w:bottom w:val="nil"/>
              <w:right w:val="single" w:sz="4" w:space="0" w:color="auto"/>
            </w:tcBorders>
            <w:shd w:val="clear" w:color="000000" w:fill="FFFFFF"/>
            <w:vAlign w:val="center"/>
            <w:hideMark/>
          </w:tcPr>
          <w:p w14:paraId="5717C3C0" w14:textId="77777777" w:rsidR="00471941" w:rsidRPr="00517CEC" w:rsidRDefault="00471941" w:rsidP="002023DB">
            <w:pPr>
              <w:pStyle w:val="16TableText"/>
              <w:rPr>
                <w:rFonts w:eastAsia="DengXian"/>
              </w:rPr>
            </w:pPr>
            <w:r w:rsidRPr="00A63F99">
              <w:rPr>
                <w:rFonts w:eastAsia="DengXian"/>
              </w:rPr>
              <w:t xml:space="preserve">1.31 </w:t>
            </w:r>
          </w:p>
        </w:tc>
        <w:tc>
          <w:tcPr>
            <w:tcW w:w="810" w:type="dxa"/>
            <w:tcBorders>
              <w:top w:val="nil"/>
              <w:left w:val="single" w:sz="4" w:space="0" w:color="auto"/>
              <w:bottom w:val="nil"/>
              <w:right w:val="nil"/>
            </w:tcBorders>
            <w:shd w:val="clear" w:color="000000" w:fill="FFFFFF"/>
            <w:vAlign w:val="center"/>
            <w:hideMark/>
          </w:tcPr>
          <w:p w14:paraId="45BD753E" w14:textId="77777777" w:rsidR="00471941" w:rsidRPr="00517CEC" w:rsidRDefault="00471941" w:rsidP="002023DB">
            <w:pPr>
              <w:pStyle w:val="16TableText"/>
              <w:rPr>
                <w:rFonts w:eastAsia="DengXian"/>
              </w:rPr>
            </w:pPr>
            <w:r w:rsidRPr="00A63F99">
              <w:rPr>
                <w:rFonts w:eastAsia="DengXian"/>
              </w:rPr>
              <w:t xml:space="preserve">40.73 </w:t>
            </w:r>
          </w:p>
        </w:tc>
        <w:tc>
          <w:tcPr>
            <w:tcW w:w="900" w:type="dxa"/>
            <w:tcBorders>
              <w:top w:val="nil"/>
              <w:left w:val="nil"/>
              <w:bottom w:val="nil"/>
              <w:right w:val="nil"/>
            </w:tcBorders>
            <w:shd w:val="clear" w:color="000000" w:fill="FFFFFF"/>
            <w:vAlign w:val="center"/>
            <w:hideMark/>
          </w:tcPr>
          <w:p w14:paraId="1047A9DD" w14:textId="77777777" w:rsidR="00471941" w:rsidRPr="00517CEC" w:rsidRDefault="00471941" w:rsidP="002023DB">
            <w:pPr>
              <w:pStyle w:val="16TableText"/>
              <w:rPr>
                <w:rFonts w:eastAsia="DengXian"/>
              </w:rPr>
            </w:pPr>
            <w:r w:rsidRPr="00A63F99">
              <w:rPr>
                <w:rFonts w:eastAsia="DengXian"/>
              </w:rPr>
              <w:t xml:space="preserve">54.51 </w:t>
            </w:r>
          </w:p>
        </w:tc>
      </w:tr>
      <w:tr w:rsidR="00471941" w:rsidRPr="00A86BC4" w14:paraId="6BA449B7" w14:textId="77777777" w:rsidTr="00AF3671">
        <w:trPr>
          <w:trHeight w:val="285"/>
        </w:trPr>
        <w:tc>
          <w:tcPr>
            <w:tcW w:w="990" w:type="dxa"/>
            <w:tcBorders>
              <w:top w:val="nil"/>
              <w:left w:val="nil"/>
              <w:bottom w:val="nil"/>
              <w:right w:val="nil"/>
            </w:tcBorders>
            <w:shd w:val="clear" w:color="000000" w:fill="FFFFFF"/>
            <w:vAlign w:val="center"/>
            <w:hideMark/>
          </w:tcPr>
          <w:p w14:paraId="0D0EDD56" w14:textId="77777777" w:rsidR="00471941" w:rsidRPr="00A86BC4" w:rsidRDefault="00471941" w:rsidP="002023DB">
            <w:pPr>
              <w:pStyle w:val="16TableText"/>
              <w:rPr>
                <w:rFonts w:eastAsia="DengXian"/>
              </w:rPr>
            </w:pPr>
            <w:r w:rsidRPr="00A86BC4">
              <w:rPr>
                <w:rFonts w:eastAsia="DengXian"/>
              </w:rPr>
              <w:t>Home-I</w:t>
            </w:r>
          </w:p>
        </w:tc>
        <w:tc>
          <w:tcPr>
            <w:tcW w:w="1159" w:type="dxa"/>
            <w:tcBorders>
              <w:top w:val="nil"/>
              <w:left w:val="nil"/>
              <w:bottom w:val="nil"/>
              <w:right w:val="nil"/>
            </w:tcBorders>
            <w:shd w:val="clear" w:color="000000" w:fill="FFFFFF"/>
            <w:vAlign w:val="center"/>
            <w:hideMark/>
          </w:tcPr>
          <w:p w14:paraId="0E4DEA96" w14:textId="77777777" w:rsidR="00471941" w:rsidRPr="00517CEC" w:rsidRDefault="00471941" w:rsidP="002023DB">
            <w:pPr>
              <w:pStyle w:val="16TableText"/>
              <w:rPr>
                <w:rFonts w:eastAsia="DengXian"/>
              </w:rPr>
            </w:pPr>
            <w:r w:rsidRPr="00A63F99">
              <w:rPr>
                <w:rFonts w:eastAsia="DengXian"/>
              </w:rPr>
              <w:t xml:space="preserve">3.85 </w:t>
            </w:r>
          </w:p>
        </w:tc>
        <w:tc>
          <w:tcPr>
            <w:tcW w:w="911" w:type="dxa"/>
            <w:tcBorders>
              <w:top w:val="nil"/>
              <w:left w:val="nil"/>
              <w:bottom w:val="nil"/>
              <w:right w:val="single" w:sz="4" w:space="0" w:color="auto"/>
            </w:tcBorders>
            <w:shd w:val="clear" w:color="000000" w:fill="FFFFFF"/>
            <w:vAlign w:val="center"/>
            <w:hideMark/>
          </w:tcPr>
          <w:p w14:paraId="5E2D34C3" w14:textId="77777777" w:rsidR="00471941" w:rsidRPr="00517CEC" w:rsidRDefault="00471941" w:rsidP="002023DB">
            <w:pPr>
              <w:pStyle w:val="16TableText"/>
              <w:rPr>
                <w:rFonts w:eastAsia="DengXian"/>
              </w:rPr>
            </w:pPr>
            <w:r w:rsidRPr="00A63F99">
              <w:rPr>
                <w:rFonts w:eastAsia="DengXian"/>
              </w:rPr>
              <w:t xml:space="preserve">6.03 </w:t>
            </w:r>
          </w:p>
        </w:tc>
        <w:tc>
          <w:tcPr>
            <w:tcW w:w="1170" w:type="dxa"/>
            <w:tcBorders>
              <w:top w:val="nil"/>
              <w:left w:val="single" w:sz="4" w:space="0" w:color="auto"/>
              <w:bottom w:val="nil"/>
              <w:right w:val="nil"/>
            </w:tcBorders>
            <w:shd w:val="clear" w:color="000000" w:fill="FFFFFF"/>
            <w:vAlign w:val="center"/>
            <w:hideMark/>
          </w:tcPr>
          <w:p w14:paraId="074E067E" w14:textId="77777777" w:rsidR="00471941" w:rsidRPr="00517CEC" w:rsidRDefault="00471941" w:rsidP="002023DB">
            <w:pPr>
              <w:pStyle w:val="16TableText"/>
              <w:rPr>
                <w:rFonts w:eastAsia="DengXian"/>
              </w:rPr>
            </w:pPr>
            <w:r w:rsidRPr="00A63F99">
              <w:rPr>
                <w:rFonts w:eastAsia="DengXian"/>
              </w:rPr>
              <w:t xml:space="preserve">36.76 </w:t>
            </w:r>
          </w:p>
        </w:tc>
        <w:tc>
          <w:tcPr>
            <w:tcW w:w="900" w:type="dxa"/>
            <w:tcBorders>
              <w:top w:val="nil"/>
              <w:left w:val="nil"/>
              <w:bottom w:val="nil"/>
              <w:right w:val="single" w:sz="4" w:space="0" w:color="auto"/>
            </w:tcBorders>
            <w:shd w:val="clear" w:color="000000" w:fill="FFFFFF"/>
            <w:vAlign w:val="center"/>
            <w:hideMark/>
          </w:tcPr>
          <w:p w14:paraId="575BC798" w14:textId="77777777" w:rsidR="00471941" w:rsidRPr="00517CEC" w:rsidRDefault="00471941" w:rsidP="002023DB">
            <w:pPr>
              <w:pStyle w:val="16TableText"/>
              <w:rPr>
                <w:rFonts w:eastAsia="DengXian"/>
              </w:rPr>
            </w:pPr>
            <w:r w:rsidRPr="00A63F99">
              <w:rPr>
                <w:rFonts w:eastAsia="DengXian"/>
              </w:rPr>
              <w:t xml:space="preserve">39.70 </w:t>
            </w:r>
          </w:p>
        </w:tc>
        <w:tc>
          <w:tcPr>
            <w:tcW w:w="1170" w:type="dxa"/>
            <w:tcBorders>
              <w:top w:val="nil"/>
              <w:left w:val="single" w:sz="4" w:space="0" w:color="auto"/>
              <w:bottom w:val="nil"/>
              <w:right w:val="nil"/>
            </w:tcBorders>
            <w:shd w:val="clear" w:color="000000" w:fill="FFFFFF"/>
            <w:vAlign w:val="center"/>
            <w:hideMark/>
          </w:tcPr>
          <w:p w14:paraId="7704F86B" w14:textId="77777777" w:rsidR="00471941" w:rsidRPr="00517CEC" w:rsidRDefault="00471941" w:rsidP="002023DB">
            <w:pPr>
              <w:pStyle w:val="16TableText"/>
              <w:rPr>
                <w:rFonts w:eastAsia="DengXian"/>
              </w:rPr>
            </w:pPr>
            <w:r w:rsidRPr="00A63F99">
              <w:rPr>
                <w:rFonts w:eastAsia="DengXian"/>
              </w:rPr>
              <w:t xml:space="preserve">1.37 </w:t>
            </w:r>
          </w:p>
        </w:tc>
        <w:tc>
          <w:tcPr>
            <w:tcW w:w="990" w:type="dxa"/>
            <w:tcBorders>
              <w:top w:val="nil"/>
              <w:left w:val="nil"/>
              <w:bottom w:val="nil"/>
              <w:right w:val="single" w:sz="4" w:space="0" w:color="auto"/>
            </w:tcBorders>
            <w:shd w:val="clear" w:color="000000" w:fill="FFFFFF"/>
            <w:vAlign w:val="center"/>
            <w:hideMark/>
          </w:tcPr>
          <w:p w14:paraId="14BB17C9" w14:textId="77777777" w:rsidR="00471941" w:rsidRPr="00517CEC" w:rsidRDefault="00471941" w:rsidP="002023DB">
            <w:pPr>
              <w:pStyle w:val="16TableText"/>
              <w:rPr>
                <w:rFonts w:eastAsia="DengXian"/>
              </w:rPr>
            </w:pPr>
            <w:r w:rsidRPr="00A63F99">
              <w:rPr>
                <w:rFonts w:eastAsia="DengXian"/>
              </w:rPr>
              <w:t xml:space="preserve">4.29 </w:t>
            </w:r>
          </w:p>
        </w:tc>
        <w:tc>
          <w:tcPr>
            <w:tcW w:w="810" w:type="dxa"/>
            <w:tcBorders>
              <w:top w:val="nil"/>
              <w:left w:val="single" w:sz="4" w:space="0" w:color="auto"/>
              <w:bottom w:val="nil"/>
              <w:right w:val="nil"/>
            </w:tcBorders>
            <w:shd w:val="clear" w:color="000000" w:fill="FFFFFF"/>
            <w:vAlign w:val="center"/>
            <w:hideMark/>
          </w:tcPr>
          <w:p w14:paraId="688C37AF" w14:textId="77777777" w:rsidR="00471941" w:rsidRPr="00517CEC" w:rsidRDefault="00471941" w:rsidP="002023DB">
            <w:pPr>
              <w:pStyle w:val="16TableText"/>
              <w:rPr>
                <w:rFonts w:eastAsia="DengXian"/>
              </w:rPr>
            </w:pPr>
            <w:r w:rsidRPr="00A63F99">
              <w:rPr>
                <w:rFonts w:eastAsia="DengXian"/>
              </w:rPr>
              <w:t xml:space="preserve">23.67 </w:t>
            </w:r>
          </w:p>
        </w:tc>
        <w:tc>
          <w:tcPr>
            <w:tcW w:w="900" w:type="dxa"/>
            <w:tcBorders>
              <w:top w:val="nil"/>
              <w:left w:val="nil"/>
              <w:bottom w:val="nil"/>
              <w:right w:val="nil"/>
            </w:tcBorders>
            <w:shd w:val="clear" w:color="000000" w:fill="FFFFFF"/>
            <w:vAlign w:val="center"/>
            <w:hideMark/>
          </w:tcPr>
          <w:p w14:paraId="66412138" w14:textId="77777777" w:rsidR="00471941" w:rsidRPr="00517CEC" w:rsidRDefault="00471941" w:rsidP="002023DB">
            <w:pPr>
              <w:pStyle w:val="16TableText"/>
              <w:rPr>
                <w:rFonts w:eastAsia="DengXian"/>
              </w:rPr>
            </w:pPr>
            <w:r w:rsidRPr="00A63F99">
              <w:rPr>
                <w:rFonts w:eastAsia="DengXian"/>
              </w:rPr>
              <w:t xml:space="preserve">74.92 </w:t>
            </w:r>
          </w:p>
        </w:tc>
      </w:tr>
      <w:tr w:rsidR="00471941" w:rsidRPr="00A86BC4" w14:paraId="13422885" w14:textId="77777777" w:rsidTr="00AF3671">
        <w:trPr>
          <w:trHeight w:val="285"/>
        </w:trPr>
        <w:tc>
          <w:tcPr>
            <w:tcW w:w="990" w:type="dxa"/>
            <w:tcBorders>
              <w:top w:val="nil"/>
              <w:left w:val="nil"/>
              <w:bottom w:val="nil"/>
              <w:right w:val="nil"/>
            </w:tcBorders>
            <w:shd w:val="clear" w:color="000000" w:fill="FFFFFF"/>
            <w:vAlign w:val="center"/>
            <w:hideMark/>
          </w:tcPr>
          <w:p w14:paraId="18ACF2A9" w14:textId="77777777" w:rsidR="00471941" w:rsidRPr="00A86BC4" w:rsidRDefault="00471941" w:rsidP="002023DB">
            <w:pPr>
              <w:pStyle w:val="16TableText"/>
              <w:rPr>
                <w:rFonts w:eastAsia="DengXian"/>
              </w:rPr>
            </w:pPr>
            <w:r w:rsidRPr="00A86BC4">
              <w:rPr>
                <w:rFonts w:eastAsia="DengXian"/>
              </w:rPr>
              <w:t>Home-J</w:t>
            </w:r>
          </w:p>
        </w:tc>
        <w:tc>
          <w:tcPr>
            <w:tcW w:w="1159" w:type="dxa"/>
            <w:tcBorders>
              <w:top w:val="nil"/>
              <w:left w:val="nil"/>
              <w:bottom w:val="nil"/>
              <w:right w:val="nil"/>
            </w:tcBorders>
            <w:shd w:val="clear" w:color="000000" w:fill="FFFFFF"/>
            <w:vAlign w:val="center"/>
            <w:hideMark/>
          </w:tcPr>
          <w:p w14:paraId="3DE5F691" w14:textId="77777777" w:rsidR="00471941" w:rsidRPr="00517CEC" w:rsidRDefault="00471941" w:rsidP="002023DB">
            <w:pPr>
              <w:pStyle w:val="16TableText"/>
              <w:rPr>
                <w:rFonts w:eastAsia="DengXian"/>
              </w:rPr>
            </w:pPr>
            <w:r w:rsidRPr="00A63F99">
              <w:rPr>
                <w:rFonts w:eastAsia="DengXian"/>
              </w:rPr>
              <w:t xml:space="preserve">2.33 </w:t>
            </w:r>
          </w:p>
        </w:tc>
        <w:tc>
          <w:tcPr>
            <w:tcW w:w="911" w:type="dxa"/>
            <w:tcBorders>
              <w:top w:val="nil"/>
              <w:left w:val="nil"/>
              <w:bottom w:val="nil"/>
              <w:right w:val="single" w:sz="4" w:space="0" w:color="auto"/>
            </w:tcBorders>
            <w:shd w:val="clear" w:color="000000" w:fill="FFFFFF"/>
            <w:vAlign w:val="center"/>
            <w:hideMark/>
          </w:tcPr>
          <w:p w14:paraId="3A30E2DB" w14:textId="77777777" w:rsidR="00471941" w:rsidRPr="00517CEC" w:rsidRDefault="00471941" w:rsidP="002023DB">
            <w:pPr>
              <w:pStyle w:val="16TableText"/>
              <w:rPr>
                <w:rFonts w:eastAsia="DengXian"/>
              </w:rPr>
            </w:pPr>
            <w:r w:rsidRPr="00A63F99">
              <w:rPr>
                <w:rFonts w:eastAsia="DengXian"/>
              </w:rPr>
              <w:t xml:space="preserve">3.51 </w:t>
            </w:r>
          </w:p>
        </w:tc>
        <w:tc>
          <w:tcPr>
            <w:tcW w:w="1170" w:type="dxa"/>
            <w:tcBorders>
              <w:top w:val="nil"/>
              <w:left w:val="single" w:sz="4" w:space="0" w:color="auto"/>
              <w:bottom w:val="nil"/>
              <w:right w:val="nil"/>
            </w:tcBorders>
            <w:shd w:val="clear" w:color="000000" w:fill="FFFFFF"/>
            <w:vAlign w:val="center"/>
            <w:hideMark/>
          </w:tcPr>
          <w:p w14:paraId="007BBEA9" w14:textId="77777777" w:rsidR="00471941" w:rsidRPr="00517CEC" w:rsidRDefault="00471941" w:rsidP="002023DB">
            <w:pPr>
              <w:pStyle w:val="16TableText"/>
              <w:rPr>
                <w:rFonts w:eastAsia="DengXian"/>
              </w:rPr>
            </w:pPr>
            <w:r w:rsidRPr="00A63F99">
              <w:rPr>
                <w:rFonts w:eastAsia="DengXian"/>
              </w:rPr>
              <w:t xml:space="preserve">21.47 </w:t>
            </w:r>
          </w:p>
        </w:tc>
        <w:tc>
          <w:tcPr>
            <w:tcW w:w="900" w:type="dxa"/>
            <w:tcBorders>
              <w:top w:val="nil"/>
              <w:left w:val="nil"/>
              <w:bottom w:val="nil"/>
              <w:right w:val="single" w:sz="4" w:space="0" w:color="auto"/>
            </w:tcBorders>
            <w:shd w:val="clear" w:color="000000" w:fill="FFFFFF"/>
            <w:vAlign w:val="center"/>
            <w:hideMark/>
          </w:tcPr>
          <w:p w14:paraId="264DF75E" w14:textId="77777777" w:rsidR="00471941" w:rsidRPr="00517CEC" w:rsidRDefault="00471941" w:rsidP="002023DB">
            <w:pPr>
              <w:pStyle w:val="16TableText"/>
              <w:rPr>
                <w:rFonts w:eastAsia="DengXian"/>
              </w:rPr>
            </w:pPr>
            <w:r w:rsidRPr="00A63F99">
              <w:rPr>
                <w:rFonts w:eastAsia="DengXian"/>
              </w:rPr>
              <w:t xml:space="preserve">24.71 </w:t>
            </w:r>
          </w:p>
        </w:tc>
        <w:tc>
          <w:tcPr>
            <w:tcW w:w="1170" w:type="dxa"/>
            <w:tcBorders>
              <w:top w:val="nil"/>
              <w:left w:val="single" w:sz="4" w:space="0" w:color="auto"/>
              <w:bottom w:val="nil"/>
              <w:right w:val="nil"/>
            </w:tcBorders>
            <w:shd w:val="clear" w:color="000000" w:fill="FFFFFF"/>
            <w:vAlign w:val="center"/>
            <w:hideMark/>
          </w:tcPr>
          <w:p w14:paraId="18179DCE" w14:textId="77777777" w:rsidR="00471941" w:rsidRPr="00517CEC" w:rsidRDefault="00471941" w:rsidP="002023DB">
            <w:pPr>
              <w:pStyle w:val="16TableText"/>
              <w:rPr>
                <w:rFonts w:eastAsia="DengXian"/>
              </w:rPr>
            </w:pPr>
            <w:r w:rsidRPr="00A63F99">
              <w:rPr>
                <w:rFonts w:eastAsia="DengXian"/>
              </w:rPr>
              <w:t xml:space="preserve">0.91 </w:t>
            </w:r>
          </w:p>
        </w:tc>
        <w:tc>
          <w:tcPr>
            <w:tcW w:w="990" w:type="dxa"/>
            <w:tcBorders>
              <w:top w:val="nil"/>
              <w:left w:val="nil"/>
              <w:bottom w:val="nil"/>
              <w:right w:val="single" w:sz="4" w:space="0" w:color="auto"/>
            </w:tcBorders>
            <w:shd w:val="clear" w:color="000000" w:fill="FFFFFF"/>
            <w:vAlign w:val="center"/>
            <w:hideMark/>
          </w:tcPr>
          <w:p w14:paraId="5D0D9FD8" w14:textId="77777777" w:rsidR="00471941" w:rsidRPr="00517CEC" w:rsidRDefault="00471941" w:rsidP="002023DB">
            <w:pPr>
              <w:pStyle w:val="16TableText"/>
              <w:rPr>
                <w:rFonts w:eastAsia="DengXian"/>
              </w:rPr>
            </w:pPr>
            <w:r w:rsidRPr="00A63F99">
              <w:rPr>
                <w:rFonts w:eastAsia="DengXian"/>
              </w:rPr>
              <w:t xml:space="preserve">2.30 </w:t>
            </w:r>
          </w:p>
        </w:tc>
        <w:tc>
          <w:tcPr>
            <w:tcW w:w="810" w:type="dxa"/>
            <w:tcBorders>
              <w:top w:val="nil"/>
              <w:left w:val="single" w:sz="4" w:space="0" w:color="auto"/>
              <w:bottom w:val="nil"/>
              <w:right w:val="nil"/>
            </w:tcBorders>
            <w:shd w:val="clear" w:color="000000" w:fill="FFFFFF"/>
            <w:vAlign w:val="center"/>
            <w:hideMark/>
          </w:tcPr>
          <w:p w14:paraId="6EBA05E8" w14:textId="77777777" w:rsidR="00471941" w:rsidRPr="00517CEC" w:rsidRDefault="00471941" w:rsidP="002023DB">
            <w:pPr>
              <w:pStyle w:val="16TableText"/>
              <w:rPr>
                <w:rFonts w:eastAsia="DengXian"/>
              </w:rPr>
            </w:pPr>
            <w:r w:rsidRPr="00A63F99">
              <w:rPr>
                <w:rFonts w:eastAsia="DengXian"/>
              </w:rPr>
              <w:t xml:space="preserve">27.13 </w:t>
            </w:r>
          </w:p>
        </w:tc>
        <w:tc>
          <w:tcPr>
            <w:tcW w:w="900" w:type="dxa"/>
            <w:tcBorders>
              <w:top w:val="nil"/>
              <w:left w:val="nil"/>
              <w:bottom w:val="nil"/>
              <w:right w:val="nil"/>
            </w:tcBorders>
            <w:shd w:val="clear" w:color="000000" w:fill="FFFFFF"/>
            <w:vAlign w:val="center"/>
            <w:hideMark/>
          </w:tcPr>
          <w:p w14:paraId="7181951B" w14:textId="77777777" w:rsidR="00471941" w:rsidRPr="00517CEC" w:rsidRDefault="00471941" w:rsidP="002023DB">
            <w:pPr>
              <w:pStyle w:val="16TableText"/>
              <w:rPr>
                <w:rFonts w:eastAsia="DengXian"/>
              </w:rPr>
            </w:pPr>
            <w:r w:rsidRPr="00A63F99">
              <w:rPr>
                <w:rFonts w:eastAsia="DengXian"/>
              </w:rPr>
              <w:t xml:space="preserve">69.77 </w:t>
            </w:r>
          </w:p>
        </w:tc>
      </w:tr>
      <w:tr w:rsidR="00471941" w:rsidRPr="00A86BC4" w14:paraId="7C3BE404" w14:textId="77777777" w:rsidTr="00AF3671">
        <w:trPr>
          <w:trHeight w:val="300"/>
        </w:trPr>
        <w:tc>
          <w:tcPr>
            <w:tcW w:w="990" w:type="dxa"/>
            <w:tcBorders>
              <w:top w:val="nil"/>
              <w:left w:val="nil"/>
              <w:bottom w:val="single" w:sz="12" w:space="0" w:color="000000"/>
              <w:right w:val="nil"/>
            </w:tcBorders>
            <w:shd w:val="clear" w:color="000000" w:fill="FFFFFF"/>
            <w:vAlign w:val="center"/>
            <w:hideMark/>
          </w:tcPr>
          <w:p w14:paraId="6C192598" w14:textId="77777777" w:rsidR="00471941" w:rsidRPr="00A86BC4" w:rsidRDefault="00471941" w:rsidP="002023DB">
            <w:pPr>
              <w:pStyle w:val="16TableText"/>
              <w:rPr>
                <w:rFonts w:eastAsia="DengXian"/>
              </w:rPr>
            </w:pPr>
            <w:r w:rsidRPr="00A86BC4">
              <w:rPr>
                <w:rFonts w:eastAsia="DengXian"/>
              </w:rPr>
              <w:t>Lab-house</w:t>
            </w:r>
          </w:p>
        </w:tc>
        <w:tc>
          <w:tcPr>
            <w:tcW w:w="1159" w:type="dxa"/>
            <w:tcBorders>
              <w:top w:val="nil"/>
              <w:left w:val="nil"/>
              <w:bottom w:val="single" w:sz="12" w:space="0" w:color="000000"/>
              <w:right w:val="nil"/>
            </w:tcBorders>
            <w:shd w:val="clear" w:color="000000" w:fill="FFFFFF"/>
            <w:vAlign w:val="center"/>
            <w:hideMark/>
          </w:tcPr>
          <w:p w14:paraId="1BC429AA" w14:textId="77777777" w:rsidR="00471941" w:rsidRPr="00517CEC" w:rsidRDefault="00471941" w:rsidP="002023DB">
            <w:pPr>
              <w:pStyle w:val="16TableText"/>
              <w:rPr>
                <w:rFonts w:eastAsia="DengXian"/>
              </w:rPr>
            </w:pPr>
            <w:r w:rsidRPr="00A63F99">
              <w:rPr>
                <w:rFonts w:eastAsia="DengXian"/>
              </w:rPr>
              <w:t xml:space="preserve">2.65 </w:t>
            </w:r>
          </w:p>
        </w:tc>
        <w:tc>
          <w:tcPr>
            <w:tcW w:w="911" w:type="dxa"/>
            <w:tcBorders>
              <w:top w:val="nil"/>
              <w:left w:val="nil"/>
              <w:bottom w:val="single" w:sz="12" w:space="0" w:color="000000"/>
              <w:right w:val="single" w:sz="4" w:space="0" w:color="auto"/>
            </w:tcBorders>
            <w:shd w:val="clear" w:color="000000" w:fill="FFFFFF"/>
            <w:vAlign w:val="center"/>
            <w:hideMark/>
          </w:tcPr>
          <w:p w14:paraId="4F7F1288" w14:textId="77777777" w:rsidR="00471941" w:rsidRPr="00517CEC" w:rsidRDefault="00471941" w:rsidP="002023DB">
            <w:pPr>
              <w:pStyle w:val="16TableText"/>
              <w:rPr>
                <w:rFonts w:eastAsia="DengXian"/>
              </w:rPr>
            </w:pPr>
            <w:r w:rsidRPr="00A63F99">
              <w:rPr>
                <w:rFonts w:eastAsia="DengXian"/>
              </w:rPr>
              <w:t xml:space="preserve">4.94 </w:t>
            </w:r>
          </w:p>
        </w:tc>
        <w:tc>
          <w:tcPr>
            <w:tcW w:w="1170" w:type="dxa"/>
            <w:tcBorders>
              <w:top w:val="nil"/>
              <w:left w:val="single" w:sz="4" w:space="0" w:color="auto"/>
              <w:bottom w:val="single" w:sz="12" w:space="0" w:color="000000"/>
              <w:right w:val="nil"/>
            </w:tcBorders>
            <w:shd w:val="clear" w:color="000000" w:fill="FFFFFF"/>
            <w:vAlign w:val="center"/>
            <w:hideMark/>
          </w:tcPr>
          <w:p w14:paraId="58F6D8F3" w14:textId="77777777" w:rsidR="00471941" w:rsidRPr="00517CEC" w:rsidRDefault="00471941" w:rsidP="002023DB">
            <w:pPr>
              <w:pStyle w:val="16TableText"/>
              <w:rPr>
                <w:rFonts w:eastAsia="DengXian"/>
              </w:rPr>
            </w:pPr>
            <w:r w:rsidRPr="00A63F99">
              <w:rPr>
                <w:rFonts w:eastAsia="DengXian"/>
              </w:rPr>
              <w:t xml:space="preserve">24.76 </w:t>
            </w:r>
          </w:p>
        </w:tc>
        <w:tc>
          <w:tcPr>
            <w:tcW w:w="900" w:type="dxa"/>
            <w:tcBorders>
              <w:top w:val="nil"/>
              <w:left w:val="nil"/>
              <w:bottom w:val="single" w:sz="12" w:space="0" w:color="000000"/>
              <w:right w:val="single" w:sz="4" w:space="0" w:color="auto"/>
            </w:tcBorders>
            <w:shd w:val="clear" w:color="000000" w:fill="FFFFFF"/>
            <w:vAlign w:val="center"/>
            <w:hideMark/>
          </w:tcPr>
          <w:p w14:paraId="10EDD18D" w14:textId="77777777" w:rsidR="00471941" w:rsidRPr="00517CEC" w:rsidRDefault="00471941" w:rsidP="002023DB">
            <w:pPr>
              <w:pStyle w:val="16TableText"/>
              <w:rPr>
                <w:rFonts w:eastAsia="DengXian"/>
              </w:rPr>
            </w:pPr>
            <w:r w:rsidRPr="00A63F99">
              <w:rPr>
                <w:rFonts w:eastAsia="DengXian"/>
              </w:rPr>
              <w:t xml:space="preserve">36.88 </w:t>
            </w:r>
          </w:p>
        </w:tc>
        <w:tc>
          <w:tcPr>
            <w:tcW w:w="1170" w:type="dxa"/>
            <w:tcBorders>
              <w:top w:val="nil"/>
              <w:left w:val="single" w:sz="4" w:space="0" w:color="auto"/>
              <w:bottom w:val="single" w:sz="12" w:space="0" w:color="000000"/>
              <w:right w:val="nil"/>
            </w:tcBorders>
            <w:shd w:val="clear" w:color="000000" w:fill="FFFFFF"/>
            <w:vAlign w:val="center"/>
            <w:hideMark/>
          </w:tcPr>
          <w:p w14:paraId="0E8CB796" w14:textId="77777777" w:rsidR="00471941" w:rsidRPr="00517CEC" w:rsidRDefault="00471941" w:rsidP="002023DB">
            <w:pPr>
              <w:pStyle w:val="16TableText"/>
              <w:rPr>
                <w:rFonts w:eastAsia="DengXian"/>
              </w:rPr>
            </w:pPr>
            <w:r w:rsidRPr="00A63F99">
              <w:rPr>
                <w:rFonts w:eastAsia="DengXian"/>
              </w:rPr>
              <w:t xml:space="preserve">1.00 </w:t>
            </w:r>
          </w:p>
        </w:tc>
        <w:tc>
          <w:tcPr>
            <w:tcW w:w="990" w:type="dxa"/>
            <w:tcBorders>
              <w:top w:val="nil"/>
              <w:left w:val="nil"/>
              <w:bottom w:val="single" w:sz="12" w:space="0" w:color="000000"/>
              <w:right w:val="single" w:sz="4" w:space="0" w:color="auto"/>
            </w:tcBorders>
            <w:shd w:val="clear" w:color="000000" w:fill="FFFFFF"/>
            <w:vAlign w:val="center"/>
            <w:hideMark/>
          </w:tcPr>
          <w:p w14:paraId="476BB328" w14:textId="77777777" w:rsidR="00471941" w:rsidRPr="00517CEC" w:rsidRDefault="00471941" w:rsidP="002023DB">
            <w:pPr>
              <w:pStyle w:val="16TableText"/>
              <w:rPr>
                <w:rFonts w:eastAsia="DengXian"/>
              </w:rPr>
            </w:pPr>
            <w:r w:rsidRPr="00A63F99">
              <w:rPr>
                <w:rFonts w:eastAsia="DengXian"/>
              </w:rPr>
              <w:t xml:space="preserve">2.99 </w:t>
            </w:r>
          </w:p>
        </w:tc>
        <w:tc>
          <w:tcPr>
            <w:tcW w:w="810" w:type="dxa"/>
            <w:tcBorders>
              <w:top w:val="nil"/>
              <w:left w:val="single" w:sz="4" w:space="0" w:color="auto"/>
              <w:bottom w:val="single" w:sz="12" w:space="0" w:color="000000"/>
              <w:right w:val="nil"/>
            </w:tcBorders>
            <w:shd w:val="clear" w:color="000000" w:fill="FFFFFF"/>
            <w:vAlign w:val="center"/>
            <w:hideMark/>
          </w:tcPr>
          <w:p w14:paraId="09C4F22E" w14:textId="77777777" w:rsidR="00471941" w:rsidRPr="00517CEC" w:rsidRDefault="00471941" w:rsidP="002023DB">
            <w:pPr>
              <w:pStyle w:val="16TableText"/>
              <w:rPr>
                <w:rFonts w:eastAsia="DengXian"/>
              </w:rPr>
            </w:pPr>
            <w:r w:rsidRPr="00A63F99">
              <w:rPr>
                <w:rFonts w:eastAsia="DengXian"/>
              </w:rPr>
              <w:t xml:space="preserve">30.92 </w:t>
            </w:r>
          </w:p>
        </w:tc>
        <w:tc>
          <w:tcPr>
            <w:tcW w:w="900" w:type="dxa"/>
            <w:tcBorders>
              <w:top w:val="nil"/>
              <w:left w:val="nil"/>
              <w:bottom w:val="single" w:sz="12" w:space="0" w:color="000000"/>
              <w:right w:val="nil"/>
            </w:tcBorders>
            <w:shd w:val="clear" w:color="000000" w:fill="FFFFFF"/>
            <w:vAlign w:val="center"/>
            <w:hideMark/>
          </w:tcPr>
          <w:p w14:paraId="638B90B9" w14:textId="77777777" w:rsidR="00471941" w:rsidRPr="00517CEC" w:rsidRDefault="00471941" w:rsidP="002023DB">
            <w:pPr>
              <w:pStyle w:val="16TableText"/>
              <w:rPr>
                <w:rFonts w:eastAsia="DengXian"/>
              </w:rPr>
            </w:pPr>
            <w:r w:rsidRPr="00A63F99">
              <w:rPr>
                <w:rFonts w:eastAsia="DengXian"/>
              </w:rPr>
              <w:t xml:space="preserve">94.67 </w:t>
            </w:r>
          </w:p>
        </w:tc>
      </w:tr>
    </w:tbl>
    <w:p w14:paraId="20A7735A" w14:textId="2B489BED" w:rsidR="00471941" w:rsidRDefault="00471941" w:rsidP="00410CB0">
      <w:pPr>
        <w:pStyle w:val="15TableTitle"/>
      </w:pPr>
      <w:bookmarkStart w:id="317" w:name="_Ref130202291"/>
      <w:bookmarkStart w:id="318" w:name="_Toc141343903"/>
      <w:r>
        <w:t xml:space="preserve">Table </w:t>
      </w:r>
      <w:fldSimple w:instr=" STYLEREF 1 \s ">
        <w:r w:rsidR="000E1725">
          <w:rPr>
            <w:noProof/>
          </w:rPr>
          <w:t>4</w:t>
        </w:r>
      </w:fldSimple>
      <w:r w:rsidR="00146A55">
        <w:t>.</w:t>
      </w:r>
      <w:fldSimple w:instr=" SEQ Table \* ARABIC \s 1 ">
        <w:r w:rsidR="000E1725">
          <w:rPr>
            <w:noProof/>
          </w:rPr>
          <w:t>5</w:t>
        </w:r>
      </w:fldSimple>
      <w:bookmarkEnd w:id="317"/>
      <w:r w:rsidRPr="009D1704">
        <w:t xml:space="preserve"> </w:t>
      </w:r>
      <w:r w:rsidRPr="00850E32">
        <w:t xml:space="preserve">Cost and energy consumption summary for </w:t>
      </w:r>
      <w:r>
        <w:t>home</w:t>
      </w:r>
      <w:r w:rsidRPr="00850E32">
        <w:t>s on cold summer days.</w:t>
      </w:r>
      <w:bookmarkEnd w:id="318"/>
    </w:p>
    <w:tbl>
      <w:tblPr>
        <w:tblW w:w="9000" w:type="dxa"/>
        <w:tblLayout w:type="fixed"/>
        <w:tblLook w:val="04A0" w:firstRow="1" w:lastRow="0" w:firstColumn="1" w:lastColumn="0" w:noHBand="0" w:noVBand="1"/>
      </w:tblPr>
      <w:tblGrid>
        <w:gridCol w:w="990"/>
        <w:gridCol w:w="1158"/>
        <w:gridCol w:w="912"/>
        <w:gridCol w:w="1170"/>
        <w:gridCol w:w="900"/>
        <w:gridCol w:w="1170"/>
        <w:gridCol w:w="990"/>
        <w:gridCol w:w="900"/>
        <w:gridCol w:w="810"/>
      </w:tblGrid>
      <w:tr w:rsidR="00471941" w:rsidRPr="00B014A9" w14:paraId="101C8C4D" w14:textId="77777777" w:rsidTr="00AF3671">
        <w:trPr>
          <w:trHeight w:val="300"/>
        </w:trPr>
        <w:tc>
          <w:tcPr>
            <w:tcW w:w="990" w:type="dxa"/>
            <w:tcBorders>
              <w:top w:val="single" w:sz="12" w:space="0" w:color="000000"/>
              <w:left w:val="nil"/>
              <w:bottom w:val="nil"/>
              <w:right w:val="nil"/>
            </w:tcBorders>
            <w:shd w:val="clear" w:color="auto" w:fill="auto"/>
            <w:vAlign w:val="center"/>
            <w:hideMark/>
          </w:tcPr>
          <w:p w14:paraId="53010DF3" w14:textId="77777777" w:rsidR="00471941" w:rsidRPr="00B014A9" w:rsidRDefault="00471941" w:rsidP="002023DB">
            <w:pPr>
              <w:pStyle w:val="16TableText"/>
              <w:rPr>
                <w:rFonts w:eastAsia="DengXian"/>
              </w:rPr>
            </w:pPr>
          </w:p>
        </w:tc>
        <w:tc>
          <w:tcPr>
            <w:tcW w:w="2070" w:type="dxa"/>
            <w:gridSpan w:val="2"/>
            <w:tcBorders>
              <w:top w:val="single" w:sz="12" w:space="0" w:color="000000"/>
              <w:left w:val="nil"/>
              <w:bottom w:val="single" w:sz="8" w:space="0" w:color="auto"/>
              <w:right w:val="nil"/>
            </w:tcBorders>
            <w:shd w:val="clear" w:color="auto" w:fill="auto"/>
            <w:vAlign w:val="center"/>
            <w:hideMark/>
          </w:tcPr>
          <w:p w14:paraId="6A80FD57" w14:textId="77777777" w:rsidR="00471941" w:rsidRPr="00B014A9" w:rsidRDefault="00471941" w:rsidP="002023DB">
            <w:pPr>
              <w:pStyle w:val="16TableText"/>
              <w:rPr>
                <w:rFonts w:eastAsia="DengXian"/>
              </w:rPr>
            </w:pPr>
            <w:r w:rsidRPr="00B014A9">
              <w:rPr>
                <w:rFonts w:eastAsia="DengXian"/>
              </w:rPr>
              <w:t>Cost, $</w:t>
            </w:r>
          </w:p>
        </w:tc>
        <w:tc>
          <w:tcPr>
            <w:tcW w:w="2070" w:type="dxa"/>
            <w:gridSpan w:val="2"/>
            <w:tcBorders>
              <w:top w:val="single" w:sz="12" w:space="0" w:color="000000"/>
              <w:left w:val="nil"/>
              <w:bottom w:val="single" w:sz="8" w:space="0" w:color="auto"/>
              <w:right w:val="nil"/>
            </w:tcBorders>
            <w:shd w:val="clear" w:color="auto" w:fill="auto"/>
            <w:vAlign w:val="center"/>
            <w:hideMark/>
          </w:tcPr>
          <w:p w14:paraId="7183D92E" w14:textId="77777777" w:rsidR="00471941" w:rsidRPr="00B014A9" w:rsidRDefault="00471941" w:rsidP="002023DB">
            <w:pPr>
              <w:pStyle w:val="16TableText"/>
              <w:rPr>
                <w:rFonts w:eastAsia="DengXian"/>
              </w:rPr>
            </w:pPr>
            <w:r w:rsidRPr="00B014A9">
              <w:rPr>
                <w:rFonts w:eastAsia="DengXian"/>
              </w:rPr>
              <w:t>Energy, kWh</w:t>
            </w:r>
          </w:p>
        </w:tc>
        <w:tc>
          <w:tcPr>
            <w:tcW w:w="2160" w:type="dxa"/>
            <w:gridSpan w:val="2"/>
            <w:tcBorders>
              <w:top w:val="single" w:sz="12" w:space="0" w:color="000000"/>
              <w:left w:val="nil"/>
              <w:bottom w:val="single" w:sz="8" w:space="0" w:color="auto"/>
              <w:right w:val="nil"/>
            </w:tcBorders>
            <w:shd w:val="clear" w:color="auto" w:fill="auto"/>
            <w:vAlign w:val="center"/>
            <w:hideMark/>
          </w:tcPr>
          <w:p w14:paraId="6A2FAD19" w14:textId="77777777" w:rsidR="00471941" w:rsidRPr="00B014A9" w:rsidRDefault="00471941" w:rsidP="002023DB">
            <w:pPr>
              <w:pStyle w:val="16TableText"/>
              <w:rPr>
                <w:rFonts w:eastAsia="DengXian"/>
              </w:rPr>
            </w:pPr>
            <w:r w:rsidRPr="00B014A9">
              <w:rPr>
                <w:rFonts w:eastAsia="DengXian"/>
              </w:rPr>
              <w:t>Peak Cost, $</w:t>
            </w:r>
          </w:p>
        </w:tc>
        <w:tc>
          <w:tcPr>
            <w:tcW w:w="1710" w:type="dxa"/>
            <w:gridSpan w:val="2"/>
            <w:tcBorders>
              <w:top w:val="single" w:sz="12" w:space="0" w:color="000000"/>
              <w:left w:val="nil"/>
              <w:bottom w:val="nil"/>
              <w:right w:val="nil"/>
            </w:tcBorders>
            <w:shd w:val="clear" w:color="auto" w:fill="auto"/>
            <w:vAlign w:val="center"/>
            <w:hideMark/>
          </w:tcPr>
          <w:p w14:paraId="42108DCB" w14:textId="77777777" w:rsidR="00471941" w:rsidRPr="00B014A9" w:rsidRDefault="00471941" w:rsidP="002023DB">
            <w:pPr>
              <w:pStyle w:val="16TableText"/>
              <w:rPr>
                <w:rFonts w:eastAsia="DengXian"/>
              </w:rPr>
            </w:pPr>
            <w:r w:rsidRPr="00B014A9">
              <w:rPr>
                <w:rFonts w:eastAsia="DengXian"/>
              </w:rPr>
              <w:t>TOU run time, %</w:t>
            </w:r>
          </w:p>
        </w:tc>
      </w:tr>
      <w:tr w:rsidR="00471941" w:rsidRPr="00B014A9" w14:paraId="6D45F839" w14:textId="77777777" w:rsidTr="00AF3671">
        <w:trPr>
          <w:trHeight w:val="300"/>
        </w:trPr>
        <w:tc>
          <w:tcPr>
            <w:tcW w:w="990" w:type="dxa"/>
            <w:tcBorders>
              <w:top w:val="nil"/>
              <w:left w:val="nil"/>
              <w:bottom w:val="single" w:sz="12" w:space="0" w:color="000000"/>
              <w:right w:val="nil"/>
            </w:tcBorders>
            <w:shd w:val="clear" w:color="auto" w:fill="auto"/>
            <w:vAlign w:val="center"/>
            <w:hideMark/>
          </w:tcPr>
          <w:p w14:paraId="323F1A80" w14:textId="77777777" w:rsidR="00471941" w:rsidRPr="00B014A9" w:rsidRDefault="00471941" w:rsidP="002023DB">
            <w:pPr>
              <w:pStyle w:val="16TableText"/>
              <w:rPr>
                <w:rFonts w:eastAsia="DengXian"/>
              </w:rPr>
            </w:pPr>
          </w:p>
        </w:tc>
        <w:tc>
          <w:tcPr>
            <w:tcW w:w="1158" w:type="dxa"/>
            <w:tcBorders>
              <w:top w:val="single" w:sz="8" w:space="0" w:color="auto"/>
              <w:left w:val="nil"/>
              <w:bottom w:val="single" w:sz="12" w:space="0" w:color="000000"/>
              <w:right w:val="nil"/>
            </w:tcBorders>
            <w:shd w:val="clear" w:color="auto" w:fill="auto"/>
            <w:vAlign w:val="center"/>
            <w:hideMark/>
          </w:tcPr>
          <w:p w14:paraId="39E860A4" w14:textId="77777777" w:rsidR="00471941" w:rsidRPr="00B014A9" w:rsidRDefault="00471941" w:rsidP="002023DB">
            <w:pPr>
              <w:pStyle w:val="16TableText"/>
              <w:rPr>
                <w:rFonts w:eastAsia="DengXian"/>
              </w:rPr>
            </w:pPr>
            <w:r w:rsidRPr="00B014A9">
              <w:rPr>
                <w:rFonts w:eastAsia="DengXian"/>
              </w:rPr>
              <w:t>MPC</w:t>
            </w:r>
          </w:p>
        </w:tc>
        <w:tc>
          <w:tcPr>
            <w:tcW w:w="912" w:type="dxa"/>
            <w:tcBorders>
              <w:top w:val="single" w:sz="8" w:space="0" w:color="auto"/>
              <w:left w:val="nil"/>
              <w:bottom w:val="single" w:sz="12" w:space="0" w:color="000000"/>
              <w:right w:val="nil"/>
            </w:tcBorders>
            <w:shd w:val="clear" w:color="auto" w:fill="auto"/>
            <w:vAlign w:val="center"/>
            <w:hideMark/>
          </w:tcPr>
          <w:p w14:paraId="22D039A3" w14:textId="77777777" w:rsidR="00471941" w:rsidRPr="00B014A9" w:rsidRDefault="00471941" w:rsidP="002023DB">
            <w:pPr>
              <w:pStyle w:val="16TableText"/>
              <w:rPr>
                <w:rFonts w:eastAsia="DengXian"/>
              </w:rPr>
            </w:pPr>
            <w:r w:rsidRPr="00B014A9">
              <w:rPr>
                <w:rFonts w:eastAsia="DengXian"/>
              </w:rPr>
              <w:t>normal</w:t>
            </w:r>
          </w:p>
        </w:tc>
        <w:tc>
          <w:tcPr>
            <w:tcW w:w="1170" w:type="dxa"/>
            <w:tcBorders>
              <w:top w:val="single" w:sz="8" w:space="0" w:color="auto"/>
              <w:left w:val="nil"/>
              <w:bottom w:val="single" w:sz="12" w:space="0" w:color="000000"/>
              <w:right w:val="nil"/>
            </w:tcBorders>
            <w:shd w:val="clear" w:color="auto" w:fill="auto"/>
            <w:vAlign w:val="center"/>
            <w:hideMark/>
          </w:tcPr>
          <w:p w14:paraId="293FF5B0" w14:textId="77777777" w:rsidR="00471941" w:rsidRPr="00B014A9" w:rsidRDefault="00471941" w:rsidP="002023DB">
            <w:pPr>
              <w:pStyle w:val="16TableText"/>
              <w:rPr>
                <w:rFonts w:eastAsia="DengXian"/>
              </w:rPr>
            </w:pPr>
            <w:r w:rsidRPr="00B014A9">
              <w:rPr>
                <w:rFonts w:eastAsia="DengXian"/>
              </w:rPr>
              <w:t>MPC</w:t>
            </w:r>
          </w:p>
        </w:tc>
        <w:tc>
          <w:tcPr>
            <w:tcW w:w="900" w:type="dxa"/>
            <w:tcBorders>
              <w:top w:val="single" w:sz="8" w:space="0" w:color="auto"/>
              <w:left w:val="nil"/>
              <w:bottom w:val="single" w:sz="12" w:space="0" w:color="000000"/>
              <w:right w:val="nil"/>
            </w:tcBorders>
            <w:shd w:val="clear" w:color="auto" w:fill="auto"/>
            <w:vAlign w:val="center"/>
            <w:hideMark/>
          </w:tcPr>
          <w:p w14:paraId="15C121C1" w14:textId="77777777" w:rsidR="00471941" w:rsidRPr="00B014A9" w:rsidRDefault="00471941" w:rsidP="002023DB">
            <w:pPr>
              <w:pStyle w:val="16TableText"/>
              <w:rPr>
                <w:rFonts w:eastAsia="DengXian"/>
              </w:rPr>
            </w:pPr>
            <w:r w:rsidRPr="00B014A9">
              <w:rPr>
                <w:rFonts w:eastAsia="DengXian"/>
              </w:rPr>
              <w:t>normal</w:t>
            </w:r>
          </w:p>
        </w:tc>
        <w:tc>
          <w:tcPr>
            <w:tcW w:w="1170" w:type="dxa"/>
            <w:tcBorders>
              <w:top w:val="single" w:sz="4" w:space="0" w:color="auto"/>
              <w:left w:val="nil"/>
              <w:bottom w:val="single" w:sz="12" w:space="0" w:color="000000"/>
              <w:right w:val="nil"/>
            </w:tcBorders>
            <w:shd w:val="clear" w:color="auto" w:fill="auto"/>
            <w:vAlign w:val="center"/>
            <w:hideMark/>
          </w:tcPr>
          <w:p w14:paraId="2D38A129" w14:textId="77777777" w:rsidR="00471941" w:rsidRPr="00B014A9" w:rsidRDefault="00471941" w:rsidP="002023DB">
            <w:pPr>
              <w:pStyle w:val="16TableText"/>
              <w:rPr>
                <w:rFonts w:eastAsia="DengXian"/>
              </w:rPr>
            </w:pPr>
            <w:r w:rsidRPr="00B014A9">
              <w:rPr>
                <w:rFonts w:eastAsia="DengXian"/>
              </w:rPr>
              <w:t>MPC</w:t>
            </w:r>
          </w:p>
        </w:tc>
        <w:tc>
          <w:tcPr>
            <w:tcW w:w="990" w:type="dxa"/>
            <w:tcBorders>
              <w:top w:val="single" w:sz="4" w:space="0" w:color="auto"/>
              <w:left w:val="nil"/>
              <w:bottom w:val="single" w:sz="12" w:space="0" w:color="000000"/>
              <w:right w:val="nil"/>
            </w:tcBorders>
            <w:shd w:val="clear" w:color="auto" w:fill="auto"/>
            <w:vAlign w:val="center"/>
            <w:hideMark/>
          </w:tcPr>
          <w:p w14:paraId="708B76A3" w14:textId="77777777" w:rsidR="00471941" w:rsidRPr="00B014A9" w:rsidRDefault="00471941" w:rsidP="002023DB">
            <w:pPr>
              <w:pStyle w:val="16TableText"/>
              <w:rPr>
                <w:rFonts w:eastAsia="DengXian"/>
              </w:rPr>
            </w:pPr>
            <w:r w:rsidRPr="00B014A9">
              <w:rPr>
                <w:rFonts w:eastAsia="DengXian"/>
              </w:rPr>
              <w:t>normal</w:t>
            </w:r>
          </w:p>
        </w:tc>
        <w:tc>
          <w:tcPr>
            <w:tcW w:w="900" w:type="dxa"/>
            <w:tcBorders>
              <w:top w:val="single" w:sz="4" w:space="0" w:color="auto"/>
              <w:left w:val="nil"/>
              <w:bottom w:val="single" w:sz="12" w:space="0" w:color="000000"/>
              <w:right w:val="nil"/>
            </w:tcBorders>
            <w:shd w:val="clear" w:color="auto" w:fill="auto"/>
            <w:vAlign w:val="center"/>
            <w:hideMark/>
          </w:tcPr>
          <w:p w14:paraId="315335C4" w14:textId="77777777" w:rsidR="00471941" w:rsidRPr="00B014A9" w:rsidRDefault="00471941" w:rsidP="002023DB">
            <w:pPr>
              <w:pStyle w:val="16TableText"/>
              <w:rPr>
                <w:rFonts w:eastAsia="DengXian"/>
              </w:rPr>
            </w:pPr>
            <w:r w:rsidRPr="00B014A9">
              <w:rPr>
                <w:rFonts w:eastAsia="DengXian"/>
              </w:rPr>
              <w:t>MPC</w:t>
            </w:r>
          </w:p>
        </w:tc>
        <w:tc>
          <w:tcPr>
            <w:tcW w:w="810" w:type="dxa"/>
            <w:tcBorders>
              <w:top w:val="single" w:sz="4" w:space="0" w:color="auto"/>
              <w:left w:val="nil"/>
              <w:bottom w:val="single" w:sz="12" w:space="0" w:color="000000"/>
              <w:right w:val="nil"/>
            </w:tcBorders>
            <w:shd w:val="clear" w:color="auto" w:fill="auto"/>
            <w:vAlign w:val="center"/>
            <w:hideMark/>
          </w:tcPr>
          <w:p w14:paraId="60425F11" w14:textId="77777777" w:rsidR="00471941" w:rsidRPr="00B014A9" w:rsidRDefault="00471941" w:rsidP="002023DB">
            <w:pPr>
              <w:pStyle w:val="16TableText"/>
              <w:rPr>
                <w:rFonts w:eastAsia="DengXian"/>
              </w:rPr>
            </w:pPr>
            <w:r w:rsidRPr="00B014A9">
              <w:rPr>
                <w:rFonts w:eastAsia="DengXian"/>
              </w:rPr>
              <w:t>normal</w:t>
            </w:r>
          </w:p>
        </w:tc>
      </w:tr>
      <w:tr w:rsidR="00471941" w:rsidRPr="00B014A9" w14:paraId="37596681" w14:textId="77777777" w:rsidTr="00AF3671">
        <w:trPr>
          <w:trHeight w:val="435"/>
        </w:trPr>
        <w:tc>
          <w:tcPr>
            <w:tcW w:w="990" w:type="dxa"/>
            <w:tcBorders>
              <w:top w:val="nil"/>
              <w:left w:val="nil"/>
              <w:bottom w:val="nil"/>
              <w:right w:val="nil"/>
            </w:tcBorders>
            <w:shd w:val="clear" w:color="000000" w:fill="FFFFFF"/>
            <w:vAlign w:val="center"/>
            <w:hideMark/>
          </w:tcPr>
          <w:p w14:paraId="305095E0" w14:textId="77777777" w:rsidR="00471941" w:rsidRPr="00B014A9" w:rsidRDefault="00471941" w:rsidP="002023DB">
            <w:pPr>
              <w:pStyle w:val="16TableText"/>
              <w:rPr>
                <w:rFonts w:eastAsia="DengXian"/>
              </w:rPr>
            </w:pPr>
            <w:r w:rsidRPr="00B014A9">
              <w:rPr>
                <w:rFonts w:eastAsia="DengXian"/>
              </w:rPr>
              <w:t>Home-B down</w:t>
            </w:r>
          </w:p>
        </w:tc>
        <w:tc>
          <w:tcPr>
            <w:tcW w:w="1158" w:type="dxa"/>
            <w:tcBorders>
              <w:top w:val="nil"/>
              <w:left w:val="nil"/>
              <w:bottom w:val="nil"/>
              <w:right w:val="nil"/>
            </w:tcBorders>
            <w:shd w:val="clear" w:color="000000" w:fill="FFFFFF"/>
            <w:vAlign w:val="center"/>
            <w:hideMark/>
          </w:tcPr>
          <w:p w14:paraId="1E926CE5" w14:textId="77777777" w:rsidR="00471941" w:rsidRPr="00B014A9" w:rsidRDefault="00471941" w:rsidP="002023DB">
            <w:pPr>
              <w:pStyle w:val="16TableText"/>
              <w:rPr>
                <w:rFonts w:eastAsia="DengXian"/>
              </w:rPr>
            </w:pPr>
            <w:r w:rsidRPr="00B014A9">
              <w:rPr>
                <w:rFonts w:eastAsia="DengXian"/>
              </w:rPr>
              <w:t xml:space="preserve">0.19 </w:t>
            </w:r>
          </w:p>
        </w:tc>
        <w:tc>
          <w:tcPr>
            <w:tcW w:w="912" w:type="dxa"/>
            <w:tcBorders>
              <w:top w:val="nil"/>
              <w:left w:val="nil"/>
              <w:bottom w:val="nil"/>
              <w:right w:val="single" w:sz="4" w:space="0" w:color="auto"/>
            </w:tcBorders>
            <w:shd w:val="clear" w:color="000000" w:fill="FFFFFF"/>
            <w:vAlign w:val="center"/>
            <w:hideMark/>
          </w:tcPr>
          <w:p w14:paraId="726861B5" w14:textId="77777777" w:rsidR="00471941" w:rsidRPr="00B014A9" w:rsidRDefault="00471941" w:rsidP="002023DB">
            <w:pPr>
              <w:pStyle w:val="16TableText"/>
              <w:rPr>
                <w:rFonts w:eastAsia="DengXian"/>
              </w:rPr>
            </w:pPr>
            <w:r w:rsidRPr="00B014A9">
              <w:rPr>
                <w:rFonts w:eastAsia="DengXian"/>
              </w:rPr>
              <w:t xml:space="preserve">0.41 </w:t>
            </w:r>
          </w:p>
        </w:tc>
        <w:tc>
          <w:tcPr>
            <w:tcW w:w="1170" w:type="dxa"/>
            <w:tcBorders>
              <w:top w:val="nil"/>
              <w:left w:val="single" w:sz="4" w:space="0" w:color="auto"/>
              <w:bottom w:val="nil"/>
              <w:right w:val="nil"/>
            </w:tcBorders>
            <w:shd w:val="clear" w:color="000000" w:fill="FFFFFF"/>
            <w:vAlign w:val="center"/>
            <w:hideMark/>
          </w:tcPr>
          <w:p w14:paraId="297958C3" w14:textId="77777777" w:rsidR="00471941" w:rsidRPr="00B014A9" w:rsidRDefault="00471941" w:rsidP="002023DB">
            <w:pPr>
              <w:pStyle w:val="16TableText"/>
              <w:rPr>
                <w:rFonts w:eastAsia="DengXian"/>
              </w:rPr>
            </w:pPr>
            <w:r w:rsidRPr="00B014A9">
              <w:rPr>
                <w:rFonts w:eastAsia="DengXian"/>
              </w:rPr>
              <w:t xml:space="preserve">2.95 </w:t>
            </w:r>
          </w:p>
        </w:tc>
        <w:tc>
          <w:tcPr>
            <w:tcW w:w="900" w:type="dxa"/>
            <w:tcBorders>
              <w:top w:val="nil"/>
              <w:left w:val="nil"/>
              <w:bottom w:val="nil"/>
              <w:right w:val="single" w:sz="4" w:space="0" w:color="auto"/>
            </w:tcBorders>
            <w:shd w:val="clear" w:color="000000" w:fill="FFFFFF"/>
            <w:vAlign w:val="center"/>
            <w:hideMark/>
          </w:tcPr>
          <w:p w14:paraId="2F4EFBFF" w14:textId="77777777" w:rsidR="00471941" w:rsidRPr="00B014A9" w:rsidRDefault="00471941" w:rsidP="002023DB">
            <w:pPr>
              <w:pStyle w:val="16TableText"/>
              <w:rPr>
                <w:rFonts w:eastAsia="DengXian"/>
              </w:rPr>
            </w:pPr>
            <w:r w:rsidRPr="00B014A9">
              <w:rPr>
                <w:rFonts w:eastAsia="DengXian"/>
              </w:rPr>
              <w:t xml:space="preserve">2.59 </w:t>
            </w:r>
          </w:p>
        </w:tc>
        <w:tc>
          <w:tcPr>
            <w:tcW w:w="1170" w:type="dxa"/>
            <w:tcBorders>
              <w:top w:val="nil"/>
              <w:left w:val="single" w:sz="4" w:space="0" w:color="auto"/>
              <w:bottom w:val="nil"/>
              <w:right w:val="nil"/>
            </w:tcBorders>
            <w:shd w:val="clear" w:color="000000" w:fill="FFFFFF"/>
            <w:vAlign w:val="center"/>
            <w:hideMark/>
          </w:tcPr>
          <w:p w14:paraId="0426203C" w14:textId="77777777" w:rsidR="00471941" w:rsidRPr="00B014A9" w:rsidRDefault="00471941" w:rsidP="002023DB">
            <w:pPr>
              <w:pStyle w:val="16TableText"/>
              <w:rPr>
                <w:rFonts w:eastAsia="DengXian"/>
              </w:rPr>
            </w:pPr>
            <w:r w:rsidRPr="00B014A9">
              <w:rPr>
                <w:rFonts w:eastAsia="DengXian"/>
              </w:rPr>
              <w:t xml:space="preserve">0.07 </w:t>
            </w:r>
          </w:p>
        </w:tc>
        <w:tc>
          <w:tcPr>
            <w:tcW w:w="990" w:type="dxa"/>
            <w:tcBorders>
              <w:top w:val="nil"/>
              <w:left w:val="nil"/>
              <w:bottom w:val="nil"/>
              <w:right w:val="single" w:sz="4" w:space="0" w:color="auto"/>
            </w:tcBorders>
            <w:shd w:val="clear" w:color="000000" w:fill="FFFFFF"/>
            <w:vAlign w:val="center"/>
            <w:hideMark/>
          </w:tcPr>
          <w:p w14:paraId="45AF52EC" w14:textId="77777777" w:rsidR="00471941" w:rsidRPr="00B014A9" w:rsidRDefault="00471941" w:rsidP="002023DB">
            <w:pPr>
              <w:pStyle w:val="16TableText"/>
              <w:rPr>
                <w:rFonts w:eastAsia="DengXian"/>
              </w:rPr>
            </w:pPr>
            <w:r w:rsidRPr="00B014A9">
              <w:rPr>
                <w:rFonts w:eastAsia="DengXian"/>
              </w:rPr>
              <w:t xml:space="preserve">0.38 </w:t>
            </w:r>
          </w:p>
        </w:tc>
        <w:tc>
          <w:tcPr>
            <w:tcW w:w="900" w:type="dxa"/>
            <w:tcBorders>
              <w:top w:val="nil"/>
              <w:left w:val="single" w:sz="4" w:space="0" w:color="auto"/>
              <w:bottom w:val="nil"/>
              <w:right w:val="nil"/>
            </w:tcBorders>
            <w:shd w:val="clear" w:color="000000" w:fill="FFFFFF"/>
            <w:vAlign w:val="center"/>
            <w:hideMark/>
          </w:tcPr>
          <w:p w14:paraId="720CF941" w14:textId="77777777" w:rsidR="00471941" w:rsidRPr="00B014A9" w:rsidRDefault="00471941" w:rsidP="002023DB">
            <w:pPr>
              <w:pStyle w:val="16TableText"/>
              <w:rPr>
                <w:rFonts w:eastAsia="DengXian"/>
              </w:rPr>
            </w:pPr>
            <w:r w:rsidRPr="00B014A9">
              <w:rPr>
                <w:rFonts w:eastAsia="DengXian"/>
              </w:rPr>
              <w:t xml:space="preserve">1.26 </w:t>
            </w:r>
          </w:p>
        </w:tc>
        <w:tc>
          <w:tcPr>
            <w:tcW w:w="810" w:type="dxa"/>
            <w:tcBorders>
              <w:top w:val="nil"/>
              <w:left w:val="nil"/>
              <w:bottom w:val="nil"/>
              <w:right w:val="nil"/>
            </w:tcBorders>
            <w:shd w:val="clear" w:color="000000" w:fill="FFFFFF"/>
            <w:vAlign w:val="center"/>
            <w:hideMark/>
          </w:tcPr>
          <w:p w14:paraId="76C3246D" w14:textId="77777777" w:rsidR="00471941" w:rsidRPr="00B014A9" w:rsidRDefault="00471941" w:rsidP="002023DB">
            <w:pPr>
              <w:pStyle w:val="16TableText"/>
              <w:rPr>
                <w:rFonts w:eastAsia="DengXian"/>
              </w:rPr>
            </w:pPr>
            <w:r w:rsidRPr="00B014A9">
              <w:rPr>
                <w:rFonts w:eastAsia="DengXian"/>
              </w:rPr>
              <w:t xml:space="preserve">6.33 </w:t>
            </w:r>
          </w:p>
        </w:tc>
      </w:tr>
      <w:tr w:rsidR="00471941" w:rsidRPr="00B014A9" w14:paraId="4EEDD52E" w14:textId="77777777" w:rsidTr="00AF3671">
        <w:trPr>
          <w:trHeight w:val="285"/>
        </w:trPr>
        <w:tc>
          <w:tcPr>
            <w:tcW w:w="990" w:type="dxa"/>
            <w:tcBorders>
              <w:top w:val="nil"/>
              <w:left w:val="nil"/>
              <w:bottom w:val="single" w:sz="18" w:space="0" w:color="auto"/>
              <w:right w:val="nil"/>
            </w:tcBorders>
            <w:shd w:val="clear" w:color="000000" w:fill="FFFFFF"/>
            <w:vAlign w:val="center"/>
            <w:hideMark/>
          </w:tcPr>
          <w:p w14:paraId="7BBE34E8" w14:textId="77777777" w:rsidR="00471941" w:rsidRPr="00B014A9" w:rsidRDefault="00471941" w:rsidP="002023DB">
            <w:pPr>
              <w:pStyle w:val="16TableText"/>
              <w:rPr>
                <w:rFonts w:eastAsia="DengXian"/>
              </w:rPr>
            </w:pPr>
            <w:r w:rsidRPr="00B014A9">
              <w:rPr>
                <w:rFonts w:eastAsia="DengXian"/>
              </w:rPr>
              <w:t>Home-D</w:t>
            </w:r>
          </w:p>
        </w:tc>
        <w:tc>
          <w:tcPr>
            <w:tcW w:w="1158" w:type="dxa"/>
            <w:tcBorders>
              <w:top w:val="nil"/>
              <w:left w:val="nil"/>
              <w:bottom w:val="single" w:sz="18" w:space="0" w:color="auto"/>
              <w:right w:val="nil"/>
            </w:tcBorders>
            <w:shd w:val="clear" w:color="000000" w:fill="FFFFFF"/>
            <w:vAlign w:val="center"/>
            <w:hideMark/>
          </w:tcPr>
          <w:p w14:paraId="4B00A483" w14:textId="77777777" w:rsidR="00471941" w:rsidRPr="00B014A9" w:rsidRDefault="00471941" w:rsidP="002023DB">
            <w:pPr>
              <w:pStyle w:val="16TableText"/>
              <w:rPr>
                <w:rFonts w:eastAsia="DengXian"/>
              </w:rPr>
            </w:pPr>
            <w:r w:rsidRPr="00B014A9">
              <w:rPr>
                <w:rFonts w:eastAsia="DengXian"/>
              </w:rPr>
              <w:t xml:space="preserve">0.27 </w:t>
            </w:r>
          </w:p>
        </w:tc>
        <w:tc>
          <w:tcPr>
            <w:tcW w:w="912" w:type="dxa"/>
            <w:tcBorders>
              <w:top w:val="nil"/>
              <w:left w:val="nil"/>
              <w:bottom w:val="single" w:sz="18" w:space="0" w:color="auto"/>
              <w:right w:val="single" w:sz="4" w:space="0" w:color="auto"/>
            </w:tcBorders>
            <w:shd w:val="clear" w:color="000000" w:fill="FFFFFF"/>
            <w:vAlign w:val="center"/>
            <w:hideMark/>
          </w:tcPr>
          <w:p w14:paraId="72B415B8" w14:textId="77777777" w:rsidR="00471941" w:rsidRPr="00B014A9" w:rsidRDefault="00471941" w:rsidP="002023DB">
            <w:pPr>
              <w:pStyle w:val="16TableText"/>
              <w:rPr>
                <w:rFonts w:eastAsia="DengXian"/>
              </w:rPr>
            </w:pPr>
            <w:r w:rsidRPr="00B014A9">
              <w:rPr>
                <w:rFonts w:eastAsia="DengXian"/>
              </w:rPr>
              <w:t xml:space="preserve">2.43 </w:t>
            </w:r>
          </w:p>
        </w:tc>
        <w:tc>
          <w:tcPr>
            <w:tcW w:w="1170" w:type="dxa"/>
            <w:tcBorders>
              <w:top w:val="nil"/>
              <w:left w:val="single" w:sz="4" w:space="0" w:color="auto"/>
              <w:bottom w:val="single" w:sz="18" w:space="0" w:color="auto"/>
              <w:right w:val="nil"/>
            </w:tcBorders>
            <w:shd w:val="clear" w:color="000000" w:fill="FFFFFF"/>
            <w:vAlign w:val="center"/>
            <w:hideMark/>
          </w:tcPr>
          <w:p w14:paraId="01B235C6" w14:textId="77777777" w:rsidR="00471941" w:rsidRPr="00B014A9" w:rsidRDefault="00471941" w:rsidP="002023DB">
            <w:pPr>
              <w:pStyle w:val="16TableText"/>
              <w:rPr>
                <w:rFonts w:eastAsia="DengXian"/>
              </w:rPr>
            </w:pPr>
            <w:r w:rsidRPr="00B014A9">
              <w:rPr>
                <w:rFonts w:eastAsia="DengXian"/>
              </w:rPr>
              <w:t xml:space="preserve">1.74 </w:t>
            </w:r>
          </w:p>
        </w:tc>
        <w:tc>
          <w:tcPr>
            <w:tcW w:w="900" w:type="dxa"/>
            <w:tcBorders>
              <w:top w:val="nil"/>
              <w:left w:val="nil"/>
              <w:bottom w:val="single" w:sz="18" w:space="0" w:color="auto"/>
              <w:right w:val="single" w:sz="4" w:space="0" w:color="auto"/>
            </w:tcBorders>
            <w:shd w:val="clear" w:color="000000" w:fill="FFFFFF"/>
            <w:vAlign w:val="center"/>
            <w:hideMark/>
          </w:tcPr>
          <w:p w14:paraId="2CC59F35" w14:textId="77777777" w:rsidR="00471941" w:rsidRPr="00B014A9" w:rsidRDefault="00471941" w:rsidP="002023DB">
            <w:pPr>
              <w:pStyle w:val="16TableText"/>
              <w:rPr>
                <w:rFonts w:eastAsia="DengXian"/>
              </w:rPr>
            </w:pPr>
            <w:r w:rsidRPr="00B014A9">
              <w:rPr>
                <w:rFonts w:eastAsia="DengXian"/>
              </w:rPr>
              <w:t xml:space="preserve">19.45 </w:t>
            </w:r>
          </w:p>
        </w:tc>
        <w:tc>
          <w:tcPr>
            <w:tcW w:w="1170" w:type="dxa"/>
            <w:tcBorders>
              <w:top w:val="nil"/>
              <w:left w:val="single" w:sz="4" w:space="0" w:color="auto"/>
              <w:bottom w:val="single" w:sz="18" w:space="0" w:color="auto"/>
              <w:right w:val="nil"/>
            </w:tcBorders>
            <w:shd w:val="clear" w:color="000000" w:fill="FFFFFF"/>
            <w:vAlign w:val="center"/>
            <w:hideMark/>
          </w:tcPr>
          <w:p w14:paraId="34798987" w14:textId="77777777" w:rsidR="00471941" w:rsidRPr="00B014A9" w:rsidRDefault="00471941" w:rsidP="002023DB">
            <w:pPr>
              <w:pStyle w:val="16TableText"/>
              <w:rPr>
                <w:rFonts w:eastAsia="DengXian"/>
              </w:rPr>
            </w:pPr>
            <w:r w:rsidRPr="00B014A9">
              <w:rPr>
                <w:rFonts w:eastAsia="DengXian"/>
              </w:rPr>
              <w:t xml:space="preserve">0.20 </w:t>
            </w:r>
          </w:p>
        </w:tc>
        <w:tc>
          <w:tcPr>
            <w:tcW w:w="990" w:type="dxa"/>
            <w:tcBorders>
              <w:top w:val="nil"/>
              <w:left w:val="nil"/>
              <w:bottom w:val="single" w:sz="18" w:space="0" w:color="auto"/>
              <w:right w:val="single" w:sz="4" w:space="0" w:color="auto"/>
            </w:tcBorders>
            <w:shd w:val="clear" w:color="000000" w:fill="FFFFFF"/>
            <w:vAlign w:val="center"/>
            <w:hideMark/>
          </w:tcPr>
          <w:p w14:paraId="359DBF49" w14:textId="77777777" w:rsidR="00471941" w:rsidRPr="00B014A9" w:rsidRDefault="00471941" w:rsidP="002023DB">
            <w:pPr>
              <w:pStyle w:val="16TableText"/>
              <w:rPr>
                <w:rFonts w:eastAsia="DengXian"/>
              </w:rPr>
            </w:pPr>
            <w:r w:rsidRPr="00B014A9">
              <w:rPr>
                <w:rFonts w:eastAsia="DengXian"/>
              </w:rPr>
              <w:t xml:space="preserve">1.32 </w:t>
            </w:r>
          </w:p>
        </w:tc>
        <w:tc>
          <w:tcPr>
            <w:tcW w:w="900" w:type="dxa"/>
            <w:tcBorders>
              <w:top w:val="nil"/>
              <w:left w:val="single" w:sz="4" w:space="0" w:color="auto"/>
              <w:bottom w:val="single" w:sz="18" w:space="0" w:color="auto"/>
              <w:right w:val="nil"/>
            </w:tcBorders>
            <w:shd w:val="clear" w:color="000000" w:fill="FFFFFF"/>
            <w:vAlign w:val="center"/>
            <w:hideMark/>
          </w:tcPr>
          <w:p w14:paraId="7FC012AE" w14:textId="77777777" w:rsidR="00471941" w:rsidRPr="00B014A9" w:rsidRDefault="00471941" w:rsidP="002023DB">
            <w:pPr>
              <w:pStyle w:val="16TableText"/>
              <w:rPr>
                <w:rFonts w:eastAsia="DengXian"/>
              </w:rPr>
            </w:pPr>
            <w:r w:rsidRPr="00B014A9">
              <w:rPr>
                <w:rFonts w:eastAsia="DengXian"/>
              </w:rPr>
              <w:t xml:space="preserve">4.99 </w:t>
            </w:r>
          </w:p>
        </w:tc>
        <w:tc>
          <w:tcPr>
            <w:tcW w:w="810" w:type="dxa"/>
            <w:tcBorders>
              <w:top w:val="nil"/>
              <w:left w:val="nil"/>
              <w:bottom w:val="single" w:sz="18" w:space="0" w:color="auto"/>
              <w:right w:val="nil"/>
            </w:tcBorders>
            <w:shd w:val="clear" w:color="000000" w:fill="FFFFFF"/>
            <w:vAlign w:val="center"/>
            <w:hideMark/>
          </w:tcPr>
          <w:p w14:paraId="0699A223" w14:textId="77777777" w:rsidR="00471941" w:rsidRPr="00B014A9" w:rsidRDefault="00471941" w:rsidP="002023DB">
            <w:pPr>
              <w:pStyle w:val="16TableText"/>
              <w:rPr>
                <w:rFonts w:eastAsia="DengXian"/>
              </w:rPr>
            </w:pPr>
            <w:r w:rsidRPr="00B014A9">
              <w:rPr>
                <w:rFonts w:eastAsia="DengXian"/>
              </w:rPr>
              <w:t xml:space="preserve">33.31 </w:t>
            </w:r>
          </w:p>
        </w:tc>
      </w:tr>
    </w:tbl>
    <w:p w14:paraId="151835F5" w14:textId="77777777" w:rsidR="00471941" w:rsidRPr="004F09AA" w:rsidRDefault="00471941" w:rsidP="00471941">
      <w:pPr>
        <w:pStyle w:val="Heading5"/>
        <w:numPr>
          <w:ilvl w:val="0"/>
          <w:numId w:val="55"/>
        </w:numPr>
        <w:ind w:left="0" w:firstLine="482"/>
      </w:pPr>
      <w:bookmarkStart w:id="319" w:name="_Toc133542386"/>
      <w:r w:rsidRPr="004F09AA">
        <w:t>Impact analysis o</w:t>
      </w:r>
      <w:r>
        <w:t>f</w:t>
      </w:r>
      <w:r w:rsidRPr="004F09AA">
        <w:t xml:space="preserve"> </w:t>
      </w:r>
      <w:r>
        <w:t>energy</w:t>
      </w:r>
      <w:r w:rsidRPr="004F09AA">
        <w:t xml:space="preserve"> flexibility</w:t>
      </w:r>
      <w:bookmarkEnd w:id="319"/>
      <w:r w:rsidRPr="004F09AA">
        <w:t xml:space="preserve"> </w:t>
      </w:r>
    </w:p>
    <w:p w14:paraId="5CDAAF3A" w14:textId="60748766" w:rsidR="00471941" w:rsidRPr="00E84FA4" w:rsidRDefault="00471941" w:rsidP="00471941">
      <w:r>
        <w:t xml:space="preserve">In this section, the flexibility factor is used to further assess load shifting potential, i.e., the demand flexibility, for different buildings and operation conditions under the DR programs </w:t>
      </w:r>
      <w:r>
        <w:lastRenderedPageBreak/>
        <w:t xml:space="preserve">after installing the MPC agent. </w:t>
      </w:r>
      <w:r>
        <w:fldChar w:fldCharType="begin"/>
      </w:r>
      <w:r>
        <w:instrText xml:space="preserve"> REF _Ref127358464 \h  \* MERGEFORMAT </w:instrText>
      </w:r>
      <w:r>
        <w:fldChar w:fldCharType="separate"/>
      </w:r>
      <w:r w:rsidR="000E1725">
        <w:t xml:space="preserve">Figure </w:t>
      </w:r>
      <w:r w:rsidR="000E1725">
        <w:rPr>
          <w:noProof/>
        </w:rPr>
        <w:t>4.10</w:t>
      </w:r>
      <w:r>
        <w:fldChar w:fldCharType="end"/>
      </w:r>
      <w:r>
        <w:t xml:space="preserve"> illustrates the </w:t>
      </w:r>
      <w:r>
        <w:rPr>
          <w:rFonts w:hint="eastAsia"/>
        </w:rPr>
        <w:t>d</w:t>
      </w:r>
      <w:r>
        <w:t xml:space="preserve">istribution of flexibility factor </w:t>
      </w:r>
      <m:oMath>
        <m:r>
          <w:rPr>
            <w:rFonts w:ascii="Cambria Math" w:hAnsi="Cambria Math"/>
          </w:rPr>
          <m:t>FF</m:t>
        </m:r>
      </m:oMath>
      <w:r>
        <w:rPr>
          <w:rFonts w:hint="eastAsia"/>
        </w:rPr>
        <w:t xml:space="preserve"> </w:t>
      </w:r>
      <w:r>
        <w:t xml:space="preserve">during all MPC test periods for each home, where a positive median line indicates the MPC agent provide effective load shifting on all test homes. The test result of Home G is not included as the sample size is too small. Although the MPC tests in Home D demonstrate cost savings, its flexibility factor is heavily skewed with a much wider distribution compared with other homes, indicating there is a large proportion of energy consumption occurs during on-peak hours in Home D. This is because Home D’s tests were conducted on cold days. In some test conducted on cold days, a few AC operations in the late afternoon including on-peak hours were effective to maintain acceptable thermal comfort, making </w:t>
      </w:r>
      <m:oMath>
        <m:nary>
          <m:naryPr>
            <m:ctrlPr>
              <w:rPr>
                <w:rFonts w:ascii="Cambria Math" w:hAnsi="Cambria Math"/>
                <w:i/>
              </w:rPr>
            </m:ctrlPr>
          </m:naryPr>
          <m:sub>
            <m:sSub>
              <m:sSubPr>
                <m:ctrlPr>
                  <w:rPr>
                    <w:rFonts w:ascii="Cambria Math" w:hAnsi="Cambria Math"/>
                    <w:i/>
                  </w:rPr>
                </m:ctrlPr>
              </m:sSubPr>
              <m:e>
                <m:r>
                  <w:rPr>
                    <w:rFonts w:ascii="Cambria Math" w:hAnsi="Cambria Math"/>
                  </w:rPr>
                  <m:t>L</m:t>
                </m:r>
              </m:e>
              <m:sub>
                <m:r>
                  <w:rPr>
                    <w:rFonts w:ascii="Cambria Math" w:hAnsi="Cambria Math"/>
                  </w:rPr>
                  <m:t>low</m:t>
                </m:r>
              </m:sub>
            </m:sSub>
          </m:sub>
          <m:sup>
            <m:r>
              <w:rPr>
                <w:rFonts w:ascii="Cambria Math" w:hAnsi="Cambria Math"/>
              </w:rPr>
              <m:t xml:space="preserve"> </m:t>
            </m:r>
          </m:sup>
          <m:e>
            <m:r>
              <w:rPr>
                <w:rFonts w:ascii="Cambria Math" w:hAnsi="Cambria Math"/>
              </w:rPr>
              <m:t>P dt</m:t>
            </m:r>
          </m:e>
        </m:nary>
        <m:r>
          <w:rPr>
            <w:rFonts w:ascii="Cambria Math" w:hAnsi="Cambria Math"/>
          </w:rPr>
          <m:t>&lt;</m:t>
        </m:r>
        <m:nary>
          <m:naryPr>
            <m:ctrlPr>
              <w:rPr>
                <w:rFonts w:ascii="Cambria Math" w:hAnsi="Cambria Math"/>
                <w:i/>
              </w:rPr>
            </m:ctrlPr>
          </m:naryPr>
          <m:sub>
            <m:sSub>
              <m:sSubPr>
                <m:ctrlPr>
                  <w:rPr>
                    <w:rFonts w:ascii="Cambria Math" w:hAnsi="Cambria Math"/>
                    <w:i/>
                  </w:rPr>
                </m:ctrlPr>
              </m:sSubPr>
              <m:e>
                <m:r>
                  <w:rPr>
                    <w:rFonts w:ascii="Cambria Math" w:hAnsi="Cambria Math"/>
                  </w:rPr>
                  <m:t>L</m:t>
                </m:r>
              </m:e>
              <m:sub>
                <m:r>
                  <w:rPr>
                    <w:rFonts w:ascii="Cambria Math" w:hAnsi="Cambria Math"/>
                  </w:rPr>
                  <m:t>high</m:t>
                </m:r>
              </m:sub>
            </m:sSub>
          </m:sub>
          <m:sup>
            <m:r>
              <w:rPr>
                <w:rFonts w:ascii="Cambria Math" w:hAnsi="Cambria Math"/>
              </w:rPr>
              <m:t xml:space="preserve"> </m:t>
            </m:r>
          </m:sup>
          <m:e>
            <m:r>
              <w:rPr>
                <w:rFonts w:ascii="Cambria Math" w:hAnsi="Cambria Math"/>
              </w:rPr>
              <m:t>P dt</m:t>
            </m:r>
          </m:e>
        </m:nary>
      </m:oMath>
      <w:r>
        <w:rPr>
          <w:rFonts w:hint="eastAsia"/>
        </w:rPr>
        <w:t>,</w:t>
      </w:r>
      <w:r>
        <w:t xml:space="preserve"> and thus a negative </w:t>
      </w:r>
      <m:oMath>
        <m:r>
          <w:rPr>
            <w:rFonts w:ascii="Cambria Math" w:hAnsi="Cambria Math"/>
          </w:rPr>
          <m:t>FF</m:t>
        </m:r>
      </m:oMath>
      <w:r>
        <w:t>. It indicates that it is not efficient to implement load shifting operations during cold days when AC demand is low.</w:t>
      </w:r>
    </w:p>
    <w:p w14:paraId="4C8118E4" w14:textId="77777777" w:rsidR="00471941" w:rsidRDefault="00471941" w:rsidP="00623535">
      <w:pPr>
        <w:pStyle w:val="12FigureFormatSelectafigureandclickonthisstyle"/>
      </w:pPr>
      <w:r>
        <w:rPr>
          <w:noProof/>
        </w:rPr>
        <w:drawing>
          <wp:inline distT="0" distB="0" distL="0" distR="0" wp14:anchorId="45B983AD" wp14:editId="78FD63FA">
            <wp:extent cx="4683318" cy="1951383"/>
            <wp:effectExtent l="0" t="0" r="3175" b="0"/>
            <wp:docPr id="18" name="Picture 1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ox and whisker chart&#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4695152" cy="1956314"/>
                    </a:xfrm>
                    <a:prstGeom prst="rect">
                      <a:avLst/>
                    </a:prstGeom>
                    <a:noFill/>
                    <a:ln>
                      <a:noFill/>
                    </a:ln>
                  </pic:spPr>
                </pic:pic>
              </a:graphicData>
            </a:graphic>
          </wp:inline>
        </w:drawing>
      </w:r>
    </w:p>
    <w:p w14:paraId="0FA4ADFC" w14:textId="52736A00" w:rsidR="00471941" w:rsidRDefault="00471941" w:rsidP="00471941">
      <w:pPr>
        <w:pStyle w:val="13FigureCaption"/>
      </w:pPr>
      <w:bookmarkStart w:id="320" w:name="_Ref127358464"/>
      <w:bookmarkStart w:id="321" w:name="_Toc141349931"/>
      <w:r>
        <w:t xml:space="preserve">Figure </w:t>
      </w:r>
      <w:fldSimple w:instr=" STYLEREF 1 \s ">
        <w:r w:rsidR="000E1725">
          <w:rPr>
            <w:noProof/>
          </w:rPr>
          <w:t>4</w:t>
        </w:r>
      </w:fldSimple>
      <w:r w:rsidR="005445E0">
        <w:t>.</w:t>
      </w:r>
      <w:fldSimple w:instr=" SEQ Figure \* ARABIC \s 1 ">
        <w:r w:rsidR="000E1725">
          <w:rPr>
            <w:noProof/>
          </w:rPr>
          <w:t>10</w:t>
        </w:r>
      </w:fldSimple>
      <w:bookmarkEnd w:id="320"/>
      <w:r>
        <w:t xml:space="preserve"> F</w:t>
      </w:r>
      <w:r>
        <w:rPr>
          <w:rFonts w:hint="eastAsia"/>
        </w:rPr>
        <w:t>lexi</w:t>
      </w:r>
      <w:r>
        <w:t>bility factors during the entire test period except for extreme days</w:t>
      </w:r>
      <w:bookmarkEnd w:id="321"/>
    </w:p>
    <w:p w14:paraId="3BB35724" w14:textId="3923D1CA" w:rsidR="00471941" w:rsidRPr="00560A3F" w:rsidRDefault="00471941" w:rsidP="00471941">
      <w:r>
        <w:t xml:space="preserve">Therefore, to demonstrate the distribution of </w:t>
      </w:r>
      <m:oMath>
        <m:r>
          <w:rPr>
            <w:rFonts w:ascii="Cambria Math" w:hAnsi="Cambria Math"/>
          </w:rPr>
          <m:t>FF</m:t>
        </m:r>
      </m:oMath>
      <w:r>
        <w:rPr>
          <w:rFonts w:eastAsia="PMingLiU"/>
        </w:rPr>
        <w:t xml:space="preserve"> of Norman test homes versus their floor size, </w:t>
      </w:r>
      <w:r>
        <w:t xml:space="preserve">the results for cold days and extreme days (including Home D results) are </w:t>
      </w:r>
      <w:r>
        <w:rPr>
          <w:rFonts w:hint="eastAsia"/>
        </w:rPr>
        <w:t>ex</w:t>
      </w:r>
      <w:r>
        <w:t xml:space="preserve">cluded in </w:t>
      </w:r>
      <w:r>
        <w:lastRenderedPageBreak/>
        <w:t xml:space="preserve">Subplot (a) in </w:t>
      </w:r>
      <w:r>
        <w:fldChar w:fldCharType="begin"/>
      </w:r>
      <w:r>
        <w:instrText xml:space="preserve"> REF _Ref127360055 \h  \* MERGEFORMAT </w:instrText>
      </w:r>
      <w:r>
        <w:fldChar w:fldCharType="separate"/>
      </w:r>
      <w:r w:rsidR="000E1725" w:rsidRPr="007A531C">
        <w:t xml:space="preserve">Figure </w:t>
      </w:r>
      <w:r w:rsidR="000E1725">
        <w:rPr>
          <w:noProof/>
        </w:rPr>
        <w:t>4.11</w:t>
      </w:r>
      <w:r>
        <w:fldChar w:fldCharType="end"/>
      </w:r>
      <w:r>
        <w:t xml:space="preserve">. Notice that the floor area of the two-story homes is divided into two parts: the main floor and the upper floor. It can be seen in Subplot (a), as the floor size of the house increases, its flexibility factor tends to increase, and the variation of the flexibility reduces. A reasonable postulate is that smaller homes have smaller thermal mass, which makes the home more susceptible to external disturbances such as the outside environment, causing a rapid increase in indoor air temperature when the system enters on-peak hours. This trend holds true for other houses except for Home A (floor size 2400 </w:t>
      </w:r>
      <m:oMath>
        <m:r>
          <w:rPr>
            <w:rFonts w:ascii="Cambria Math" w:hAnsi="Cambria Math"/>
          </w:rPr>
          <m:t>f</m:t>
        </m:r>
        <m:sSup>
          <m:sSupPr>
            <m:ctrlPr>
              <w:rPr>
                <w:rFonts w:ascii="Cambria Math" w:hAnsi="Cambria Math"/>
                <w:i/>
              </w:rPr>
            </m:ctrlPr>
          </m:sSupPr>
          <m:e>
            <m:r>
              <w:rPr>
                <w:rFonts w:ascii="Cambria Math" w:hAnsi="Cambria Math"/>
              </w:rPr>
              <m:t>t</m:t>
            </m:r>
          </m:e>
          <m:sup>
            <m:r>
              <w:rPr>
                <w:rFonts w:ascii="Cambria Math" w:hAnsi="Cambria Math"/>
              </w:rPr>
              <m:t>2</m:t>
            </m:r>
          </m:sup>
        </m:sSup>
      </m:oMath>
      <w:r>
        <w:t>), whose AC was confirmed with less capability to cool the space due to an undercharge fault, making the load shifting efficiency remains low. The AC’s capacity impact on the flexibility factor is further verified in an additional experiment depicted in Subplot (c</w:t>
      </w:r>
      <w:r>
        <w:rPr>
          <w:rFonts w:hint="eastAsia"/>
        </w:rPr>
        <w:t>).</w:t>
      </w:r>
      <w:r>
        <w:t xml:space="preserve"> If Home A is excluded and a threshold 2000 </w:t>
      </w:r>
      <m:oMath>
        <m:r>
          <w:rPr>
            <w:rFonts w:ascii="Cambria Math" w:hAnsi="Cambria Math"/>
          </w:rPr>
          <m:t>f</m:t>
        </m:r>
        <m:sSup>
          <m:sSupPr>
            <m:ctrlPr>
              <w:rPr>
                <w:rFonts w:ascii="Cambria Math" w:hAnsi="Cambria Math"/>
                <w:i/>
              </w:rPr>
            </m:ctrlPr>
          </m:sSupPr>
          <m:e>
            <m:r>
              <w:rPr>
                <w:rFonts w:ascii="Cambria Math" w:hAnsi="Cambria Math"/>
              </w:rPr>
              <m:t>t</m:t>
            </m:r>
          </m:e>
          <m:sup>
            <m:r>
              <w:rPr>
                <w:rFonts w:ascii="Cambria Math" w:hAnsi="Cambria Math"/>
              </w:rPr>
              <m:t>2</m:t>
            </m:r>
          </m:sup>
        </m:sSup>
      </m:oMath>
      <w:r>
        <w:rPr>
          <w:rFonts w:hint="eastAsia"/>
        </w:rPr>
        <w:t xml:space="preserve"> </w:t>
      </w:r>
      <w:r>
        <w:t>is used, the average flexibility factor of larger houses is greater than that of smaller houses by 11.903%.</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7"/>
        <w:gridCol w:w="4149"/>
      </w:tblGrid>
      <w:tr w:rsidR="00471941" w14:paraId="564E1B32" w14:textId="77777777" w:rsidTr="00CB28EB">
        <w:trPr>
          <w:jc w:val="center"/>
        </w:trPr>
        <w:tc>
          <w:tcPr>
            <w:tcW w:w="9331" w:type="dxa"/>
            <w:gridSpan w:val="2"/>
            <w:vAlign w:val="center"/>
          </w:tcPr>
          <w:p w14:paraId="6A22DB90" w14:textId="77777777" w:rsidR="00471941" w:rsidRDefault="00471941" w:rsidP="00623535">
            <w:pPr>
              <w:pStyle w:val="12FigureFormatSelectafigureandclickonthisstyle"/>
            </w:pPr>
            <w:r>
              <w:rPr>
                <w:rFonts w:hint="eastAsia"/>
                <w:noProof/>
              </w:rPr>
              <w:lastRenderedPageBreak/>
              <w:drawing>
                <wp:inline distT="0" distB="0" distL="0" distR="0" wp14:anchorId="2BF16FBF" wp14:editId="6858CB06">
                  <wp:extent cx="5384171" cy="2512612"/>
                  <wp:effectExtent l="0" t="0" r="6985" b="2540"/>
                  <wp:docPr id="26" name="Picture 2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box and whisker chart&#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5388629" cy="2514692"/>
                          </a:xfrm>
                          <a:prstGeom prst="rect">
                            <a:avLst/>
                          </a:prstGeom>
                          <a:noFill/>
                          <a:ln>
                            <a:noFill/>
                          </a:ln>
                        </pic:spPr>
                      </pic:pic>
                    </a:graphicData>
                  </a:graphic>
                </wp:inline>
              </w:drawing>
            </w:r>
          </w:p>
        </w:tc>
      </w:tr>
      <w:tr w:rsidR="00471941" w14:paraId="192846AD" w14:textId="77777777" w:rsidTr="00CB28EB">
        <w:trPr>
          <w:jc w:val="center"/>
        </w:trPr>
        <w:tc>
          <w:tcPr>
            <w:tcW w:w="5016" w:type="dxa"/>
            <w:vAlign w:val="center"/>
          </w:tcPr>
          <w:p w14:paraId="0D763EFC" w14:textId="77777777" w:rsidR="00471941" w:rsidRPr="004945E2" w:rsidRDefault="00471941" w:rsidP="00623535">
            <w:pPr>
              <w:pStyle w:val="12FigureFormatSelectafigureandclickonthisstyle"/>
            </w:pPr>
            <w:r>
              <w:rPr>
                <w:rFonts w:hint="eastAsia"/>
                <w:noProof/>
              </w:rPr>
              <w:drawing>
                <wp:inline distT="0" distB="0" distL="0" distR="0" wp14:anchorId="3171A0D0" wp14:editId="6F331A29">
                  <wp:extent cx="2812698" cy="1575111"/>
                  <wp:effectExtent l="0" t="0" r="6985" b="6350"/>
                  <wp:docPr id="2134978799" name="Picture 2134978799"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ox and whisker chart&#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812698" cy="1575111"/>
                          </a:xfrm>
                          <a:prstGeom prst="rect">
                            <a:avLst/>
                          </a:prstGeom>
                        </pic:spPr>
                      </pic:pic>
                    </a:graphicData>
                  </a:graphic>
                </wp:inline>
              </w:drawing>
            </w:r>
          </w:p>
        </w:tc>
        <w:tc>
          <w:tcPr>
            <w:tcW w:w="4315" w:type="dxa"/>
            <w:vAlign w:val="center"/>
          </w:tcPr>
          <w:p w14:paraId="0C5AF9A8" w14:textId="77777777" w:rsidR="00471941" w:rsidRDefault="00471941" w:rsidP="00623535">
            <w:pPr>
              <w:pStyle w:val="12FigureFormatSelectafigureandclickonthisstyle"/>
            </w:pPr>
            <w:r>
              <w:rPr>
                <w:rFonts w:hint="eastAsia"/>
                <w:noProof/>
              </w:rPr>
              <w:drawing>
                <wp:inline distT="0" distB="0" distL="0" distR="0" wp14:anchorId="167F857E" wp14:editId="3530EA25">
                  <wp:extent cx="2361540" cy="1574359"/>
                  <wp:effectExtent l="0" t="0" r="1270" b="6985"/>
                  <wp:docPr id="34" name="Picture 3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box and whisker chart&#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2366912" cy="1577941"/>
                          </a:xfrm>
                          <a:prstGeom prst="rect">
                            <a:avLst/>
                          </a:prstGeom>
                          <a:noFill/>
                          <a:ln>
                            <a:noFill/>
                          </a:ln>
                        </pic:spPr>
                      </pic:pic>
                    </a:graphicData>
                  </a:graphic>
                </wp:inline>
              </w:drawing>
            </w:r>
          </w:p>
        </w:tc>
      </w:tr>
    </w:tbl>
    <w:p w14:paraId="392C0781" w14:textId="516DD73D" w:rsidR="00471941" w:rsidRDefault="00471941" w:rsidP="00471941">
      <w:pPr>
        <w:pStyle w:val="13FigureCaption"/>
      </w:pPr>
      <w:bookmarkStart w:id="322" w:name="_Ref127360055"/>
      <w:bookmarkStart w:id="323" w:name="_Toc141349932"/>
      <w:r w:rsidRPr="007A531C">
        <w:t xml:space="preserve">Figure </w:t>
      </w:r>
      <w:fldSimple w:instr=" STYLEREF 1 \s ">
        <w:r w:rsidR="000E1725">
          <w:rPr>
            <w:noProof/>
          </w:rPr>
          <w:t>4</w:t>
        </w:r>
      </w:fldSimple>
      <w:r w:rsidR="005445E0">
        <w:t>.</w:t>
      </w:r>
      <w:fldSimple w:instr=" SEQ Figure \* ARABIC \s 1 ">
        <w:r w:rsidR="000E1725">
          <w:rPr>
            <w:noProof/>
          </w:rPr>
          <w:t>11</w:t>
        </w:r>
      </w:fldSimple>
      <w:bookmarkEnd w:id="322"/>
      <w:r w:rsidRPr="007A531C">
        <w:t xml:space="preserve"> MPC </w:t>
      </w:r>
      <w:r>
        <w:t>agent</w:t>
      </w:r>
      <w:r w:rsidRPr="007A531C">
        <w:t xml:space="preserve"> performance</w:t>
      </w:r>
      <w:r>
        <w:t xml:space="preserve"> assessment</w:t>
      </w:r>
      <w:r w:rsidRPr="007A531C">
        <w:t xml:space="preserve">: (a) </w:t>
      </w:r>
      <w:r>
        <w:t xml:space="preserve">FF </w:t>
      </w:r>
      <w:r w:rsidRPr="007A531C">
        <w:t>versus floor area</w:t>
      </w:r>
      <w:r>
        <w:t xml:space="preserve"> in Norman test homes</w:t>
      </w:r>
      <w:r w:rsidRPr="007A531C">
        <w:t xml:space="preserve"> (b) distribution of </w:t>
      </w:r>
      <w:r>
        <w:t>FF</w:t>
      </w:r>
      <w:r w:rsidRPr="007A531C">
        <w:t xml:space="preserve"> </w:t>
      </w:r>
      <w:r>
        <w:t xml:space="preserve">for </w:t>
      </w:r>
      <w:r w:rsidRPr="007A531C">
        <w:t xml:space="preserve">different temperature </w:t>
      </w:r>
      <w:r>
        <w:t>bands</w:t>
      </w:r>
      <w:r w:rsidRPr="007A531C">
        <w:t xml:space="preserve"> in</w:t>
      </w:r>
      <w:r>
        <w:t xml:space="preserve"> the</w:t>
      </w:r>
      <w:r w:rsidRPr="007A531C">
        <w:t xml:space="preserve"> </w:t>
      </w:r>
      <w:r>
        <w:t>L</w:t>
      </w:r>
      <w:r w:rsidRPr="007A531C">
        <w:t>ab</w:t>
      </w:r>
      <w:r>
        <w:t xml:space="preserve"> H</w:t>
      </w:r>
      <w:r w:rsidRPr="007A531C">
        <w:t xml:space="preserve">ouse (c) average </w:t>
      </w:r>
      <w:r>
        <w:t>FF</w:t>
      </w:r>
      <w:r w:rsidRPr="007A531C">
        <w:t xml:space="preserve"> </w:t>
      </w:r>
      <w:r>
        <w:t>for different refrigerant charging conditions</w:t>
      </w:r>
      <w:r w:rsidRPr="007A531C">
        <w:t xml:space="preserve"> in</w:t>
      </w:r>
      <w:r>
        <w:t xml:space="preserve"> the</w:t>
      </w:r>
      <w:r w:rsidRPr="007A531C">
        <w:t xml:space="preserve"> </w:t>
      </w:r>
      <w:r>
        <w:t>L</w:t>
      </w:r>
      <w:r w:rsidRPr="007A531C">
        <w:t>ab</w:t>
      </w:r>
      <w:r>
        <w:t xml:space="preserve"> H</w:t>
      </w:r>
      <w:r w:rsidRPr="007A531C">
        <w:t>ouse</w:t>
      </w:r>
      <w:bookmarkEnd w:id="323"/>
      <w:r w:rsidRPr="007A531C">
        <w:t xml:space="preserve"> </w:t>
      </w:r>
    </w:p>
    <w:p w14:paraId="6928C397" w14:textId="77777777" w:rsidR="00471941" w:rsidRDefault="00471941" w:rsidP="00471941">
      <w:r>
        <w:t xml:space="preserve">Subplot (b) is the distribution of flexibility factors of the MPC agent for different thermal comfort temperature bands used in the Lab House. For a fair comparison, all test results in Subplot (b) are obtained using the data in mild summer day cluster. Three different thermal comfort temperature bands are tested. The tests with the temperature band [76℉, 82℉] provide the most flexibility. On the other hand, tests with the narrow temperature band [78℉, 80℉] show the least flexibility, since both precooling periods on off-peak hours and the free-floating </w:t>
      </w:r>
      <w:r>
        <w:lastRenderedPageBreak/>
        <w:t>period (i.e., no or less AC operation period) during on-peak hours are all limited by the smaller band. Finally</w:t>
      </w:r>
      <w:r>
        <w:rPr>
          <w:rFonts w:hint="eastAsia"/>
        </w:rPr>
        <w:t>,</w:t>
      </w:r>
      <w:r>
        <w:t xml:space="preserve"> the temperature band [70℉, 76℉] is associated with moderate flexibility due to its lower upper bound leading to more energy consumption during on-peak hours. </w:t>
      </w:r>
    </w:p>
    <w:p w14:paraId="5BE46EFD" w14:textId="77777777" w:rsidR="00471941" w:rsidRDefault="00471941" w:rsidP="00471941">
      <w:r>
        <w:t xml:space="preserve">Although the tonnage of the AC might be suitable for each tested home, </w:t>
      </w:r>
      <w:r w:rsidRPr="005301E4">
        <w:t>the fault and the refrigerant leakage may affect the output of the AC</w:t>
      </w:r>
      <w:r>
        <w:t xml:space="preserve"> and hence affect the MPC agent results. To verify the flexibility of homes in this situation, an undercharge was purposely generated by withdrawing 30% refrigerant from the Lab House unit to create the MPC test under both full charge and undercharge conditions. Subplot (c) includes the average FF of the MPC agent in the Lab House under different charging conditions within the same temperature band [70℉, 76 ℉]. When the AC is in full charge, the average flexibility factor improves 23.164%, and the average total cost reduction is about 42.409%, which indicates the AC’s ability to cool the space enhances the MPC agent's effectiveness on both load shifting and cost saving.</w:t>
      </w:r>
    </w:p>
    <w:p w14:paraId="6582D8C4" w14:textId="77777777" w:rsidR="00471941" w:rsidRDefault="00471941" w:rsidP="00471941">
      <w:pPr>
        <w:pStyle w:val="Heading2"/>
      </w:pPr>
      <w:bookmarkStart w:id="324" w:name="_Toc141991718"/>
      <w:r>
        <w:t>MPC-based Precooling at Virtual Testbed</w:t>
      </w:r>
      <w:bookmarkEnd w:id="324"/>
    </w:p>
    <w:p w14:paraId="67C2D6E1" w14:textId="77777777" w:rsidR="00471941" w:rsidRDefault="00471941" w:rsidP="00471941">
      <w:r>
        <w:t xml:space="preserve">Previous studies have successfully conducted the MPC-based precooling field test in nine real homes. Although in the field test study, it is easier to observe the impact factors that reflect the actual situation and are difficult to consider in the simulation study, field test study has a natural disadvantage: it is not possible to conduct multiple experiments for comparisons under the same condition. This limitation leads to the challenge of determining the impact of MPC hyperparameters. Moreover, due to the complexity of MPC-based precooling, it is natural to raise the question of whether one or more hyperparameters have a relatively larger impact so </w:t>
      </w:r>
      <w:r>
        <w:lastRenderedPageBreak/>
        <w:t xml:space="preserve">development effort can be better allocated based on their impact size. </w:t>
      </w:r>
    </w:p>
    <w:p w14:paraId="38BA635C" w14:textId="07952FA6" w:rsidR="00471941" w:rsidRDefault="00471941" w:rsidP="00471941">
      <w:r>
        <w:t>To answer this question, a virtual testbed is constructed to simulate a real Lab House reaction to the MPC-based precooling control. In addition, to see how MPC-based precooling will affect cost saving and demand flexibility in a virtual testbed, it is also important to know how the HVAC system will be performed under different MPC hyperparameters. The rest of the section is structured as follows. The development, calibration, and validation of the EnergyPlus co-simulation model to reflect the real-</w:t>
      </w:r>
      <w:r w:rsidRPr="00D83C4C">
        <w:t>world smart thermostat response and on/off actuation of residential HVAC system is first introduced in Section</w:t>
      </w:r>
      <w:r w:rsidR="00D83C4C">
        <w:t xml:space="preserve"> </w:t>
      </w:r>
      <w:r w:rsidR="00D83C4C">
        <w:fldChar w:fldCharType="begin"/>
      </w:r>
      <w:r w:rsidR="00D83C4C">
        <w:instrText xml:space="preserve"> REF _Ref139416779 \n \h </w:instrText>
      </w:r>
      <w:r w:rsidR="00D83C4C">
        <w:fldChar w:fldCharType="separate"/>
      </w:r>
      <w:r w:rsidR="000E1725">
        <w:t>4.4.1.2</w:t>
      </w:r>
      <w:r w:rsidR="00D83C4C">
        <w:fldChar w:fldCharType="end"/>
      </w:r>
      <w:r w:rsidRPr="00D83C4C">
        <w:t>.</w:t>
      </w:r>
      <w:r>
        <w:t xml:space="preserve"> The choice of MPC hyperparameters is presented in </w:t>
      </w:r>
      <w:r w:rsidR="00D83C4C">
        <w:t xml:space="preserve">Section </w:t>
      </w:r>
      <w:r w:rsidR="00D83C4C">
        <w:fldChar w:fldCharType="begin"/>
      </w:r>
      <w:r w:rsidR="00D83C4C">
        <w:instrText xml:space="preserve"> REF _Ref139416783 \n \h </w:instrText>
      </w:r>
      <w:r w:rsidR="00D83C4C">
        <w:fldChar w:fldCharType="separate"/>
      </w:r>
      <w:r w:rsidR="000E1725">
        <w:t>4.4.2.2</w:t>
      </w:r>
      <w:r w:rsidR="00D83C4C">
        <w:fldChar w:fldCharType="end"/>
      </w:r>
      <w:r w:rsidR="00D83C4C">
        <w:t xml:space="preserve"> </w:t>
      </w:r>
      <w:r>
        <w:t xml:space="preserve">Finally, the MPC-based precooling results through the proposed virtual testbed are shown in Section. </w:t>
      </w:r>
    </w:p>
    <w:p w14:paraId="6182904B" w14:textId="77777777" w:rsidR="00471941" w:rsidRDefault="00471941" w:rsidP="00471941">
      <w:pPr>
        <w:pStyle w:val="Heading3"/>
      </w:pPr>
      <w:bookmarkStart w:id="325" w:name="_Ref134097273"/>
      <w:bookmarkStart w:id="326" w:name="_Toc141991719"/>
      <w:r>
        <w:t>Virtual Testbed Development</w:t>
      </w:r>
      <w:bookmarkEnd w:id="325"/>
      <w:bookmarkEnd w:id="326"/>
      <w:r>
        <w:t xml:space="preserve">  </w:t>
      </w:r>
    </w:p>
    <w:p w14:paraId="68E67F36" w14:textId="6A973958" w:rsidR="00471941" w:rsidRDefault="00471941" w:rsidP="00471941">
      <w:r>
        <w:rPr>
          <w:rFonts w:hint="eastAsia"/>
        </w:rPr>
        <w:t>In</w:t>
      </w:r>
      <w:r>
        <w:t xml:space="preserve"> </w:t>
      </w:r>
      <w:r>
        <w:rPr>
          <w:rFonts w:hint="eastAsia"/>
        </w:rPr>
        <w:t>this</w:t>
      </w:r>
      <w:r>
        <w:t xml:space="preserve"> study, the virtual testbed of the Lab House in Norman, Oklahoma, is </w:t>
      </w:r>
      <w:r>
        <w:rPr>
          <w:rFonts w:hint="eastAsia"/>
        </w:rPr>
        <w:t>developed</w:t>
      </w:r>
      <w:r>
        <w:t xml:space="preserve"> using the previous EnergyPlus model study </w:t>
      </w:r>
      <w:r>
        <w:fldChar w:fldCharType="begin"/>
      </w:r>
      <w:r w:rsidR="0082416B">
        <w:instrText xml:space="preserve"> ADDIN ZOTERO_ITEM CSL_CITATION {"citationID":"KZ8op7zF","properties":{"formattedCitation":"[131]","plainCitation":"[131]","noteIndex":0},"citationItems":[{"id":1908,"uris":["http://zotero.org/users/5659608/items/3AX2VLNK"],"itemData":{"id":1908,"type":"article-journal","abstract":"Residential buildings account for a large portion of the consumption of the global energy and total energy by end use. To mitigate the rising trend of energy consumption, residential buildings show a huge potential by improving their energy efficiencies, thus achieving energy saving. Moreover, the envelopes of the residential building, as one of key factors in the energy consumption of a building, are closely related to building energy saving, as it closely determines how much heat is transferred between indoor space of the building and its outdoor environment. Even though the challenges in how to judge the performance of the residential envelopes, especially evaluation of the overall building envelope via model-based data-driven and measurement-based methods, have been addressed by current studies and still have their limitations in comparison with ground truth, a method to benchmark the envelope performance evaluation is still lacking and urgently needed. Therefore, a benchmarking method using both building energy and thermal network models is proposed in this study.  \nSpecifically, this study first proposes a calibration method that utilizes both EnergyPlus and simplified 2R2C models. The EnergyPlus models are used to generate simulated data that are utilized in the simplified 2R2C model training. Moreover, this study also creates an excel dashboard, along with the the EnergyPlus and simplified 2R2C models, for the calibration process. Then three representative years of American Society of Heating, Refrigerating and Air-Conditioning Engineers (ASHRAE) standards are selected to the minimum thermal property requirement of residential building envelope and utilized in the calibrated EnergyPlus models. In the next step, a benchmarking method is proposed to determine the minimum required Tau value (time constant of building envelope) for a specific year of a residential building envelope. That is, different years of houses need to meet the minimum thermal property requirement of residential building envelope defined by ASHRAE standards. Lastly, the performance evaluation benchmarking process can be done with the determination of thermal properties identified by the simplified 2R2C model trained using simulated data from the calibrated EnergyPlus model.   \nOverall, this research successfully proposes an efficient calibration method to calibrate EnergyPlus modes used for residential buildings, introduces quantitative study and performance analysis of a calibration method that utilizes building thermal network models, and develops a benchmark method and shows investigation and analysis for building envelope performance evaluation. Therefore, this research contributes the knowledge of benchmarking the envelope performance evaluation using both EnergyPlus and data-driven thermal model for residential buildings.","language":"en_US","note":"Accepted: 2022-12-12T21:15:41Z","source":"shareok.org","title":"Development of Envelope Evaluation Benchmarks Using EnergyPlus and Data-Driven Thermal Model","URL":"https://shareok.org/handle/11244/336927","author":[{"family":"Xie","given":"Luyao"}],"accessed":{"date-parts":[["2023",5,4]]},"issued":{"date-parts":[["2022",12]]},"citation-key":"xieDevelopmentEnvelopeEvaluation2022"}}],"schema":"https://github.com/citation-style-language/schema/raw/master/csl-citation.json"} </w:instrText>
      </w:r>
      <w:r>
        <w:fldChar w:fldCharType="separate"/>
      </w:r>
      <w:r w:rsidR="0082416B" w:rsidRPr="0082416B">
        <w:t>[131]</w:t>
      </w:r>
      <w:r>
        <w:fldChar w:fldCharType="end"/>
      </w:r>
      <w:r>
        <w:t xml:space="preserve">. Although the building characteristics of this model is investigated and calibrated in </w:t>
      </w:r>
      <w:r>
        <w:fldChar w:fldCharType="begin"/>
      </w:r>
      <w:r w:rsidR="0082416B">
        <w:instrText xml:space="preserve"> ADDIN ZOTERO_ITEM CSL_CITATION {"citationID":"QVDqppwQ","properties":{"formattedCitation":"[131]","plainCitation":"[131]","noteIndex":0},"citationItems":[{"id":1908,"uris":["http://zotero.org/users/5659608/items/3AX2VLNK"],"itemData":{"id":1908,"type":"article-journal","abstract":"Residential buildings account for a large portion of the consumption of the global energy and total energy by end use. To mitigate the rising trend of energy consumption, residential buildings show a huge potential by improving their energy efficiencies, thus achieving energy saving. Moreover, the envelopes of the residential building, as one of key factors in the energy consumption of a building, are closely related to building energy saving, as it closely determines how much heat is transferred between indoor space of the building and its outdoor environment. Even though the challenges in how to judge the performance of the residential envelopes, especially evaluation of the overall building envelope via model-based data-driven and measurement-based methods, have been addressed by current studies and still have their limitations in comparison with ground truth, a method to benchmark the envelope performance evaluation is still lacking and urgently needed. Therefore, a benchmarking method using both building energy and thermal network models is proposed in this study.  \nSpecifically, this study first proposes a calibration method that utilizes both EnergyPlus and simplified 2R2C models. The EnergyPlus models are used to generate simulated data that are utilized in the simplified 2R2C model training. Moreover, this study also creates an excel dashboard, along with the the EnergyPlus and simplified 2R2C models, for the calibration process. Then three representative years of American Society of Heating, Refrigerating and Air-Conditioning Engineers (ASHRAE) standards are selected to the minimum thermal property requirement of residential building envelope and utilized in the calibrated EnergyPlus models. In the next step, a benchmarking method is proposed to determine the minimum required Tau value (time constant of building envelope) for a specific year of a residential building envelope. That is, different years of houses need to meet the minimum thermal property requirement of residential building envelope defined by ASHRAE standards. Lastly, the performance evaluation benchmarking process can be done with the determination of thermal properties identified by the simplified 2R2C model trained using simulated data from the calibrated EnergyPlus model.   \nOverall, this research successfully proposes an efficient calibration method to calibrate EnergyPlus modes used for residential buildings, introduces quantitative study and performance analysis of a calibration method that utilizes building thermal network models, and develops a benchmark method and shows investigation and analysis for building envelope performance evaluation. Therefore, this research contributes the knowledge of benchmarking the envelope performance evaluation using both EnergyPlus and data-driven thermal model for residential buildings.","language":"en_US","note":"Accepted: 2022-12-12T21:15:41Z","source":"shareok.org","title":"Development of Envelope Evaluation Benchmarks Using EnergyPlus and Data-Driven Thermal Model","URL":"https://shareok.org/handle/11244/336927","author":[{"family":"Xie","given":"Luyao"}],"accessed":{"date-parts":[["2023",5,4]]},"issued":{"date-parts":[["2022",12]]},"citation-key":"xieDevelopmentEnvelopeEvaluation2022"}}],"schema":"https://github.com/citation-style-language/schema/raw/master/csl-citation.json"} </w:instrText>
      </w:r>
      <w:r>
        <w:fldChar w:fldCharType="separate"/>
      </w:r>
      <w:r w:rsidR="0082416B" w:rsidRPr="0082416B">
        <w:t>[131]</w:t>
      </w:r>
      <w:r>
        <w:fldChar w:fldCharType="end"/>
      </w:r>
      <w:r>
        <w:t xml:space="preserve">, modifications are needed since the model does not include an HVAC system. More importantly, refinement effort is also needed to correct the way that EnergyPlus models the cycling of direct expansion (DX) coils and the internal thermal mass which affects the indoor air fluctuation. </w:t>
      </w:r>
    </w:p>
    <w:p w14:paraId="6DAB1F05" w14:textId="77777777" w:rsidR="00471941" w:rsidRDefault="00471941" w:rsidP="00471941">
      <w:pPr>
        <w:pStyle w:val="Heading4"/>
      </w:pPr>
      <w:bookmarkStart w:id="327" w:name="_Toc141991720"/>
      <w:r>
        <w:t>Residential building modelling</w:t>
      </w:r>
      <w:bookmarkEnd w:id="327"/>
    </w:p>
    <w:p w14:paraId="58D1EBF1" w14:textId="51690A91" w:rsidR="00471941" w:rsidRPr="00816751" w:rsidRDefault="00471941" w:rsidP="00471941">
      <w:r>
        <w:t>The Lab House information can be found in</w:t>
      </w:r>
      <w:r w:rsidR="00D83C4C">
        <w:t xml:space="preserve"> Chapter </w:t>
      </w:r>
      <w:r w:rsidR="00D83C4C">
        <w:fldChar w:fldCharType="begin"/>
      </w:r>
      <w:r w:rsidR="00D83C4C">
        <w:instrText xml:space="preserve"> REF _Ref139416841 \n \h </w:instrText>
      </w:r>
      <w:r w:rsidR="00D83C4C">
        <w:fldChar w:fldCharType="separate"/>
      </w:r>
      <w:r w:rsidR="000E1725">
        <w:t>3</w:t>
      </w:r>
      <w:r w:rsidR="00D83C4C">
        <w:fldChar w:fldCharType="end"/>
      </w:r>
      <w:r>
        <w:t xml:space="preserve">, where a SEER 14 heat pump is </w:t>
      </w:r>
      <w:r>
        <w:lastRenderedPageBreak/>
        <w:t>installed. A residential DX system with a cooling coil has 9,000W gross rated cooling capacity, and 2.67 COP is modelled in EnergyPlus. The COP used in this Energy</w:t>
      </w:r>
      <w:r>
        <w:rPr>
          <w:rFonts w:hint="eastAsia"/>
        </w:rPr>
        <w:t>P</w:t>
      </w:r>
      <w:r>
        <w:t xml:space="preserve">lus model, which is smaller than manufacturing rated COP, is chosen to take into account the system losses </w:t>
      </w:r>
      <w:r>
        <w:fldChar w:fldCharType="begin"/>
      </w:r>
      <w:r w:rsidR="0082416B">
        <w:instrText xml:space="preserve"> ADDIN ZOTERO_ITEM CSL_CITATION {"citationID":"BZaQ4evd","properties":{"formattedCitation":"[132]","plainCitation":"[132]","noteIndex":0},"citationItems":[{"id":1912,"uris":["http://zotero.org/users/5659608/items/D26WIDEA"],"itemData":{"id":1912,"type":"article-journal","abstract":"Heating, ventilation, and air-conditioning (HVAC) systems are sized using design conditions, conditions that occur only a small percentage of time each year. As a result, HVAC systems frequently operate at part-load conditions since their capacity is larger than necessary except in the most extreme weather conditions. Most HVAC systems for residential and small commercial buildings in the U.S. use on/off controls, however, most energy modeling software tools do not simulate the on/off nature of this type of HVAC controls. This paper presents the development and validation of an on/off controller for residential applications in EnergyPlus using a custom EMS (energy management system). This controller is validated using minute-level field data collected for a house located in Sacramento, California with simulated occupancy and internal loads. The results obtained from EnergyPlus with and without the use of the developed on/off controller are also compared. The application of the developed on/off controller improves the HVAC energy use results accuracy around 19% in terms of the Normalized Mean Bias Error (NMBE) at the one-minute level compared to the results without the application of the on/off controller. It also makes the nature of operation and associated energy use signal of the HVAC system more realistic in terms of the on/off nature of the residential direct expansion coils. Furthermore, in this paper, the accuracy improvement of the results dominated by the internal loads is investigated by applying the one-minute schedule compared to the usual hourly schedules for the internal thermal loads.","container-title":"Energy and Buildings","DOI":"10.1016/j.enbuild.2018.11.005","ISSN":"0378-7788","journalAbbreviation":"Energy and Buildings","language":"en","page":"467-483","source":"ScienceDirect","title":"Development and validation of an HVAC on/off controller in EnergyPlus for energy simulation of residential and small commercial buildings","volume":"183","author":[{"family":"Cetin","given":"Kristen S"},{"family":"Fathollahzadeh","given":"Mohammad Hassan"},{"family":"Kunwar","given":"Niraj"},{"family":"Do","given":"Huyen"},{"family":"Tabares-Velasco","given":"Paulo Cesar"}],"issued":{"date-parts":[["2019",1,15]]},"citation-key":"cetinDevelopmentValidationHVAC2019"}}],"schema":"https://github.com/citation-style-language/schema/raw/master/csl-citation.json"} </w:instrText>
      </w:r>
      <w:r>
        <w:fldChar w:fldCharType="separate"/>
      </w:r>
      <w:r w:rsidR="0082416B" w:rsidRPr="0082416B">
        <w:t>[132]</w:t>
      </w:r>
      <w:r>
        <w:fldChar w:fldCharType="end"/>
      </w:r>
      <w:r>
        <w:t xml:space="preserve"> and 30% refrigerant removal </w:t>
      </w:r>
      <w:r>
        <w:fldChar w:fldCharType="begin"/>
      </w:r>
      <w:r w:rsidR="0082416B">
        <w:instrText xml:space="preserve"> ADDIN ZOTERO_ITEM CSL_CITATION {"citationID":"2y6SK9AT","properties":{"formattedCitation":"[133]","plainCitation":"[133]","noteIndex":0},"citationItems":[{"id":1917,"uris":["http://zotero.org/users/5659608/items/DYRXNXZK"],"itemData":{"id":1917,"type":"article-journal","abstract":"Numerous studies and surveys indicated that typically-installed HVAC equipment operates inefficiently and wastes considerable energy due to different installati","container-title":"NIST","language":"en","note":"Last Modified: 2018-11-10T10:11-05:00\npublisher: Piotr A. Domanski, Hugh Henderson, William V. Payne","source":"www.nist.gov","title":"Sensitivity Analysis of Installation Faults on Heat Pump Performance","URL":"https://www.nist.gov/publications/sensitivity-analysis-installation-faults-heat-pump-performance","author":[{"family":"Domanski","given":"Piotr A."},{"family":"Henderson","given":"Hugh"},{"family":"Payne","given":"William V."}],"accessed":{"date-parts":[["2023",5,4]]},"issued":{"date-parts":[["2014",10,8]]},"citation-key":"domanskiSensitivityAnalysisInstallation2014"}}],"schema":"https://github.com/citation-style-language/schema/raw/master/csl-citation.json"} </w:instrText>
      </w:r>
      <w:r>
        <w:fldChar w:fldCharType="separate"/>
      </w:r>
      <w:r w:rsidR="0082416B" w:rsidRPr="0082416B">
        <w:t>[133]</w:t>
      </w:r>
      <w:r>
        <w:fldChar w:fldCharType="end"/>
      </w:r>
      <w:r>
        <w:t xml:space="preserve">. The energy model is shown in </w:t>
      </w:r>
      <w:r>
        <w:fldChar w:fldCharType="begin"/>
      </w:r>
      <w:r>
        <w:instrText xml:space="preserve"> REF _Ref134110383 \h </w:instrText>
      </w:r>
      <w:r>
        <w:fldChar w:fldCharType="separate"/>
      </w:r>
      <w:r w:rsidR="000E1725">
        <w:t xml:space="preserve">Figure </w:t>
      </w:r>
      <w:r w:rsidR="000E1725">
        <w:rPr>
          <w:noProof/>
        </w:rPr>
        <w:t>4</w:t>
      </w:r>
      <w:r w:rsidR="000E1725">
        <w:t>.</w:t>
      </w:r>
      <w:r w:rsidR="000E1725">
        <w:rPr>
          <w:noProof/>
        </w:rPr>
        <w:t>12</w:t>
      </w:r>
      <w:r>
        <w:fldChar w:fldCharType="end"/>
      </w:r>
      <w:r>
        <w:t xml:space="preserve">. </w:t>
      </w:r>
    </w:p>
    <w:p w14:paraId="08555066" w14:textId="77777777" w:rsidR="00471941" w:rsidRDefault="00471941" w:rsidP="00623535">
      <w:pPr>
        <w:pStyle w:val="12FigureFormatSelectafigureandclickonthisstyle"/>
      </w:pPr>
      <w:r w:rsidRPr="005A4785">
        <w:rPr>
          <w:noProof/>
        </w:rPr>
        <w:drawing>
          <wp:inline distT="0" distB="0" distL="0" distR="0" wp14:anchorId="30937033" wp14:editId="23441771">
            <wp:extent cx="4798526" cy="2412554"/>
            <wp:effectExtent l="0" t="0" r="2540" b="6985"/>
            <wp:docPr id="1455142133" name="Picture 1455142133" descr="A brown building with a red roof&#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142133" name="Picture 1455142133" descr="A brown building with a red roof&#10;&#10;Description automatically generated with low confidence"/>
                    <pic:cNvPicPr/>
                  </pic:nvPicPr>
                  <pic:blipFill>
                    <a:blip r:embed="rId59"/>
                    <a:stretch>
                      <a:fillRect/>
                    </a:stretch>
                  </pic:blipFill>
                  <pic:spPr>
                    <a:xfrm>
                      <a:off x="0" y="0"/>
                      <a:ext cx="4807064" cy="2416847"/>
                    </a:xfrm>
                    <a:prstGeom prst="rect">
                      <a:avLst/>
                    </a:prstGeom>
                  </pic:spPr>
                </pic:pic>
              </a:graphicData>
            </a:graphic>
          </wp:inline>
        </w:drawing>
      </w:r>
    </w:p>
    <w:p w14:paraId="4BFA1658" w14:textId="6D1EDED9" w:rsidR="00471941" w:rsidRDefault="00471941" w:rsidP="00471941">
      <w:pPr>
        <w:pStyle w:val="13FigureCaption"/>
      </w:pPr>
      <w:bookmarkStart w:id="328" w:name="_Ref134110383"/>
      <w:bookmarkStart w:id="329" w:name="_Toc141349933"/>
      <w:r>
        <w:t xml:space="preserve">Figure </w:t>
      </w:r>
      <w:fldSimple w:instr=" STYLEREF 1 \s ">
        <w:r w:rsidR="000E1725">
          <w:rPr>
            <w:noProof/>
          </w:rPr>
          <w:t>4</w:t>
        </w:r>
      </w:fldSimple>
      <w:r w:rsidR="005445E0">
        <w:t>.</w:t>
      </w:r>
      <w:fldSimple w:instr=" SEQ Figure \* ARABIC \s 1 ">
        <w:r w:rsidR="000E1725">
          <w:rPr>
            <w:noProof/>
          </w:rPr>
          <w:t>12</w:t>
        </w:r>
      </w:fldSimple>
      <w:bookmarkEnd w:id="328"/>
      <w:r>
        <w:t xml:space="preserve"> Energy model built for the Lab House in Norman, Oklahoma</w:t>
      </w:r>
      <w:bookmarkEnd w:id="329"/>
    </w:p>
    <w:p w14:paraId="54381E23" w14:textId="088D1572" w:rsidR="00471941" w:rsidRDefault="00D83C4C" w:rsidP="00471941">
      <w:pPr>
        <w:pStyle w:val="Heading4"/>
      </w:pPr>
      <w:bookmarkStart w:id="330" w:name="_Ref139416773"/>
      <w:bookmarkStart w:id="331" w:name="_Ref139416779"/>
      <w:r>
        <w:t xml:space="preserve"> </w:t>
      </w:r>
      <w:bookmarkStart w:id="332" w:name="_Toc141991721"/>
      <w:r w:rsidR="00471941">
        <w:t>EMS for on/off control with deadband</w:t>
      </w:r>
      <w:bookmarkEnd w:id="330"/>
      <w:bookmarkEnd w:id="331"/>
      <w:bookmarkEnd w:id="332"/>
      <w:r w:rsidR="00471941">
        <w:t xml:space="preserve"> </w:t>
      </w:r>
    </w:p>
    <w:p w14:paraId="07E8FB56" w14:textId="60F063B7" w:rsidR="00471941" w:rsidRDefault="00471941" w:rsidP="00471941">
      <w:r>
        <w:t xml:space="preserve">The refinement effort on correcting the way that EnergyPlus models the cycling of DX coils is needed because the typical way that EnergyPlus models the cycling of DX coils is based on the run time fraction (RTF) of the coil, which is the quotient of the ratio between the actual sensing cooling load and the capacity of the cooling coil (i.e., partial load ratio, PLR) and the compressor cycling efficiency losses (i.e., partial load fraction, PLF) </w:t>
      </w:r>
      <w:r>
        <w:fldChar w:fldCharType="begin"/>
      </w:r>
      <w:r w:rsidR="0082416B">
        <w:instrText xml:space="preserve"> ADDIN ZOTERO_ITEM CSL_CITATION {"citationID":"tIAcjiv7","properties":{"formattedCitation":"[134]","plainCitation":"[134]","noteIndex":0},"citationItems":[{"id":1910,"uris":["http://zotero.org/users/5659608/items/V2BB22CL"],"itemData":{"id":1910,"type":"webpage","title":"EnergyPlus Version 22.2 Documents","URL":"https://bigladdersoftware.com/epx/docs/22-2/","accessed":{"date-parts":[["2023",5,4]]},"citation-key":"EnergyPlusVersion22"}}],"schema":"https://github.com/citation-style-language/schema/raw/master/csl-citation.json"} </w:instrText>
      </w:r>
      <w:r>
        <w:fldChar w:fldCharType="separate"/>
      </w:r>
      <w:r w:rsidR="0082416B" w:rsidRPr="0082416B">
        <w:t>[134]</w:t>
      </w:r>
      <w:r>
        <w:fldChar w:fldCharType="end"/>
      </w:r>
      <w:r>
        <w:t xml:space="preserve">. In other words, the EnergyPlus provides either enough or full energy to maintain the thermostat setpoint perfectly </w:t>
      </w:r>
      <w:r>
        <w:fldChar w:fldCharType="begin"/>
      </w:r>
      <w:r w:rsidR="0082416B">
        <w:instrText xml:space="preserve"> ADDIN ZOTERO_ITEM CSL_CITATION {"citationID":"hTRBMdsK","properties":{"formattedCitation":"[70,132]","plainCitation":"[70,132]","noteIndex":0},"citationItems":[{"id":1912,"uris":["http://zotero.org/users/5659608/items/D26WIDEA"],"itemData":{"id":1912,"type":"article-journal","abstract":"Heating, ventilation, and air-conditioning (HVAC) systems are sized using design conditions, conditions that occur only a small percentage of time each year. As a result, HVAC systems frequently operate at part-load conditions since their capacity is larger than necessary except in the most extreme weather conditions. Most HVAC systems for residential and small commercial buildings in the U.S. use on/off controls, however, most energy modeling software tools do not simulate the on/off nature of this type of HVAC controls. This paper presents the development and validation of an on/off controller for residential applications in EnergyPlus using a custom EMS (energy management system). This controller is validated using minute-level field data collected for a house located in Sacramento, California with simulated occupancy and internal loads. The results obtained from EnergyPlus with and without the use of the developed on/off controller are also compared. The application of the developed on/off controller improves the HVAC energy use results accuracy around 19% in terms of the Normalized Mean Bias Error (NMBE) at the one-minute level compared to the results without the application of the on/off controller. It also makes the nature of operation and associated energy use signal of the HVAC system more realistic in terms of the on/off nature of the residential direct expansion coils. Furthermore, in this paper, the accuracy improvement of the results dominated by the internal loads is investigated by applying the one-minute schedule compared to the usual hourly schedules for the internal thermal loads.","container-title":"Energy and Buildings","DOI":"10.1016/j.enbuild.2018.11.005","ISSN":"0378-7788","journalAbbreviation":"Energy and Buildings","language":"en","page":"467-483","source":"ScienceDirect","title":"Development and validation of an HVAC on/off controller in EnergyPlus for energy simulation of residential and small commercial buildings","volume":"183","author":[{"family":"Cetin","given":"Kristen S"},{"family":"Fathollahzadeh","given":"Mohammad Hassan"},{"family":"Kunwar","given":"Niraj"},{"family":"Do","given":"Huyen"},{"family":"Tabares-Velasco","given":"Paulo Cesar"}],"issued":{"date-parts":[["2019",1,15]]},"citation-key":"cetinDevelopmentValidationHVAC2019"}},{"id":1381,"uris":["http://zotero.org/users/5659608/items/NPCTC8E8"],"itemData":{"id":1381,"type":"article-journal","abstract":"The advent of smart thermostats with real-time sensing raises the question of how to preemptively control heating, ventilation, and air conditioning (HVAC) systems to minimize energy usage while maintaining occupant comfort. To this end, we empirically compare a standard reactive deadband control to two new smart thermostat HVAC control methods: (1) a model-free reinforcement learning (RL) approach and (2) a novel model predictive control (MPC) method, whose solution is optimal with respect to its data-driven linear model. We evaluated the controls with 500 unique energy models of houses located in the United States. The models were modified to facilitate the short-term performance simulation required for residential HVAC systems. Overall, we found the MPC controller offers three distinct advantages over the RL and deadband methods: (1) MPC had the lowest average cost (defined as a custom weighted combination of runtime and comfort) of the evaluated controllers; (2) the MPC control’s linear model was able to reliably extrapolate from the sparse sample of training observations, thus enabling it to adapt quickly to recent data; and (3) in contrast to RL methods, MPC did not subject the houses or occupants to the discomfort of system exploration.","container-title":"Energy and Buildings","DOI":"10.1016/j.enbuild.2021.111201","ISSN":"0378-7788","journalAbbreviation":"Energy and Buildings","language":"en","page":"111201","source":"ScienceDirect","title":"Development and evaluation of data-driven controls for residential smart thermostats","volume":"249","author":[{"family":"Huchuk","given":"Brent"},{"family":"Sanner","given":"Scott"},{"family":"O’Brien","given":"William"}],"issued":{"date-parts":[["2021",10,15]]},"citation-key":"huchukDevelopmentEvaluationDatadriven2021"}}],"schema":"https://github.com/citation-style-language/schema/raw/master/csl-citation.json"} </w:instrText>
      </w:r>
      <w:r>
        <w:fldChar w:fldCharType="separate"/>
      </w:r>
      <w:r w:rsidR="0082416B" w:rsidRPr="0082416B">
        <w:t>[70,132]</w:t>
      </w:r>
      <w:r>
        <w:fldChar w:fldCharType="end"/>
      </w:r>
      <w:r>
        <w:t xml:space="preserve">. This differs from the real-world operation in a typical residential building in the U.S., </w:t>
      </w:r>
      <w:r>
        <w:lastRenderedPageBreak/>
        <w:t xml:space="preserve">where a wider temperature range on cooling or heating setpoint are allowed to determine the HVAC system either fully on or fully off. </w:t>
      </w:r>
    </w:p>
    <w:p w14:paraId="0FFEC4D2" w14:textId="024A9C77" w:rsidR="00471941" w:rsidRDefault="00471941" w:rsidP="00471941">
      <w:r>
        <w:rPr>
          <w:rFonts w:hint="eastAsia"/>
        </w:rPr>
        <w:t>T</w:t>
      </w:r>
      <w:r>
        <w:t xml:space="preserve">o mimic the on/off control with a deadband, an Energy Management System (EMS) syntax is added to the EnergyPlus model. EMS is a powerful and flexible control that can be directly interpreted by EnergyPlus by a small programing language called EnergyPlus Runtime Language (Erl), more detail can be found in </w:t>
      </w:r>
      <w:r>
        <w:fldChar w:fldCharType="begin"/>
      </w:r>
      <w:r w:rsidR="0082416B">
        <w:instrText xml:space="preserve"> ADDIN ZOTERO_ITEM CSL_CITATION {"citationID":"dCeL6HhN","properties":{"formattedCitation":"[135]","plainCitation":"[135]","noteIndex":0},"citationItems":[{"id":1916,"uris":["http://zotero.org/users/5659608/items/7JA6MNSB"],"itemData":{"id":1916,"type":"article-journal","source":"Zotero","title":"Application Guide for EMS","citation-key":"ApplicationGuideEMS"}}],"schema":"https://github.com/citation-style-language/schema/raw/master/csl-citation.json"} </w:instrText>
      </w:r>
      <w:r>
        <w:fldChar w:fldCharType="separate"/>
      </w:r>
      <w:r w:rsidR="0082416B" w:rsidRPr="0082416B">
        <w:t>[135]</w:t>
      </w:r>
      <w:r>
        <w:fldChar w:fldCharType="end"/>
      </w:r>
      <w:r>
        <w:t xml:space="preserve">. In this study, the proposed Erl will assign the heat pump, which includes a DX cooling coil and a fan, to be fully on or off at the beginning of each time step depending on a pre-defined thermostat setpoint and deadband.  </w:t>
      </w:r>
    </w:p>
    <w:p w14:paraId="3BD17711" w14:textId="14000DFB" w:rsidR="00471941" w:rsidRDefault="00471941" w:rsidP="00410CB0">
      <w:pPr>
        <w:pStyle w:val="15TableTitle"/>
      </w:pPr>
      <w:bookmarkStart w:id="333" w:name="_Ref134103650"/>
      <w:bookmarkStart w:id="334" w:name="_Toc141343904"/>
      <w:r>
        <w:t xml:space="preserve">Table </w:t>
      </w:r>
      <w:fldSimple w:instr=" STYLEREF 1 \s ">
        <w:r w:rsidR="000E1725">
          <w:rPr>
            <w:noProof/>
          </w:rPr>
          <w:t>4</w:t>
        </w:r>
      </w:fldSimple>
      <w:r w:rsidR="00146A55">
        <w:t>.</w:t>
      </w:r>
      <w:fldSimple w:instr=" SEQ Table \* ARABIC \s 1 ">
        <w:r w:rsidR="000E1725">
          <w:rPr>
            <w:noProof/>
          </w:rPr>
          <w:t>6</w:t>
        </w:r>
      </w:fldSimple>
      <w:bookmarkEnd w:id="333"/>
      <w:r>
        <w:t xml:space="preserve"> EnergyPlus model variables for on/off control</w:t>
      </w:r>
      <w:bookmarkEnd w:id="334"/>
    </w:p>
    <w:tbl>
      <w:tblPr>
        <w:tblStyle w:val="TableGrid"/>
        <w:tblW w:w="8995" w:type="dxa"/>
        <w:tblLook w:val="04A0" w:firstRow="1" w:lastRow="0" w:firstColumn="1" w:lastColumn="0" w:noHBand="0" w:noVBand="1"/>
      </w:tblPr>
      <w:tblGrid>
        <w:gridCol w:w="2238"/>
        <w:gridCol w:w="2309"/>
        <w:gridCol w:w="2231"/>
        <w:gridCol w:w="2217"/>
      </w:tblGrid>
      <w:tr w:rsidR="00471941" w14:paraId="4FF8D55C" w14:textId="77777777" w:rsidTr="004F29F3">
        <w:tc>
          <w:tcPr>
            <w:tcW w:w="2238" w:type="dxa"/>
            <w:vAlign w:val="center"/>
          </w:tcPr>
          <w:p w14:paraId="6DD1ABA7" w14:textId="77777777" w:rsidR="00471941" w:rsidRDefault="00471941" w:rsidP="002023DB">
            <w:pPr>
              <w:spacing w:line="240" w:lineRule="auto"/>
              <w:ind w:firstLine="0"/>
              <w:jc w:val="left"/>
            </w:pPr>
            <w:r>
              <w:rPr>
                <w:rFonts w:hint="eastAsia"/>
              </w:rPr>
              <w:t>P</w:t>
            </w:r>
            <w:r>
              <w:t>urpose</w:t>
            </w:r>
          </w:p>
        </w:tc>
        <w:tc>
          <w:tcPr>
            <w:tcW w:w="2309" w:type="dxa"/>
            <w:vAlign w:val="center"/>
          </w:tcPr>
          <w:p w14:paraId="1FB315C3" w14:textId="77777777" w:rsidR="00471941" w:rsidRDefault="00471941" w:rsidP="002023DB">
            <w:pPr>
              <w:spacing w:line="240" w:lineRule="auto"/>
              <w:ind w:firstLine="0"/>
              <w:jc w:val="left"/>
            </w:pPr>
            <w:r>
              <w:rPr>
                <w:rFonts w:hint="eastAsia"/>
              </w:rPr>
              <w:t>N</w:t>
            </w:r>
            <w:r>
              <w:t>ame</w:t>
            </w:r>
          </w:p>
        </w:tc>
        <w:tc>
          <w:tcPr>
            <w:tcW w:w="2231" w:type="dxa"/>
            <w:vAlign w:val="center"/>
          </w:tcPr>
          <w:p w14:paraId="3456A97D" w14:textId="77777777" w:rsidR="00471941" w:rsidRDefault="00471941" w:rsidP="002023DB">
            <w:pPr>
              <w:spacing w:line="240" w:lineRule="auto"/>
              <w:ind w:firstLine="0"/>
              <w:jc w:val="left"/>
            </w:pPr>
            <w:r>
              <w:rPr>
                <w:rFonts w:hint="eastAsia"/>
              </w:rPr>
              <w:t>V</w:t>
            </w:r>
            <w:r>
              <w:t>ariable type</w:t>
            </w:r>
          </w:p>
        </w:tc>
        <w:tc>
          <w:tcPr>
            <w:tcW w:w="2217" w:type="dxa"/>
            <w:vAlign w:val="center"/>
          </w:tcPr>
          <w:p w14:paraId="7BB0FD78" w14:textId="77777777" w:rsidR="00471941" w:rsidRDefault="00471941" w:rsidP="002023DB">
            <w:pPr>
              <w:spacing w:line="240" w:lineRule="auto"/>
              <w:ind w:firstLine="0"/>
              <w:jc w:val="left"/>
            </w:pPr>
            <w:r>
              <w:rPr>
                <w:rFonts w:hint="eastAsia"/>
              </w:rPr>
              <w:t>A</w:t>
            </w:r>
            <w:r>
              <w:t>ctuated Component Unique Name</w:t>
            </w:r>
          </w:p>
        </w:tc>
      </w:tr>
      <w:tr w:rsidR="00471941" w14:paraId="41CC9682" w14:textId="77777777" w:rsidTr="004F29F3">
        <w:tc>
          <w:tcPr>
            <w:tcW w:w="2238" w:type="dxa"/>
            <w:vAlign w:val="center"/>
          </w:tcPr>
          <w:p w14:paraId="181E1280" w14:textId="77777777" w:rsidR="00471941" w:rsidRDefault="00471941" w:rsidP="002023DB">
            <w:pPr>
              <w:spacing w:line="240" w:lineRule="auto"/>
              <w:ind w:firstLine="0"/>
              <w:jc w:val="left"/>
            </w:pPr>
            <w:r>
              <w:t>On off schedule on heat pump</w:t>
            </w:r>
          </w:p>
        </w:tc>
        <w:tc>
          <w:tcPr>
            <w:tcW w:w="2309" w:type="dxa"/>
            <w:vAlign w:val="center"/>
          </w:tcPr>
          <w:p w14:paraId="54B87770" w14:textId="77777777" w:rsidR="00471941" w:rsidRDefault="00471941" w:rsidP="002023DB">
            <w:pPr>
              <w:spacing w:line="240" w:lineRule="auto"/>
              <w:ind w:firstLine="0"/>
              <w:jc w:val="left"/>
            </w:pPr>
            <w:r>
              <w:t xml:space="preserve">cycle on off </w:t>
            </w:r>
          </w:p>
        </w:tc>
        <w:tc>
          <w:tcPr>
            <w:tcW w:w="2231" w:type="dxa"/>
            <w:vAlign w:val="center"/>
          </w:tcPr>
          <w:p w14:paraId="43CAF3B5" w14:textId="77777777" w:rsidR="00471941" w:rsidRDefault="00471941" w:rsidP="002023DB">
            <w:pPr>
              <w:spacing w:line="240" w:lineRule="auto"/>
              <w:ind w:firstLine="0"/>
              <w:jc w:val="left"/>
            </w:pPr>
            <w:r>
              <w:rPr>
                <w:rFonts w:hint="eastAsia"/>
              </w:rPr>
              <w:t>C</w:t>
            </w:r>
            <w:r>
              <w:t>onstant schedule (be 0 if not overwrite)</w:t>
            </w:r>
          </w:p>
        </w:tc>
        <w:tc>
          <w:tcPr>
            <w:tcW w:w="2217" w:type="dxa"/>
            <w:vAlign w:val="center"/>
          </w:tcPr>
          <w:p w14:paraId="5BF42F6F" w14:textId="77777777" w:rsidR="00471941" w:rsidRDefault="00471941" w:rsidP="002023DB">
            <w:pPr>
              <w:spacing w:line="240" w:lineRule="auto"/>
              <w:ind w:firstLine="0"/>
              <w:jc w:val="left"/>
            </w:pPr>
          </w:p>
        </w:tc>
      </w:tr>
      <w:tr w:rsidR="00471941" w14:paraId="3090F3B8" w14:textId="77777777" w:rsidTr="004F29F3">
        <w:tc>
          <w:tcPr>
            <w:tcW w:w="2238" w:type="dxa"/>
            <w:vAlign w:val="center"/>
          </w:tcPr>
          <w:p w14:paraId="60B6C341" w14:textId="77777777" w:rsidR="00471941" w:rsidRDefault="00471941" w:rsidP="002023DB">
            <w:pPr>
              <w:spacing w:line="240" w:lineRule="auto"/>
              <w:ind w:firstLine="0"/>
              <w:jc w:val="left"/>
            </w:pPr>
            <w:r>
              <w:rPr>
                <w:rFonts w:hint="eastAsia"/>
              </w:rPr>
              <w:t>O</w:t>
            </w:r>
            <w:r>
              <w:t>verwrite the on off schedule</w:t>
            </w:r>
          </w:p>
        </w:tc>
        <w:tc>
          <w:tcPr>
            <w:tcW w:w="2309" w:type="dxa"/>
            <w:vAlign w:val="center"/>
          </w:tcPr>
          <w:p w14:paraId="5E6D8022" w14:textId="77777777" w:rsidR="00471941" w:rsidRDefault="00471941" w:rsidP="002023DB">
            <w:pPr>
              <w:spacing w:line="240" w:lineRule="auto"/>
              <w:ind w:firstLine="0"/>
              <w:jc w:val="left"/>
            </w:pPr>
            <w:r w:rsidRPr="00F82B60">
              <w:t>AvailSCH_Overwrite</w:t>
            </w:r>
          </w:p>
        </w:tc>
        <w:tc>
          <w:tcPr>
            <w:tcW w:w="2231" w:type="dxa"/>
            <w:vAlign w:val="center"/>
          </w:tcPr>
          <w:p w14:paraId="29D98B4B" w14:textId="77777777" w:rsidR="00471941" w:rsidRDefault="00471941" w:rsidP="002023DB">
            <w:pPr>
              <w:spacing w:line="240" w:lineRule="auto"/>
              <w:ind w:firstLine="0"/>
              <w:jc w:val="left"/>
            </w:pPr>
            <w:r>
              <w:rPr>
                <w:rFonts w:hint="eastAsia"/>
              </w:rPr>
              <w:t>E</w:t>
            </w:r>
            <w:r>
              <w:t>MS: Actuator</w:t>
            </w:r>
          </w:p>
        </w:tc>
        <w:tc>
          <w:tcPr>
            <w:tcW w:w="2217" w:type="dxa"/>
            <w:vAlign w:val="center"/>
          </w:tcPr>
          <w:p w14:paraId="19C18827" w14:textId="77777777" w:rsidR="00471941" w:rsidRDefault="00471941" w:rsidP="002023DB">
            <w:pPr>
              <w:spacing w:line="240" w:lineRule="auto"/>
              <w:ind w:firstLine="0"/>
              <w:jc w:val="left"/>
            </w:pPr>
            <w:r w:rsidRPr="00B81035">
              <w:t>cycle on off</w:t>
            </w:r>
          </w:p>
        </w:tc>
      </w:tr>
      <w:tr w:rsidR="00471941" w14:paraId="0E09D38A" w14:textId="77777777" w:rsidTr="004F29F3">
        <w:tc>
          <w:tcPr>
            <w:tcW w:w="2238" w:type="dxa"/>
            <w:vAlign w:val="center"/>
          </w:tcPr>
          <w:p w14:paraId="43E2B27C" w14:textId="77777777" w:rsidR="00471941" w:rsidRDefault="00471941" w:rsidP="002023DB">
            <w:pPr>
              <w:spacing w:line="240" w:lineRule="auto"/>
              <w:ind w:firstLine="0"/>
              <w:jc w:val="left"/>
            </w:pPr>
            <w:r>
              <w:rPr>
                <w:rFonts w:hint="eastAsia"/>
              </w:rPr>
              <w:t>M</w:t>
            </w:r>
            <w:r>
              <w:t>onitor Zone Air Temperature</w:t>
            </w:r>
          </w:p>
        </w:tc>
        <w:tc>
          <w:tcPr>
            <w:tcW w:w="2309" w:type="dxa"/>
            <w:vAlign w:val="center"/>
          </w:tcPr>
          <w:p w14:paraId="6AE61450" w14:textId="77777777" w:rsidR="00471941" w:rsidRPr="00D7507C" w:rsidRDefault="00471941" w:rsidP="002023DB">
            <w:pPr>
              <w:spacing w:line="240" w:lineRule="auto"/>
              <w:ind w:firstLine="0"/>
              <w:jc w:val="left"/>
            </w:pPr>
            <w:r>
              <w:t>Tin</w:t>
            </w:r>
          </w:p>
        </w:tc>
        <w:tc>
          <w:tcPr>
            <w:tcW w:w="2231" w:type="dxa"/>
            <w:vAlign w:val="center"/>
          </w:tcPr>
          <w:p w14:paraId="17A63607" w14:textId="77777777" w:rsidR="00471941" w:rsidRDefault="00471941" w:rsidP="002023DB">
            <w:pPr>
              <w:spacing w:line="240" w:lineRule="auto"/>
              <w:ind w:firstLine="0"/>
              <w:jc w:val="left"/>
            </w:pPr>
            <w:r>
              <w:rPr>
                <w:rFonts w:hint="eastAsia"/>
              </w:rPr>
              <w:t>E</w:t>
            </w:r>
            <w:r>
              <w:t>MS: Sensor</w:t>
            </w:r>
          </w:p>
        </w:tc>
        <w:tc>
          <w:tcPr>
            <w:tcW w:w="2217" w:type="dxa"/>
            <w:vAlign w:val="center"/>
          </w:tcPr>
          <w:p w14:paraId="5E7372D9" w14:textId="77777777" w:rsidR="00471941" w:rsidRDefault="00471941" w:rsidP="002023DB">
            <w:pPr>
              <w:spacing w:line="240" w:lineRule="auto"/>
              <w:ind w:firstLine="0"/>
              <w:jc w:val="left"/>
            </w:pPr>
            <w:r>
              <w:rPr>
                <w:rFonts w:hint="eastAsia"/>
              </w:rPr>
              <w:t>Z</w:t>
            </w:r>
            <w:r>
              <w:t xml:space="preserve">one air temperature </w:t>
            </w:r>
          </w:p>
        </w:tc>
      </w:tr>
      <w:tr w:rsidR="00471941" w14:paraId="1E9CF1AD" w14:textId="77777777" w:rsidTr="004F29F3">
        <w:tc>
          <w:tcPr>
            <w:tcW w:w="2238" w:type="dxa"/>
            <w:vAlign w:val="center"/>
          </w:tcPr>
          <w:p w14:paraId="2A050D68" w14:textId="77777777" w:rsidR="00471941" w:rsidRDefault="00471941" w:rsidP="002023DB">
            <w:pPr>
              <w:spacing w:line="240" w:lineRule="auto"/>
              <w:ind w:firstLine="0"/>
              <w:jc w:val="left"/>
            </w:pPr>
            <w:r>
              <w:t xml:space="preserve">Monitor </w:t>
            </w:r>
          </w:p>
        </w:tc>
        <w:tc>
          <w:tcPr>
            <w:tcW w:w="2309" w:type="dxa"/>
            <w:vAlign w:val="center"/>
          </w:tcPr>
          <w:p w14:paraId="1EE01212" w14:textId="77777777" w:rsidR="00471941" w:rsidRDefault="00471941" w:rsidP="002023DB">
            <w:pPr>
              <w:spacing w:line="240" w:lineRule="auto"/>
              <w:ind w:firstLine="0"/>
              <w:jc w:val="left"/>
            </w:pPr>
            <w:r>
              <w:rPr>
                <w:rFonts w:hint="eastAsia"/>
              </w:rPr>
              <w:t>T</w:t>
            </w:r>
            <w:r>
              <w:t>set</w:t>
            </w:r>
          </w:p>
        </w:tc>
        <w:tc>
          <w:tcPr>
            <w:tcW w:w="2231" w:type="dxa"/>
            <w:vAlign w:val="center"/>
          </w:tcPr>
          <w:p w14:paraId="1521F45D" w14:textId="77777777" w:rsidR="00471941" w:rsidRDefault="00471941" w:rsidP="002023DB">
            <w:pPr>
              <w:spacing w:line="240" w:lineRule="auto"/>
              <w:ind w:firstLine="0"/>
              <w:jc w:val="left"/>
            </w:pPr>
            <w:r>
              <w:rPr>
                <w:rFonts w:hint="eastAsia"/>
              </w:rPr>
              <w:t>E</w:t>
            </w:r>
            <w:r>
              <w:t>MS: Sensor</w:t>
            </w:r>
          </w:p>
        </w:tc>
        <w:tc>
          <w:tcPr>
            <w:tcW w:w="2217" w:type="dxa"/>
            <w:vAlign w:val="center"/>
          </w:tcPr>
          <w:p w14:paraId="52A853A0" w14:textId="77777777" w:rsidR="00471941" w:rsidRDefault="00471941" w:rsidP="002023DB">
            <w:pPr>
              <w:spacing w:line="240" w:lineRule="auto"/>
              <w:ind w:firstLine="0"/>
              <w:jc w:val="left"/>
            </w:pPr>
            <w:r w:rsidRPr="000B56D0">
              <w:t>Zone Thermostat Cooling Setpoint Temperature</w:t>
            </w:r>
          </w:p>
        </w:tc>
      </w:tr>
    </w:tbl>
    <w:p w14:paraId="05F03771" w14:textId="5D483010" w:rsidR="00471941" w:rsidRPr="00FD1FD6" w:rsidRDefault="00471941" w:rsidP="00471941">
      <w:r>
        <w:t xml:space="preserve">As shown in </w:t>
      </w:r>
      <w:r>
        <w:fldChar w:fldCharType="begin"/>
      </w:r>
      <w:r>
        <w:instrText xml:space="preserve"> REF _Ref134103650 \h </w:instrText>
      </w:r>
      <w:r>
        <w:fldChar w:fldCharType="separate"/>
      </w:r>
      <w:r w:rsidR="000E1725">
        <w:t xml:space="preserve">Table </w:t>
      </w:r>
      <w:r w:rsidR="000E1725">
        <w:rPr>
          <w:noProof/>
        </w:rPr>
        <w:t>4</w:t>
      </w:r>
      <w:r w:rsidR="000E1725">
        <w:t>.</w:t>
      </w:r>
      <w:r w:rsidR="000E1725">
        <w:rPr>
          <w:noProof/>
        </w:rPr>
        <w:t>6</w:t>
      </w:r>
      <w:r>
        <w:fldChar w:fldCharType="end"/>
      </w:r>
      <w:r>
        <w:t>, two EMS objects called “</w:t>
      </w:r>
      <w:r w:rsidRPr="0041224C">
        <w:rPr>
          <w:i/>
          <w:iCs/>
        </w:rPr>
        <w:t>Sensor</w:t>
      </w:r>
      <w:r>
        <w:t>” are created to monitor zone indoor air temperature (</w:t>
      </w:r>
      <m:oMath>
        <m:sSub>
          <m:sSubPr>
            <m:ctrlPr>
              <w:rPr>
                <w:rFonts w:ascii="Cambria Math" w:hAnsi="Cambria Math"/>
                <w:i/>
              </w:rPr>
            </m:ctrlPr>
          </m:sSubPr>
          <m:e>
            <m:r>
              <w:rPr>
                <w:rFonts w:ascii="Cambria Math" w:hAnsi="Cambria Math"/>
              </w:rPr>
              <m:t>T</m:t>
            </m:r>
          </m:e>
          <m:sub>
            <m:r>
              <w:rPr>
                <w:rFonts w:ascii="Cambria Math" w:hAnsi="Cambria Math"/>
              </w:rPr>
              <m:t>in</m:t>
            </m:r>
          </m:sub>
        </m:sSub>
      </m:oMath>
      <w:r>
        <w:t>) and thermostat cooling setpoint (</w:t>
      </w:r>
      <m:oMath>
        <m:sSub>
          <m:sSubPr>
            <m:ctrlPr>
              <w:rPr>
                <w:rFonts w:ascii="Cambria Math" w:hAnsi="Cambria Math"/>
                <w:i/>
              </w:rPr>
            </m:ctrlPr>
          </m:sSubPr>
          <m:e>
            <m:r>
              <w:rPr>
                <w:rFonts w:ascii="Cambria Math" w:hAnsi="Cambria Math"/>
              </w:rPr>
              <m:t>T</m:t>
            </m:r>
          </m:e>
          <m:sub>
            <m:r>
              <w:rPr>
                <w:rFonts w:ascii="Cambria Math" w:hAnsi="Cambria Math"/>
              </w:rPr>
              <m:t>set</m:t>
            </m:r>
          </m:sub>
        </m:sSub>
      </m:oMath>
      <w:r>
        <w:t>) at each timestep, and an EMS object called “</w:t>
      </w:r>
      <w:r w:rsidRPr="0041224C">
        <w:rPr>
          <w:i/>
          <w:iCs/>
        </w:rPr>
        <w:t>Actuator</w:t>
      </w:r>
      <w:r>
        <w:t>” is created to overwrite the pre-defined “cycle on off” schedule on the heat pump. Then, an EMS object called “</w:t>
      </w:r>
      <w:r w:rsidRPr="0041224C">
        <w:rPr>
          <w:i/>
          <w:iCs/>
        </w:rPr>
        <w:t>ProgramCallingManager</w:t>
      </w:r>
      <w:r>
        <w:t xml:space="preserve">” will call the program syntax shown in </w:t>
      </w:r>
      <w:r>
        <w:fldChar w:fldCharType="begin"/>
      </w:r>
      <w:r>
        <w:instrText xml:space="preserve"> REF _Ref134104747 \h </w:instrText>
      </w:r>
      <w:r>
        <w:fldChar w:fldCharType="separate"/>
      </w:r>
      <w:r w:rsidR="000E1725" w:rsidRPr="00D86462">
        <w:t xml:space="preserve">Figure </w:t>
      </w:r>
      <w:r w:rsidR="000E1725">
        <w:rPr>
          <w:noProof/>
        </w:rPr>
        <w:t>4</w:t>
      </w:r>
      <w:r w:rsidR="000E1725">
        <w:t>.</w:t>
      </w:r>
      <w:r w:rsidR="000E1725">
        <w:rPr>
          <w:noProof/>
        </w:rPr>
        <w:t>13</w:t>
      </w:r>
      <w:r>
        <w:fldChar w:fldCharType="end"/>
      </w:r>
      <w:r>
        <w:t xml:space="preserve"> at the beginning of each timestep (i.e., </w:t>
      </w:r>
      <w:r w:rsidRPr="0041224C">
        <w:rPr>
          <w:i/>
          <w:iCs/>
        </w:rPr>
        <w:lastRenderedPageBreak/>
        <w:t>BeginTimestepBeforePredictor</w:t>
      </w:r>
      <w:r>
        <w:t xml:space="preserve">), and the actuator will only overwrite the “cycle on off” into 1 (i.e., turn on the HVAC system) when the zone air temperature is above </w:t>
      </w:r>
      <m:oMath>
        <m:sSub>
          <m:sSubPr>
            <m:ctrlPr>
              <w:rPr>
                <w:rFonts w:ascii="Cambria Math" w:hAnsi="Cambria Math"/>
                <w:i/>
              </w:rPr>
            </m:ctrlPr>
          </m:sSubPr>
          <m:e>
            <m:r>
              <w:rPr>
                <w:rFonts w:ascii="Cambria Math" w:hAnsi="Cambria Math"/>
              </w:rPr>
              <m:t>T</m:t>
            </m:r>
          </m:e>
          <m:sub>
            <m:r>
              <w:rPr>
                <w:rFonts w:ascii="Cambria Math" w:hAnsi="Cambria Math"/>
              </w:rPr>
              <m:t>set</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offset</m:t>
            </m:r>
          </m:sub>
        </m:sSub>
      </m:oMath>
      <w:r>
        <w:t xml:space="preserve"> (</w:t>
      </w:r>
      <m:oMath>
        <m:sSub>
          <m:sSubPr>
            <m:ctrlPr>
              <w:rPr>
                <w:rFonts w:ascii="Cambria Math" w:hAnsi="Cambria Math"/>
                <w:i/>
              </w:rPr>
            </m:ctrlPr>
          </m:sSubPr>
          <m:e>
            <m:r>
              <w:rPr>
                <w:rFonts w:ascii="Cambria Math" w:hAnsi="Cambria Math"/>
              </w:rPr>
              <m:t>T</m:t>
            </m:r>
          </m:e>
          <m:sub>
            <m:r>
              <w:rPr>
                <w:rFonts w:ascii="Cambria Math" w:hAnsi="Cambria Math"/>
              </w:rPr>
              <m:t>offset</m:t>
            </m:r>
          </m:sub>
        </m:sSub>
      </m:oMath>
      <w:r>
        <w:rPr>
          <w:rFonts w:hint="eastAsia"/>
        </w:rPr>
        <w:t xml:space="preserve"> </w:t>
      </w:r>
      <w:r>
        <w:t xml:space="preserve">is given for modeling the deadband) until </w:t>
      </w:r>
      <m:oMath>
        <m:sSub>
          <m:sSubPr>
            <m:ctrlPr>
              <w:rPr>
                <w:rFonts w:ascii="Cambria Math" w:hAnsi="Cambria Math"/>
                <w:i/>
              </w:rPr>
            </m:ctrlPr>
          </m:sSubPr>
          <m:e>
            <m:r>
              <w:rPr>
                <w:rFonts w:ascii="Cambria Math" w:hAnsi="Cambria Math" w:hint="eastAsia"/>
              </w:rPr>
              <m:t>T</m:t>
            </m:r>
            <m:ctrlPr>
              <w:rPr>
                <w:rFonts w:ascii="Cambria Math" w:hAnsi="Cambria Math" w:hint="eastAsia"/>
                <w:i/>
              </w:rPr>
            </m:ctrlPr>
          </m:e>
          <m:sub>
            <m:r>
              <w:rPr>
                <w:rFonts w:ascii="Cambria Math" w:hAnsi="Cambria Math" w:hint="eastAsia"/>
              </w:rPr>
              <m:t>in</m:t>
            </m:r>
          </m:sub>
        </m:sSub>
      </m:oMath>
      <w:r>
        <w:t xml:space="preserve"> reaches </w:t>
      </w:r>
      <m:oMath>
        <m:sSub>
          <m:sSubPr>
            <m:ctrlPr>
              <w:rPr>
                <w:rFonts w:ascii="Cambria Math" w:hAnsi="Cambria Math"/>
                <w:i/>
              </w:rPr>
            </m:ctrlPr>
          </m:sSubPr>
          <m:e>
            <m:r>
              <w:rPr>
                <w:rFonts w:ascii="Cambria Math" w:hAnsi="Cambria Math"/>
              </w:rPr>
              <m:t>T</m:t>
            </m:r>
          </m:e>
          <m:sub>
            <m:r>
              <w:rPr>
                <w:rFonts w:ascii="Cambria Math" w:hAnsi="Cambria Math"/>
              </w:rPr>
              <m:t>set</m:t>
            </m:r>
          </m:sub>
        </m:sSub>
        <m:r>
          <w:rPr>
            <w:rFonts w:ascii="Cambria Math" w:hAnsi="Cambria Math"/>
          </w:rPr>
          <m:t>+0.01</m:t>
        </m:r>
      </m:oMath>
      <w:r>
        <w:t xml:space="preserve">. </w:t>
      </w:r>
      <w:r>
        <w:rPr>
          <w:rFonts w:hint="eastAsia"/>
        </w:rPr>
        <w:t>Here</w:t>
      </w:r>
      <w:r>
        <w:t xml:space="preserve">, 0.01 is given to avoid runtime fraction calculation to start in Energyplus. </w:t>
      </w:r>
    </w:p>
    <w:p w14:paraId="6B8BA95D" w14:textId="77777777" w:rsidR="00471941" w:rsidRDefault="00471941" w:rsidP="00471941">
      <w:pPr>
        <w:keepNext/>
      </w:pPr>
      <w:r>
        <w:rPr>
          <w:rFonts w:hint="eastAsia"/>
          <w:noProof/>
        </w:rPr>
        <w:drawing>
          <wp:inline distT="0" distB="0" distL="0" distR="0" wp14:anchorId="06440566" wp14:editId="3E080F3E">
            <wp:extent cx="5281301" cy="1667456"/>
            <wp:effectExtent l="0" t="0" r="1905" b="0"/>
            <wp:docPr id="693530930" name="Picture 69353093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30930" name="Picture 1" descr="Text&#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5316163" cy="1678463"/>
                    </a:xfrm>
                    <a:prstGeom prst="rect">
                      <a:avLst/>
                    </a:prstGeom>
                  </pic:spPr>
                </pic:pic>
              </a:graphicData>
            </a:graphic>
          </wp:inline>
        </w:drawing>
      </w:r>
    </w:p>
    <w:p w14:paraId="67ED4147" w14:textId="41252FA1" w:rsidR="00471941" w:rsidRPr="00D86462" w:rsidRDefault="00471941" w:rsidP="00471941">
      <w:pPr>
        <w:pStyle w:val="13FigureCaption"/>
      </w:pPr>
      <w:bookmarkStart w:id="335" w:name="_Ref134104747"/>
      <w:bookmarkStart w:id="336" w:name="_Toc141349934"/>
      <w:r w:rsidRPr="00D86462">
        <w:t xml:space="preserve">Figure </w:t>
      </w:r>
      <w:fldSimple w:instr=" STYLEREF 1 \s ">
        <w:r w:rsidR="000E1725">
          <w:rPr>
            <w:noProof/>
          </w:rPr>
          <w:t>4</w:t>
        </w:r>
      </w:fldSimple>
      <w:r w:rsidR="005445E0">
        <w:t>.</w:t>
      </w:r>
      <w:fldSimple w:instr=" SEQ Figure \* ARABIC \s 1 ">
        <w:r w:rsidR="000E1725">
          <w:rPr>
            <w:noProof/>
          </w:rPr>
          <w:t>13</w:t>
        </w:r>
      </w:fldSimple>
      <w:bookmarkEnd w:id="335"/>
      <w:r w:rsidRPr="00D86462">
        <w:t xml:space="preserve"> Proposed Erl for on/off control with deadband</w:t>
      </w:r>
      <w:bookmarkEnd w:id="336"/>
      <w:r w:rsidRPr="00D86462">
        <w:t xml:space="preserve"> </w:t>
      </w:r>
    </w:p>
    <w:p w14:paraId="13EE4199" w14:textId="07E8F805" w:rsidR="00471941" w:rsidRDefault="00471941" w:rsidP="00471941">
      <w:pPr>
        <w:pStyle w:val="Heading4"/>
      </w:pPr>
      <w:bookmarkStart w:id="337" w:name="_Toc141991722"/>
      <w:r>
        <w:t xml:space="preserve">Internal </w:t>
      </w:r>
      <w:r w:rsidR="00357D7B">
        <w:t>t</w:t>
      </w:r>
      <w:r>
        <w:t xml:space="preserve">hermal </w:t>
      </w:r>
      <w:r w:rsidR="00357D7B">
        <w:t>m</w:t>
      </w:r>
      <w:r>
        <w:t xml:space="preserve">ass </w:t>
      </w:r>
      <w:r w:rsidR="00357D7B">
        <w:t>m</w:t>
      </w:r>
      <w:r>
        <w:t>odification</w:t>
      </w:r>
      <w:bookmarkEnd w:id="337"/>
      <w:r>
        <w:t xml:space="preserve"> </w:t>
      </w:r>
    </w:p>
    <w:p w14:paraId="36574746" w14:textId="6689EF3C" w:rsidR="00471941" w:rsidRDefault="00471941" w:rsidP="00471941">
      <w:r>
        <w:rPr>
          <w:rFonts w:hint="eastAsia"/>
        </w:rPr>
        <w:t>A</w:t>
      </w:r>
      <w:r>
        <w:t xml:space="preserve">fter modifying the model to mimic the on/off cycling behavior, an internal thermal mass also needs to be refined. Although an important heat transfer calculation component, the </w:t>
      </w:r>
      <w:r w:rsidRPr="00810F1F">
        <w:rPr>
          <w:i/>
          <w:iCs/>
        </w:rPr>
        <w:t>InternalMass</w:t>
      </w:r>
      <w:r>
        <w:t xml:space="preserve"> object is applied to an interior wall, floor, and ceiling. There are still some underestimated internal masses that may cause a dramatic change in indoor air temperature. This issue has been mentioned in </w:t>
      </w:r>
      <w:r>
        <w:fldChar w:fldCharType="begin"/>
      </w:r>
      <w:r w:rsidR="0082416B">
        <w:instrText xml:space="preserve"> ADDIN ZOTERO_ITEM CSL_CITATION {"citationID":"cUUaC4Y3","properties":{"formattedCitation":"[70,132,136]","plainCitation":"[70,132,136]","noteIndex":0},"citationItems":[{"id":1912,"uris":["http://zotero.org/users/5659608/items/D26WIDEA"],"itemData":{"id":1912,"type":"article-journal","abstract":"Heating, ventilation, and air-conditioning (HVAC) systems are sized using design conditions, conditions that occur only a small percentage of time each year. As a result, HVAC systems frequently operate at part-load conditions since their capacity is larger than necessary except in the most extreme weather conditions. Most HVAC systems for residential and small commercial buildings in the U.S. use on/off controls, however, most energy modeling software tools do not simulate the on/off nature of this type of HVAC controls. This paper presents the development and validation of an on/off controller for residential applications in EnergyPlus using a custom EMS (energy management system). This controller is validated using minute-level field data collected for a house located in Sacramento, California with simulated occupancy and internal loads. The results obtained from EnergyPlus with and without the use of the developed on/off controller are also compared. The application of the developed on/off controller improves the HVAC energy use results accuracy around 19% in terms of the Normalized Mean Bias Error (NMBE) at the one-minute level compared to the results without the application of the on/off controller. It also makes the nature of operation and associated energy use signal of the HVAC system more realistic in terms of the on/off nature of the residential direct expansion coils. Furthermore, in this paper, the accuracy improvement of the results dominated by the internal loads is investigated by applying the one-minute schedule compared to the usual hourly schedules for the internal thermal loads.","container-title":"Energy and Buildings","DOI":"10.1016/j.enbuild.2018.11.005","ISSN":"0378-7788","journalAbbreviation":"Energy and Buildings","language":"en","page":"467-483","source":"ScienceDirect","title":"Development and validation of an HVAC on/off controller in EnergyPlus for energy simulation of residential and small commercial buildings","volume":"183","author":[{"family":"Cetin","given":"Kristen S"},{"family":"Fathollahzadeh","given":"Mohammad Hassan"},{"family":"Kunwar","given":"Niraj"},{"family":"Do","given":"Huyen"},{"family":"Tabares-Velasco","given":"Paulo Cesar"}],"issued":{"date-parts":[["2019",1,15]]},"citation-key":"cetinDevelopmentValidationHVAC2019"}},{"id":1381,"uris":["http://zotero.org/users/5659608/items/NPCTC8E8"],"itemData":{"id":1381,"type":"article-journal","abstract":"The advent of smart thermostats with real-time sensing raises the question of how to preemptively control heating, ventilation, and air conditioning (HVAC) systems to minimize energy usage while maintaining occupant comfort. To this end, we empirically compare a standard reactive deadband control to two new smart thermostat HVAC control methods: (1) a model-free reinforcement learning (RL) approach and (2) a novel model predictive control (MPC) method, whose solution is optimal with respect to its data-driven linear model. We evaluated the controls with 500 unique energy models of houses located in the United States. The models were modified to facilitate the short-term performance simulation required for residential HVAC systems. Overall, we found the MPC controller offers three distinct advantages over the RL and deadband methods: (1) MPC had the lowest average cost (defined as a custom weighted combination of runtime and comfort) of the evaluated controllers; (2) the MPC control’s linear model was able to reliably extrapolate from the sparse sample of training observations, thus enabling it to adapt quickly to recent data; and (3) in contrast to RL methods, MPC did not subject the houses or occupants to the discomfort of system exploration.","container-title":"Energy and Buildings","DOI":"10.1016/j.enbuild.2021.111201","ISSN":"0378-7788","journalAbbreviation":"Energy and Buildings","language":"en","page":"111201","source":"ScienceDirect","title":"Development and evaluation of data-driven controls for residential smart thermostats","volume":"249","author":[{"family":"Huchuk","given":"Brent"},{"family":"Sanner","given":"Scott"},{"family":"O’Brien","given":"William"}],"issued":{"date-parts":[["2021",10,15]]},"citation-key":"huchukDevelopmentEvaluationDatadriven2021"}},{"id":1920,"uris":["http://zotero.org/users/5659608/items/9HEICPWU"],"itemData":{"id":1920,"type":"report","abstract":"The paper introduces a hybrid modelling approach that enhances the accuracy and usability of physics-based energy simulation for existing buildings. The approach leverages measured zone air temperature data streams -- increasingly available from smart thermostats -- to derive difficult-to-obtain input parameters for internal thermal mass and infiltration airflow rates. It does so using a reformulated inverse heat balance algorithm. We implemented the inverse algorithms in EnergyPlus and used LBNL's Facility for Low Energy eXperiments (FLEXLAB) for demonstration and validation","language":"English","publisher":"Lawrence Berkeley National Lab. (LBNL), Berkeley, CA (United States)","source":"www.osti.gov","title":"Leveraging Zone Air Temperature Data to Improve Physics-Based Energy Simulation of Existing Buildings","URL":"https://www.osti.gov/biblio/1482546","author":[{"family":"Lee","given":"San Hoon"},{"family":"Hong","given":"Tianzhen"}],"accessed":{"date-parts":[["2023",5,4]]},"issued":{"date-parts":[["2018",11,15]]},"citation-key":"leeLeveragingZoneAir2018"}}],"schema":"https://github.com/citation-style-language/schema/raw/master/csl-citation.json"} </w:instrText>
      </w:r>
      <w:r>
        <w:fldChar w:fldCharType="separate"/>
      </w:r>
      <w:r w:rsidR="0082416B" w:rsidRPr="0082416B">
        <w:t>[70,132,136]</w:t>
      </w:r>
      <w:r>
        <w:fldChar w:fldCharType="end"/>
      </w:r>
      <w:r>
        <w:t xml:space="preserve">, and in each case, the suggested solution is to use </w:t>
      </w:r>
      <w:r w:rsidRPr="00050F2F">
        <w:rPr>
          <w:i/>
          <w:iCs/>
        </w:rPr>
        <w:t xml:space="preserve">ZoneCapatianceMultiplier: ResearchSpeicail </w:t>
      </w:r>
      <w:r>
        <w:t>object, which serves as a correction factor for the zone</w:t>
      </w:r>
      <w:r w:rsidR="00D83C4C">
        <w:t xml:space="preserve"> (moist) air</w:t>
      </w:r>
      <w:r>
        <w:t xml:space="preserve"> capacitance, to solve it. In this study, through trial and error by comparing EnergyPlus results and the smart thermostat data, the multiplier value 3 is selected. </w:t>
      </w:r>
    </w:p>
    <w:p w14:paraId="4D562737" w14:textId="77777777" w:rsidR="00471941" w:rsidRDefault="00471941" w:rsidP="00471941">
      <w:pPr>
        <w:pStyle w:val="Heading4"/>
      </w:pPr>
      <w:bookmarkStart w:id="338" w:name="_Toc141991723"/>
      <w:r>
        <w:lastRenderedPageBreak/>
        <w:t>EnergyPlus model validation</w:t>
      </w:r>
      <w:bookmarkEnd w:id="338"/>
      <w:r>
        <w:t xml:space="preserve"> </w:t>
      </w:r>
    </w:p>
    <w:p w14:paraId="7D2B3A33" w14:textId="0E49FF76" w:rsidR="00471941" w:rsidRPr="00E759FE" w:rsidRDefault="00471941" w:rsidP="00471941">
      <w:r>
        <w:rPr>
          <w:rFonts w:hint="eastAsia"/>
        </w:rPr>
        <w:t>I</w:t>
      </w:r>
      <w:r>
        <w:t xml:space="preserve">n this study, the proposed EnergyPlus model was run with a time step of 5 minutes, which corresponds with the smart thermostat granularity. </w:t>
      </w:r>
      <w:r>
        <w:fldChar w:fldCharType="begin"/>
      </w:r>
      <w:r>
        <w:instrText xml:space="preserve"> REF _Ref134143140 \h </w:instrText>
      </w:r>
      <w:r>
        <w:fldChar w:fldCharType="separate"/>
      </w:r>
      <w:r w:rsidR="000E1725">
        <w:t xml:space="preserve">Figure </w:t>
      </w:r>
      <w:r w:rsidR="000E1725">
        <w:rPr>
          <w:noProof/>
        </w:rPr>
        <w:t>4</w:t>
      </w:r>
      <w:r w:rsidR="000E1725">
        <w:t>.</w:t>
      </w:r>
      <w:r w:rsidR="000E1725">
        <w:rPr>
          <w:noProof/>
        </w:rPr>
        <w:t>14</w:t>
      </w:r>
      <w:r>
        <w:fldChar w:fldCharType="end"/>
      </w:r>
      <w:r>
        <w:t xml:space="preserve"> demonstrates the indoor air temperature comparison between actual smart thermostat measurements and the</w:t>
      </w:r>
      <w:r>
        <w:rPr>
          <w:rFonts w:hint="eastAsia"/>
        </w:rPr>
        <w:t xml:space="preserve"> </w:t>
      </w:r>
      <w:r>
        <w:t xml:space="preserve">EnergyPlus simulated results. The green dashed line in the figure represents the setpoint of the smart thermostat, and as can be seen from the solid red line (i.e., 73 </w:t>
      </w:r>
      <m:oMath>
        <m:r>
          <w:rPr>
            <w:rFonts w:ascii="Cambria Math" w:hAnsi="Cambria Math"/>
          </w:rPr>
          <m:t>℉</m:t>
        </m:r>
      </m:oMath>
      <w:r>
        <w:rPr>
          <w:rFonts w:hint="eastAsia"/>
        </w:rPr>
        <w:t>)</w:t>
      </w:r>
      <w:r>
        <w:t xml:space="preserve"> that the deadband is slightly less than 1 </w:t>
      </w:r>
      <m:oMath>
        <m:r>
          <w:rPr>
            <w:rFonts w:ascii="Cambria Math" w:hAnsi="Cambria Math"/>
          </w:rPr>
          <m:t>℉</m:t>
        </m:r>
      </m:oMath>
      <w:r>
        <w:t xml:space="preserve">. Therefore, the deadband used in the proposed EMS is 0.9 </w:t>
      </w:r>
      <m:oMath>
        <m:r>
          <w:rPr>
            <w:rFonts w:ascii="Cambria Math" w:hAnsi="Cambria Math"/>
          </w:rPr>
          <m:t>℉</m:t>
        </m:r>
      </m:oMath>
      <w:r>
        <w:t xml:space="preserve"> (or 0.5 </w:t>
      </w:r>
      <m:oMath>
        <m:r>
          <w:rPr>
            <w:rFonts w:ascii="Cambria Math" w:hAnsi="Cambria Math"/>
          </w:rPr>
          <m:t>℃</m:t>
        </m:r>
      </m:oMath>
      <w:r>
        <w:t>). The actual energy consumption obtained from the smart power meter and the simulated energy consumption obtained from the Energy</w:t>
      </w:r>
      <w:r>
        <w:rPr>
          <w:rFonts w:hint="eastAsia"/>
        </w:rPr>
        <w:t>P</w:t>
      </w:r>
      <w:r>
        <w:t xml:space="preserve">lus are also listed in this figure. Although mismatches still exist especially in the late afternoon, the EnergyPlus simulated indoor air temperature matches smart thermostat measurement for the majority of the day, and the energy consumption is relatively close. </w:t>
      </w:r>
    </w:p>
    <w:p w14:paraId="7E64B2D4" w14:textId="77777777" w:rsidR="00471941" w:rsidRDefault="00471941" w:rsidP="00471941">
      <w:pPr>
        <w:keepNext/>
      </w:pPr>
      <w:r>
        <w:rPr>
          <w:noProof/>
        </w:rPr>
        <w:drawing>
          <wp:inline distT="0" distB="0" distL="0" distR="0" wp14:anchorId="78FDB563" wp14:editId="37BAB5C6">
            <wp:extent cx="5264209" cy="1788795"/>
            <wp:effectExtent l="0" t="0" r="6350" b="1905"/>
            <wp:docPr id="1049694876" name="Picture 1049694876"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694876" name="Picture 1049694876" descr="A picture containing text, screenshot, line, font&#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266769" cy="1789665"/>
                    </a:xfrm>
                    <a:prstGeom prst="rect">
                      <a:avLst/>
                    </a:prstGeom>
                  </pic:spPr>
                </pic:pic>
              </a:graphicData>
            </a:graphic>
          </wp:inline>
        </w:drawing>
      </w:r>
    </w:p>
    <w:p w14:paraId="782D7C67" w14:textId="3390F68E" w:rsidR="00471941" w:rsidRDefault="00471941" w:rsidP="00471941">
      <w:pPr>
        <w:pStyle w:val="13FigureCaption"/>
      </w:pPr>
      <w:bookmarkStart w:id="339" w:name="_Ref134143140"/>
      <w:bookmarkStart w:id="340" w:name="_Toc141349935"/>
      <w:r>
        <w:t xml:space="preserve">Figure </w:t>
      </w:r>
      <w:fldSimple w:instr=" STYLEREF 1 \s ">
        <w:r w:rsidR="000E1725">
          <w:rPr>
            <w:noProof/>
          </w:rPr>
          <w:t>4</w:t>
        </w:r>
      </w:fldSimple>
      <w:r w:rsidR="005445E0">
        <w:t>.</w:t>
      </w:r>
      <w:fldSimple w:instr=" SEQ Figure \* ARABIC \s 1 ">
        <w:r w:rsidR="000E1725">
          <w:rPr>
            <w:noProof/>
          </w:rPr>
          <w:t>14</w:t>
        </w:r>
      </w:fldSimple>
      <w:bookmarkEnd w:id="339"/>
      <w:r>
        <w:t xml:space="preserve"> Indoor </w:t>
      </w:r>
      <w:r>
        <w:rPr>
          <w:rFonts w:hint="eastAsia"/>
        </w:rPr>
        <w:t>air</w:t>
      </w:r>
      <w:r>
        <w:t xml:space="preserve"> temperature comparison between actual smart thermostat measurement and EnergyPlus simulation</w:t>
      </w:r>
      <w:bookmarkEnd w:id="340"/>
    </w:p>
    <w:p w14:paraId="040A7255" w14:textId="6F32CE6D" w:rsidR="00471941" w:rsidRDefault="00471941" w:rsidP="00471941">
      <w:r>
        <w:fldChar w:fldCharType="begin"/>
      </w:r>
      <w:r>
        <w:instrText xml:space="preserve"> REF _Ref134189081 \h </w:instrText>
      </w:r>
      <w:r>
        <w:fldChar w:fldCharType="separate"/>
      </w:r>
      <w:r w:rsidR="000E1725">
        <w:t xml:space="preserve">Figure </w:t>
      </w:r>
      <w:r w:rsidR="000E1725">
        <w:rPr>
          <w:noProof/>
        </w:rPr>
        <w:t>4</w:t>
      </w:r>
      <w:r w:rsidR="000E1725">
        <w:t>.</w:t>
      </w:r>
      <w:r w:rsidR="000E1725">
        <w:rPr>
          <w:noProof/>
        </w:rPr>
        <w:t>15</w:t>
      </w:r>
      <w:r>
        <w:fldChar w:fldCharType="end"/>
      </w:r>
      <w:r>
        <w:t xml:space="preserve"> shows the comparison between the simulated daily energy consumption obtained from EnergyPlus (red bard) and the actual daily energy consumption obtained from </w:t>
      </w:r>
      <w:r>
        <w:lastRenderedPageBreak/>
        <w:t xml:space="preserve">the smart power meter (black) for five continuous days in August. The discrepancies between the simulated results and the actual measurements are listed above each pair of bars, where the largest discrepancy is 10.69 kWh and the smallest one is 1.71 kWh. The daily average outdoor air temperatures, as well as the daily maximum and daily minimum outdoor air temperatures, are listed as blue dots. It can be seen from the figure that the maximum discrepancy occurred when the minimum daily outdoor air temperature reached its lowest point during these five days. A reasonable suspension is when the outdoor weather condition has changed, for example, a cold night on August 19, or a cold day on August 21. The performance of the EnergyPlus model may not as good as the performance in a standard hot summer day (e.g., August 20). </w:t>
      </w:r>
    </w:p>
    <w:p w14:paraId="1FD0E48C" w14:textId="77777777" w:rsidR="00471941" w:rsidRDefault="00471941" w:rsidP="00471941">
      <w:pPr>
        <w:keepNext/>
      </w:pPr>
      <w:r>
        <w:rPr>
          <w:rFonts w:hint="eastAsia"/>
          <w:noProof/>
        </w:rPr>
        <w:drawing>
          <wp:inline distT="0" distB="0" distL="0" distR="0" wp14:anchorId="6D35B079" wp14:editId="3FBFF3D0">
            <wp:extent cx="5356696" cy="2321234"/>
            <wp:effectExtent l="0" t="0" r="0" b="3175"/>
            <wp:docPr id="1787066045" name="Picture 1787066045" descr="A picture containing text, screenshot,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066045" name="Picture 1787066045" descr="A picture containing text, screenshot, diagram, plot&#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356696" cy="2321234"/>
                    </a:xfrm>
                    <a:prstGeom prst="rect">
                      <a:avLst/>
                    </a:prstGeom>
                  </pic:spPr>
                </pic:pic>
              </a:graphicData>
            </a:graphic>
          </wp:inline>
        </w:drawing>
      </w:r>
    </w:p>
    <w:p w14:paraId="2BDC9525" w14:textId="136F06CB" w:rsidR="00471941" w:rsidRPr="00113937" w:rsidRDefault="00471941" w:rsidP="00471941">
      <w:pPr>
        <w:pStyle w:val="13FigureCaption"/>
      </w:pPr>
      <w:bookmarkStart w:id="341" w:name="_Ref134189081"/>
      <w:bookmarkStart w:id="342" w:name="_Toc141349936"/>
      <w:r>
        <w:t xml:space="preserve">Figure </w:t>
      </w:r>
      <w:fldSimple w:instr=" STYLEREF 1 \s ">
        <w:r w:rsidR="000E1725">
          <w:rPr>
            <w:noProof/>
          </w:rPr>
          <w:t>4</w:t>
        </w:r>
      </w:fldSimple>
      <w:r w:rsidR="005445E0">
        <w:t>.</w:t>
      </w:r>
      <w:fldSimple w:instr=" SEQ Figure \* ARABIC \s 1 ">
        <w:r w:rsidR="000E1725">
          <w:rPr>
            <w:noProof/>
          </w:rPr>
          <w:t>15</w:t>
        </w:r>
      </w:fldSimple>
      <w:bookmarkEnd w:id="341"/>
      <w:r>
        <w:t xml:space="preserve"> Daily energy consumption comparison with outdoor air temperature</w:t>
      </w:r>
      <w:bookmarkEnd w:id="342"/>
      <w:r>
        <w:t xml:space="preserve"> </w:t>
      </w:r>
    </w:p>
    <w:p w14:paraId="48526E74" w14:textId="77777777" w:rsidR="00471941" w:rsidRPr="00777F10" w:rsidRDefault="00471941" w:rsidP="00471941">
      <w:pPr>
        <w:pStyle w:val="Heading3"/>
      </w:pPr>
      <w:bookmarkStart w:id="343" w:name="_Toc141991724"/>
      <w:r>
        <w:rPr>
          <w:rFonts w:eastAsiaTheme="minorEastAsia"/>
        </w:rPr>
        <w:t xml:space="preserve">Evaluate </w:t>
      </w:r>
      <w:r w:rsidRPr="00161369">
        <w:rPr>
          <w:rFonts w:eastAsiaTheme="minorEastAsia"/>
        </w:rPr>
        <w:t xml:space="preserve">MPC-based precooling </w:t>
      </w:r>
      <w:r>
        <w:rPr>
          <w:rFonts w:eastAsiaTheme="minorEastAsia"/>
        </w:rPr>
        <w:t>performance at the virtual testbed</w:t>
      </w:r>
      <w:bookmarkEnd w:id="343"/>
      <w:r>
        <w:rPr>
          <w:rFonts w:eastAsiaTheme="minorEastAsia"/>
        </w:rPr>
        <w:t xml:space="preserve"> </w:t>
      </w:r>
    </w:p>
    <w:p w14:paraId="1D6432F5" w14:textId="77777777" w:rsidR="00471941" w:rsidRDefault="00471941" w:rsidP="00471941">
      <w:r>
        <w:t>Since the EnergyPlus model has been proven that it can provide a realistic indoor air temperature response and mimic the on/off cycle thermostat control with deadband, it can be useful for the MPC-based precooling control investigation. This section presents the MPC-</w:t>
      </w:r>
      <w:r>
        <w:lastRenderedPageBreak/>
        <w:t>based precooling control workflow for the virtual testbed, the selection of a hyperparameter for MPC-base precooling control, and the test result analysis for different hyperparameters.</w:t>
      </w:r>
    </w:p>
    <w:p w14:paraId="28039A2D" w14:textId="77777777" w:rsidR="00471941" w:rsidRDefault="00471941" w:rsidP="00471941">
      <w:pPr>
        <w:pStyle w:val="Heading4"/>
      </w:pPr>
      <w:r>
        <w:t xml:space="preserve"> </w:t>
      </w:r>
      <w:bookmarkStart w:id="344" w:name="_Toc141991725"/>
      <w:r>
        <w:t>MPC-based precooling control workflow</w:t>
      </w:r>
      <w:bookmarkEnd w:id="344"/>
    </w:p>
    <w:p w14:paraId="2D3E7A87" w14:textId="72FF8A81" w:rsidR="00471941" w:rsidRPr="00161369" w:rsidRDefault="00471941" w:rsidP="00471941">
      <w:r>
        <w:t xml:space="preserve">To conduct the MPC-based precooling control using the virtual testbed, a Python script is used to process the required inputs, solve the same mixed-integer linear programming (MILP) problem mentioned in Section </w:t>
      </w:r>
      <w:r>
        <w:fldChar w:fldCharType="begin"/>
      </w:r>
      <w:r>
        <w:instrText xml:space="preserve"> REF _Ref134218188 \n \h </w:instrText>
      </w:r>
      <w:r>
        <w:fldChar w:fldCharType="separate"/>
      </w:r>
      <w:r w:rsidR="000E1725">
        <w:t>4.2.1</w:t>
      </w:r>
      <w:r>
        <w:fldChar w:fldCharType="end"/>
      </w:r>
      <w:r>
        <w:t xml:space="preserve">, and communicate with the EnergyPlus model. As shown in </w:t>
      </w:r>
      <w:r>
        <w:fldChar w:fldCharType="begin"/>
      </w:r>
      <w:r>
        <w:instrText xml:space="preserve"> REF _Ref134306210 \h </w:instrText>
      </w:r>
      <w:r>
        <w:fldChar w:fldCharType="separate"/>
      </w:r>
      <w:r w:rsidR="000E1725">
        <w:t xml:space="preserve">Figure </w:t>
      </w:r>
      <w:r w:rsidR="000E1725">
        <w:rPr>
          <w:noProof/>
        </w:rPr>
        <w:t>4</w:t>
      </w:r>
      <w:r w:rsidR="000E1725">
        <w:t>.</w:t>
      </w:r>
      <w:r w:rsidR="000E1725">
        <w:rPr>
          <w:noProof/>
        </w:rPr>
        <w:t>16</w:t>
      </w:r>
      <w:r>
        <w:fldChar w:fldCharType="end"/>
      </w:r>
      <w:r>
        <w:t xml:space="preserve">, a similar workflow for the MPC agent mentioned in Section </w:t>
      </w:r>
      <w:r>
        <w:fldChar w:fldCharType="begin"/>
      </w:r>
      <w:r>
        <w:instrText xml:space="preserve"> REF _Ref134218202 \n \h </w:instrText>
      </w:r>
      <w:r>
        <w:fldChar w:fldCharType="separate"/>
      </w:r>
      <w:r w:rsidR="000E1725">
        <w:t>4.2.2</w:t>
      </w:r>
      <w:r>
        <w:fldChar w:fldCharType="end"/>
      </w:r>
      <w:r>
        <w:t xml:space="preserve"> are utilized. Note that three modifications are made for conducting the test in a virtual testbed. First, at each time step, the initial condition</w:t>
      </w:r>
      <w:r>
        <w:rPr>
          <w:rFonts w:hint="eastAsia"/>
        </w:rPr>
        <w:t xml:space="preserve"> </w:t>
      </w:r>
      <m:oMath>
        <m:sSub>
          <m:sSubPr>
            <m:ctrlPr>
              <w:rPr>
                <w:rFonts w:ascii="Cambria Math" w:hAnsi="Cambria Math"/>
                <w:i/>
              </w:rPr>
            </m:ctrlPr>
          </m:sSubPr>
          <m:e>
            <m:r>
              <w:rPr>
                <w:rFonts w:ascii="Cambria Math" w:hAnsi="Cambria Math"/>
              </w:rPr>
              <m:t>T</m:t>
            </m:r>
          </m:e>
          <m:sub>
            <m:r>
              <w:rPr>
                <w:rFonts w:ascii="Cambria Math" w:hAnsi="Cambria Math"/>
              </w:rPr>
              <m:t>in</m:t>
            </m:r>
          </m:sub>
        </m:sSub>
      </m:oMath>
      <w:r>
        <w:rPr>
          <w:rFonts w:hint="eastAsia"/>
        </w:rPr>
        <w:t xml:space="preserve"> </w:t>
      </w:r>
      <w:r>
        <w:t xml:space="preserve">and </w:t>
      </w:r>
      <m:oMath>
        <m:sSub>
          <m:sSubPr>
            <m:ctrlPr>
              <w:rPr>
                <w:rFonts w:ascii="Cambria Math" w:hAnsi="Cambria Math"/>
                <w:i/>
              </w:rPr>
            </m:ctrlPr>
          </m:sSubPr>
          <m:e>
            <m:r>
              <w:rPr>
                <w:rFonts w:ascii="Cambria Math" w:hAnsi="Cambria Math"/>
              </w:rPr>
              <m:t>T</m:t>
            </m:r>
          </m:e>
          <m:sub>
            <m:r>
              <w:rPr>
                <w:rFonts w:ascii="Cambria Math" w:hAnsi="Cambria Math"/>
              </w:rPr>
              <m:t>ie</m:t>
            </m:r>
          </m:sub>
        </m:sSub>
      </m:oMath>
      <w:r>
        <w:t xml:space="preserve"> are obtained from zone air temperature and the north-facing inside face surface temperature instead of the thermostat and node sensor reading. Second, once the optimal on/off decision is made, different from the smart thermostat in real homes, this decision can be directly implemented by adjusting the actuator status at the virtual testbed through the Python Plugin connected with the EMS to turn on or off the heat pump. Third, the parameters of the model are identified by using the simulated dataset generated by EnergyPlus instead of the real measurements. The weather forecast, TOU rate, and thermal comfort range are the same datasets mentioned in Section </w:t>
      </w:r>
      <w:r>
        <w:fldChar w:fldCharType="begin"/>
      </w:r>
      <w:r>
        <w:instrText xml:space="preserve"> REF _Ref134311818 \r \h </w:instrText>
      </w:r>
      <w:r>
        <w:fldChar w:fldCharType="separate"/>
      </w:r>
      <w:r w:rsidR="000E1725">
        <w:t>4.3.1</w:t>
      </w:r>
      <w:r>
        <w:fldChar w:fldCharType="end"/>
      </w:r>
      <w:r>
        <w:t>.</w:t>
      </w:r>
    </w:p>
    <w:p w14:paraId="50EF6023" w14:textId="77777777" w:rsidR="00471941" w:rsidRDefault="00471941" w:rsidP="00623535">
      <w:pPr>
        <w:pStyle w:val="12FigureFormatSelectafigureandclickonthisstyle"/>
      </w:pPr>
      <w:r>
        <w:rPr>
          <w:noProof/>
        </w:rPr>
        <w:lastRenderedPageBreak/>
        <w:drawing>
          <wp:inline distT="0" distB="0" distL="0" distR="0" wp14:anchorId="41F95518" wp14:editId="15424E17">
            <wp:extent cx="5359924" cy="2157984"/>
            <wp:effectExtent l="0" t="0" r="0" b="0"/>
            <wp:docPr id="2014992181" name="Picture 201499218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92181" name="Picture 1" descr="A screenshot of a computer&#10;&#10;Description automatically generated with low confidenc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362555" cy="2159043"/>
                    </a:xfrm>
                    <a:prstGeom prst="rect">
                      <a:avLst/>
                    </a:prstGeom>
                  </pic:spPr>
                </pic:pic>
              </a:graphicData>
            </a:graphic>
          </wp:inline>
        </w:drawing>
      </w:r>
    </w:p>
    <w:p w14:paraId="0A48096B" w14:textId="332CC078" w:rsidR="00471941" w:rsidRDefault="00471941" w:rsidP="00471941">
      <w:pPr>
        <w:pStyle w:val="13FigureCaption"/>
      </w:pPr>
      <w:bookmarkStart w:id="345" w:name="_Ref134306210"/>
      <w:bookmarkStart w:id="346" w:name="_Toc141349937"/>
      <w:r>
        <w:t xml:space="preserve">Figure </w:t>
      </w:r>
      <w:fldSimple w:instr=" STYLEREF 1 \s ">
        <w:r w:rsidR="000E1725">
          <w:rPr>
            <w:noProof/>
          </w:rPr>
          <w:t>4</w:t>
        </w:r>
      </w:fldSimple>
      <w:r w:rsidR="005445E0">
        <w:t>.</w:t>
      </w:r>
      <w:fldSimple w:instr=" SEQ Figure \* ARABIC \s 1 ">
        <w:r w:rsidR="000E1725">
          <w:rPr>
            <w:noProof/>
          </w:rPr>
          <w:t>16</w:t>
        </w:r>
      </w:fldSimple>
      <w:bookmarkEnd w:id="345"/>
      <w:r>
        <w:t xml:space="preserve"> MPC-based precooling control through Python plugin and EnergyPlus virtual testbed.</w:t>
      </w:r>
      <w:bookmarkEnd w:id="346"/>
      <w:r>
        <w:t xml:space="preserve"> </w:t>
      </w:r>
    </w:p>
    <w:p w14:paraId="089DF42A" w14:textId="77777777" w:rsidR="00471941" w:rsidRDefault="00471941" w:rsidP="00471941">
      <w:pPr>
        <w:pStyle w:val="Heading4"/>
      </w:pPr>
      <w:bookmarkStart w:id="347" w:name="_Ref139416783"/>
      <w:bookmarkStart w:id="348" w:name="_Toc141991726"/>
      <w:r>
        <w:t>MPC hyperparameter choice</w:t>
      </w:r>
      <w:bookmarkEnd w:id="347"/>
      <w:bookmarkEnd w:id="348"/>
      <w:r>
        <w:t xml:space="preserve"> </w:t>
      </w:r>
    </w:p>
    <w:p w14:paraId="2EAC9BC4" w14:textId="2BBDDB41" w:rsidR="00471941" w:rsidRDefault="00471941" w:rsidP="00471941">
      <w:r>
        <w:rPr>
          <w:rFonts w:hint="eastAsia"/>
        </w:rPr>
        <w:t>E</w:t>
      </w:r>
      <w:r>
        <w:t xml:space="preserve">xcept for the factors that can greatly impact MPC-based precooling test results discussed in Section </w:t>
      </w:r>
      <w:r w:rsidR="00D83C4C">
        <w:fldChar w:fldCharType="begin"/>
      </w:r>
      <w:r w:rsidR="00D83C4C">
        <w:instrText xml:space="preserve"> REF _Ref139416983 \n \h </w:instrText>
      </w:r>
      <w:r w:rsidR="00D83C4C">
        <w:fldChar w:fldCharType="separate"/>
      </w:r>
      <w:r w:rsidR="000E1725">
        <w:t>4.3.3.2</w:t>
      </w:r>
      <w:r w:rsidR="00D83C4C">
        <w:fldChar w:fldCharType="end"/>
      </w:r>
      <w:r w:rsidR="00D83C4C">
        <w:t xml:space="preserve">, </w:t>
      </w:r>
      <w:r>
        <w:t xml:space="preserve">the MPC hyperparameters, which are consistently chosen in field test results, may also have a different impact on the test results. Their impact is hard to test in the field due to the limitations of real homes but can be tested more conveniently in a virtual testbed. Among various hyperparameters, the model, optimization horizon, and use of forecasted weather are the impact factors discussed in this study. Apart from the concern of making the combinatorial space of hyperparameter too large, another reason for this choice is that some other hyperparameters, such as control sampling time, are less practical for real-world applications (as the smart thermostat typically updates at 5-minute intervals). </w:t>
      </w:r>
    </w:p>
    <w:p w14:paraId="7E331F73" w14:textId="14055457" w:rsidR="00D83C4C" w:rsidRDefault="00471941" w:rsidP="00471941">
      <w:r>
        <w:t xml:space="preserve">The prediction horizon, the usage of forecasted weather, and the model used in impact analysis are summarized in </w:t>
      </w:r>
      <w:r>
        <w:fldChar w:fldCharType="begin"/>
      </w:r>
      <w:r>
        <w:instrText xml:space="preserve"> REF _Ref134351222 \h </w:instrText>
      </w:r>
      <w:r>
        <w:fldChar w:fldCharType="separate"/>
      </w:r>
      <w:r w:rsidR="000E1725">
        <w:t xml:space="preserve">Table </w:t>
      </w:r>
      <w:r w:rsidR="000E1725">
        <w:rPr>
          <w:noProof/>
        </w:rPr>
        <w:t>4</w:t>
      </w:r>
      <w:r w:rsidR="000E1725">
        <w:t>.</w:t>
      </w:r>
      <w:r w:rsidR="000E1725">
        <w:rPr>
          <w:noProof/>
        </w:rPr>
        <w:t>7</w:t>
      </w:r>
      <w:r>
        <w:fldChar w:fldCharType="end"/>
      </w:r>
      <w:r>
        <w:t xml:space="preserve">. Here the model used in the MPC-based precooling refers to the RC network model. The parameter identification of these types of models is discussed </w:t>
      </w:r>
      <w:r>
        <w:lastRenderedPageBreak/>
        <w:t>in</w:t>
      </w:r>
      <w:r w:rsidR="00D83C4C">
        <w:t xml:space="preserve"> Chapter </w:t>
      </w:r>
      <w:r w:rsidR="00D83C4C">
        <w:rPr>
          <w:highlight w:val="yellow"/>
        </w:rPr>
        <w:fldChar w:fldCharType="begin"/>
      </w:r>
      <w:r w:rsidR="00D83C4C">
        <w:instrText xml:space="preserve"> REF _Ref139416841 \n \h </w:instrText>
      </w:r>
      <w:r w:rsidR="00D83C4C">
        <w:rPr>
          <w:highlight w:val="yellow"/>
        </w:rPr>
      </w:r>
      <w:r w:rsidR="00D83C4C">
        <w:rPr>
          <w:highlight w:val="yellow"/>
        </w:rPr>
        <w:fldChar w:fldCharType="separate"/>
      </w:r>
      <w:r w:rsidR="000E1725">
        <w:t>3</w:t>
      </w:r>
      <w:r w:rsidR="00D83C4C">
        <w:rPr>
          <w:highlight w:val="yellow"/>
        </w:rPr>
        <w:fldChar w:fldCharType="end"/>
      </w:r>
      <w:r w:rsidR="00D83C4C">
        <w:t>.</w:t>
      </w:r>
      <w:r>
        <w:t xml:space="preserve"> To further investigate the impact of model accuracy on MPC results, except for the 2</w:t>
      </w:r>
      <w:r>
        <w:rPr>
          <w:rFonts w:hint="eastAsia"/>
        </w:rPr>
        <w:t>R</w:t>
      </w:r>
      <w:r>
        <w:t>2</w:t>
      </w:r>
      <w:r>
        <w:rPr>
          <w:rFonts w:hint="eastAsia"/>
        </w:rPr>
        <w:t>C</w:t>
      </w:r>
      <w:r>
        <w:t xml:space="preserve"> model discussed in</w:t>
      </w:r>
      <w:r w:rsidR="00D83C4C" w:rsidRPr="00D83C4C">
        <w:t xml:space="preserve"> </w:t>
      </w:r>
      <w:r w:rsidR="00D83C4C">
        <w:t xml:space="preserve">Chapter </w:t>
      </w:r>
      <w:r w:rsidR="00D83C4C">
        <w:rPr>
          <w:highlight w:val="yellow"/>
        </w:rPr>
        <w:fldChar w:fldCharType="begin"/>
      </w:r>
      <w:r w:rsidR="00D83C4C">
        <w:instrText xml:space="preserve"> REF _Ref139416841 \n \h </w:instrText>
      </w:r>
      <w:r w:rsidR="00D83C4C">
        <w:rPr>
          <w:highlight w:val="yellow"/>
        </w:rPr>
      </w:r>
      <w:r w:rsidR="00D83C4C">
        <w:rPr>
          <w:highlight w:val="yellow"/>
        </w:rPr>
        <w:fldChar w:fldCharType="separate"/>
      </w:r>
      <w:r w:rsidR="000E1725">
        <w:t>3</w:t>
      </w:r>
      <w:r w:rsidR="00D83C4C">
        <w:rPr>
          <w:highlight w:val="yellow"/>
        </w:rPr>
        <w:fldChar w:fldCharType="end"/>
      </w:r>
      <w:r w:rsidR="00D83C4C">
        <w:t xml:space="preserve">, </w:t>
      </w:r>
      <w:r>
        <w:t xml:space="preserve">a 1R1C model shown in </w:t>
      </w:r>
      <w:r>
        <w:fldChar w:fldCharType="begin"/>
      </w:r>
      <w:r>
        <w:instrText xml:space="preserve"> REF _Ref134437164 \h </w:instrText>
      </w:r>
      <w:r>
        <w:fldChar w:fldCharType="separate"/>
      </w:r>
      <w:r w:rsidR="000E1725">
        <w:t>(</w:t>
      </w:r>
      <w:r w:rsidR="000E1725">
        <w:rPr>
          <w:noProof/>
        </w:rPr>
        <w:t>34</w:t>
      </w:r>
      <w:r w:rsidR="000E1725">
        <w:t>)</w:t>
      </w:r>
      <w:r>
        <w:fldChar w:fldCharType="end"/>
      </w:r>
      <w:r>
        <w:t xml:space="preserve">, a 2R2C model with reduced AC impact by multiplying </w:t>
      </w:r>
      <m:oMath>
        <m:sSub>
          <m:sSubPr>
            <m:ctrlPr>
              <w:rPr>
                <w:rFonts w:ascii="Cambria Math" w:hAnsi="Cambria Math"/>
                <w:i/>
              </w:rPr>
            </m:ctrlPr>
          </m:sSubPr>
          <m:e>
            <m:r>
              <w:rPr>
                <w:rFonts w:ascii="Cambria Math" w:hAnsi="Cambria Math"/>
              </w:rPr>
              <m:t>c</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rPr>
          <w:rFonts w:hint="eastAsia"/>
        </w:rPr>
        <w:t xml:space="preserve"> </w:t>
      </w:r>
      <w:r>
        <w:t xml:space="preserve">by 0.9, and a 2R2C model with reduced thermal mass impact by multiplying </w:t>
      </w:r>
      <m:oMath>
        <m:sSub>
          <m:sSubPr>
            <m:ctrlPr>
              <w:rPr>
                <w:rFonts w:ascii="Cambria Math" w:hAnsi="Cambria Math"/>
                <w:i/>
              </w:rPr>
            </m:ctrlPr>
          </m:sSubPr>
          <m:e>
            <m:r>
              <m:rPr>
                <m:sty m:val="p"/>
              </m:rPr>
              <w:rPr>
                <w:rFonts w:ascii="Cambria Math" w:hAnsi="Cambria Math"/>
              </w:rPr>
              <m:t>τ</m:t>
            </m:r>
            <m:ctrlPr>
              <w:rPr>
                <w:rFonts w:ascii="Cambria Math" w:hAnsi="Cambria Math"/>
              </w:rPr>
            </m:ctrlPr>
          </m:e>
          <m:sub>
            <m:r>
              <w:rPr>
                <w:rFonts w:ascii="Cambria Math" w:hAnsi="Cambria Math"/>
              </w:rPr>
              <m:t>1</m:t>
            </m:r>
          </m:sub>
        </m:sSub>
      </m:oMath>
      <w:r>
        <w:t xml:space="preserve"> and </w:t>
      </w:r>
      <m:oMath>
        <m:sSub>
          <m:sSubPr>
            <m:ctrlPr>
              <w:rPr>
                <w:rFonts w:ascii="Cambria Math" w:hAnsi="Cambria Math"/>
                <w:i/>
              </w:rPr>
            </m:ctrlPr>
          </m:sSubPr>
          <m:e>
            <m:r>
              <m:rPr>
                <m:sty m:val="p"/>
              </m:rPr>
              <w:rPr>
                <w:rFonts w:ascii="Cambria Math" w:hAnsi="Cambria Math"/>
              </w:rPr>
              <m:t>τ</m:t>
            </m:r>
            <m:ctrlPr>
              <w:rPr>
                <w:rFonts w:ascii="Cambria Math" w:hAnsi="Cambria Math"/>
              </w:rPr>
            </m:ctrlPr>
          </m:e>
          <m:sub>
            <m:r>
              <w:rPr>
                <w:rFonts w:ascii="Cambria Math" w:hAnsi="Cambria Math"/>
              </w:rPr>
              <m:t>2</m:t>
            </m:r>
          </m:sub>
        </m:sSub>
      </m:oMath>
      <w:r>
        <w:rPr>
          <w:rFonts w:hint="eastAsia"/>
        </w:rPr>
        <w:t xml:space="preserve"> </w:t>
      </w:r>
      <w:r>
        <w:t xml:space="preserve">by 0.9 are also used in MPC-based precooling tests. </w:t>
      </w:r>
      <w:r>
        <w:fldChar w:fldCharType="begin"/>
      </w:r>
      <w:r>
        <w:instrText xml:space="preserve"> REF _Ref134352236 \h </w:instrText>
      </w:r>
      <w:r>
        <w:fldChar w:fldCharType="separate"/>
      </w:r>
      <w:r w:rsidR="000E1725">
        <w:t xml:space="preserve">Figure </w:t>
      </w:r>
      <w:r w:rsidR="000E1725">
        <w:rPr>
          <w:noProof/>
        </w:rPr>
        <w:t>4</w:t>
      </w:r>
      <w:r w:rsidR="000E1725">
        <w:t>.</w:t>
      </w:r>
      <w:r w:rsidR="000E1725">
        <w:rPr>
          <w:noProof/>
        </w:rPr>
        <w:t>17</w:t>
      </w:r>
      <w:r>
        <w:fldChar w:fldCharType="end"/>
      </w:r>
      <w:r>
        <w:t xml:space="preserve"> demonstrates an example of a 2R2C model (red), a </w:t>
      </w:r>
      <m:oMath>
        <m:r>
          <w:rPr>
            <w:rFonts w:ascii="Cambria Math" w:hAnsi="Cambria Math"/>
          </w:rPr>
          <m:t>2R2</m:t>
        </m:r>
        <m:sSub>
          <m:sSubPr>
            <m:ctrlPr>
              <w:rPr>
                <w:rFonts w:ascii="Cambria Math" w:eastAsia="DengXian" w:hAnsi="Cambria Math"/>
                <w:i/>
              </w:rPr>
            </m:ctrlPr>
          </m:sSubPr>
          <m:e>
            <m:r>
              <w:rPr>
                <w:rFonts w:ascii="Cambria Math" w:hAnsi="Cambria Math"/>
              </w:rPr>
              <m:t>C</m:t>
            </m:r>
            <m:ctrlPr>
              <w:rPr>
                <w:rFonts w:ascii="Cambria Math" w:hAnsi="Cambria Math"/>
                <w:i/>
              </w:rPr>
            </m:ctrlPr>
          </m:e>
          <m:sub>
            <m:r>
              <w:rPr>
                <w:rFonts w:ascii="Cambria Math" w:hAnsi="Cambria Math"/>
              </w:rPr>
              <m:t>reduc</m:t>
            </m:r>
            <m:sSub>
              <m:sSubPr>
                <m:ctrlPr>
                  <w:rPr>
                    <w:rFonts w:ascii="Cambria Math" w:eastAsia="DengXian" w:hAnsi="Cambria Math"/>
                    <w:i/>
                  </w:rPr>
                </m:ctrlPr>
              </m:sSubPr>
              <m:e>
                <m:r>
                  <w:rPr>
                    <w:rFonts w:ascii="Cambria Math" w:hAnsi="Cambria Math"/>
                  </w:rPr>
                  <m:t>e</m:t>
                </m:r>
                <m:ctrlPr>
                  <w:rPr>
                    <w:rFonts w:ascii="Cambria Math" w:hAnsi="Cambria Math"/>
                    <w:i/>
                  </w:rPr>
                </m:ctrlPr>
              </m:e>
              <m:sub>
                <m:r>
                  <w:rPr>
                    <w:rFonts w:ascii="Cambria Math" w:hAnsi="Cambria Math"/>
                  </w:rPr>
                  <m:t>AC</m:t>
                </m:r>
              </m:sub>
            </m:sSub>
          </m:sub>
        </m:sSub>
      </m:oMath>
      <w:r>
        <w:t xml:space="preserve"> model, and a </w:t>
      </w:r>
      <m:oMath>
        <m:r>
          <w:rPr>
            <w:rFonts w:ascii="Cambria Math" w:hAnsi="Cambria Math"/>
          </w:rPr>
          <m:t>2R2</m:t>
        </m:r>
        <m:sSub>
          <m:sSubPr>
            <m:ctrlPr>
              <w:rPr>
                <w:rFonts w:ascii="Cambria Math" w:eastAsia="DengXian" w:hAnsi="Cambria Math"/>
                <w:i/>
              </w:rPr>
            </m:ctrlPr>
          </m:sSubPr>
          <m:e>
            <m:r>
              <w:rPr>
                <w:rFonts w:ascii="Cambria Math" w:hAnsi="Cambria Math"/>
              </w:rPr>
              <m:t>C</m:t>
            </m:r>
            <m:ctrlPr>
              <w:rPr>
                <w:rFonts w:ascii="Cambria Math" w:hAnsi="Cambria Math"/>
                <w:i/>
              </w:rPr>
            </m:ctrlPr>
          </m:e>
          <m:sub>
            <m:r>
              <w:rPr>
                <w:rFonts w:ascii="Cambria Math" w:hAnsi="Cambria Math"/>
              </w:rPr>
              <m:t>reduc</m:t>
            </m:r>
            <m:sSub>
              <m:sSubPr>
                <m:ctrlPr>
                  <w:rPr>
                    <w:rFonts w:ascii="Cambria Math" w:eastAsia="DengXian" w:hAnsi="Cambria Math"/>
                    <w:i/>
                  </w:rPr>
                </m:ctrlPr>
              </m:sSubPr>
              <m:e>
                <m:r>
                  <w:rPr>
                    <w:rFonts w:ascii="Cambria Math" w:hAnsi="Cambria Math"/>
                  </w:rPr>
                  <m:t>e</m:t>
                </m:r>
                <m:ctrlPr>
                  <w:rPr>
                    <w:rFonts w:ascii="Cambria Math" w:hAnsi="Cambria Math"/>
                    <w:i/>
                  </w:rPr>
                </m:ctrlPr>
              </m:e>
              <m:sub>
                <m:sSub>
                  <m:sSubPr>
                    <m:ctrlPr>
                      <w:rPr>
                        <w:rFonts w:ascii="Cambria Math" w:hAnsi="Cambria Math"/>
                        <w:i/>
                      </w:rPr>
                    </m:ctrlPr>
                  </m:sSubPr>
                  <m:e>
                    <m:r>
                      <w:rPr>
                        <w:rFonts w:ascii="Cambria Math" w:hAnsi="Cambria Math"/>
                      </w:rPr>
                      <m:t>τ</m:t>
                    </m:r>
                  </m:e>
                  <m:sub>
                    <m:r>
                      <w:rPr>
                        <w:rFonts w:ascii="Cambria Math" w:hAnsi="Cambria Math"/>
                      </w:rPr>
                      <m:t xml:space="preserve"> </m:t>
                    </m:r>
                  </m:sub>
                </m:sSub>
              </m:sub>
            </m:sSub>
          </m:sub>
        </m:sSub>
      </m:oMath>
      <w:r>
        <w:rPr>
          <w:rFonts w:hint="eastAsia"/>
        </w:rPr>
        <w:t>m</w:t>
      </w:r>
      <w:r>
        <w:t xml:space="preserve">odel indoor air temperature and interior wall surface temperature simulation results versus EnergyPlus results. </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gridCol w:w="1080"/>
      </w:tblGrid>
      <w:tr w:rsidR="00D83C4C" w:rsidRPr="00B4798A" w14:paraId="4E2BAEC1" w14:textId="77777777" w:rsidTr="004F29F3">
        <w:trPr>
          <w:trHeight w:val="771"/>
        </w:trPr>
        <w:tc>
          <w:tcPr>
            <w:tcW w:w="7920" w:type="dxa"/>
            <w:vAlign w:val="center"/>
          </w:tcPr>
          <w:p w14:paraId="0A4A7462" w14:textId="77777777" w:rsidR="00D83C4C" w:rsidRPr="00D83C4C" w:rsidRDefault="00000000" w:rsidP="002023DB">
            <w:pPr>
              <w:rPr>
                <w:rFonts w:eastAsiaTheme="minorEastAsia"/>
              </w:rPr>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i/>
                          </w:rPr>
                        </m:ctrlPr>
                      </m:sSubPr>
                      <m:e>
                        <m:r>
                          <w:rPr>
                            <w:rFonts w:ascii="Cambria Math" w:hAnsi="Cambria Math"/>
                          </w:rPr>
                          <m:t>T</m:t>
                        </m:r>
                      </m:e>
                      <m:sub>
                        <m:r>
                          <w:rPr>
                            <w:rFonts w:ascii="Cambria Math" w:hAnsi="Cambria Math"/>
                          </w:rPr>
                          <m:t>in</m:t>
                        </m:r>
                      </m:sub>
                    </m:sSub>
                    <m:ctrlPr>
                      <w:rPr>
                        <w:rFonts w:ascii="Cambria Math" w:hAnsi="Cambria Math"/>
                        <w:i/>
                      </w:rPr>
                    </m:ctrlPr>
                  </m:num>
                  <m:den>
                    <m:r>
                      <w:rPr>
                        <w:rFonts w:ascii="Cambria Math" w:hAnsi="Cambria Math"/>
                      </w:rPr>
                      <m:t>dt</m:t>
                    </m:r>
                    <m:ctrlPr>
                      <w:rPr>
                        <w:rFonts w:ascii="Cambria Math" w:hAnsi="Cambria Math"/>
                        <w:i/>
                      </w:rPr>
                    </m:ctrlPr>
                  </m:den>
                </m:f>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sSub>
                      <m:sSubPr>
                        <m:ctrlPr>
                          <w:rPr>
                            <w:rFonts w:ascii="Cambria Math" w:hAnsi="Cambria Math"/>
                            <w:i/>
                          </w:rPr>
                        </m:ctrlPr>
                      </m:sSubPr>
                      <m:e>
                        <m:r>
                          <w:rPr>
                            <w:rFonts w:ascii="Cambria Math" w:hAnsi="Cambria Math"/>
                          </w:rPr>
                          <m:t>τ</m:t>
                        </m:r>
                      </m:e>
                      <m:sub>
                        <m:r>
                          <w:rPr>
                            <w:rFonts w:ascii="Cambria Math" w:hAnsi="Cambria Math"/>
                          </w:rPr>
                          <m:t xml:space="preserve"> </m:t>
                        </m:r>
                      </m:sub>
                    </m:sSub>
                    <m:ctrlPr>
                      <w:rPr>
                        <w:rFonts w:ascii="Cambria Math" w:hAnsi="Cambria Math"/>
                        <w:i/>
                      </w:rPr>
                    </m:ctrlPr>
                  </m:den>
                </m:f>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in</m:t>
                        </m:r>
                      </m:sub>
                    </m:sSub>
                  </m:e>
                </m:d>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sSub>
                      <m:sSubPr>
                        <m:ctrlPr>
                          <w:rPr>
                            <w:rFonts w:ascii="Cambria Math" w:hAnsi="Cambria Math"/>
                            <w:i/>
                          </w:rPr>
                        </m:ctrlPr>
                      </m:sSubPr>
                      <m:e>
                        <m:r>
                          <w:rPr>
                            <w:rFonts w:ascii="Cambria Math" w:hAnsi="Cambria Math"/>
                          </w:rPr>
                          <m:t>τ</m:t>
                        </m:r>
                      </m:e>
                      <m:sub>
                        <m:r>
                          <w:rPr>
                            <w:rFonts w:ascii="Cambria Math" w:hAnsi="Cambria Math"/>
                          </w:rPr>
                          <m:t xml:space="preserve"> </m:t>
                        </m:r>
                      </m:sub>
                    </m:sSub>
                    <m:ctrlPr>
                      <w:rPr>
                        <w:rFonts w:ascii="Cambria Math" w:hAnsi="Cambria Math"/>
                        <w:i/>
                      </w:rPr>
                    </m:ctrlPr>
                  </m:den>
                </m:f>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S+</m:t>
                    </m:r>
                    <m:sSub>
                      <m:sSubPr>
                        <m:ctrlPr>
                          <w:rPr>
                            <w:rFonts w:ascii="Cambria Math" w:hAnsi="Cambria Math"/>
                            <w:i/>
                          </w:rPr>
                        </m:ctrlPr>
                      </m:sSubPr>
                      <m:e>
                        <m:r>
                          <w:rPr>
                            <w:rFonts w:ascii="Cambria Math" w:hAnsi="Cambria Math"/>
                          </w:rPr>
                          <m:t>a</m:t>
                        </m:r>
                      </m:e>
                      <m:sub>
                        <m:r>
                          <w:rPr>
                            <w:rFonts w:ascii="Cambria Math" w:hAnsi="Cambria Math"/>
                          </w:rPr>
                          <m:t>2</m:t>
                        </m:r>
                      </m:sub>
                    </m:sSub>
                    <m:sSup>
                      <m:sSupPr>
                        <m:ctrlPr>
                          <w:rPr>
                            <w:rFonts w:ascii="Cambria Math" w:hAnsi="Cambria Math"/>
                            <w:i/>
                          </w:rPr>
                        </m:ctrlPr>
                      </m:sSupPr>
                      <m:e>
                        <m:r>
                          <w:rPr>
                            <w:rFonts w:ascii="Cambria Math" w:hAnsi="Cambria Math"/>
                          </w:rPr>
                          <m:t>S</m:t>
                        </m:r>
                      </m:e>
                      <m:sup>
                        <m:r>
                          <w:rPr>
                            <w:rFonts w:ascii="Cambria Math" w:hAnsi="Cambria Math"/>
                          </w:rPr>
                          <m:t>2</m:t>
                        </m:r>
                      </m:sup>
                    </m:sSup>
                  </m:e>
                </m:d>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sSub>
                      <m:sSubPr>
                        <m:ctrlPr>
                          <w:rPr>
                            <w:rFonts w:ascii="Cambria Math" w:hAnsi="Cambria Math"/>
                            <w:i/>
                          </w:rPr>
                        </m:ctrlPr>
                      </m:sSubPr>
                      <m:e>
                        <m:r>
                          <w:rPr>
                            <w:rFonts w:ascii="Cambria Math" w:hAnsi="Cambria Math"/>
                          </w:rPr>
                          <m:t>τ</m:t>
                        </m:r>
                      </m:e>
                      <m:sub>
                        <m:r>
                          <w:rPr>
                            <w:rFonts w:ascii="Cambria Math" w:hAnsi="Cambria Math"/>
                          </w:rPr>
                          <m:t xml:space="preserve"> </m:t>
                        </m:r>
                      </m:sub>
                    </m:sSub>
                    <m:ctrlPr>
                      <w:rPr>
                        <w:rFonts w:ascii="Cambria Math" w:hAnsi="Cambria Math"/>
                        <w:i/>
                      </w:rPr>
                    </m:ctrlPr>
                  </m:den>
                </m:f>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in</m:t>
                        </m:r>
                      </m:sub>
                    </m:sSub>
                  </m:e>
                </m:d>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W+</m:t>
                    </m:r>
                    <m:sSub>
                      <m:sSubPr>
                        <m:ctrlPr>
                          <w:rPr>
                            <w:rFonts w:ascii="Cambria Math" w:hAnsi="Cambria Math"/>
                            <w:i/>
                          </w:rPr>
                        </m:ctrlPr>
                      </m:sSubPr>
                      <m:e>
                        <m:r>
                          <w:rPr>
                            <w:rFonts w:ascii="Cambria Math" w:hAnsi="Cambria Math"/>
                          </w:rPr>
                          <m:t>b</m:t>
                        </m:r>
                      </m:e>
                      <m:sub>
                        <m:r>
                          <w:rPr>
                            <w:rFonts w:ascii="Cambria Math" w:hAnsi="Cambria Math"/>
                          </w:rPr>
                          <m:t>2</m:t>
                        </m:r>
                      </m:sub>
                    </m:sSub>
                    <m:sSup>
                      <m:sSupPr>
                        <m:ctrlPr>
                          <w:rPr>
                            <w:rFonts w:ascii="Cambria Math" w:hAnsi="Cambria Math"/>
                            <w:i/>
                          </w:rPr>
                        </m:ctrlPr>
                      </m:sSupPr>
                      <m:e>
                        <m:r>
                          <w:rPr>
                            <w:rFonts w:ascii="Cambria Math" w:hAnsi="Cambria Math"/>
                          </w:rPr>
                          <m:t>W</m:t>
                        </m:r>
                      </m:e>
                      <m:sup>
                        <m:r>
                          <w:rPr>
                            <w:rFonts w:ascii="Cambria Math" w:hAnsi="Cambria Math"/>
                          </w:rPr>
                          <m:t>2</m:t>
                        </m:r>
                      </m:sup>
                    </m:sSup>
                  </m:e>
                </m:d>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sSub>
                      <m:sSubPr>
                        <m:ctrlPr>
                          <w:rPr>
                            <w:rFonts w:ascii="Cambria Math" w:hAnsi="Cambria Math"/>
                            <w:i/>
                          </w:rPr>
                        </m:ctrlPr>
                      </m:sSubPr>
                      <m:e>
                        <m:r>
                          <w:rPr>
                            <w:rFonts w:ascii="Cambria Math" w:hAnsi="Cambria Math"/>
                          </w:rPr>
                          <m:t>τ</m:t>
                        </m:r>
                      </m:e>
                      <m:sub>
                        <m:r>
                          <w:rPr>
                            <w:rFonts w:ascii="Cambria Math" w:hAnsi="Cambria Math"/>
                          </w:rPr>
                          <m:t xml:space="preserve"> </m:t>
                        </m:r>
                      </m:sub>
                    </m:sSub>
                    <m:ctrlPr>
                      <w:rPr>
                        <w:rFonts w:ascii="Cambria Math" w:hAnsi="Cambria Math"/>
                        <w:i/>
                      </w:rPr>
                    </m:ctrlPr>
                  </m:den>
                </m:f>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sSubSup>
                      <m:sSubSupPr>
                        <m:ctrlPr>
                          <w:rPr>
                            <w:rFonts w:ascii="Cambria Math" w:hAnsi="Cambria Math"/>
                            <w:i/>
                          </w:rPr>
                        </m:ctrlPr>
                      </m:sSubSupPr>
                      <m:e>
                        <m:r>
                          <w:rPr>
                            <w:rFonts w:ascii="Cambria Math" w:hAnsi="Cambria Math"/>
                          </w:rPr>
                          <m:t>T</m:t>
                        </m:r>
                      </m:e>
                      <m:sub>
                        <m:r>
                          <w:rPr>
                            <w:rFonts w:ascii="Cambria Math" w:hAnsi="Cambria Math"/>
                          </w:rPr>
                          <m:t>o</m:t>
                        </m:r>
                      </m:sub>
                      <m:sup>
                        <m:r>
                          <w:rPr>
                            <w:rFonts w:ascii="Cambria Math" w:hAnsi="Cambria Math"/>
                          </w:rPr>
                          <m:t>2</m:t>
                        </m:r>
                      </m:sup>
                    </m:sSubSup>
                  </m:e>
                </m:d>
                <m:r>
                  <w:rPr>
                    <w:rFonts w:ascii="Cambria Math" w:hAnsi="Cambria Math"/>
                  </w:rPr>
                  <m:t>u</m:t>
                </m:r>
              </m:oMath>
            </m:oMathPara>
          </w:p>
        </w:tc>
        <w:tc>
          <w:tcPr>
            <w:tcW w:w="1080" w:type="dxa"/>
            <w:vAlign w:val="center"/>
          </w:tcPr>
          <w:p w14:paraId="655F7731" w14:textId="123A56D5" w:rsidR="00D83C4C" w:rsidRPr="00555DF6" w:rsidRDefault="00D83C4C" w:rsidP="002023DB">
            <w:pPr>
              <w:pStyle w:val="Caption"/>
              <w:rPr>
                <w:rFonts w:ascii="Times New Roman" w:hAnsi="Times New Roman" w:cs="Times New Roman"/>
              </w:rPr>
            </w:pPr>
            <w:bookmarkStart w:id="349" w:name="_Ref134437164"/>
            <w:r>
              <w:rPr>
                <w:rFonts w:ascii="Times New Roman" w:hAnsi="Times New Roman" w:cs="Times New Roman"/>
              </w:rPr>
              <w:t>(</w:t>
            </w:r>
            <w:r w:rsidRPr="00555DF6">
              <w:rPr>
                <w:rFonts w:ascii="Times New Roman" w:hAnsi="Times New Roman" w:cs="Times New Roman"/>
              </w:rPr>
              <w:fldChar w:fldCharType="begin"/>
            </w:r>
            <w:r w:rsidRPr="00555DF6">
              <w:rPr>
                <w:rFonts w:ascii="Times New Roman" w:hAnsi="Times New Roman" w:cs="Times New Roman"/>
              </w:rPr>
              <w:instrText xml:space="preserve"> SEQ equation \* ARABIC </w:instrText>
            </w:r>
            <w:r w:rsidRPr="00555DF6">
              <w:rPr>
                <w:rFonts w:ascii="Times New Roman" w:hAnsi="Times New Roman" w:cs="Times New Roman"/>
              </w:rPr>
              <w:fldChar w:fldCharType="separate"/>
            </w:r>
            <w:r w:rsidR="000E1725">
              <w:rPr>
                <w:rFonts w:ascii="Times New Roman" w:hAnsi="Times New Roman" w:cs="Times New Roman"/>
                <w:noProof/>
              </w:rPr>
              <w:t>34</w:t>
            </w:r>
            <w:r w:rsidRPr="00555DF6">
              <w:rPr>
                <w:rFonts w:ascii="Times New Roman" w:hAnsi="Times New Roman" w:cs="Times New Roman"/>
              </w:rPr>
              <w:fldChar w:fldCharType="end"/>
            </w:r>
            <w:r>
              <w:rPr>
                <w:rFonts w:ascii="Times New Roman" w:hAnsi="Times New Roman" w:cs="Times New Roman"/>
              </w:rPr>
              <w:t>)</w:t>
            </w:r>
            <w:bookmarkEnd w:id="349"/>
          </w:p>
          <w:p w14:paraId="1A6C775B" w14:textId="77777777" w:rsidR="00D83C4C" w:rsidRPr="00B4798A" w:rsidRDefault="00D83C4C" w:rsidP="002023DB">
            <w:pPr>
              <w:keepNext/>
            </w:pPr>
          </w:p>
        </w:tc>
      </w:tr>
    </w:tbl>
    <w:p w14:paraId="2EE083FF" w14:textId="0CE311EB" w:rsidR="00471941" w:rsidRDefault="00471941" w:rsidP="00471941"/>
    <w:p w14:paraId="7634A6A6" w14:textId="2572314F" w:rsidR="00471941" w:rsidRPr="00424709" w:rsidRDefault="00471941" w:rsidP="00471941">
      <w:r>
        <w:t>Although the discussion here did not include all the hyperparameters in the MPC agent, finding the optimal choice for</w:t>
      </w:r>
      <w:r w:rsidR="002719E8">
        <w:t xml:space="preserve"> the MPC hyperparameters can be a challenging and time-consuming task</w:t>
      </w:r>
      <w:r>
        <w:t xml:space="preserve">. </w:t>
      </w:r>
      <w:r w:rsidR="002719E8">
        <w:t xml:space="preserve">It is beneficial to identify the hyperparameters that have the most significant impact on the precooling results </w:t>
      </w:r>
      <w:r w:rsidRPr="00D83C4C">
        <w:t xml:space="preserve">and </w:t>
      </w:r>
      <w:r w:rsidR="002719E8">
        <w:t>allocate the development resources</w:t>
      </w:r>
      <w:r w:rsidRPr="00D83C4C">
        <w:t xml:space="preserve"> accordingl</w:t>
      </w:r>
      <w:r w:rsidR="002719E8">
        <w:t>y</w:t>
      </w:r>
      <w:r>
        <w:t xml:space="preserve">. In this study, we conduct the sensitivity analysis and ablation study for these hyperparameters. </w:t>
      </w:r>
    </w:p>
    <w:p w14:paraId="5CEA266A" w14:textId="6C77DF57" w:rsidR="00471941" w:rsidRDefault="00471941" w:rsidP="00410CB0">
      <w:pPr>
        <w:pStyle w:val="15TableTitle"/>
      </w:pPr>
      <w:bookmarkStart w:id="350" w:name="_Ref134351222"/>
      <w:bookmarkStart w:id="351" w:name="_Toc141343905"/>
      <w:r>
        <w:t xml:space="preserve">Table </w:t>
      </w:r>
      <w:fldSimple w:instr=" STYLEREF 1 \s ">
        <w:r w:rsidR="000E1725">
          <w:rPr>
            <w:noProof/>
          </w:rPr>
          <w:t>4</w:t>
        </w:r>
      </w:fldSimple>
      <w:r w:rsidR="00146A55">
        <w:t>.</w:t>
      </w:r>
      <w:fldSimple w:instr=" SEQ Table \* ARABIC \s 1 ">
        <w:r w:rsidR="000E1725">
          <w:rPr>
            <w:noProof/>
          </w:rPr>
          <w:t>7</w:t>
        </w:r>
      </w:fldSimple>
      <w:bookmarkEnd w:id="350"/>
      <w:r>
        <w:t xml:space="preserve"> MPC hyperparameters choice for impact analysis</w:t>
      </w:r>
      <w:bookmarkEnd w:id="351"/>
      <w:r>
        <w:t xml:space="preserve"> </w:t>
      </w:r>
    </w:p>
    <w:tbl>
      <w:tblPr>
        <w:tblStyle w:val="TableGrid"/>
        <w:tblW w:w="8995" w:type="dxa"/>
        <w:jc w:val="center"/>
        <w:tblLook w:val="04A0" w:firstRow="1" w:lastRow="0" w:firstColumn="1" w:lastColumn="0" w:noHBand="0" w:noVBand="1"/>
      </w:tblPr>
      <w:tblGrid>
        <w:gridCol w:w="2335"/>
        <w:gridCol w:w="6660"/>
      </w:tblGrid>
      <w:tr w:rsidR="00471941" w14:paraId="12504822" w14:textId="77777777" w:rsidTr="004F29F3">
        <w:trPr>
          <w:jc w:val="center"/>
        </w:trPr>
        <w:tc>
          <w:tcPr>
            <w:tcW w:w="2335" w:type="dxa"/>
          </w:tcPr>
          <w:p w14:paraId="1DD090F1" w14:textId="77777777" w:rsidR="00471941" w:rsidRDefault="00471941" w:rsidP="002023DB">
            <w:pPr>
              <w:ind w:firstLine="0"/>
            </w:pPr>
            <w:r>
              <w:rPr>
                <w:rFonts w:hint="eastAsia"/>
              </w:rPr>
              <w:t>H</w:t>
            </w:r>
            <w:r>
              <w:t>yperparameters</w:t>
            </w:r>
          </w:p>
        </w:tc>
        <w:tc>
          <w:tcPr>
            <w:tcW w:w="6660" w:type="dxa"/>
          </w:tcPr>
          <w:p w14:paraId="65553E9F" w14:textId="77777777" w:rsidR="00471941" w:rsidRDefault="00471941" w:rsidP="002023DB">
            <w:pPr>
              <w:ind w:firstLine="0"/>
            </w:pPr>
            <w:r>
              <w:rPr>
                <w:rFonts w:hint="eastAsia"/>
              </w:rPr>
              <w:t>Test</w:t>
            </w:r>
            <w:r>
              <w:t xml:space="preserve"> values</w:t>
            </w:r>
          </w:p>
        </w:tc>
      </w:tr>
      <w:tr w:rsidR="00471941" w14:paraId="21AA652B" w14:textId="77777777" w:rsidTr="004F29F3">
        <w:trPr>
          <w:jc w:val="center"/>
        </w:trPr>
        <w:tc>
          <w:tcPr>
            <w:tcW w:w="2335" w:type="dxa"/>
          </w:tcPr>
          <w:p w14:paraId="2CEC092F" w14:textId="77777777" w:rsidR="00471941" w:rsidRDefault="00471941" w:rsidP="002023DB">
            <w:pPr>
              <w:ind w:firstLine="0"/>
            </w:pPr>
            <w:r>
              <w:rPr>
                <w:rFonts w:hint="eastAsia"/>
              </w:rPr>
              <w:t>O</w:t>
            </w:r>
            <w:r>
              <w:t xml:space="preserve">ptimization horizon </w:t>
            </w:r>
          </w:p>
        </w:tc>
        <w:tc>
          <w:tcPr>
            <w:tcW w:w="6660" w:type="dxa"/>
          </w:tcPr>
          <w:p w14:paraId="762918D4" w14:textId="77777777" w:rsidR="00471941" w:rsidRDefault="00471941" w:rsidP="002023DB">
            <w:pPr>
              <w:ind w:firstLine="0"/>
            </w:pPr>
            <w:r>
              <w:rPr>
                <w:rFonts w:hint="eastAsia"/>
              </w:rPr>
              <w:t>2</w:t>
            </w:r>
            <w:r>
              <w:t>hr, 4hr, 6hr, 8hr,9hr,10hr,12hr</w:t>
            </w:r>
          </w:p>
        </w:tc>
      </w:tr>
      <w:tr w:rsidR="00471941" w14:paraId="6ED0A45F" w14:textId="77777777" w:rsidTr="004F29F3">
        <w:trPr>
          <w:jc w:val="center"/>
        </w:trPr>
        <w:tc>
          <w:tcPr>
            <w:tcW w:w="2335" w:type="dxa"/>
          </w:tcPr>
          <w:p w14:paraId="20F7E8AE" w14:textId="77777777" w:rsidR="00471941" w:rsidRDefault="00471941" w:rsidP="002023DB">
            <w:pPr>
              <w:ind w:firstLine="0"/>
            </w:pPr>
            <w:r>
              <w:rPr>
                <w:rFonts w:hint="eastAsia"/>
              </w:rPr>
              <w:t>F</w:t>
            </w:r>
            <w:r>
              <w:t>orecasted weather</w:t>
            </w:r>
          </w:p>
        </w:tc>
        <w:tc>
          <w:tcPr>
            <w:tcW w:w="6660" w:type="dxa"/>
          </w:tcPr>
          <w:p w14:paraId="61A62EAE" w14:textId="77777777" w:rsidR="00471941" w:rsidRDefault="00471941" w:rsidP="002023DB">
            <w:pPr>
              <w:ind w:firstLine="0"/>
            </w:pPr>
            <w:r>
              <w:rPr>
                <w:rFonts w:hint="eastAsia"/>
              </w:rPr>
              <w:t>P</w:t>
            </w:r>
            <w:r>
              <w:t>refect weather from weather services,</w:t>
            </w:r>
          </w:p>
          <w:p w14:paraId="3F59B063" w14:textId="1A23235D" w:rsidR="00471941" w:rsidRDefault="00471941" w:rsidP="002023DB">
            <w:pPr>
              <w:ind w:firstLine="0"/>
            </w:pPr>
            <w:r>
              <w:rPr>
                <w:rFonts w:hint="eastAsia"/>
              </w:rPr>
              <w:t>F</w:t>
            </w:r>
            <w:r>
              <w:t xml:space="preserve">orecasted weather used in filed test, see Section </w:t>
            </w:r>
            <w:r>
              <w:fldChar w:fldCharType="begin"/>
            </w:r>
            <w:r>
              <w:instrText xml:space="preserve"> REF _Ref134311818 \n \h </w:instrText>
            </w:r>
            <w:r>
              <w:fldChar w:fldCharType="separate"/>
            </w:r>
            <w:r w:rsidR="000E1725">
              <w:t>4.3.1</w:t>
            </w:r>
            <w:r>
              <w:fldChar w:fldCharType="end"/>
            </w:r>
            <w:r>
              <w:t xml:space="preserve">. </w:t>
            </w:r>
          </w:p>
        </w:tc>
      </w:tr>
      <w:tr w:rsidR="00471941" w14:paraId="251546DD" w14:textId="77777777" w:rsidTr="004F29F3">
        <w:trPr>
          <w:jc w:val="center"/>
        </w:trPr>
        <w:tc>
          <w:tcPr>
            <w:tcW w:w="2335" w:type="dxa"/>
          </w:tcPr>
          <w:p w14:paraId="553ECB9E" w14:textId="77777777" w:rsidR="00471941" w:rsidRDefault="00471941" w:rsidP="002023DB">
            <w:pPr>
              <w:ind w:firstLine="0"/>
            </w:pPr>
            <w:r>
              <w:rPr>
                <w:rFonts w:hint="eastAsia"/>
              </w:rPr>
              <w:lastRenderedPageBreak/>
              <w:t>M</w:t>
            </w:r>
            <w:r>
              <w:t>odel</w:t>
            </w:r>
          </w:p>
        </w:tc>
        <w:tc>
          <w:tcPr>
            <w:tcW w:w="6660" w:type="dxa"/>
          </w:tcPr>
          <w:p w14:paraId="65165705" w14:textId="77777777" w:rsidR="00471941" w:rsidRPr="00DE3F71" w:rsidRDefault="00471941" w:rsidP="002023DB">
            <w:pPr>
              <w:ind w:firstLine="0"/>
            </w:pPr>
            <w:r>
              <w:rPr>
                <w:rFonts w:hint="eastAsia"/>
              </w:rPr>
              <w:t>2R</w:t>
            </w:r>
            <w:r>
              <w:t xml:space="preserve">2C, 1R1C, </w:t>
            </w:r>
            <m:oMath>
              <m:r>
                <w:rPr>
                  <w:rFonts w:ascii="Cambria Math" w:hAnsi="Cambria Math"/>
                </w:rPr>
                <m:t>2R2</m:t>
              </m:r>
              <m:sSub>
                <m:sSubPr>
                  <m:ctrlPr>
                    <w:rPr>
                      <w:rFonts w:ascii="Cambria Math" w:hAnsi="Cambria Math"/>
                      <w:i/>
                    </w:rPr>
                  </m:ctrlPr>
                </m:sSubPr>
                <m:e>
                  <m:r>
                    <w:rPr>
                      <w:rFonts w:ascii="Cambria Math" w:hAnsi="Cambria Math"/>
                    </w:rPr>
                    <m:t>C</m:t>
                  </m:r>
                </m:e>
                <m:sub>
                  <m:r>
                    <w:rPr>
                      <w:rFonts w:ascii="Cambria Math" w:hAnsi="Cambria Math"/>
                    </w:rPr>
                    <m:t>reduc</m:t>
                  </m:r>
                  <m:sSub>
                    <m:sSubPr>
                      <m:ctrlPr>
                        <w:rPr>
                          <w:rFonts w:ascii="Cambria Math" w:hAnsi="Cambria Math"/>
                          <w:i/>
                        </w:rPr>
                      </m:ctrlPr>
                    </m:sSubPr>
                    <m:e>
                      <m:r>
                        <w:rPr>
                          <w:rFonts w:ascii="Cambria Math" w:hAnsi="Cambria Math"/>
                        </w:rPr>
                        <m:t>e</m:t>
                      </m:r>
                    </m:e>
                    <m:sub>
                      <m:r>
                        <w:rPr>
                          <w:rFonts w:ascii="Cambria Math" w:hAnsi="Cambria Math"/>
                        </w:rPr>
                        <m:t>AC</m:t>
                      </m:r>
                    </m:sub>
                  </m:sSub>
                </m:sub>
              </m:sSub>
            </m:oMath>
            <w:r>
              <w:t xml:space="preserve">, </w:t>
            </w:r>
            <m:oMath>
              <m:r>
                <w:rPr>
                  <w:rFonts w:ascii="Cambria Math" w:hAnsi="Cambria Math"/>
                </w:rPr>
                <m:t>2R2</m:t>
              </m:r>
              <m:sSub>
                <m:sSubPr>
                  <m:ctrlPr>
                    <w:rPr>
                      <w:rFonts w:ascii="Cambria Math" w:hAnsi="Cambria Math"/>
                      <w:i/>
                    </w:rPr>
                  </m:ctrlPr>
                </m:sSubPr>
                <m:e>
                  <m:r>
                    <w:rPr>
                      <w:rFonts w:ascii="Cambria Math" w:hAnsi="Cambria Math"/>
                    </w:rPr>
                    <m:t>C</m:t>
                  </m:r>
                </m:e>
                <m:sub>
                  <m:r>
                    <w:rPr>
                      <w:rFonts w:ascii="Cambria Math" w:hAnsi="Cambria Math"/>
                    </w:rPr>
                    <m:t>reduc</m:t>
                  </m:r>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τ</m:t>
                          </m:r>
                        </m:e>
                        <m:sub>
                          <m:r>
                            <w:rPr>
                              <w:rFonts w:ascii="Cambria Math" w:hAnsi="Cambria Math"/>
                            </w:rPr>
                            <m:t xml:space="preserve"> </m:t>
                          </m:r>
                        </m:sub>
                      </m:sSub>
                    </m:sub>
                  </m:sSub>
                </m:sub>
              </m:sSub>
            </m:oMath>
          </w:p>
        </w:tc>
      </w:tr>
    </w:tbl>
    <w:p w14:paraId="3C4C6347" w14:textId="77777777" w:rsidR="00471941" w:rsidRDefault="00471941" w:rsidP="00471941"/>
    <w:p w14:paraId="15A81230" w14:textId="77777777" w:rsidR="00471941" w:rsidRDefault="00471941" w:rsidP="00623535">
      <w:pPr>
        <w:pStyle w:val="12FigureFormatSelectafigureandclickonthisstyle"/>
      </w:pPr>
      <w:r w:rsidRPr="00D83C4C">
        <w:rPr>
          <w:rFonts w:hint="eastAsia"/>
          <w:noProof/>
        </w:rPr>
        <w:drawing>
          <wp:inline distT="0" distB="0" distL="0" distR="0" wp14:anchorId="2BBA9010" wp14:editId="2F358922">
            <wp:extent cx="4878927" cy="2439463"/>
            <wp:effectExtent l="0" t="0" r="0" b="0"/>
            <wp:docPr id="783917426" name="Picture 783917426" descr="A picture containing text, screenshot,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917426" name="Picture 783917426" descr="A picture containing text, screenshot, plot, line&#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878927" cy="2439463"/>
                    </a:xfrm>
                    <a:prstGeom prst="rect">
                      <a:avLst/>
                    </a:prstGeom>
                  </pic:spPr>
                </pic:pic>
              </a:graphicData>
            </a:graphic>
          </wp:inline>
        </w:drawing>
      </w:r>
    </w:p>
    <w:p w14:paraId="6BCE7B80" w14:textId="40D0E993" w:rsidR="00471941" w:rsidRPr="00113937" w:rsidRDefault="00471941" w:rsidP="00471941">
      <w:pPr>
        <w:pStyle w:val="13FigureCaption"/>
      </w:pPr>
      <w:bookmarkStart w:id="352" w:name="_Ref134352236"/>
      <w:bookmarkStart w:id="353" w:name="_Toc141349938"/>
      <w:r>
        <w:t xml:space="preserve">Figure </w:t>
      </w:r>
      <w:fldSimple w:instr=" STYLEREF 1 \s ">
        <w:r w:rsidR="000E1725">
          <w:rPr>
            <w:noProof/>
          </w:rPr>
          <w:t>4</w:t>
        </w:r>
      </w:fldSimple>
      <w:r w:rsidR="005445E0">
        <w:t>.</w:t>
      </w:r>
      <w:fldSimple w:instr=" SEQ Figure \* ARABIC \s 1 ">
        <w:r w:rsidR="000E1725">
          <w:rPr>
            <w:noProof/>
          </w:rPr>
          <w:t>17</w:t>
        </w:r>
      </w:fldSimple>
      <w:bookmarkEnd w:id="352"/>
      <w:r>
        <w:t xml:space="preserve"> An example of a 2R2C model, a </w:t>
      </w:r>
      <m:oMath>
        <m:r>
          <w:rPr>
            <w:rFonts w:ascii="Cambria Math" w:hAnsi="Cambria Math"/>
          </w:rPr>
          <m:t>2R2</m:t>
        </m:r>
        <m:sSub>
          <m:sSubPr>
            <m:ctrlPr>
              <w:rPr>
                <w:rFonts w:ascii="Cambria Math" w:eastAsia="DengXian" w:hAnsi="Cambria Math"/>
                <w:i/>
              </w:rPr>
            </m:ctrlPr>
          </m:sSubPr>
          <m:e>
            <m:r>
              <w:rPr>
                <w:rFonts w:ascii="Cambria Math" w:hAnsi="Cambria Math"/>
              </w:rPr>
              <m:t>C</m:t>
            </m:r>
            <m:ctrlPr>
              <w:rPr>
                <w:rFonts w:ascii="Cambria Math" w:hAnsi="Cambria Math"/>
                <w:i/>
              </w:rPr>
            </m:ctrlPr>
          </m:e>
          <m:sub>
            <m:r>
              <w:rPr>
                <w:rFonts w:ascii="Cambria Math" w:hAnsi="Cambria Math"/>
              </w:rPr>
              <m:t>reduc</m:t>
            </m:r>
            <m:sSub>
              <m:sSubPr>
                <m:ctrlPr>
                  <w:rPr>
                    <w:rFonts w:ascii="Cambria Math" w:eastAsia="DengXian" w:hAnsi="Cambria Math"/>
                    <w:i/>
                  </w:rPr>
                </m:ctrlPr>
              </m:sSubPr>
              <m:e>
                <m:r>
                  <w:rPr>
                    <w:rFonts w:ascii="Cambria Math" w:hAnsi="Cambria Math"/>
                  </w:rPr>
                  <m:t>e</m:t>
                </m:r>
                <m:ctrlPr>
                  <w:rPr>
                    <w:rFonts w:ascii="Cambria Math" w:hAnsi="Cambria Math"/>
                    <w:i/>
                  </w:rPr>
                </m:ctrlPr>
              </m:e>
              <m:sub>
                <m:r>
                  <w:rPr>
                    <w:rFonts w:ascii="Cambria Math" w:hAnsi="Cambria Math"/>
                  </w:rPr>
                  <m:t>AC</m:t>
                </m:r>
              </m:sub>
            </m:sSub>
          </m:sub>
        </m:sSub>
      </m:oMath>
      <w:r>
        <w:rPr>
          <w:rFonts w:eastAsiaTheme="minorEastAsia"/>
        </w:rPr>
        <w:t xml:space="preserve"> model</w:t>
      </w:r>
      <w:r>
        <w:t xml:space="preserve">, and a </w:t>
      </w:r>
      <m:oMath>
        <m:r>
          <w:rPr>
            <w:rFonts w:ascii="Cambria Math" w:hAnsi="Cambria Math"/>
          </w:rPr>
          <m:t>2R2</m:t>
        </m:r>
        <m:sSub>
          <m:sSubPr>
            <m:ctrlPr>
              <w:rPr>
                <w:rFonts w:ascii="Cambria Math" w:eastAsia="DengXian" w:hAnsi="Cambria Math"/>
                <w:i/>
              </w:rPr>
            </m:ctrlPr>
          </m:sSubPr>
          <m:e>
            <m:r>
              <w:rPr>
                <w:rFonts w:ascii="Cambria Math" w:hAnsi="Cambria Math"/>
              </w:rPr>
              <m:t>C</m:t>
            </m:r>
            <m:ctrlPr>
              <w:rPr>
                <w:rFonts w:ascii="Cambria Math" w:hAnsi="Cambria Math"/>
                <w:i/>
              </w:rPr>
            </m:ctrlPr>
          </m:e>
          <m:sub>
            <m:r>
              <w:rPr>
                <w:rFonts w:ascii="Cambria Math" w:hAnsi="Cambria Math"/>
              </w:rPr>
              <m:t>reduc</m:t>
            </m:r>
            <m:sSub>
              <m:sSubPr>
                <m:ctrlPr>
                  <w:rPr>
                    <w:rFonts w:ascii="Cambria Math" w:eastAsia="DengXian" w:hAnsi="Cambria Math"/>
                    <w:i/>
                  </w:rPr>
                </m:ctrlPr>
              </m:sSubPr>
              <m:e>
                <m:r>
                  <w:rPr>
                    <w:rFonts w:ascii="Cambria Math" w:hAnsi="Cambria Math"/>
                  </w:rPr>
                  <m:t>e</m:t>
                </m:r>
                <m:ctrlPr>
                  <w:rPr>
                    <w:rFonts w:ascii="Cambria Math" w:hAnsi="Cambria Math"/>
                    <w:i/>
                  </w:rPr>
                </m:ctrlPr>
              </m:e>
              <m:sub>
                <m:sSub>
                  <m:sSubPr>
                    <m:ctrlPr>
                      <w:rPr>
                        <w:rFonts w:ascii="Cambria Math" w:hAnsi="Cambria Math"/>
                        <w:i/>
                      </w:rPr>
                    </m:ctrlPr>
                  </m:sSubPr>
                  <m:e>
                    <m:r>
                      <w:rPr>
                        <w:rFonts w:ascii="Cambria Math" w:hAnsi="Cambria Math"/>
                      </w:rPr>
                      <m:t>τ</m:t>
                    </m:r>
                  </m:e>
                  <m:sub>
                    <m:r>
                      <w:rPr>
                        <w:rFonts w:ascii="Cambria Math" w:hAnsi="Cambria Math"/>
                      </w:rPr>
                      <m:t xml:space="preserve"> </m:t>
                    </m:r>
                  </m:sub>
                </m:sSub>
              </m:sub>
            </m:sSub>
          </m:sub>
        </m:sSub>
      </m:oMath>
      <w:r>
        <w:rPr>
          <w:rFonts w:eastAsiaTheme="minorEastAsia" w:hint="eastAsia"/>
        </w:rPr>
        <w:t xml:space="preserve"> </w:t>
      </w:r>
      <w:r>
        <w:rPr>
          <w:rFonts w:eastAsiaTheme="minorEastAsia"/>
        </w:rPr>
        <w:t>model</w:t>
      </w:r>
      <w:r>
        <w:t xml:space="preserve"> simulation results compared with the EnergyPlus outputs. (a) Indoor air temperature results. (b) Interior wall surface temperature results. (c) AC impact and reduced AC impact to the home thermal dynamics.</w:t>
      </w:r>
      <w:bookmarkEnd w:id="353"/>
    </w:p>
    <w:p w14:paraId="6B64C2F3" w14:textId="77777777" w:rsidR="00471941" w:rsidRDefault="00471941" w:rsidP="00471941">
      <w:pPr>
        <w:pStyle w:val="Heading4"/>
      </w:pPr>
      <w:bookmarkStart w:id="354" w:name="_Toc141991727"/>
      <w:r>
        <w:t>Test results and impact analysis for MPC hyperparameters</w:t>
      </w:r>
      <w:bookmarkEnd w:id="354"/>
    </w:p>
    <w:p w14:paraId="1397E262" w14:textId="77777777" w:rsidR="00471941" w:rsidRDefault="00471941" w:rsidP="00471941">
      <w:pPr>
        <w:ind w:firstLine="0"/>
      </w:pPr>
      <w:r>
        <w:t xml:space="preserve">This section describes the MPC-based precooling test results at a virtual testbed. An example of an MPC-based precooling test on August 6, 2022, at a virtual testbed, is first demonstrated. Follows by the sensitivity analysis on the optimization horizon. Finally, the ablation study is shown and the dominant hyperparameters are discussed. </w:t>
      </w:r>
    </w:p>
    <w:p w14:paraId="44D4980D" w14:textId="44887E88" w:rsidR="00471941" w:rsidRPr="00391F47" w:rsidRDefault="00471941" w:rsidP="00471941">
      <w:r>
        <w:fldChar w:fldCharType="begin"/>
      </w:r>
      <w:r>
        <w:instrText xml:space="preserve"> REF _Ref134412384 \h  \* MERGEFORMAT </w:instrText>
      </w:r>
      <w:r>
        <w:fldChar w:fldCharType="separate"/>
      </w:r>
      <w:r w:rsidR="000E1725">
        <w:t xml:space="preserve">Figure </w:t>
      </w:r>
      <w:r w:rsidR="000E1725">
        <w:rPr>
          <w:noProof/>
        </w:rPr>
        <w:t>4.18</w:t>
      </w:r>
      <w:r>
        <w:fldChar w:fldCharType="end"/>
      </w:r>
      <w:r>
        <w:t xml:space="preserve"> depicts the zone air temperature (red), north-facing interior wall surface temperature (blue), AC on/off signal (green), thermal comfort range (dashed gray), and outdoor air temperature (dashed blue) of the MPC-based precooling results </w:t>
      </w:r>
      <w:r w:rsidR="00732D12">
        <w:t xml:space="preserve">using forecasted weather and 10-hour prediction horizon </w:t>
      </w:r>
      <w:r>
        <w:t xml:space="preserve">at virtual testbed. </w:t>
      </w:r>
      <w:r w:rsidR="00732D12">
        <w:t xml:space="preserve">The shaded area represents the on-peak hour </w:t>
      </w:r>
      <w:r w:rsidR="00732D12">
        <w:lastRenderedPageBreak/>
        <w:t xml:space="preserve">periods. </w:t>
      </w:r>
      <w:r>
        <w:t>Similar observations mentioned in Section</w:t>
      </w:r>
      <w:r w:rsidR="00732D12">
        <w:t xml:space="preserve"> </w:t>
      </w:r>
      <w:r w:rsidR="00732D12">
        <w:fldChar w:fldCharType="begin"/>
      </w:r>
      <w:r w:rsidR="00732D12">
        <w:instrText xml:space="preserve"> REF _Ref139627190 \n \h </w:instrText>
      </w:r>
      <w:r w:rsidR="00732D12">
        <w:fldChar w:fldCharType="separate"/>
      </w:r>
      <w:r w:rsidR="000E1725">
        <w:t>4.3.3.1</w:t>
      </w:r>
      <w:r w:rsidR="00732D12">
        <w:fldChar w:fldCharType="end"/>
      </w:r>
      <w:r>
        <w:t xml:space="preserve">, can be found in this figure: </w:t>
      </w:r>
      <m:oMath>
        <m:sSub>
          <m:sSubPr>
            <m:ctrlPr>
              <w:rPr>
                <w:rFonts w:ascii="Cambria Math" w:hAnsi="Cambria Math"/>
                <w:i/>
              </w:rPr>
            </m:ctrlPr>
          </m:sSubPr>
          <m:e>
            <m:r>
              <w:rPr>
                <w:rFonts w:ascii="Cambria Math" w:hAnsi="Cambria Math"/>
              </w:rPr>
              <m:t>T</m:t>
            </m:r>
          </m:e>
          <m:sub>
            <m:r>
              <w:rPr>
                <w:rFonts w:ascii="Cambria Math" w:hAnsi="Cambria Math"/>
              </w:rPr>
              <m:t>in</m:t>
            </m:r>
          </m:sub>
        </m:sSub>
      </m:oMath>
      <w:r>
        <w:rPr>
          <w:rFonts w:hint="eastAsia"/>
        </w:rPr>
        <w:t xml:space="preserve"> </w:t>
      </w:r>
      <w:r>
        <w:t xml:space="preserve">mostly stays within thermal comfort range and occasionally excess the </w:t>
      </w:r>
      <m:oMath>
        <m:sSub>
          <m:sSubPr>
            <m:ctrlPr>
              <w:rPr>
                <w:rFonts w:ascii="Cambria Math" w:hAnsi="Cambria Math"/>
                <w:i/>
              </w:rPr>
            </m:ctrlPr>
          </m:sSubPr>
          <m:e>
            <m:r>
              <w:rPr>
                <w:rFonts w:ascii="Cambria Math" w:hAnsi="Cambria Math"/>
              </w:rPr>
              <m:t>T</m:t>
            </m:r>
          </m:e>
          <m:sub>
            <m:r>
              <w:rPr>
                <w:rFonts w:ascii="Cambria Math" w:hAnsi="Cambria Math"/>
              </w:rPr>
              <m:t>ub</m:t>
            </m:r>
          </m:sub>
        </m:sSub>
      </m:oMath>
      <w:r>
        <w:rPr>
          <w:rFonts w:hint="eastAsia"/>
        </w:rPr>
        <w:t xml:space="preserve"> </w:t>
      </w:r>
      <w:r>
        <w:t xml:space="preserve">and </w:t>
      </w:r>
      <m:oMath>
        <m:sSub>
          <m:sSubPr>
            <m:ctrlPr>
              <w:rPr>
                <w:rFonts w:ascii="Cambria Math" w:hAnsi="Cambria Math"/>
                <w:i/>
              </w:rPr>
            </m:ctrlPr>
          </m:sSubPr>
          <m:e>
            <m:r>
              <w:rPr>
                <w:rFonts w:ascii="Cambria Math" w:hAnsi="Cambria Math"/>
              </w:rPr>
              <m:t>T</m:t>
            </m:r>
          </m:e>
          <m:sub>
            <m:r>
              <w:rPr>
                <w:rFonts w:ascii="Cambria Math" w:hAnsi="Cambria Math"/>
              </w:rPr>
              <m:t>lb</m:t>
            </m:r>
          </m:sub>
        </m:sSub>
      </m:oMath>
      <w:r>
        <w:t xml:space="preserve">, and the slack variable may not causing the AC turned on immediately due to the consideration of high electricity costs; </w:t>
      </w:r>
      <m:oMath>
        <m:sSub>
          <m:sSubPr>
            <m:ctrlPr>
              <w:rPr>
                <w:rFonts w:ascii="Cambria Math" w:hAnsi="Cambria Math"/>
                <w:i/>
              </w:rPr>
            </m:ctrlPr>
          </m:sSubPr>
          <m:e>
            <m:r>
              <w:rPr>
                <w:rFonts w:ascii="Cambria Math" w:hAnsi="Cambria Math"/>
              </w:rPr>
              <m:t>T</m:t>
            </m:r>
          </m:e>
          <m:sub>
            <m:r>
              <w:rPr>
                <w:rFonts w:ascii="Cambria Math" w:hAnsi="Cambria Math"/>
              </w:rPr>
              <m:t>ie</m:t>
            </m:r>
          </m:sub>
        </m:sSub>
      </m:oMath>
      <w:r>
        <w:rPr>
          <w:rFonts w:hint="eastAsia"/>
        </w:rPr>
        <w:t xml:space="preserve"> </w:t>
      </w:r>
      <w:r>
        <w:t xml:space="preserve">has much slower respond to the environment change which justifies the 2R2C model; and the MPC agent also takes advantage of cooler early morning air to precool the space with higher efficiency in this virtual testbed result. </w:t>
      </w:r>
    </w:p>
    <w:p w14:paraId="2ADA0B62" w14:textId="77777777" w:rsidR="00471941" w:rsidRDefault="00471941" w:rsidP="00CB28EB">
      <w:pPr>
        <w:keepNext/>
        <w:ind w:firstLine="0"/>
        <w:jc w:val="center"/>
      </w:pPr>
      <w:r>
        <w:rPr>
          <w:rFonts w:hint="eastAsia"/>
          <w:noProof/>
        </w:rPr>
        <w:drawing>
          <wp:inline distT="0" distB="0" distL="0" distR="0" wp14:anchorId="33DAB698" wp14:editId="380DCF50">
            <wp:extent cx="5627481" cy="1572260"/>
            <wp:effectExtent l="0" t="0" r="0" b="2540"/>
            <wp:docPr id="599634841" name="Picture 59963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634841" name="Picture 599634841"/>
                    <pic:cNvPicPr/>
                  </pic:nvPicPr>
                  <pic:blipFill rotWithShape="1">
                    <a:blip r:embed="rId65">
                      <a:extLst>
                        <a:ext uri="{28A0092B-C50C-407E-A947-70E740481C1C}">
                          <a14:useLocalDpi xmlns:a14="http://schemas.microsoft.com/office/drawing/2010/main" val="0"/>
                        </a:ext>
                      </a:extLst>
                    </a:blip>
                    <a:srcRect t="6775"/>
                    <a:stretch/>
                  </pic:blipFill>
                  <pic:spPr bwMode="auto">
                    <a:xfrm>
                      <a:off x="0" y="0"/>
                      <a:ext cx="5630277" cy="1573041"/>
                    </a:xfrm>
                    <a:prstGeom prst="rect">
                      <a:avLst/>
                    </a:prstGeom>
                    <a:ln>
                      <a:noFill/>
                    </a:ln>
                    <a:extLst>
                      <a:ext uri="{53640926-AAD7-44D8-BBD7-CCE9431645EC}">
                        <a14:shadowObscured xmlns:a14="http://schemas.microsoft.com/office/drawing/2010/main"/>
                      </a:ext>
                    </a:extLst>
                  </pic:spPr>
                </pic:pic>
              </a:graphicData>
            </a:graphic>
          </wp:inline>
        </w:drawing>
      </w:r>
    </w:p>
    <w:p w14:paraId="09F36E38" w14:textId="7BB24FD5" w:rsidR="00471941" w:rsidRDefault="00471941" w:rsidP="00471941">
      <w:pPr>
        <w:pStyle w:val="13FigureCaption"/>
      </w:pPr>
      <w:bookmarkStart w:id="355" w:name="_Ref134412384"/>
      <w:bookmarkStart w:id="356" w:name="_Toc141349939"/>
      <w:r>
        <w:t xml:space="preserve">Figure </w:t>
      </w:r>
      <w:fldSimple w:instr=" STYLEREF 1 \s ">
        <w:r w:rsidR="000E1725">
          <w:rPr>
            <w:noProof/>
          </w:rPr>
          <w:t>4</w:t>
        </w:r>
      </w:fldSimple>
      <w:r w:rsidR="005445E0">
        <w:t>.</w:t>
      </w:r>
      <w:fldSimple w:instr=" SEQ Figure \* ARABIC \s 1 ">
        <w:r w:rsidR="000E1725">
          <w:rPr>
            <w:noProof/>
          </w:rPr>
          <w:t>18</w:t>
        </w:r>
      </w:fldSimple>
      <w:bookmarkEnd w:id="355"/>
      <w:r>
        <w:t xml:space="preserve"> MPC-based precooling test result on August 6 at virtual testbed</w:t>
      </w:r>
      <w:bookmarkEnd w:id="356"/>
    </w:p>
    <w:p w14:paraId="5AD815FC" w14:textId="09FBA9E1" w:rsidR="00471941" w:rsidRPr="00393F2D" w:rsidRDefault="00471941" w:rsidP="00471941">
      <w:r>
        <w:t xml:space="preserve">In an MPC algorithm, the optimization horizon decides how long the MPC can “see” into the future at each time step to make decisions. In MPC-based precooling real-time control framework, choosing a long optimization horizon may also </w:t>
      </w:r>
      <w:r>
        <w:rPr>
          <w:rFonts w:hint="eastAsia"/>
        </w:rPr>
        <w:t>add</w:t>
      </w:r>
      <w:r>
        <w:t xml:space="preserve"> computational burden and data collection cost since a longer horizon correspondence a longer forecast data and larger decision variable space. </w:t>
      </w:r>
      <w:r>
        <w:fldChar w:fldCharType="begin"/>
      </w:r>
      <w:r>
        <w:instrText xml:space="preserve"> </w:instrText>
      </w:r>
      <w:r>
        <w:rPr>
          <w:rFonts w:hint="eastAsia"/>
        </w:rPr>
        <w:instrText>REF _Ref134425389 \h</w:instrText>
      </w:r>
      <w:r>
        <w:instrText xml:space="preserve">  \* MERGEFORMAT </w:instrText>
      </w:r>
      <w:r>
        <w:fldChar w:fldCharType="separate"/>
      </w:r>
      <w:r w:rsidR="000E1725">
        <w:t xml:space="preserve">Figure </w:t>
      </w:r>
      <w:r w:rsidR="000E1725">
        <w:rPr>
          <w:noProof/>
        </w:rPr>
        <w:t>4.19</w:t>
      </w:r>
      <w:r>
        <w:fldChar w:fldCharType="end"/>
      </w:r>
      <w:r>
        <w:t xml:space="preserve"> is the 24-hour AC operation cost with different choice of optimization horizons by using 2R2C model. As can be seen from </w:t>
      </w:r>
      <w:r>
        <w:fldChar w:fldCharType="begin"/>
      </w:r>
      <w:r>
        <w:instrText xml:space="preserve"> </w:instrText>
      </w:r>
      <w:r>
        <w:rPr>
          <w:rFonts w:hint="eastAsia"/>
        </w:rPr>
        <w:instrText>REF _Ref134425389 \h</w:instrText>
      </w:r>
      <w:r>
        <w:instrText xml:space="preserve">  \* MERGEFORMAT </w:instrText>
      </w:r>
      <w:r>
        <w:fldChar w:fldCharType="separate"/>
      </w:r>
      <w:r w:rsidR="000E1725">
        <w:t xml:space="preserve">Figure </w:t>
      </w:r>
      <w:r w:rsidR="000E1725">
        <w:rPr>
          <w:noProof/>
        </w:rPr>
        <w:t>4.19</w:t>
      </w:r>
      <w:r>
        <w:fldChar w:fldCharType="end"/>
      </w:r>
      <w:r>
        <w:t xml:space="preserve">, under perfect weather condition, the larger optimization horizon, in most of the case, indicating lower cost. This is because using a longer optimization horizon provides more (perfect weather) information into the MILP problem, and hence the MPC agent can better anticipate changes in </w:t>
      </w:r>
      <w:r>
        <w:lastRenderedPageBreak/>
        <w:t xml:space="preserve">the system and make better decision accordingly. If forecast weather dataset is used in MPC-based precooling, a longer optimization horizon, however, may not be an optimal choice. This is because a longer optimization horizon provides more uncertainty information into the MILP problem and making the MPC agent makes suboptimal decisions at each time step. Therefore, 6-hour horizon provides the best result.  </w:t>
      </w:r>
    </w:p>
    <w:p w14:paraId="2ED054DE" w14:textId="77777777" w:rsidR="00471941" w:rsidRDefault="00471941" w:rsidP="00623535">
      <w:pPr>
        <w:pStyle w:val="12FigureFormatSelectafigureandclickonthisstyle"/>
      </w:pPr>
      <w:r w:rsidRPr="00932070">
        <w:rPr>
          <w:noProof/>
        </w:rPr>
        <w:drawing>
          <wp:inline distT="0" distB="0" distL="0" distR="0" wp14:anchorId="36294039" wp14:editId="679195EF">
            <wp:extent cx="5731510" cy="2103755"/>
            <wp:effectExtent l="0" t="0" r="2540" b="0"/>
            <wp:docPr id="1422175890" name="Picture 1422175890"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175890" name="Picture 1" descr="A screenshot of a video game&#10;&#10;Description automatically generated with medium confidence"/>
                    <pic:cNvPicPr/>
                  </pic:nvPicPr>
                  <pic:blipFill>
                    <a:blip r:embed="rId66"/>
                    <a:stretch>
                      <a:fillRect/>
                    </a:stretch>
                  </pic:blipFill>
                  <pic:spPr>
                    <a:xfrm>
                      <a:off x="0" y="0"/>
                      <a:ext cx="5731510" cy="2103755"/>
                    </a:xfrm>
                    <a:prstGeom prst="rect">
                      <a:avLst/>
                    </a:prstGeom>
                  </pic:spPr>
                </pic:pic>
              </a:graphicData>
            </a:graphic>
          </wp:inline>
        </w:drawing>
      </w:r>
    </w:p>
    <w:p w14:paraId="095486D8" w14:textId="74505423" w:rsidR="00471941" w:rsidRDefault="00471941" w:rsidP="00623535">
      <w:pPr>
        <w:pStyle w:val="12FigureFormatSelectafigureandclickonthisstyle"/>
      </w:pPr>
      <w:bookmarkStart w:id="357" w:name="_Ref134425389"/>
      <w:bookmarkStart w:id="358" w:name="_Toc141349940"/>
      <w:r>
        <w:t xml:space="preserve">Figure </w:t>
      </w:r>
      <w:fldSimple w:instr=" STYLEREF 1 \s ">
        <w:r w:rsidR="000E1725">
          <w:rPr>
            <w:noProof/>
          </w:rPr>
          <w:t>4</w:t>
        </w:r>
      </w:fldSimple>
      <w:r w:rsidR="005445E0">
        <w:t>.</w:t>
      </w:r>
      <w:fldSimple w:instr=" SEQ Figure \* ARABIC \s 1 ">
        <w:r w:rsidR="000E1725">
          <w:rPr>
            <w:noProof/>
          </w:rPr>
          <w:t>19</w:t>
        </w:r>
      </w:fldSimple>
      <w:bookmarkEnd w:id="357"/>
      <w:r>
        <w:t xml:space="preserve"> Sensitivity analysis on optimization horizon in terms of cost saving with forecasted weather and with perfect weather.</w:t>
      </w:r>
      <w:bookmarkEnd w:id="358"/>
    </w:p>
    <w:p w14:paraId="0AC5B6CF" w14:textId="77777777" w:rsidR="00471941" w:rsidRDefault="00471941" w:rsidP="00623535">
      <w:pPr>
        <w:pStyle w:val="12FigureFormatSelectafigureandclickonthisstyle"/>
      </w:pPr>
    </w:p>
    <w:p w14:paraId="5E02C85D" w14:textId="6E6B6DFA" w:rsidR="00471941" w:rsidRDefault="00471941" w:rsidP="00471941">
      <w:r>
        <w:rPr>
          <w:rFonts w:hint="eastAsia"/>
        </w:rPr>
        <w:t>Since</w:t>
      </w:r>
      <w:r>
        <w:t xml:space="preserve"> the good MPC-based precooling test is the result of the combined effort of all the hyperparameters to identify the contribution of each, an ablation study is performed. Starting from the ideal case, i.e., using a 12-hour optimization horizon, 2R2C model without any modification, and providing perfect weather conditions to the model, each ablation is obtained by removing one component (horizon, model, or weather dataset) from the ideal case. </w:t>
      </w:r>
      <w:r>
        <w:fldChar w:fldCharType="begin"/>
      </w:r>
      <w:r>
        <w:instrText xml:space="preserve"> REF _Ref134432281 \h </w:instrText>
      </w:r>
      <w:r>
        <w:fldChar w:fldCharType="separate"/>
      </w:r>
      <w:r w:rsidR="000E1725">
        <w:t xml:space="preserve">Figure </w:t>
      </w:r>
      <w:r w:rsidR="000E1725">
        <w:rPr>
          <w:noProof/>
        </w:rPr>
        <w:t>4</w:t>
      </w:r>
      <w:r w:rsidR="000E1725">
        <w:t>.</w:t>
      </w:r>
      <w:r w:rsidR="000E1725">
        <w:rPr>
          <w:noProof/>
        </w:rPr>
        <w:t>20</w:t>
      </w:r>
      <w:r>
        <w:fldChar w:fldCharType="end"/>
      </w:r>
      <w:r>
        <w:t xml:space="preserve"> compares the accumulated 24-hour AC operation cost of the ideal case (solid green) to the </w:t>
      </w:r>
      <w:r>
        <w:lastRenderedPageBreak/>
        <w:t>five ablations and the baseline case (dashed black)</w:t>
      </w:r>
      <w:r>
        <w:rPr>
          <w:rFonts w:hint="eastAsia"/>
        </w:rPr>
        <w:t>,</w:t>
      </w:r>
      <w:r>
        <w:t xml:space="preserve"> i.e., 9-hour optimization horizon, 1R1C model with forecast weather. As can be seen from the figure, switching from the perfect weather to a forecast weather dataset (red line) result in the highest increase in cost</w:t>
      </w:r>
      <w:r w:rsidR="006750E1">
        <w:t xml:space="preserve"> (except for the baseline case)</w:t>
      </w:r>
      <w:r>
        <w:t xml:space="preserve">, and followed by replacing the 2R2C model with a 1R1C model (orange line), while only reducing the prediction horizon under perfect weather (blue line) causes the least increase in cost. </w:t>
      </w:r>
    </w:p>
    <w:p w14:paraId="2BCD7539" w14:textId="353B99B3" w:rsidR="00471941" w:rsidRPr="003C1BF6" w:rsidRDefault="00471941" w:rsidP="00471941">
      <w:r>
        <w:rPr>
          <w:rFonts w:hint="eastAsia"/>
        </w:rPr>
        <w:t>I</w:t>
      </w:r>
      <w:r>
        <w:t xml:space="preserve">n addition to the ablation study, the comparison study from the baseline case to the ideal case is also performed. Specifically, starting with the baseline case, each case is obtained by replacing one component (horizon, model, or weather dataset) from the baseline case. </w:t>
      </w:r>
      <w:r>
        <w:fldChar w:fldCharType="begin"/>
      </w:r>
      <w:r>
        <w:instrText xml:space="preserve"> REF _Ref134435723 \h </w:instrText>
      </w:r>
      <w:r>
        <w:fldChar w:fldCharType="separate"/>
      </w:r>
      <w:r w:rsidR="000E1725">
        <w:t xml:space="preserve">Figure </w:t>
      </w:r>
      <w:r w:rsidR="000E1725">
        <w:rPr>
          <w:noProof/>
        </w:rPr>
        <w:t>4</w:t>
      </w:r>
      <w:r w:rsidR="000E1725">
        <w:t>.</w:t>
      </w:r>
      <w:r w:rsidR="000E1725">
        <w:rPr>
          <w:noProof/>
        </w:rPr>
        <w:t>21</w:t>
      </w:r>
      <w:r>
        <w:fldChar w:fldCharType="end"/>
      </w:r>
      <w:r>
        <w:t xml:space="preserve"> shows a comparison of the accumulated 24-hour AC operation cost of the baseline case (solid black) to the five cases as well as the ideal case (dashed green). Similar to the ablation study, switching from the forecast weather to a perfect weather dataset (blue line) result in the highest cost reduction, and followed by replacing the 1R1C model with a 2R2C model (orange line), while only reducing the prediction horizon under forecast weather (purple line) causes less cost reduction. </w:t>
      </w:r>
    </w:p>
    <w:p w14:paraId="0416D298" w14:textId="77777777" w:rsidR="00471941" w:rsidRDefault="00471941" w:rsidP="00471941">
      <w:pPr>
        <w:ind w:leftChars="100" w:left="960" w:hangingChars="300" w:hanging="720"/>
      </w:pPr>
      <w:r>
        <w:rPr>
          <w:noProof/>
        </w:rPr>
        <w:lastRenderedPageBreak/>
        <w:drawing>
          <wp:inline distT="0" distB="0" distL="0" distR="0" wp14:anchorId="5731D9C0" wp14:editId="610A1880">
            <wp:extent cx="5573758" cy="3050540"/>
            <wp:effectExtent l="0" t="0" r="1905" b="0"/>
            <wp:docPr id="1779450329" name="Picture 1779450329" descr="A picture containing text, diagram,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450329" name="Picture 1779450329" descr="A picture containing text, diagram, plot, line&#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575663" cy="3051583"/>
                    </a:xfrm>
                    <a:prstGeom prst="rect">
                      <a:avLst/>
                    </a:prstGeom>
                    <a:noFill/>
                    <a:ln>
                      <a:noFill/>
                    </a:ln>
                  </pic:spPr>
                </pic:pic>
              </a:graphicData>
            </a:graphic>
          </wp:inline>
        </w:drawing>
      </w:r>
    </w:p>
    <w:p w14:paraId="7A99BE3F" w14:textId="59803017" w:rsidR="00471941" w:rsidRPr="005C09CB" w:rsidRDefault="00471941" w:rsidP="00471941">
      <w:pPr>
        <w:pStyle w:val="13FigureCaption"/>
      </w:pPr>
      <w:bookmarkStart w:id="359" w:name="_Ref134432281"/>
      <w:bookmarkStart w:id="360" w:name="_Toc141349941"/>
      <w:r>
        <w:t xml:space="preserve">Figure </w:t>
      </w:r>
      <w:fldSimple w:instr=" STYLEREF 1 \s ">
        <w:r w:rsidR="000E1725">
          <w:rPr>
            <w:noProof/>
          </w:rPr>
          <w:t>4</w:t>
        </w:r>
      </w:fldSimple>
      <w:r w:rsidR="005445E0">
        <w:t>.</w:t>
      </w:r>
      <w:fldSimple w:instr=" SEQ Figure \* ARABIC \s 1 ">
        <w:r w:rsidR="000E1725">
          <w:rPr>
            <w:noProof/>
          </w:rPr>
          <w:t>20</w:t>
        </w:r>
      </w:fldSimple>
      <w:bookmarkEnd w:id="359"/>
      <w:r>
        <w:t xml:space="preserve"> Ablation study using cumulative AC operation cost: compare ideal case (bold green) to baseline case (dashed black) and five different ablations.</w:t>
      </w:r>
      <w:bookmarkEnd w:id="360"/>
    </w:p>
    <w:p w14:paraId="77247D74" w14:textId="77777777" w:rsidR="00471941" w:rsidRDefault="00471941" w:rsidP="00623535">
      <w:pPr>
        <w:pStyle w:val="12FigureFormatSelectafigureandclickonthisstyle"/>
      </w:pPr>
      <w:r w:rsidRPr="004C5727">
        <w:rPr>
          <w:rFonts w:hint="eastAsia"/>
          <w:noProof/>
        </w:rPr>
        <w:drawing>
          <wp:inline distT="0" distB="0" distL="0" distR="0" wp14:anchorId="50D5BACB" wp14:editId="4B5A1AF3">
            <wp:extent cx="5649686" cy="3050540"/>
            <wp:effectExtent l="0" t="0" r="1905" b="0"/>
            <wp:docPr id="218323340" name="Picture 218323340"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323340" name="Picture 218323340" descr="A picture containing text, line, plot, diagram&#10;&#10;Description automatically generated"/>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650498" cy="3050978"/>
                    </a:xfrm>
                    <a:prstGeom prst="rect">
                      <a:avLst/>
                    </a:prstGeom>
                    <a:noFill/>
                    <a:ln>
                      <a:noFill/>
                    </a:ln>
                  </pic:spPr>
                </pic:pic>
              </a:graphicData>
            </a:graphic>
          </wp:inline>
        </w:drawing>
      </w:r>
    </w:p>
    <w:p w14:paraId="4DEDD409" w14:textId="2200620F" w:rsidR="00471941" w:rsidRPr="005C09CB" w:rsidRDefault="00471941" w:rsidP="00471941">
      <w:pPr>
        <w:pStyle w:val="13FigureCaption"/>
      </w:pPr>
      <w:bookmarkStart w:id="361" w:name="_Ref134435723"/>
      <w:bookmarkStart w:id="362" w:name="_Toc141349942"/>
      <w:r>
        <w:t xml:space="preserve">Figure </w:t>
      </w:r>
      <w:fldSimple w:instr=" STYLEREF 1 \s ">
        <w:r w:rsidR="000E1725">
          <w:rPr>
            <w:noProof/>
          </w:rPr>
          <w:t>4</w:t>
        </w:r>
      </w:fldSimple>
      <w:r w:rsidR="005445E0">
        <w:t>.</w:t>
      </w:r>
      <w:fldSimple w:instr=" SEQ Figure \* ARABIC \s 1 ">
        <w:r w:rsidR="000E1725">
          <w:rPr>
            <w:noProof/>
          </w:rPr>
          <w:t>21</w:t>
        </w:r>
      </w:fldSimple>
      <w:bookmarkEnd w:id="361"/>
      <w:r>
        <w:t xml:space="preserve"> Performance comparison using cumulative AC operation cost: compare baseline case (bold black) to idea case (dashed green) and five different cases between them.</w:t>
      </w:r>
      <w:bookmarkEnd w:id="362"/>
    </w:p>
    <w:p w14:paraId="37EC31B7" w14:textId="77777777" w:rsidR="00471941" w:rsidRDefault="00471941" w:rsidP="00471941">
      <w:pPr>
        <w:pStyle w:val="Heading2"/>
      </w:pPr>
      <w:bookmarkStart w:id="363" w:name="_Toc133542387"/>
      <w:bookmarkStart w:id="364" w:name="_Toc141991728"/>
      <w:r>
        <w:rPr>
          <w:rFonts w:hint="eastAsia"/>
        </w:rPr>
        <w:lastRenderedPageBreak/>
        <w:t>S</w:t>
      </w:r>
      <w:r>
        <w:t>ummary</w:t>
      </w:r>
      <w:bookmarkEnd w:id="293"/>
      <w:bookmarkEnd w:id="294"/>
      <w:bookmarkEnd w:id="295"/>
      <w:bookmarkEnd w:id="296"/>
      <w:bookmarkEnd w:id="297"/>
      <w:bookmarkEnd w:id="363"/>
      <w:bookmarkEnd w:id="364"/>
    </w:p>
    <w:p w14:paraId="7B3C0827" w14:textId="77777777" w:rsidR="00471941" w:rsidRDefault="00471941" w:rsidP="00471941">
      <w:r>
        <w:t>The MPC-based precooling agent is developed, implemented and analyzed using nine-home fielding testing with the help of IoT devices and cloud-based data platform in terms of the cost saving and energy flexibility potential in different conditions under a TOU rate. The performance of the agent is also studied using whole building modeling tool, i.e., EnergyPlus, and the Python scripts, in virtual testbed in terms of the impacts of hyperparameters.</w:t>
      </w:r>
    </w:p>
    <w:p w14:paraId="4911B5BB" w14:textId="77777777" w:rsidR="00471941" w:rsidRDefault="00471941" w:rsidP="00471941">
      <w:r>
        <w:t>In the field test study, the MPC agent is implemented in nine residential buildings and the performance of the agent is evaluated through four-month experiment data. Through experiments in multiple buildings, the robustness and effectiveness of the proposed MPC agent are proved. The distribution of the cost savings on hot summer days ranges from 28.720</w:t>
      </w:r>
      <w:r w:rsidRPr="002800D3">
        <w:t>%</w:t>
      </w:r>
      <w:r>
        <w:t xml:space="preserve"> to 51.306</w:t>
      </w:r>
      <w:r w:rsidRPr="002800D3">
        <w:t>%</w:t>
      </w:r>
      <w:r>
        <w:t xml:space="preserve">, while on mild summer days ranges from -14.563% to 60.318% with a much wider range. For a smaller savings amount on mild days, the saving percentages are more sensitive to human activities and operation changes. </w:t>
      </w:r>
    </w:p>
    <w:p w14:paraId="4775A09F" w14:textId="77777777" w:rsidR="00471941" w:rsidRDefault="00471941" w:rsidP="00471941">
      <w:r>
        <w:t xml:space="preserve">Through the comparison of the flexibility factors of the MPC agents, it is observed that homes with larger floor size generally have larger flexibility than smaller homes. Test results show that difference in flexibility can be as much as 11.903% for an average 775 square foot increase. Homes with similar characteristics may not achieve similar load shifting results, and two other major factors, the thermal comfort temperature band and AC’s condition, also affect flexibility. Despite having the same upper and lower bound, a temperature band with higher average temperature results in larger flexibility when compared with a temperature band with </w:t>
      </w:r>
      <w:r>
        <w:lastRenderedPageBreak/>
        <w:t>a lower average temperature. Diverse setpoint choices under similar weather conditions are also observed in Norman in normal operation, which further emphasizes the importance of research on personal thermal comfort preferences. Meanwhile, some AC faults that may not be easily detected in residential buildings’ AC systems, such as low refrigerant levels, affect load-shifting capability. In the Lab House, 30% refrigerant leakage may lead to a 23.164% flexibility reduction and a 42.409% cost increment, which indicates the importance of automated fault detection research in residential buildings.</w:t>
      </w:r>
      <w:r w:rsidDel="00CA1DB8">
        <w:t xml:space="preserve"> </w:t>
      </w:r>
    </w:p>
    <w:p w14:paraId="069FDDDD" w14:textId="77777777" w:rsidR="00471941" w:rsidRDefault="00471941" w:rsidP="00471941">
      <w:r>
        <w:t xml:space="preserve">As with any field study, certain limitations should be acknowledged. Due to the risk aversion of some participants to the AC operation, the MPC agent tests could not be scheduled for too long, causing the full potential of the agent not to be fully realized. Such limitation motivates the development of the virtual testbed. </w:t>
      </w:r>
      <w:r>
        <w:rPr>
          <w:rFonts w:hint="eastAsia"/>
        </w:rPr>
        <w:t>In</w:t>
      </w:r>
      <w:r>
        <w:t xml:space="preserve"> this study, an EnegyPlus virtual testbed and its control framework for co-simulation </w:t>
      </w:r>
      <w:r>
        <w:rPr>
          <w:rFonts w:hint="eastAsia"/>
        </w:rPr>
        <w:t>purpose</w:t>
      </w:r>
      <w:r>
        <w:t>s is developed</w:t>
      </w:r>
      <w:r>
        <w:rPr>
          <w:rFonts w:hint="eastAsia"/>
        </w:rPr>
        <w:t>.</w:t>
      </w:r>
      <w:r>
        <w:t xml:space="preserve"> The former is modified by using the EMS and Python script to mimic the on/off cycle in the majority of residential AC systems in the U.S. Through the indoor air temperature compared with the real thermostat measurement and the energy consumption comparison with the smart power meter measurements, the virtual testbed simulation result shows a quite closer behavior to the real Lab House, hence can be useful in impact analysis in this study. </w:t>
      </w:r>
    </w:p>
    <w:p w14:paraId="3E0F228E" w14:textId="5336BB7B" w:rsidR="00471941" w:rsidRDefault="00471941" w:rsidP="00471941">
      <w:r>
        <w:t xml:space="preserve">In this study, the MPC hyperparameters’ impact is studied at a virtual testbed by conducting sensitivity analysis and ablation study. Through the sensitivity analysis of optimization horizon, it is observed that a longer optimization horizon may bring a smaller cost </w:t>
      </w:r>
      <w:r>
        <w:lastRenderedPageBreak/>
        <w:t>under prefect weather conditions. However, once the forecasted weather is used, such conclusion can be different, a relatively shorter optimization horizon</w:t>
      </w:r>
      <w:r w:rsidR="00D3767D">
        <w:t>—</w:t>
      </w:r>
      <w:r w:rsidR="0046603E">
        <w:t>6 hour in our case study—</w:t>
      </w:r>
      <w:r>
        <w:t xml:space="preserve">may preferable due to the uncertainty exists in forecast weathers. The ablation study also validates this observation. Among all impact factor studies, the MPC-based precooling is most sensitive to the usage of forecast weather, followed by accuracy of the models, such as using 1R1C model instead of 2R2C, and the proper prediction horizon. </w:t>
      </w:r>
    </w:p>
    <w:p w14:paraId="65AD6F0F" w14:textId="77777777" w:rsidR="00471941" w:rsidRDefault="00471941" w:rsidP="00471941">
      <w:pPr>
        <w:widowControl/>
        <w:spacing w:line="240" w:lineRule="auto"/>
        <w:ind w:firstLine="0"/>
        <w:jc w:val="left"/>
      </w:pPr>
      <w:r>
        <w:br w:type="page"/>
      </w:r>
    </w:p>
    <w:p w14:paraId="4412ABB4" w14:textId="77777777" w:rsidR="00D36DE4" w:rsidRDefault="00D36DE4" w:rsidP="00D36DE4">
      <w:pPr>
        <w:pStyle w:val="Heading1"/>
      </w:pPr>
      <w:bookmarkStart w:id="365" w:name="_Ref139415017"/>
      <w:bookmarkStart w:id="366" w:name="_Ref139415438"/>
      <w:bookmarkStart w:id="367" w:name="_Toc141991729"/>
      <w:r w:rsidRPr="00B50496">
        <w:rPr>
          <w:rFonts w:eastAsiaTheme="minorEastAsia"/>
        </w:rPr>
        <w:lastRenderedPageBreak/>
        <w:t xml:space="preserve">Connected Home Energy Management for Grid-Interactive </w:t>
      </w:r>
      <w:r>
        <w:rPr>
          <w:rFonts w:eastAsiaTheme="minorEastAsia"/>
        </w:rPr>
        <w:t>Building</w:t>
      </w:r>
      <w:bookmarkEnd w:id="365"/>
      <w:bookmarkEnd w:id="366"/>
      <w:bookmarkEnd w:id="367"/>
    </w:p>
    <w:p w14:paraId="1B51EFC2" w14:textId="77777777" w:rsidR="00D36DE4" w:rsidRPr="00F55C70" w:rsidRDefault="00D36DE4" w:rsidP="00D36DE4">
      <w:pPr>
        <w:pStyle w:val="Heading2"/>
      </w:pPr>
      <w:bookmarkStart w:id="368" w:name="_Toc141991730"/>
      <w:r>
        <w:t>Introduction</w:t>
      </w:r>
      <w:bookmarkEnd w:id="368"/>
      <w:r>
        <w:t xml:space="preserve">  </w:t>
      </w:r>
    </w:p>
    <w:p w14:paraId="3167B760" w14:textId="77777777" w:rsidR="00D36DE4" w:rsidRDefault="00D36DE4" w:rsidP="00D36DE4">
      <w:r>
        <w:t xml:space="preserve">Having developed the model for major flexibility resources in a smart home and proved the load shifting ability of an AC system through both field study and virtual testbed study, the cost saving and energy flexibility potential in a smart home is invested through simulation in this chapter. Specifically, a scheduling algorithm coordinating thermal appliances (HVAC system and water heater), non-thermal appliances (clothes washer, dryer, and dishwasher), and a rooftop residential photovoltaic (PV) system, with the PV system being optionally coupled with the battery energy management system, are developed. The structure of this chapter is as follows. First, three types of PV systems that are common in residential buildings are introduced. Second, the mixed-integer linear programming (MILP) problems of the scheduling algorithm for smart homes for different types of PV systems are formulated. </w:t>
      </w:r>
    </w:p>
    <w:p w14:paraId="72F2A5CE" w14:textId="77777777" w:rsidR="00D36DE4" w:rsidRPr="00E87FE5" w:rsidRDefault="00D36DE4" w:rsidP="00D36DE4">
      <w:r w:rsidRPr="00E87FE5">
        <w:t xml:space="preserve">To address the existing limitations and </w:t>
      </w:r>
      <w:r>
        <w:t>barriers</w:t>
      </w:r>
      <w:r w:rsidRPr="00E87FE5">
        <w:t xml:space="preserve"> in </w:t>
      </w:r>
      <w:r>
        <w:t>smart home energy management that user behavior is not fully considered</w:t>
      </w:r>
      <w:r w:rsidRPr="00E87FE5">
        <w:t xml:space="preserve">, we have focused on an important aspect that has often been overlooked: user preference. Unlike previous studies, we have taken into account the preferences of users regarding non-thermal appliances. Our investigation is based on an analysis of the American Time Use Survey (ATUS) data, which provides valuable insights into </w:t>
      </w:r>
      <w:r>
        <w:t>American daily activities and appliance usage</w:t>
      </w:r>
      <w:r w:rsidRPr="00E87FE5">
        <w:t xml:space="preserve">. By incorporating </w:t>
      </w:r>
      <w:r>
        <w:t>user preference in our scheduling algorithm</w:t>
      </w:r>
      <w:r w:rsidRPr="00E87FE5">
        <w:t xml:space="preserve">, we aim to contribute to a more holistic understanding of home energy </w:t>
      </w:r>
      <w:r w:rsidRPr="00E87FE5">
        <w:lastRenderedPageBreak/>
        <w:t>management systems and better align them with the needs and preferences of users.</w:t>
      </w:r>
    </w:p>
    <w:p w14:paraId="61CFB80F" w14:textId="008A6B96" w:rsidR="00D36DE4" w:rsidRDefault="00D36DE4" w:rsidP="00D36DE4">
      <w:r>
        <w:t>Building upon the aforementioned context, it is important to acknowledge</w:t>
      </w:r>
      <w:r w:rsidRPr="000967B6">
        <w:t xml:space="preserve"> the focus of this study does not involve selling power generated by solar systems back to the grid</w:t>
      </w:r>
      <w:r>
        <w:t xml:space="preserve">. This means </w:t>
      </w:r>
      <w:r w:rsidRPr="0008433E">
        <w:t>excess energy generated by the PV is wasted if it cannot be used by the appliances or does not need to be stored in the battery</w:t>
      </w:r>
      <w:r>
        <w:t xml:space="preserve">, and the user will not get the credits from the grid. </w:t>
      </w:r>
      <w:r w:rsidRPr="00DD56F3">
        <w:t>It is worth mentioning that such</w:t>
      </w:r>
      <w:r>
        <w:t xml:space="preserve"> consideration</w:t>
      </w:r>
      <w:r w:rsidRPr="00DD56F3">
        <w:t xml:space="preserve"> is not unique to this study. For instance, a previous work </w:t>
      </w:r>
      <w:r>
        <w:fldChar w:fldCharType="begin"/>
      </w:r>
      <w:r w:rsidR="0082416B">
        <w:instrText xml:space="preserve"> ADDIN ZOTERO_ITEM CSL_CITATION {"citationID":"KM1c2dpF","properties":{"formattedCitation":"[137]","plainCitation":"[137]","noteIndex":0},"citationItems":[{"id":1055,"uris":["http://zotero.org/users/5659608/items/H76PXAD5"],"itemData":{"id":1055,"type":"article-journal","abstract":"Driven by fast advancements in wind and photovoltaic (PV) technologies, onsite renewable electricity generation is becoming attractive to manufacturers since they are able to reduce electricity purchases from the grid and may lower their electricity costs. This paper proposes a methodology to minimize the electricity cost of a grid-connected factory that also has onsite solar power generation and battery storage. Purchases from the grid are subject to time-of-use electricity rate schedules. The problem is formulated asa mixed-integer programming problem and GAMS is used to find the optimal manufacturing and onsite energy flow schedules that have the minimal electricity cost. A case study with one hybrid flow shop, onsite PV power generation, and a battery was used to test the proposed method. Testing results showed that the factory’s electricity cost can be reduced by 54.0% under summer TOU rate on a typical day while a 0.7% electricity cost reduction can be achieved for a representative day under a winter TOU rate. An annual electricity cost savings of 28.1% can be obtained with the optimal schedules. In addition, a parametric study incorporating the optimal schedules was performed to understand the economic performances associated with different PV capacity and battery bank size for the factory.","container-title":"Applied Energy","DOI":"10.1016/j.apenergy.2017.08.140","ISSN":"0306-2619","journalAbbreviation":"Applied Energy","language":"en","page":"1538-1547","source":"ScienceDirect","title":"Operational optimization of a grid-connected factory with onsite photovoltaic and battery storage systems","volume":"205","author":[{"family":"Zhang","given":"Hao"},{"family":"Cai","given":"Jie"},{"family":"Fang","given":"Kan"},{"family":"Zhao","given":"Fu"},{"family":"Sutherland","given":"John W."}],"issued":{"date-parts":[["2017",11,1]]},"citation-key":"zhangOperationalOptimizationGridconnected2017"}}],"schema":"https://github.com/citation-style-language/schema/raw/master/csl-citation.json"} </w:instrText>
      </w:r>
      <w:r>
        <w:fldChar w:fldCharType="separate"/>
      </w:r>
      <w:r w:rsidR="0082416B" w:rsidRPr="0082416B">
        <w:t>[137]</w:t>
      </w:r>
      <w:r>
        <w:fldChar w:fldCharType="end"/>
      </w:r>
      <w:r>
        <w:t xml:space="preserve"> also ignored the selling excess solar energy options. The author in </w:t>
      </w:r>
      <w:r>
        <w:fldChar w:fldCharType="begin"/>
      </w:r>
      <w:r w:rsidR="0082416B">
        <w:instrText xml:space="preserve"> ADDIN ZOTERO_ITEM CSL_CITATION {"citationID":"pRcnL47w","properties":{"formattedCitation":"[137]","plainCitation":"[137]","noteIndex":0},"citationItems":[{"id":1055,"uris":["http://zotero.org/users/5659608/items/H76PXAD5"],"itemData":{"id":1055,"type":"article-journal","abstract":"Driven by fast advancements in wind and photovoltaic (PV) technologies, onsite renewable electricity generation is becoming attractive to manufacturers since they are able to reduce electricity purchases from the grid and may lower their electricity costs. This paper proposes a methodology to minimize the electricity cost of a grid-connected factory that also has onsite solar power generation and battery storage. Purchases from the grid are subject to time-of-use electricity rate schedules. The problem is formulated asa mixed-integer programming problem and GAMS is used to find the optimal manufacturing and onsite energy flow schedules that have the minimal electricity cost. A case study with one hybrid flow shop, onsite PV power generation, and a battery was used to test the proposed method. Testing results showed that the factory’s electricity cost can be reduced by 54.0% under summer TOU rate on a typical day while a 0.7% electricity cost reduction can be achieved for a representative day under a winter TOU rate. An annual electricity cost savings of 28.1% can be obtained with the optimal schedules. In addition, a parametric study incorporating the optimal schedules was performed to understand the economic performances associated with different PV capacity and battery bank size for the factory.","container-title":"Applied Energy","DOI":"10.1016/j.apenergy.2017.08.140","ISSN":"0306-2619","journalAbbreviation":"Applied Energy","language":"en","page":"1538-1547","source":"ScienceDirect","title":"Operational optimization of a grid-connected factory with onsite photovoltaic and battery storage systems","volume":"205","author":[{"family":"Zhang","given":"Hao"},{"family":"Cai","given":"Jie"},{"family":"Fang","given":"Kan"},{"family":"Zhao","given":"Fu"},{"family":"Sutherland","given":"John W."}],"issued":{"date-parts":[["2017",11,1]]},"citation-key":"zhangOperationalOptimizationGridconnected2017"}}],"schema":"https://github.com/citation-style-language/schema/raw/master/csl-citation.json"} </w:instrText>
      </w:r>
      <w:r>
        <w:fldChar w:fldCharType="separate"/>
      </w:r>
      <w:r w:rsidR="0082416B" w:rsidRPr="0082416B">
        <w:t>[137]</w:t>
      </w:r>
      <w:r>
        <w:fldChar w:fldCharType="end"/>
      </w:r>
      <w:r>
        <w:t xml:space="preserve"> indicated that feed-in tariffs are not widely available in the U.S., and when the battery is available to collect the majority of the excess PV power, the low feed-in tariff makes selling action less economical. There are </w:t>
      </w:r>
      <w:r w:rsidRPr="00271456">
        <w:t>three types of solar systems that are commonly used in residential buildings: grid-connected, grid-off, and hybrid systems</w:t>
      </w:r>
      <w:r>
        <w:t>, as shown in</w:t>
      </w:r>
      <w:r w:rsidR="00546525">
        <w:t xml:space="preserve"> </w:t>
      </w:r>
      <w:r w:rsidR="00546525">
        <w:fldChar w:fldCharType="begin"/>
      </w:r>
      <w:r w:rsidR="00546525">
        <w:instrText xml:space="preserve"> REF _Ref139493824 \h </w:instrText>
      </w:r>
      <w:r w:rsidR="00546525">
        <w:fldChar w:fldCharType="separate"/>
      </w:r>
      <w:r w:rsidR="000E1725">
        <w:t xml:space="preserve">Figure </w:t>
      </w:r>
      <w:r w:rsidR="000E1725">
        <w:rPr>
          <w:noProof/>
        </w:rPr>
        <w:t>5</w:t>
      </w:r>
      <w:r w:rsidR="000E1725">
        <w:t>.</w:t>
      </w:r>
      <w:r w:rsidR="000E1725">
        <w:rPr>
          <w:noProof/>
        </w:rPr>
        <w:t>1</w:t>
      </w:r>
      <w:r w:rsidR="00546525">
        <w:fldChar w:fldCharType="end"/>
      </w:r>
      <w:r>
        <w:t>.</w:t>
      </w:r>
    </w:p>
    <w:p w14:paraId="2060C79A" w14:textId="77777777" w:rsidR="00146A55" w:rsidRDefault="00D36DE4" w:rsidP="00CB28EB">
      <w:pPr>
        <w:keepNext/>
        <w:jc w:val="center"/>
      </w:pPr>
      <w:r w:rsidRPr="000B5DF1">
        <w:rPr>
          <w:noProof/>
        </w:rPr>
        <w:drawing>
          <wp:inline distT="0" distB="0" distL="0" distR="0" wp14:anchorId="51D6D543" wp14:editId="39C05870">
            <wp:extent cx="5106010" cy="1309428"/>
            <wp:effectExtent l="0" t="0" r="0" b="5080"/>
            <wp:docPr id="66" name="Picture 6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Diagram&#10;&#10;Description automatically generated"/>
                    <pic:cNvPicPr/>
                  </pic:nvPicPr>
                  <pic:blipFill>
                    <a:blip r:embed="rId69"/>
                    <a:stretch>
                      <a:fillRect/>
                    </a:stretch>
                  </pic:blipFill>
                  <pic:spPr>
                    <a:xfrm>
                      <a:off x="0" y="0"/>
                      <a:ext cx="5113314" cy="1311301"/>
                    </a:xfrm>
                    <a:prstGeom prst="rect">
                      <a:avLst/>
                    </a:prstGeom>
                  </pic:spPr>
                </pic:pic>
              </a:graphicData>
            </a:graphic>
          </wp:inline>
        </w:drawing>
      </w:r>
    </w:p>
    <w:p w14:paraId="6B88A301" w14:textId="56ECA542" w:rsidR="00146A55" w:rsidRPr="007E4F6A" w:rsidRDefault="00146A55" w:rsidP="00146A55">
      <w:pPr>
        <w:rPr>
          <w:sz w:val="20"/>
          <w:szCs w:val="20"/>
        </w:rPr>
      </w:pPr>
      <w:bookmarkStart w:id="369" w:name="_Ref139493824"/>
      <w:bookmarkStart w:id="370" w:name="_Toc141349943"/>
      <w:r>
        <w:t xml:space="preserve">Figure </w:t>
      </w:r>
      <w:fldSimple w:instr=" STYLEREF 1 \s ">
        <w:r w:rsidR="000E1725">
          <w:rPr>
            <w:noProof/>
          </w:rPr>
          <w:t>5</w:t>
        </w:r>
      </w:fldSimple>
      <w:r w:rsidR="005445E0">
        <w:t>.</w:t>
      </w:r>
      <w:fldSimple w:instr=" SEQ Figure \* ARABIC \s 1 ">
        <w:r w:rsidR="000E1725">
          <w:rPr>
            <w:noProof/>
          </w:rPr>
          <w:t>1</w:t>
        </w:r>
      </w:fldSimple>
      <w:bookmarkEnd w:id="369"/>
      <w:r>
        <w:t xml:space="preserve"> </w:t>
      </w:r>
      <w:r w:rsidRPr="005D4A80">
        <w:rPr>
          <w:rFonts w:hint="eastAsia"/>
          <w:sz w:val="20"/>
          <w:szCs w:val="20"/>
        </w:rPr>
        <w:t>Three</w:t>
      </w:r>
      <w:r w:rsidRPr="005D4A80">
        <w:rPr>
          <w:sz w:val="20"/>
          <w:szCs w:val="20"/>
        </w:rPr>
        <w:t xml:space="preserve"> different types of PV</w:t>
      </w:r>
      <w:r>
        <w:rPr>
          <w:sz w:val="20"/>
          <w:szCs w:val="20"/>
        </w:rPr>
        <w:t xml:space="preserve"> Systems</w:t>
      </w:r>
      <w:r w:rsidRPr="005D4A80">
        <w:rPr>
          <w:sz w:val="20"/>
          <w:szCs w:val="20"/>
        </w:rPr>
        <w:t xml:space="preserve">m: </w:t>
      </w:r>
      <w:r w:rsidRPr="005D4A80">
        <w:rPr>
          <w:rFonts w:hint="eastAsia"/>
          <w:sz w:val="20"/>
          <w:szCs w:val="20"/>
        </w:rPr>
        <w:t>Off</w:t>
      </w:r>
      <w:r w:rsidRPr="005D4A80">
        <w:rPr>
          <w:sz w:val="20"/>
          <w:szCs w:val="20"/>
        </w:rPr>
        <w:t xml:space="preserve">-grid (left), Grid-tie (middle), </w:t>
      </w:r>
      <w:r>
        <w:rPr>
          <w:sz w:val="20"/>
          <w:szCs w:val="20"/>
        </w:rPr>
        <w:t xml:space="preserve">and </w:t>
      </w:r>
      <w:r w:rsidRPr="005D4A80">
        <w:rPr>
          <w:sz w:val="20"/>
          <w:szCs w:val="20"/>
        </w:rPr>
        <w:t>Hybrid System (right).</w:t>
      </w:r>
      <w:bookmarkEnd w:id="370"/>
    </w:p>
    <w:p w14:paraId="58E444F3" w14:textId="70250A3D" w:rsidR="00D36DE4" w:rsidRDefault="00664F1E" w:rsidP="00D36DE4">
      <w:r>
        <w:rPr>
          <w:sz w:val="20"/>
          <w:szCs w:val="20"/>
        </w:rPr>
        <w:fldChar w:fldCharType="begin"/>
      </w:r>
      <w:r>
        <w:rPr>
          <w:sz w:val="20"/>
          <w:szCs w:val="20"/>
        </w:rPr>
        <w:instrText xml:space="preserve"> REF _Ref139493824 \h </w:instrText>
      </w:r>
      <w:r>
        <w:rPr>
          <w:sz w:val="20"/>
          <w:szCs w:val="20"/>
        </w:rPr>
      </w:r>
      <w:r>
        <w:rPr>
          <w:sz w:val="20"/>
          <w:szCs w:val="20"/>
        </w:rPr>
        <w:fldChar w:fldCharType="separate"/>
      </w:r>
      <w:r w:rsidR="000E1725">
        <w:t xml:space="preserve">Figure </w:t>
      </w:r>
      <w:r w:rsidR="000E1725">
        <w:rPr>
          <w:noProof/>
        </w:rPr>
        <w:t>5</w:t>
      </w:r>
      <w:r w:rsidR="000E1725">
        <w:t>.</w:t>
      </w:r>
      <w:r w:rsidR="000E1725">
        <w:rPr>
          <w:noProof/>
        </w:rPr>
        <w:t>1</w:t>
      </w:r>
      <w:r>
        <w:rPr>
          <w:sz w:val="20"/>
          <w:szCs w:val="20"/>
        </w:rPr>
        <w:fldChar w:fldCharType="end"/>
      </w:r>
      <w:r>
        <w:rPr>
          <w:sz w:val="20"/>
          <w:szCs w:val="20"/>
        </w:rPr>
        <w:t xml:space="preserve"> </w:t>
      </w:r>
      <w:r w:rsidR="00D36DE4">
        <w:t>also demonstrates</w:t>
      </w:r>
      <w:r w:rsidR="00D36DE4" w:rsidRPr="00271456">
        <w:t xml:space="preserve"> the power flows associated with three types of systems. </w:t>
      </w:r>
      <w:r w:rsidR="00D36DE4" w:rsidRPr="00855F54">
        <w:t xml:space="preserve">As the name implies, the off-grid system is not connected to the grid, relying entirely on solar generation. In an off-grid system, the energy generated by the solar panels is stored in a battery </w:t>
      </w:r>
      <w:r w:rsidR="00D36DE4" w:rsidRPr="00855F54">
        <w:lastRenderedPageBreak/>
        <w:t xml:space="preserve">bank, which then supplies all the energy to the house when it is needed. The </w:t>
      </w:r>
      <w:r w:rsidR="00D36DE4">
        <w:t>off-grid</w:t>
      </w:r>
      <w:r w:rsidR="00D36DE4" w:rsidRPr="00855F54">
        <w:t xml:space="preserve"> solar system price is much higher than the other two types, as they require a much larger energy storage system. While a charger controller is embedded into the system to optimize energy generation, this type of system is more frequently used in cabins, cottages, and even RVs (recreational vehicles)</w:t>
      </w:r>
      <w:r w:rsidR="00D36DE4">
        <w:t>, and it is especially useful for remote areas where access to the grid is limiting.</w:t>
      </w:r>
      <w:r w:rsidR="00D36DE4" w:rsidRPr="009833A1">
        <w:t xml:space="preserve"> </w:t>
      </w:r>
    </w:p>
    <w:p w14:paraId="483606BA" w14:textId="77777777" w:rsidR="00D36DE4" w:rsidRDefault="00D36DE4" w:rsidP="00D36DE4">
      <w:r w:rsidRPr="009833A1">
        <w:t xml:space="preserve">Grid-tie systems are more frequently used in residential construction. In this system, the smart home can draw electricity from the grid while also drawing electricity from the photovoltaic system. A grid-tie inverter will convert the solar-generated direct current (DC) to alternating current (AC). However, no battery is involved in this </w:t>
      </w:r>
      <w:r>
        <w:t>case</w:t>
      </w:r>
      <w:r w:rsidRPr="009833A1">
        <w:t xml:space="preserve">. To further integrate the battery system with the photovoltaic system, </w:t>
      </w:r>
      <w:r>
        <w:t xml:space="preserve">a hybrid system integrates a battery with the photovoltaic system by using </w:t>
      </w:r>
      <w:r w:rsidRPr="009833A1">
        <w:t xml:space="preserve">a hybrid inverter </w:t>
      </w:r>
      <w:r>
        <w:t>that not only converts</w:t>
      </w:r>
      <w:r w:rsidRPr="009833A1">
        <w:t xml:space="preserve"> DC to AC </w:t>
      </w:r>
      <w:r>
        <w:t>but also charges</w:t>
      </w:r>
      <w:r w:rsidRPr="009833A1">
        <w:t xml:space="preserve"> the battery</w:t>
      </w:r>
      <w:r>
        <w:t xml:space="preserve"> is considered</w:t>
      </w:r>
      <w:r w:rsidRPr="009833A1">
        <w:t>.</w:t>
      </w:r>
      <w:r w:rsidRPr="00A4541F">
        <w:t xml:space="preserve"> </w:t>
      </w:r>
      <w:r>
        <w:t>Therefore</w:t>
      </w:r>
      <w:r w:rsidRPr="00A4541F">
        <w:t xml:space="preserve">, the smart home with </w:t>
      </w:r>
      <w:r>
        <w:t xml:space="preserve">a </w:t>
      </w:r>
      <w:r w:rsidRPr="00A4541F">
        <w:t>hybrid system obtains energy from the grid, directly from the photovoltaic panel, and from the battery.</w:t>
      </w:r>
      <w:r>
        <w:t xml:space="preserve"> Both grid-tie and hybrid systems provide more energy flexibility and resilience to the buildings. In this study,</w:t>
      </w:r>
      <w:r w:rsidRPr="00A730FB">
        <w:t xml:space="preserve"> only </w:t>
      </w:r>
      <w:r>
        <w:t xml:space="preserve">the </w:t>
      </w:r>
      <w:r w:rsidRPr="00A730FB">
        <w:t xml:space="preserve">gird-tie and the hybrid solar system </w:t>
      </w:r>
      <w:r>
        <w:t>are considered</w:t>
      </w:r>
      <w:r w:rsidRPr="00A730FB">
        <w:t xml:space="preserve">. </w:t>
      </w:r>
    </w:p>
    <w:p w14:paraId="5BACEF5A" w14:textId="77777777" w:rsidR="00D36DE4" w:rsidRPr="00F55C70" w:rsidRDefault="00D36DE4" w:rsidP="00D36DE4">
      <w:pPr>
        <w:pStyle w:val="Heading2"/>
      </w:pPr>
      <w:bookmarkStart w:id="371" w:name="_Toc141991731"/>
      <w:r>
        <w:t>Smart Home Scheduling Formulation</w:t>
      </w:r>
      <w:bookmarkEnd w:id="371"/>
    </w:p>
    <w:p w14:paraId="14672B1C" w14:textId="77777777" w:rsidR="00D36DE4" w:rsidRDefault="00D36DE4" w:rsidP="00D36DE4">
      <w:r>
        <w:t>In this section, t</w:t>
      </w:r>
      <w:r w:rsidRPr="00F45B1D">
        <w:t xml:space="preserve">he mathematical programming formulation for smart home optimal scheduling is </w:t>
      </w:r>
      <w:r>
        <w:t>introduced</w:t>
      </w:r>
      <w:r w:rsidRPr="00F45B1D">
        <w:t xml:space="preserve">. </w:t>
      </w:r>
      <w:r>
        <w:t>First</w:t>
      </w:r>
      <w:r w:rsidRPr="00F45B1D">
        <w:t xml:space="preserve">, </w:t>
      </w:r>
      <w:r>
        <w:t>a baseline model which considered</w:t>
      </w:r>
      <w:r w:rsidRPr="00F45B1D">
        <w:t xml:space="preserve"> the thermal and non-thermal appliances scheduling </w:t>
      </w:r>
      <w:r>
        <w:t>without any PV or battery involvement in the modeling is introduced</w:t>
      </w:r>
      <w:r w:rsidRPr="00F45B1D">
        <w:t xml:space="preserve">. </w:t>
      </w:r>
      <w:r w:rsidRPr="00F45B1D">
        <w:lastRenderedPageBreak/>
        <w:t xml:space="preserve">The baseline </w:t>
      </w:r>
      <w:r>
        <w:t>model depicts</w:t>
      </w:r>
      <w:r w:rsidRPr="00F45B1D">
        <w:t xml:space="preserve"> </w:t>
      </w:r>
      <w:r>
        <w:t>an optimal scheduling approach to coordinate both thermal and non-thermal appliances</w:t>
      </w:r>
      <w:r w:rsidRPr="00F45B1D">
        <w:t>.</w:t>
      </w:r>
      <w:r>
        <w:t xml:space="preserve"> Following that</w:t>
      </w:r>
      <w:r w:rsidRPr="00F45B1D">
        <w:t xml:space="preserve">, </w:t>
      </w:r>
      <w:r>
        <w:t>a</w:t>
      </w:r>
      <w:r w:rsidRPr="00F45B1D">
        <w:t xml:space="preserve"> </w:t>
      </w:r>
      <w:r>
        <w:t>s</w:t>
      </w:r>
      <w:r w:rsidRPr="00F45B1D">
        <w:t xml:space="preserve">cheduling model </w:t>
      </w:r>
      <w:r>
        <w:t xml:space="preserve">integrating </w:t>
      </w:r>
      <w:r w:rsidRPr="00F45B1D">
        <w:t>the grid-tie and hybrid PV system</w:t>
      </w:r>
      <w:r>
        <w:t xml:space="preserve"> are introduced, respectively</w:t>
      </w:r>
      <w:r w:rsidRPr="00F45B1D">
        <w:t xml:space="preserve">. The first models considered the operation </w:t>
      </w:r>
      <w:r>
        <w:t xml:space="preserve">of </w:t>
      </w:r>
      <w:r w:rsidRPr="00F45B1D">
        <w:t>smart home appliances when the PV panels</w:t>
      </w:r>
      <w:r>
        <w:t xml:space="preserve"> directly</w:t>
      </w:r>
      <w:r w:rsidRPr="00F45B1D">
        <w:t xml:space="preserve"> provide some energy to the appliances through a grid-tie inverter, </w:t>
      </w:r>
      <w:r>
        <w:t>underscoring the immediate solar power utilization. T</w:t>
      </w:r>
      <w:r w:rsidRPr="00F45B1D">
        <w:t>he later model has a</w:t>
      </w:r>
      <w:r>
        <w:t>n</w:t>
      </w:r>
      <w:r w:rsidRPr="00F45B1D">
        <w:t xml:space="preserve"> AC battery </w:t>
      </w:r>
      <w:r>
        <w:t xml:space="preserve">that </w:t>
      </w:r>
      <w:r w:rsidRPr="00F45B1D">
        <w:t xml:space="preserve">can </w:t>
      </w:r>
      <w:r>
        <w:t xml:space="preserve">store </w:t>
      </w:r>
      <w:r w:rsidRPr="00F45B1D">
        <w:t>extra PV generation</w:t>
      </w:r>
      <w:r>
        <w:t xml:space="preserve"> and provide energy at a later time, stressing the advances in energy storage and flexible power supply. Lastly, based on the American Time Use Survey and real-time water usage data, the user preference models, which relies on statistical analysis and data mining technique, simulate household activities related to the timing of appliance use and water consumption are demonstrated. </w:t>
      </w:r>
    </w:p>
    <w:p w14:paraId="54ED9BB9" w14:textId="77777777" w:rsidR="00D36DE4" w:rsidRDefault="00D36DE4" w:rsidP="00D36DE4">
      <w:pPr>
        <w:pStyle w:val="Heading3"/>
      </w:pPr>
      <w:bookmarkStart w:id="372" w:name="_Toc141991732"/>
      <w:r>
        <w:t>Baseline</w:t>
      </w:r>
      <w:r w:rsidRPr="00F74CE7">
        <w:t xml:space="preserve"> </w:t>
      </w:r>
      <w:r>
        <w:t>m</w:t>
      </w:r>
      <w:r w:rsidRPr="00F74CE7">
        <w:t>odel</w:t>
      </w:r>
      <w:bookmarkEnd w:id="372"/>
    </w:p>
    <w:p w14:paraId="3A7BFE25" w14:textId="77777777" w:rsidR="00D36DE4" w:rsidRDefault="00D36DE4" w:rsidP="00D36DE4">
      <w:r w:rsidRPr="00B84B20">
        <w:t xml:space="preserve">To model the operation of each appliance, we use a series of binary variables to represent their on/off control signals throughout the scheduling period. Let </w:t>
      </w:r>
      <m:oMath>
        <m:r>
          <w:rPr>
            <w:rFonts w:ascii="Cambria Math" w:hAnsi="Cambria Math"/>
          </w:rPr>
          <m:t>i</m:t>
        </m:r>
        <m:r>
          <m:rPr>
            <m:sty m:val="p"/>
          </m:rPr>
          <w:rPr>
            <w:rFonts w:ascii="Cambria Math" w:hAnsi="Cambria Math"/>
          </w:rPr>
          <m:t>∈</m:t>
        </m:r>
        <m:r>
          <m:rPr>
            <m:lit/>
            <m:sty m:val="p"/>
          </m:rPr>
          <w:rPr>
            <w:rFonts w:ascii="Cambria Math" w:hAnsi="Cambria Math"/>
          </w:rPr>
          <m:t>{</m:t>
        </m:r>
        <m:r>
          <w:rPr>
            <w:rFonts w:ascii="Cambria Math" w:hAnsi="Cambria Math"/>
          </w:rPr>
          <m:t>I</m:t>
        </m:r>
        <m:r>
          <m:rPr>
            <m:sty m:val="p"/>
          </m:rPr>
          <w:rPr>
            <w:rFonts w:ascii="Cambria Math" w:hAnsi="Cambria Math"/>
          </w:rPr>
          <m:t>=1,2,…</m:t>
        </m:r>
        <m:sSub>
          <m:sSubPr>
            <m:ctrlPr>
              <w:rPr>
                <w:rFonts w:ascii="Cambria Math" w:hAnsi="Cambria Math"/>
              </w:rPr>
            </m:ctrlPr>
          </m:sSubPr>
          <m:e>
            <m:r>
              <w:rPr>
                <w:rFonts w:ascii="Cambria Math" w:hAnsi="Cambria Math"/>
              </w:rPr>
              <m:t>N</m:t>
            </m:r>
          </m:e>
          <m:sub>
            <m:r>
              <w:rPr>
                <w:rFonts w:ascii="Cambria Math" w:hAnsi="Cambria Math"/>
              </w:rPr>
              <m:t>nt</m:t>
            </m:r>
          </m:sub>
        </m:sSub>
        <m:r>
          <m:rPr>
            <m:lit/>
            <m:sty m:val="p"/>
          </m:rPr>
          <w:rPr>
            <w:rFonts w:ascii="Cambria Math" w:hAnsi="Cambria Math"/>
          </w:rPr>
          <m:t>}</m:t>
        </m:r>
      </m:oMath>
      <w:r w:rsidRPr="00B84B20">
        <w:t xml:space="preserve"> </w:t>
      </w:r>
      <w:r>
        <w:t>denote</w:t>
      </w:r>
      <w:r w:rsidRPr="00B84B20">
        <w:t xml:space="preserve"> the number of all non-thermal appliances in a smart home, </w:t>
      </w:r>
      <m:oMath>
        <m:r>
          <w:rPr>
            <w:rFonts w:ascii="Cambria Math" w:hAnsi="Cambria Math"/>
          </w:rPr>
          <m:t>j</m:t>
        </m:r>
        <m:r>
          <m:rPr>
            <m:sty m:val="p"/>
          </m:rPr>
          <w:rPr>
            <w:rFonts w:ascii="Cambria Math" w:hAnsi="Cambria Math"/>
          </w:rPr>
          <m:t>∈</m:t>
        </m:r>
        <m:r>
          <w:rPr>
            <w:rFonts w:ascii="Cambria Math" w:hAnsi="Cambria Math"/>
          </w:rPr>
          <m:t>J</m:t>
        </m:r>
        <m:r>
          <m:rPr>
            <m:sty m:val="p"/>
          </m:rPr>
          <w:rPr>
            <w:rFonts w:ascii="Cambria Math" w:hAnsi="Cambria Math"/>
          </w:rPr>
          <m:t>=</m:t>
        </m:r>
        <m:r>
          <m:rPr>
            <m:lit/>
            <m:sty m:val="p"/>
          </m:rPr>
          <w:rPr>
            <w:rFonts w:ascii="Cambria Math" w:hAnsi="Cambria Math"/>
          </w:rPr>
          <m:t>{</m:t>
        </m:r>
        <m:r>
          <m:rPr>
            <m:sty m:val="p"/>
          </m:rPr>
          <w:rPr>
            <w:rFonts w:ascii="Cambria Math" w:hAnsi="Cambria Math"/>
          </w:rPr>
          <m:t>1,2,…</m:t>
        </m:r>
        <m:sSub>
          <m:sSubPr>
            <m:ctrlPr>
              <w:rPr>
                <w:rFonts w:ascii="Cambria Math" w:hAnsi="Cambria Math"/>
              </w:rPr>
            </m:ctrlPr>
          </m:sSubPr>
          <m:e>
            <m:r>
              <w:rPr>
                <w:rFonts w:ascii="Cambria Math" w:hAnsi="Cambria Math"/>
              </w:rPr>
              <m:t>n</m:t>
            </m:r>
          </m:e>
          <m:sub>
            <m:r>
              <w:rPr>
                <w:rFonts w:ascii="Cambria Math" w:hAnsi="Cambria Math"/>
              </w:rPr>
              <m:t>i</m:t>
            </m:r>
          </m:sub>
        </m:sSub>
        <m:r>
          <m:rPr>
            <m:lit/>
            <m:sty m:val="p"/>
          </m:rPr>
          <w:rPr>
            <w:rFonts w:ascii="Cambria Math" w:hAnsi="Cambria Math"/>
          </w:rPr>
          <m:t>}</m:t>
        </m:r>
      </m:oMath>
      <w:r w:rsidRPr="00B84B20">
        <w:t xml:space="preserve"> denote sequential energy phase of each appliance </w:t>
      </w:r>
      <m:oMath>
        <m:r>
          <w:rPr>
            <w:rFonts w:ascii="Cambria Math" w:hAnsi="Cambria Math"/>
          </w:rPr>
          <m:t>i</m:t>
        </m:r>
      </m:oMath>
      <w:r w:rsidRPr="00B84B20">
        <w:t xml:space="preserve">, and </w:t>
      </w:r>
      <m:oMath>
        <m:r>
          <w:rPr>
            <w:rFonts w:ascii="Cambria Math" w:hAnsi="Cambria Math"/>
          </w:rPr>
          <m:t>k</m:t>
        </m:r>
        <m:r>
          <m:rPr>
            <m:sty m:val="p"/>
          </m:rPr>
          <w:rPr>
            <w:rFonts w:ascii="Cambria Math" w:hAnsi="Cambria Math"/>
          </w:rPr>
          <m:t xml:space="preserve"> ∈ </m:t>
        </m:r>
        <m:r>
          <w:rPr>
            <w:rFonts w:ascii="Cambria Math" w:hAnsi="Cambria Math"/>
          </w:rPr>
          <m:t>K</m:t>
        </m:r>
        <m:r>
          <m:rPr>
            <m:sty m:val="p"/>
          </m:rPr>
          <w:rPr>
            <w:rFonts w:ascii="Cambria Math" w:hAnsi="Cambria Math"/>
          </w:rPr>
          <m:t xml:space="preserve"> = </m:t>
        </m:r>
        <m:r>
          <m:rPr>
            <m:lit/>
            <m:sty m:val="p"/>
          </m:rPr>
          <w:rPr>
            <w:rFonts w:ascii="Cambria Math" w:hAnsi="Cambria Math"/>
          </w:rPr>
          <m:t>{</m:t>
        </m:r>
        <m:r>
          <m:rPr>
            <m:sty m:val="p"/>
          </m:rPr>
          <w:rPr>
            <w:rFonts w:ascii="Cambria Math" w:hAnsi="Cambria Math"/>
          </w:rPr>
          <m:t xml:space="preserve">1, 2, . . . </m:t>
        </m:r>
        <m:r>
          <w:rPr>
            <w:rFonts w:ascii="Cambria Math" w:hAnsi="Cambria Math"/>
          </w:rPr>
          <m:t>m</m:t>
        </m:r>
        <m:r>
          <m:rPr>
            <m:lit/>
            <m:sty m:val="p"/>
          </m:rPr>
          <w:rPr>
            <w:rFonts w:ascii="Cambria Math" w:hAnsi="Cambria Math"/>
          </w:rPr>
          <m:t>}</m:t>
        </m:r>
      </m:oMath>
      <w:r w:rsidRPr="00B84B20">
        <w:t xml:space="preserve"> denotes each time </w:t>
      </w:r>
      <w:r>
        <w:t>slot</w:t>
      </w:r>
      <w:r w:rsidRPr="00B84B20">
        <w:t xml:space="preserve"> of scheduling period, of which </w:t>
      </w:r>
      <m:oMath>
        <m:sSub>
          <m:sSubPr>
            <m:ctrlPr>
              <w:rPr>
                <w:rFonts w:ascii="Cambria Math" w:hAnsi="Cambria Math"/>
              </w:rPr>
            </m:ctrlPr>
          </m:sSubPr>
          <m:e>
            <m:r>
              <w:rPr>
                <w:rFonts w:ascii="Cambria Math" w:hAnsi="Cambria Math"/>
              </w:rPr>
              <m:t>N</m:t>
            </m:r>
          </m:e>
          <m:sub>
            <m:r>
              <w:rPr>
                <w:rFonts w:ascii="Cambria Math" w:hAnsi="Cambria Math"/>
              </w:rPr>
              <m:t>nt</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i</m:t>
            </m:r>
          </m:sub>
        </m:sSub>
        <m:r>
          <m:rPr>
            <m:sty m:val="p"/>
          </m:rPr>
          <w:rPr>
            <w:rFonts w:ascii="Cambria Math" w:hAnsi="Cambria Math"/>
          </w:rPr>
          <m:t xml:space="preserve">, </m:t>
        </m:r>
      </m:oMath>
      <w:r w:rsidRPr="00B84B20">
        <w:t xml:space="preserve">and </w:t>
      </w:r>
      <m:oMath>
        <m:r>
          <w:rPr>
            <w:rFonts w:ascii="Cambria Math" w:hAnsi="Cambria Math"/>
          </w:rPr>
          <m:t>m</m:t>
        </m:r>
      </m:oMath>
      <w:r w:rsidRPr="00B84B20">
        <w:t xml:space="preserve"> are the number of non-thermal appliances, the energy phase of non-thermal appliance</w:t>
      </w:r>
      <m:oMath>
        <m:r>
          <m:rPr>
            <m:sty m:val="p"/>
          </m:rPr>
          <w:rPr>
            <w:rFonts w:ascii="Cambria Math" w:hAnsi="Cambria Math"/>
          </w:rPr>
          <m:t xml:space="preserve"> </m:t>
        </m:r>
        <m:r>
          <w:rPr>
            <w:rFonts w:ascii="Cambria Math" w:hAnsi="Cambria Math"/>
          </w:rPr>
          <m:t>i</m:t>
        </m:r>
        <m:r>
          <m:rPr>
            <m:sty m:val="p"/>
          </m:rPr>
          <w:rPr>
            <w:rFonts w:ascii="Cambria Math" w:hAnsi="Cambria Math"/>
          </w:rPr>
          <m:t>,</m:t>
        </m:r>
      </m:oMath>
      <w:r w:rsidRPr="00B84B20">
        <w:t xml:space="preserve"> and the total time slots, respectively.</w:t>
      </w:r>
      <w:r>
        <w:t xml:space="preserve"> In this baseline model, we first introduce a constraint applied to all appliances and scenarios—the electricity safety model, which is given by: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4"/>
        <w:gridCol w:w="1162"/>
      </w:tblGrid>
      <w:tr w:rsidR="00D36DE4" w:rsidRPr="00FD726F" w14:paraId="77DF81DE" w14:textId="77777777" w:rsidTr="00146A55">
        <w:trPr>
          <w:trHeight w:val="654"/>
        </w:trPr>
        <w:tc>
          <w:tcPr>
            <w:tcW w:w="8195" w:type="dxa"/>
            <w:vAlign w:val="center"/>
          </w:tcPr>
          <w:p w14:paraId="41D1A789" w14:textId="78836EFF" w:rsidR="00D36DE4" w:rsidRPr="00FD726F" w:rsidRDefault="00000000" w:rsidP="002023DB">
            <w:pPr>
              <w:pStyle w:val="Newparagraph"/>
              <w:ind w:firstLine="0"/>
              <w:jc w:val="center"/>
              <w:rPr>
                <w:rFonts w:eastAsiaTheme="minorEastAsia"/>
              </w:rPr>
            </w:pPr>
            <m:oMathPara>
              <m:oMath>
                <m:sSubSup>
                  <m:sSubSupPr>
                    <m:ctrlPr>
                      <w:rPr>
                        <w:rFonts w:ascii="Cambria Math" w:hAnsi="Cambria Math"/>
                      </w:rPr>
                    </m:ctrlPr>
                  </m:sSubSupPr>
                  <m:e>
                    <m:r>
                      <m:rPr>
                        <m:sty m:val="p"/>
                      </m:rPr>
                      <w:rPr>
                        <w:rFonts w:ascii="Cambria Math" w:hAnsi="Cambria Math"/>
                      </w:rPr>
                      <m:t>P</m:t>
                    </m:r>
                  </m:e>
                  <m:sub>
                    <m:r>
                      <m:rPr>
                        <m:sty m:val="p"/>
                      </m:rPr>
                      <w:rPr>
                        <w:rFonts w:ascii="Cambria Math" w:hAnsi="Cambria Math"/>
                      </w:rPr>
                      <m:t>allappliances</m:t>
                    </m:r>
                  </m:sub>
                  <m:sup>
                    <m:r>
                      <m:rPr>
                        <m:sty m:val="p"/>
                      </m:rPr>
                      <w:rPr>
                        <w:rFonts w:ascii="Cambria Math" w:hAnsi="Cambria Math"/>
                      </w:rPr>
                      <m:t>k</m:t>
                    </m:r>
                  </m:sup>
                </m:sSubSup>
                <m:r>
                  <m:rPr>
                    <m:sty m:val="p"/>
                  </m:rPr>
                  <w:rPr>
                    <w:rFonts w:ascii="Cambria Math" w:hAnsi="Cambria Math" w:hint="eastAsia"/>
                  </w:rPr>
                  <m:t>≤</m:t>
                </m:r>
                <m:sSub>
                  <m:sSubPr>
                    <m:ctrlPr>
                      <w:rPr>
                        <w:rFonts w:ascii="Cambria Math" w:hAnsi="Cambria Math"/>
                        <w:i/>
                        <w:iCs/>
                      </w:rPr>
                    </m:ctrlPr>
                  </m:sSubPr>
                  <m:e>
                    <m:r>
                      <w:rPr>
                        <w:rFonts w:ascii="Cambria Math" w:hAnsi="Cambria Math"/>
                      </w:rPr>
                      <m:t>P</m:t>
                    </m:r>
                  </m:e>
                  <m:sub>
                    <m:r>
                      <w:rPr>
                        <w:rFonts w:ascii="Cambria Math" w:hAnsi="Cambria Math"/>
                      </w:rPr>
                      <m:t>limit</m:t>
                    </m:r>
                  </m:sub>
                </m:sSub>
                <m:r>
                  <m:rPr>
                    <m:sty m:val="p"/>
                  </m:rPr>
                  <w:rPr>
                    <w:rFonts w:ascii="Cambria Math" w:hAnsi="Cambria Math"/>
                  </w:rPr>
                  <m:t xml:space="preserve">   ∀</m:t>
                </m:r>
                <m:r>
                  <w:rPr>
                    <w:rFonts w:ascii="Cambria Math" w:hAnsi="Cambria Math"/>
                  </w:rPr>
                  <m:t>k,</m:t>
                </m:r>
              </m:oMath>
            </m:oMathPara>
          </w:p>
        </w:tc>
        <w:tc>
          <w:tcPr>
            <w:tcW w:w="1165" w:type="dxa"/>
            <w:vAlign w:val="center"/>
          </w:tcPr>
          <w:p w14:paraId="2315014C" w14:textId="604353F8" w:rsidR="00D36DE4" w:rsidRPr="00FD726F" w:rsidRDefault="00D36DE4" w:rsidP="002023DB">
            <w:pPr>
              <w:keepNext/>
              <w:rPr>
                <w:szCs w:val="24"/>
              </w:rPr>
            </w:pPr>
            <w:r w:rsidRPr="00FD726F">
              <w:rPr>
                <w:szCs w:val="24"/>
              </w:rPr>
              <w:t>(</w:t>
            </w:r>
            <w:r w:rsidRPr="00FD726F">
              <w:rPr>
                <w:szCs w:val="24"/>
              </w:rPr>
              <w:fldChar w:fldCharType="begin"/>
            </w:r>
            <w:r w:rsidRPr="00FD726F">
              <w:rPr>
                <w:szCs w:val="24"/>
              </w:rPr>
              <w:instrText>SEQ equation \* ARABIC</w:instrText>
            </w:r>
            <w:r w:rsidRPr="00FD726F">
              <w:rPr>
                <w:szCs w:val="24"/>
              </w:rPr>
              <w:fldChar w:fldCharType="separate"/>
            </w:r>
            <w:r w:rsidR="000E1725">
              <w:rPr>
                <w:noProof/>
                <w:szCs w:val="24"/>
              </w:rPr>
              <w:t>35</w:t>
            </w:r>
            <w:r w:rsidRPr="00FD726F">
              <w:rPr>
                <w:szCs w:val="24"/>
              </w:rPr>
              <w:fldChar w:fldCharType="end"/>
            </w:r>
            <w:r w:rsidRPr="00FD726F">
              <w:rPr>
                <w:szCs w:val="24"/>
              </w:rPr>
              <w:t>)</w:t>
            </w:r>
          </w:p>
        </w:tc>
      </w:tr>
    </w:tbl>
    <w:p w14:paraId="0C53132A" w14:textId="4B7182BA" w:rsidR="00146A55" w:rsidRPr="00FD726F" w:rsidRDefault="00146A55" w:rsidP="00146A55">
      <w:bookmarkStart w:id="373" w:name="_Toc139410289"/>
      <w:r w:rsidRPr="00FD726F">
        <w:t xml:space="preserve">where the </w:t>
      </w:r>
      <m:oMath>
        <m:sSubSup>
          <m:sSubSupPr>
            <m:ctrlPr>
              <w:rPr>
                <w:rFonts w:ascii="Cambria Math" w:eastAsia="DengXian" w:hAnsi="Cambria Math"/>
              </w:rPr>
            </m:ctrlPr>
          </m:sSubSupPr>
          <m:e>
            <m:r>
              <w:rPr>
                <w:rFonts w:ascii="Cambria Math" w:hAnsi="Cambria Math"/>
              </w:rPr>
              <m:t>P</m:t>
            </m:r>
            <m:ctrlPr>
              <w:rPr>
                <w:rFonts w:ascii="Cambria Math" w:hAnsi="Cambria Math"/>
              </w:rPr>
            </m:ctrlPr>
          </m:e>
          <m:sub>
            <m:r>
              <w:rPr>
                <w:rFonts w:ascii="Cambria Math" w:hAnsi="Cambria Math"/>
              </w:rPr>
              <m:t>allappliances</m:t>
            </m:r>
          </m:sub>
          <m:sup>
            <m:r>
              <w:rPr>
                <w:rFonts w:ascii="Cambria Math" w:hAnsi="Cambria Math"/>
              </w:rPr>
              <m:t>k</m:t>
            </m:r>
          </m:sup>
        </m:sSubSup>
      </m:oMath>
      <w:r w:rsidRPr="00FD726F">
        <w:t xml:space="preserve"> is the total power usage of all appliances at time slot </w:t>
      </w:r>
      <m:oMath>
        <m:r>
          <w:rPr>
            <w:rFonts w:ascii="Cambria Math" w:hAnsi="Cambria Math"/>
          </w:rPr>
          <m:t>k</m:t>
        </m:r>
      </m:oMath>
      <w:r w:rsidRPr="00FD726F">
        <w:t xml:space="preserve">, and </w:t>
      </w:r>
      <m:oMath>
        <m:sSub>
          <m:sSubPr>
            <m:ctrlPr>
              <w:rPr>
                <w:rFonts w:ascii="Cambria Math" w:hAnsi="Cambria Math"/>
              </w:rPr>
            </m:ctrlPr>
          </m:sSubPr>
          <m:e>
            <m:r>
              <w:rPr>
                <w:rFonts w:ascii="Cambria Math" w:hAnsi="Cambria Math"/>
              </w:rPr>
              <m:t>P</m:t>
            </m:r>
          </m:e>
          <m:sub>
            <m:r>
              <w:rPr>
                <w:rFonts w:ascii="Cambria Math" w:hAnsi="Cambria Math"/>
              </w:rPr>
              <m:t>limit</m:t>
            </m:r>
          </m:sub>
        </m:sSub>
      </m:oMath>
      <w:r w:rsidRPr="00FD726F">
        <w:t xml:space="preserve"> is the maximum power usage. This constraint is rigorously maintained regardless of whether additional power flows into the home from the PV or battery system or not.</w:t>
      </w:r>
      <w:bookmarkEnd w:id="373"/>
    </w:p>
    <w:p w14:paraId="3A010C2E" w14:textId="4346C07B" w:rsidR="00D36DE4" w:rsidRPr="00F74CE7" w:rsidRDefault="00D36DE4" w:rsidP="00D36DE4">
      <w:pPr>
        <w:pStyle w:val="Heading4"/>
      </w:pPr>
      <w:bookmarkStart w:id="374" w:name="_Toc141991733"/>
      <w:r>
        <w:t>Non-thermal appliances</w:t>
      </w:r>
      <w:bookmarkEnd w:id="374"/>
    </w:p>
    <w:p w14:paraId="553D1514" w14:textId="1BCDAD17" w:rsidR="00D36DE4" w:rsidRDefault="00D36DE4" w:rsidP="00D36DE4">
      <w:r>
        <w:t xml:space="preserve">Non-thermal appliances are a group of appliances that can be turned on at any time of the </w:t>
      </w:r>
      <w:r>
        <w:rPr>
          <w:spacing w:val="-6"/>
        </w:rPr>
        <w:t xml:space="preserve">day. </w:t>
      </w:r>
      <w:r>
        <w:rPr>
          <w:spacing w:val="-5"/>
        </w:rPr>
        <w:t xml:space="preserve">However, </w:t>
      </w:r>
      <w:r>
        <w:t>once they are</w:t>
      </w:r>
      <w:r>
        <w:rPr>
          <w:spacing w:val="-25"/>
        </w:rPr>
        <w:t xml:space="preserve"> </w:t>
      </w:r>
      <w:r>
        <w:t xml:space="preserve">turned on, the output and run time depend on their </w:t>
      </w:r>
      <w:r w:rsidRPr="00036D1D">
        <w:rPr>
          <w:b/>
          <w:bCs/>
        </w:rPr>
        <w:t>energy phase</w:t>
      </w:r>
      <w:r>
        <w:t>, which is a subtask in the operation of a non-thermal appliance</w:t>
      </w:r>
      <w:r>
        <w:rPr>
          <w:spacing w:val="-21"/>
        </w:rPr>
        <w:t xml:space="preserve"> </w:t>
      </w:r>
      <w:r>
        <w:t xml:space="preserve">that runs </w:t>
      </w:r>
      <w:r>
        <w:rPr>
          <w:spacing w:val="-3"/>
        </w:rPr>
        <w:t xml:space="preserve">for </w:t>
      </w:r>
      <w:r>
        <w:t xml:space="preserve">a period and consumes a specified amount of </w:t>
      </w:r>
      <w:r>
        <w:rPr>
          <w:spacing w:val="-3"/>
        </w:rPr>
        <w:t xml:space="preserve">energy. </w:t>
      </w:r>
      <w:r>
        <w:t>For instance, washing clothes is typically divided into three phases: washing, rinsing, and extraction. Hence, the clothes washer has three energy phases. Different energy phases</w:t>
      </w:r>
      <w:r>
        <w:rPr>
          <w:spacing w:val="-36"/>
        </w:rPr>
        <w:t xml:space="preserve"> </w:t>
      </w:r>
      <w:r>
        <w:rPr>
          <w:spacing w:val="-7"/>
        </w:rPr>
        <w:t xml:space="preserve">of </w:t>
      </w:r>
      <w:r>
        <w:t xml:space="preserve">the same appliance </w:t>
      </w:r>
      <w:r>
        <w:rPr>
          <w:spacing w:val="-3"/>
        </w:rPr>
        <w:t xml:space="preserve">may </w:t>
      </w:r>
      <w:r>
        <w:t xml:space="preserve">consume a different amount of </w:t>
      </w:r>
      <w:r>
        <w:rPr>
          <w:spacing w:val="-3"/>
        </w:rPr>
        <w:t xml:space="preserve">power </w:t>
      </w:r>
      <w:r>
        <w:t xml:space="preserve">and complete operation at a different period </w:t>
      </w:r>
      <w:r>
        <w:fldChar w:fldCharType="begin"/>
      </w:r>
      <w:r w:rsidR="0082416B">
        <w:instrText xml:space="preserve"> ADDIN ZOTERO_ITEM CSL_CITATION {"citationID":"yn6VCI6g","properties":{"formattedCitation":"[96]","plainCitation":"[96]","noteIndex":0},"citationItems":[{"id":177,"uris":["http://zotero.org/users/5659608/items/MUEFA689"],"itemData":{"id":177,"type":"paper-conference","abstract":"This paper considers the minimum electricity cost scheduling problem of smart home appliances. Operation characteristics, such as expected duration and peak power consumption of the smart appliances, can be adjusted through a power proﬁle signal. The optimal power proﬁle signal minimizes cost, while satisfying technical operation constraints and consumer preferences. Constraints such as enforcing uninterruptible and sequential operations are modeled in the proposed framework using mixed integer linear programming (MILP). Several realistic scenarios based on actual spot price are considered, and the numerical results provide insight into tariff design. Computational issues and extensions of the proposed scheduling framework are also discussed.","container-title":"IEEE Conference on Decision and Control and European Control Conference","DOI":"10.1109/CDC.2011.6161081","event-place":"Orlando, FL, USA","event-title":"2011 50th IEEE Conference on Decision and Control and European Control Conference (CDC-ECC 2011)","ISBN":"978-1-61284-801-3","language":"en","page":"5144-5149","publisher":"IEEE","publisher-place":"Orlando, FL, USA","source":"DOI.org (Crossref)","title":"Scheduling smart home appliances using mixed integer linear programming","URL":"http://ieeexplore.ieee.org/document/6161081/","author":[{"family":"Sou","given":"Kin Cheong"},{"family":"Weimer","given":"James"},{"family":"Sandberg","given":"Henrik"},{"family":"Johansson","given":"Karl Henrik"}],"accessed":{"date-parts":[["2020",10,22]]},"issued":{"date-parts":[["2011",12]]},"citation-key":"souSchedulingSmartHome2011"}}],"schema":"https://github.com/citation-style-language/schema/raw/master/csl-citation.json"} </w:instrText>
      </w:r>
      <w:r>
        <w:fldChar w:fldCharType="separate"/>
      </w:r>
      <w:r w:rsidR="0082416B" w:rsidRPr="0082416B">
        <w:t>[96]</w:t>
      </w:r>
      <w:r>
        <w:fldChar w:fldCharType="end"/>
      </w:r>
      <w:r>
        <w:t xml:space="preserve">. </w:t>
      </w:r>
    </w:p>
    <w:p w14:paraId="235E8E56" w14:textId="7DDDA2EE" w:rsidR="00D36DE4" w:rsidRPr="007459D0" w:rsidRDefault="00D36DE4" w:rsidP="00D36DE4">
      <w:pPr>
        <w:pStyle w:val="Newparagraph"/>
        <w:rPr>
          <w:lang w:val="en-US" w:eastAsia="zh-CN"/>
        </w:rPr>
      </w:pPr>
      <w:r>
        <w:t xml:space="preserve">The decision variable which represents the on/off signal for energy phase </w:t>
      </w:r>
      <m:oMath>
        <m:r>
          <w:rPr>
            <w:rFonts w:ascii="Cambria Math" w:hAnsi="Cambria Math"/>
          </w:rPr>
          <m:t>j</m:t>
        </m:r>
      </m:oMath>
      <w:r>
        <w:rPr>
          <w:rFonts w:hint="eastAsia"/>
        </w:rPr>
        <w:t xml:space="preserve"> </w:t>
      </w:r>
      <w:r>
        <w:t xml:space="preserve">for appliance </w:t>
      </w:r>
      <m:oMath>
        <m:r>
          <w:rPr>
            <w:rFonts w:ascii="Cambria Math" w:hAnsi="Cambria Math"/>
          </w:rPr>
          <m:t>i</m:t>
        </m:r>
      </m:oMath>
      <w:r>
        <w:rPr>
          <w:rFonts w:hint="eastAsia"/>
        </w:rPr>
        <w:t xml:space="preserve"> </w:t>
      </w:r>
      <w:r>
        <w:rPr>
          <w:lang w:val="en-US"/>
        </w:rPr>
        <w:t xml:space="preserve">at each time slot </w:t>
      </w:r>
      <m:oMath>
        <m:r>
          <w:rPr>
            <w:rFonts w:ascii="Cambria Math" w:hAnsi="Cambria Math"/>
            <w:lang w:val="en-US"/>
          </w:rPr>
          <m:t>k</m:t>
        </m:r>
      </m:oMath>
      <w:r>
        <w:rPr>
          <w:rFonts w:hint="eastAsia"/>
          <w:lang w:val="en-US"/>
        </w:rPr>
        <w:t xml:space="preserve"> </w:t>
      </w:r>
      <w:r>
        <w:rPr>
          <w:lang w:val="en-US"/>
        </w:rPr>
        <w:t xml:space="preserve">is </w:t>
      </w:r>
      <m:oMath>
        <m:sSubSup>
          <m:sSubSupPr>
            <m:ctrlPr>
              <w:rPr>
                <w:rFonts w:ascii="Cambria Math" w:hAnsi="Cambria Math"/>
                <w:i/>
                <w:lang w:val="en-US"/>
              </w:rPr>
            </m:ctrlPr>
          </m:sSubSupPr>
          <m:e>
            <m:r>
              <w:rPr>
                <w:rFonts w:ascii="Cambria Math" w:hAnsi="Cambria Math"/>
                <w:lang w:val="en-US"/>
              </w:rPr>
              <m:t>x</m:t>
            </m:r>
          </m:e>
          <m:sub>
            <m:r>
              <w:rPr>
                <w:rFonts w:ascii="Cambria Math" w:hAnsi="Cambria Math"/>
                <w:lang w:val="en-US"/>
              </w:rPr>
              <m:t>ij</m:t>
            </m:r>
          </m:sub>
          <m:sup>
            <m:r>
              <w:rPr>
                <w:rFonts w:ascii="Cambria Math" w:hAnsi="Cambria Math"/>
                <w:lang w:val="en-US"/>
              </w:rPr>
              <m:t>k</m:t>
            </m:r>
          </m:sup>
        </m:sSubSup>
      </m:oMath>
      <w:r>
        <w:rPr>
          <w:lang w:val="en-US"/>
        </w:rPr>
        <w:t xml:space="preserve">. Besides, we use the auxiliary variables </w:t>
      </w:r>
      <m:oMath>
        <m:sSubSup>
          <m:sSubSupPr>
            <m:ctrlPr>
              <w:rPr>
                <w:rFonts w:ascii="Cambria Math" w:hAnsi="Cambria Math"/>
                <w:i/>
                <w:lang w:val="en-US"/>
              </w:rPr>
            </m:ctrlPr>
          </m:sSubSupPr>
          <m:e>
            <m:r>
              <w:rPr>
                <w:rFonts w:ascii="Cambria Math" w:hAnsi="Cambria Math"/>
                <w:lang w:val="en-US"/>
              </w:rPr>
              <m:t>s</m:t>
            </m:r>
          </m:e>
          <m:sub>
            <m:r>
              <w:rPr>
                <w:rFonts w:ascii="Cambria Math" w:hAnsi="Cambria Math"/>
                <w:lang w:val="en-US"/>
              </w:rPr>
              <m:t>ij</m:t>
            </m:r>
          </m:sub>
          <m:sup>
            <m:r>
              <w:rPr>
                <w:rFonts w:ascii="Cambria Math" w:hAnsi="Cambria Math"/>
                <w:lang w:val="en-US"/>
              </w:rPr>
              <m:t>k</m:t>
            </m:r>
          </m:sup>
        </m:sSubSup>
      </m:oMath>
      <w:r>
        <w:rPr>
          <w:rFonts w:hint="eastAsia"/>
          <w:lang w:val="en-US"/>
        </w:rPr>
        <w:t xml:space="preserve"> </w:t>
      </w:r>
      <w:r>
        <w:rPr>
          <w:lang w:val="en-US"/>
        </w:rPr>
        <w:t xml:space="preserve">to aid the construction of constraints to regulate the on/off state of non-thermal </w:t>
      </w:r>
      <w:r w:rsidRPr="009F2D34">
        <w:rPr>
          <w:lang w:val="en-US"/>
        </w:rPr>
        <w:t>appliances.</w:t>
      </w:r>
      <w:r w:rsidRPr="009F2D34">
        <w:rPr>
          <w:lang w:val="en-US" w:eastAsia="zh-CN"/>
        </w:rPr>
        <w:t xml:space="preserve"> Constraint</w:t>
      </w:r>
      <w:r w:rsidRPr="007459D0">
        <w:rPr>
          <w:lang w:val="en-US" w:eastAsia="zh-CN"/>
        </w:rPr>
        <w:t xml:space="preserve"> </w:t>
      </w:r>
      <w:r w:rsidRPr="007459D0">
        <w:rPr>
          <w:lang w:val="en-US" w:eastAsia="zh-CN"/>
        </w:rPr>
        <w:fldChar w:fldCharType="begin"/>
      </w:r>
      <w:r w:rsidRPr="007459D0">
        <w:rPr>
          <w:lang w:val="en-US" w:eastAsia="zh-CN"/>
        </w:rPr>
        <w:instrText xml:space="preserve"> REF _Ref135902340 \h </w:instrText>
      </w:r>
      <w:r>
        <w:rPr>
          <w:lang w:val="en-US" w:eastAsia="zh-CN"/>
        </w:rPr>
        <w:instrText xml:space="preserve"> \* MERGEFORMAT </w:instrText>
      </w:r>
      <w:r w:rsidRPr="007459D0">
        <w:rPr>
          <w:lang w:val="en-US" w:eastAsia="zh-CN"/>
        </w:rPr>
      </w:r>
      <w:r w:rsidRPr="007459D0">
        <w:rPr>
          <w:lang w:val="en-US" w:eastAsia="zh-CN"/>
        </w:rPr>
        <w:fldChar w:fldCharType="separate"/>
      </w:r>
      <w:r w:rsidR="000E1725" w:rsidRPr="006A09A1">
        <w:t>(</w:t>
      </w:r>
      <w:r w:rsidR="000E1725">
        <w:rPr>
          <w:noProof/>
        </w:rPr>
        <w:t>36</w:t>
      </w:r>
      <w:r w:rsidR="000E1725" w:rsidRPr="006A09A1">
        <w:t>)</w:t>
      </w:r>
      <w:r w:rsidRPr="007459D0">
        <w:rPr>
          <w:lang w:val="en-US" w:eastAsia="zh-CN"/>
        </w:rPr>
        <w:fldChar w:fldCharType="end"/>
      </w:r>
      <w:r w:rsidRPr="007459D0">
        <w:rPr>
          <w:lang w:val="en-US" w:eastAsia="zh-CN"/>
        </w:rPr>
        <w:t xml:space="preserve"> is used to regulate the operation time for each energy phase </w:t>
      </w:r>
      <m:oMath>
        <m:r>
          <w:rPr>
            <w:rFonts w:ascii="Cambria Math" w:hAnsi="Cambria Math"/>
            <w:lang w:val="en-US" w:eastAsia="zh-CN"/>
          </w:rPr>
          <m:t>j</m:t>
        </m:r>
      </m:oMath>
      <w:r w:rsidRPr="007459D0">
        <w:rPr>
          <w:lang w:val="en-US" w:eastAsia="zh-CN"/>
        </w:rPr>
        <w:t xml:space="preserve"> of appliance </w:t>
      </w:r>
      <m:oMath>
        <m:r>
          <w:rPr>
            <w:rFonts w:ascii="Cambria Math" w:hAnsi="Cambria Math"/>
            <w:lang w:val="en-US" w:eastAsia="zh-CN"/>
          </w:rPr>
          <m:t>i</m:t>
        </m:r>
      </m:oMath>
      <w:r w:rsidRPr="007459D0">
        <w:rPr>
          <w:lang w:val="en-US" w:eastAsia="zh-CN"/>
        </w:rPr>
        <w:t xml:space="preserve">, where </w:t>
      </w:r>
      <m:oMath>
        <m:sSub>
          <m:sSubPr>
            <m:ctrlPr>
              <w:rPr>
                <w:rFonts w:ascii="Cambria Math" w:hAnsi="Cambria Math"/>
                <w:i/>
                <w:lang w:val="en-US" w:eastAsia="zh-CN"/>
              </w:rPr>
            </m:ctrlPr>
          </m:sSubPr>
          <m:e>
            <m:r>
              <w:rPr>
                <w:rFonts w:ascii="Cambria Math" w:hAnsi="Cambria Math"/>
                <w:lang w:val="en-US" w:eastAsia="zh-CN"/>
              </w:rPr>
              <m:t>t</m:t>
            </m:r>
          </m:e>
          <m:sub>
            <m:r>
              <w:rPr>
                <w:rFonts w:ascii="Cambria Math" w:hAnsi="Cambria Math"/>
                <w:lang w:val="en-US" w:eastAsia="zh-CN"/>
              </w:rPr>
              <m:t>ij</m:t>
            </m:r>
          </m:sub>
        </m:sSub>
      </m:oMath>
      <w:r w:rsidRPr="007459D0">
        <w:rPr>
          <w:lang w:val="en-US" w:eastAsia="zh-CN"/>
        </w:rPr>
        <w:t xml:space="preserve"> operation time for the energy phase, which depends on the appliance's specification.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4"/>
        <w:gridCol w:w="1252"/>
      </w:tblGrid>
      <w:tr w:rsidR="00D36DE4" w:rsidRPr="006A09A1" w14:paraId="39284CF3" w14:textId="77777777" w:rsidTr="009648F2">
        <w:tc>
          <w:tcPr>
            <w:tcW w:w="8100" w:type="dxa"/>
            <w:vAlign w:val="center"/>
          </w:tcPr>
          <w:p w14:paraId="7D874C8F" w14:textId="77777777" w:rsidR="00D36DE4" w:rsidRPr="006A09A1" w:rsidRDefault="00000000" w:rsidP="002023DB">
            <w:pPr>
              <w:pStyle w:val="Newparagraph"/>
              <w:ind w:firstLine="0"/>
              <w:jc w:val="center"/>
            </w:pPr>
            <m:oMathPara>
              <m:oMath>
                <m:nary>
                  <m:naryPr>
                    <m:chr m:val="∑"/>
                    <m:ctrlPr>
                      <w:rPr>
                        <w:rFonts w:ascii="Cambria Math" w:hAnsi="Cambria Math"/>
                      </w:rPr>
                    </m:ctrlPr>
                  </m:naryPr>
                  <m:sub>
                    <m:r>
                      <w:rPr>
                        <w:rFonts w:ascii="Cambria Math" w:hAnsi="Cambria Math"/>
                      </w:rPr>
                      <m:t>k=1</m:t>
                    </m:r>
                    <m:ctrlPr>
                      <w:rPr>
                        <w:rFonts w:ascii="Cambria Math" w:hAnsi="Cambria Math"/>
                        <w:i/>
                      </w:rPr>
                    </m:ctrlPr>
                  </m:sub>
                  <m:sup>
                    <m:r>
                      <w:rPr>
                        <w:rFonts w:ascii="Cambria Math" w:hAnsi="Cambria Math"/>
                      </w:rPr>
                      <m:t>m</m:t>
                    </m:r>
                    <m:ctrlPr>
                      <w:rPr>
                        <w:rFonts w:ascii="Cambria Math" w:hAnsi="Cambria Math"/>
                        <w:i/>
                      </w:rPr>
                    </m:ctrlPr>
                  </m:sup>
                  <m:e>
                    <m:sSubSup>
                      <m:sSubSupPr>
                        <m:ctrlPr>
                          <w:rPr>
                            <w:rFonts w:ascii="Cambria Math" w:hAnsi="Cambria Math"/>
                            <w:i/>
                          </w:rPr>
                        </m:ctrlPr>
                      </m:sSubSupPr>
                      <m:e>
                        <m:r>
                          <w:rPr>
                            <w:rFonts w:ascii="Cambria Math" w:hAnsi="Cambria Math"/>
                          </w:rPr>
                          <m:t>x</m:t>
                        </m:r>
                      </m:e>
                      <m:sub>
                        <m:r>
                          <w:rPr>
                            <w:rFonts w:ascii="Cambria Math" w:hAnsi="Cambria Math"/>
                          </w:rPr>
                          <m:t>ij</m:t>
                        </m:r>
                      </m:sub>
                      <m:sup>
                        <m:r>
                          <w:rPr>
                            <w:rFonts w:ascii="Cambria Math" w:hAnsi="Cambria Math"/>
                          </w:rPr>
                          <m:t>k</m:t>
                        </m:r>
                      </m:sup>
                    </m:sSubSup>
                    <m:ctrlPr>
                      <w:rPr>
                        <w:rFonts w:ascii="Cambria Math" w:hAnsi="Cambria Math"/>
                        <w:i/>
                      </w:rPr>
                    </m:ctrlPr>
                  </m:e>
                </m:nary>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ij</m:t>
                    </m:r>
                  </m:sub>
                </m:sSub>
                <m:r>
                  <m:rPr>
                    <m:sty m:val="p"/>
                  </m:rPr>
                  <w:rPr>
                    <w:rFonts w:ascii="Cambria Math" w:hAnsi="Cambria Math"/>
                  </w:rPr>
                  <m:t xml:space="preserve">   ∀</m:t>
                </m:r>
                <m:r>
                  <w:rPr>
                    <w:rFonts w:ascii="Cambria Math" w:hAnsi="Cambria Math"/>
                  </w:rPr>
                  <m:t>i,j,</m:t>
                </m:r>
              </m:oMath>
            </m:oMathPara>
          </w:p>
        </w:tc>
        <w:tc>
          <w:tcPr>
            <w:tcW w:w="1260" w:type="dxa"/>
            <w:vAlign w:val="center"/>
          </w:tcPr>
          <w:p w14:paraId="4A91098D" w14:textId="2C3A3480" w:rsidR="00D36DE4" w:rsidRPr="006A09A1" w:rsidRDefault="00D36DE4" w:rsidP="002023DB">
            <w:pPr>
              <w:keepNext/>
              <w:rPr>
                <w:szCs w:val="24"/>
              </w:rPr>
            </w:pPr>
            <w:bookmarkStart w:id="375" w:name="_Ref135902340"/>
            <w:r w:rsidRPr="006A09A1">
              <w:rPr>
                <w:szCs w:val="24"/>
              </w:rPr>
              <w:t>(</w:t>
            </w:r>
            <w:r w:rsidRPr="006A09A1">
              <w:rPr>
                <w:szCs w:val="24"/>
              </w:rPr>
              <w:fldChar w:fldCharType="begin"/>
            </w:r>
            <w:r w:rsidRPr="006A09A1">
              <w:rPr>
                <w:szCs w:val="24"/>
              </w:rPr>
              <w:instrText>SEQ equation \* ARABIC</w:instrText>
            </w:r>
            <w:r w:rsidRPr="006A09A1">
              <w:rPr>
                <w:szCs w:val="24"/>
              </w:rPr>
              <w:fldChar w:fldCharType="separate"/>
            </w:r>
            <w:r w:rsidR="000E1725">
              <w:rPr>
                <w:noProof/>
                <w:szCs w:val="24"/>
              </w:rPr>
              <w:t>36</w:t>
            </w:r>
            <w:r w:rsidRPr="006A09A1">
              <w:rPr>
                <w:szCs w:val="24"/>
              </w:rPr>
              <w:fldChar w:fldCharType="end"/>
            </w:r>
            <w:r w:rsidRPr="006A09A1">
              <w:rPr>
                <w:szCs w:val="24"/>
              </w:rPr>
              <w:t>)</w:t>
            </w:r>
            <w:bookmarkEnd w:id="375"/>
          </w:p>
        </w:tc>
      </w:tr>
    </w:tbl>
    <w:p w14:paraId="5A1CE13D" w14:textId="77777777" w:rsidR="00D36DE4" w:rsidRPr="006A09A1" w:rsidRDefault="00D36DE4" w:rsidP="00D36DE4">
      <w:pPr>
        <w:pStyle w:val="Caption"/>
        <w:rPr>
          <w:rFonts w:ascii="Times" w:hAnsi="Times"/>
          <w:sz w:val="24"/>
          <w:szCs w:val="24"/>
        </w:rPr>
      </w:pPr>
      <w:r w:rsidRPr="006A09A1">
        <w:rPr>
          <w:sz w:val="24"/>
          <w:szCs w:val="24"/>
        </w:rPr>
        <w:tab/>
      </w:r>
      <w:r w:rsidRPr="006A09A1">
        <w:rPr>
          <w:rFonts w:ascii="Times" w:hAnsi="Times"/>
          <w:sz w:val="24"/>
          <w:szCs w:val="24"/>
        </w:rPr>
        <w:t xml:space="preserve">To further regulate the operation of energy phases, the following constraints, which </w:t>
      </w:r>
      <w:r w:rsidRPr="006A09A1">
        <w:rPr>
          <w:rFonts w:ascii="Times" w:hAnsi="Times"/>
          <w:sz w:val="24"/>
          <w:szCs w:val="24"/>
        </w:rPr>
        <w:lastRenderedPageBreak/>
        <w:t xml:space="preserve">utilize the binary nature of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ij</m:t>
            </m:r>
          </m:sub>
          <m:sup>
            <m:r>
              <w:rPr>
                <w:rFonts w:ascii="Cambria Math" w:hAnsi="Cambria Math"/>
                <w:sz w:val="24"/>
                <w:szCs w:val="24"/>
              </w:rPr>
              <m:t>k</m:t>
            </m:r>
          </m:sup>
        </m:sSubSup>
      </m:oMath>
      <w:r w:rsidRPr="006A09A1">
        <w:rPr>
          <w:rFonts w:ascii="Times" w:hAnsi="Times"/>
          <w:sz w:val="24"/>
          <w:szCs w:val="24"/>
        </w:rPr>
        <w:t xml:space="preserve"> and its auxiliary variable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ij</m:t>
            </m:r>
          </m:sub>
          <m:sup>
            <m:r>
              <w:rPr>
                <w:rFonts w:ascii="Cambria Math" w:hAnsi="Cambria Math"/>
                <w:sz w:val="24"/>
                <w:szCs w:val="24"/>
              </w:rPr>
              <m:t>k</m:t>
            </m:r>
          </m:sup>
        </m:sSubSup>
      </m:oMath>
      <w:r w:rsidRPr="006A09A1">
        <w:rPr>
          <w:rFonts w:ascii="Times" w:hAnsi="Times"/>
          <w:sz w:val="24"/>
          <w:szCs w:val="24"/>
        </w:rPr>
        <w:t xml:space="preserve">, are used. </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gridCol w:w="1170"/>
      </w:tblGrid>
      <w:tr w:rsidR="00D36DE4" w:rsidRPr="006A09A1" w14:paraId="7A07BF39" w14:textId="77777777" w:rsidTr="004F29F3">
        <w:trPr>
          <w:trHeight w:val="702"/>
        </w:trPr>
        <w:tc>
          <w:tcPr>
            <w:tcW w:w="7830" w:type="dxa"/>
            <w:vAlign w:val="center"/>
          </w:tcPr>
          <w:p w14:paraId="20F9CEA2" w14:textId="77777777" w:rsidR="00D36DE4" w:rsidRPr="006A09A1" w:rsidRDefault="00000000" w:rsidP="002023DB">
            <w:pPr>
              <w:rPr>
                <w:szCs w:val="24"/>
              </w:rPr>
            </w:pPr>
            <m:oMathPara>
              <m:oMath>
                <m:sSubSup>
                  <m:sSubSupPr>
                    <m:ctrlPr>
                      <w:rPr>
                        <w:rFonts w:ascii="Cambria Math" w:eastAsia="SimSun" w:hAnsi="Cambria Math" w:cs="SimSun"/>
                        <w:i/>
                        <w:szCs w:val="24"/>
                      </w:rPr>
                    </m:ctrlPr>
                  </m:sSubSupPr>
                  <m:e>
                    <m:r>
                      <w:rPr>
                        <w:rFonts w:ascii="Cambria Math" w:hAnsi="Cambria Math"/>
                        <w:szCs w:val="24"/>
                      </w:rPr>
                      <m:t>x</m:t>
                    </m:r>
                  </m:e>
                  <m:sub>
                    <m:r>
                      <w:rPr>
                        <w:rFonts w:ascii="Cambria Math" w:hAnsi="Cambria Math"/>
                        <w:szCs w:val="24"/>
                      </w:rPr>
                      <m:t>ij</m:t>
                    </m:r>
                  </m:sub>
                  <m:sup>
                    <m:r>
                      <w:rPr>
                        <w:rFonts w:ascii="Cambria Math" w:hAnsi="Cambria Math"/>
                        <w:szCs w:val="24"/>
                      </w:rPr>
                      <m:t>k</m:t>
                    </m:r>
                  </m:sup>
                </m:sSubSup>
                <m:r>
                  <w:rPr>
                    <w:rFonts w:ascii="Cambria Math" w:hAnsi="Cambria Math"/>
                    <w:szCs w:val="24"/>
                  </w:rPr>
                  <m:t>+</m:t>
                </m:r>
                <m:sSubSup>
                  <m:sSubSupPr>
                    <m:ctrlPr>
                      <w:rPr>
                        <w:rFonts w:ascii="Cambria Math" w:eastAsia="SimSun" w:hAnsi="Cambria Math" w:cs="SimSun"/>
                        <w:i/>
                        <w:szCs w:val="24"/>
                      </w:rPr>
                    </m:ctrlPr>
                  </m:sSubSupPr>
                  <m:e>
                    <m:r>
                      <w:rPr>
                        <w:rFonts w:ascii="Cambria Math" w:hAnsi="Cambria Math"/>
                        <w:szCs w:val="24"/>
                      </w:rPr>
                      <m:t>s</m:t>
                    </m:r>
                  </m:e>
                  <m:sub>
                    <m:r>
                      <w:rPr>
                        <w:rFonts w:ascii="Cambria Math" w:hAnsi="Cambria Math"/>
                        <w:szCs w:val="24"/>
                      </w:rPr>
                      <m:t>ij</m:t>
                    </m:r>
                  </m:sub>
                  <m:sup>
                    <m:r>
                      <w:rPr>
                        <w:rFonts w:ascii="Cambria Math" w:hAnsi="Cambria Math"/>
                        <w:szCs w:val="24"/>
                      </w:rPr>
                      <m:t>k</m:t>
                    </m:r>
                  </m:sup>
                </m:sSubSup>
                <m:r>
                  <w:rPr>
                    <w:rFonts w:ascii="Cambria Math" w:hAnsi="Cambria Math" w:hint="eastAsia"/>
                    <w:szCs w:val="24"/>
                  </w:rPr>
                  <m:t>≤</m:t>
                </m:r>
                <m:r>
                  <w:rPr>
                    <w:rFonts w:ascii="Cambria Math" w:hAnsi="Cambria Math"/>
                    <w:szCs w:val="24"/>
                  </w:rPr>
                  <m:t>1   ∀i,j,k,</m:t>
                </m:r>
              </m:oMath>
            </m:oMathPara>
          </w:p>
        </w:tc>
        <w:tc>
          <w:tcPr>
            <w:tcW w:w="1170" w:type="dxa"/>
            <w:vAlign w:val="center"/>
          </w:tcPr>
          <w:p w14:paraId="2A78DECA" w14:textId="67C8B31A" w:rsidR="00D36DE4" w:rsidRPr="006A09A1" w:rsidRDefault="00D36DE4" w:rsidP="002023DB">
            <w:pPr>
              <w:pStyle w:val="Caption"/>
              <w:rPr>
                <w:rFonts w:ascii="Times New Roman" w:hAnsi="Times New Roman" w:cs="Times New Roman"/>
                <w:sz w:val="24"/>
                <w:szCs w:val="24"/>
              </w:rPr>
            </w:pPr>
            <w:bookmarkStart w:id="376" w:name="_Ref135902190"/>
            <w:r w:rsidRPr="006A09A1">
              <w:rPr>
                <w:rFonts w:ascii="Times New Roman" w:hAnsi="Times New Roman" w:cs="Times New Roman"/>
                <w:sz w:val="24"/>
                <w:szCs w:val="24"/>
              </w:rPr>
              <w:t>(</w:t>
            </w:r>
            <w:r w:rsidRPr="006A09A1">
              <w:rPr>
                <w:rFonts w:ascii="Times New Roman" w:hAnsi="Times New Roman" w:cs="Times New Roman"/>
                <w:sz w:val="24"/>
                <w:szCs w:val="24"/>
              </w:rPr>
              <w:fldChar w:fldCharType="begin"/>
            </w:r>
            <w:r w:rsidRPr="006A09A1">
              <w:rPr>
                <w:rFonts w:ascii="Times New Roman" w:hAnsi="Times New Roman" w:cs="Times New Roman"/>
                <w:sz w:val="24"/>
                <w:szCs w:val="24"/>
              </w:rPr>
              <w:instrText xml:space="preserve"> SEQ equation \* ARABIC </w:instrText>
            </w:r>
            <w:r w:rsidRPr="006A09A1">
              <w:rPr>
                <w:rFonts w:ascii="Times New Roman" w:hAnsi="Times New Roman" w:cs="Times New Roman"/>
                <w:sz w:val="24"/>
                <w:szCs w:val="24"/>
              </w:rPr>
              <w:fldChar w:fldCharType="separate"/>
            </w:r>
            <w:r w:rsidR="000E1725">
              <w:rPr>
                <w:rFonts w:ascii="Times New Roman" w:hAnsi="Times New Roman" w:cs="Times New Roman"/>
                <w:noProof/>
                <w:sz w:val="24"/>
                <w:szCs w:val="24"/>
              </w:rPr>
              <w:t>37</w:t>
            </w:r>
            <w:r w:rsidRPr="006A09A1">
              <w:rPr>
                <w:rFonts w:ascii="Times New Roman" w:hAnsi="Times New Roman" w:cs="Times New Roman"/>
                <w:sz w:val="24"/>
                <w:szCs w:val="24"/>
              </w:rPr>
              <w:fldChar w:fldCharType="end"/>
            </w:r>
            <w:r w:rsidRPr="006A09A1">
              <w:rPr>
                <w:rFonts w:ascii="Times New Roman" w:hAnsi="Times New Roman" w:cs="Times New Roman"/>
                <w:sz w:val="24"/>
                <w:szCs w:val="24"/>
              </w:rPr>
              <w:t>)</w:t>
            </w:r>
            <w:bookmarkEnd w:id="376"/>
          </w:p>
        </w:tc>
      </w:tr>
      <w:tr w:rsidR="00D36DE4" w:rsidRPr="006A09A1" w14:paraId="7C904D3B" w14:textId="77777777" w:rsidTr="004F29F3">
        <w:trPr>
          <w:trHeight w:val="559"/>
        </w:trPr>
        <w:tc>
          <w:tcPr>
            <w:tcW w:w="7830" w:type="dxa"/>
            <w:vAlign w:val="center"/>
          </w:tcPr>
          <w:p w14:paraId="163FF7BA" w14:textId="77777777" w:rsidR="00D36DE4" w:rsidRPr="006A09A1" w:rsidRDefault="00000000" w:rsidP="002023DB">
            <w:pPr>
              <w:rPr>
                <w:szCs w:val="24"/>
              </w:rPr>
            </w:pPr>
            <m:oMathPara>
              <m:oMath>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ij</m:t>
                    </m:r>
                  </m:sub>
                  <m:sup>
                    <m:r>
                      <w:rPr>
                        <w:rFonts w:ascii="Cambria Math" w:hAnsi="Cambria Math"/>
                        <w:szCs w:val="24"/>
                      </w:rPr>
                      <m:t>k-1</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ij</m:t>
                    </m:r>
                  </m:sub>
                  <m:sup>
                    <m:r>
                      <w:rPr>
                        <w:rFonts w:ascii="Cambria Math" w:hAnsi="Cambria Math"/>
                        <w:szCs w:val="24"/>
                      </w:rPr>
                      <m:t>k</m:t>
                    </m:r>
                  </m:sup>
                </m:sSubSup>
                <m:r>
                  <w:rPr>
                    <w:rFonts w:ascii="Cambria Math" w:hAnsi="Cambria Math" w:hint="eastAsia"/>
                    <w:szCs w:val="24"/>
                  </w:rPr>
                  <m:t>≤</m:t>
                </m:r>
                <m:sSubSup>
                  <m:sSubSupPr>
                    <m:ctrlPr>
                      <w:rPr>
                        <w:rFonts w:ascii="Cambria Math" w:hAnsi="Cambria Math"/>
                        <w:i/>
                        <w:szCs w:val="24"/>
                      </w:rPr>
                    </m:ctrlPr>
                  </m:sSubSupPr>
                  <m:e>
                    <m:r>
                      <w:rPr>
                        <w:rFonts w:ascii="Cambria Math" w:hAnsi="Cambria Math"/>
                        <w:szCs w:val="24"/>
                      </w:rPr>
                      <m:t>s</m:t>
                    </m:r>
                  </m:e>
                  <m:sub>
                    <m:r>
                      <w:rPr>
                        <w:rFonts w:ascii="Cambria Math" w:hAnsi="Cambria Math"/>
                        <w:szCs w:val="24"/>
                      </w:rPr>
                      <m:t>ij</m:t>
                    </m:r>
                  </m:sub>
                  <m:sup>
                    <m:r>
                      <w:rPr>
                        <w:rFonts w:ascii="Cambria Math" w:hAnsi="Cambria Math"/>
                        <w:szCs w:val="24"/>
                      </w:rPr>
                      <m:t>k</m:t>
                    </m:r>
                  </m:sup>
                </m:sSubSup>
                <m:r>
                  <w:rPr>
                    <w:rFonts w:ascii="Cambria Math" w:hAnsi="Cambria Math"/>
                    <w:szCs w:val="24"/>
                  </w:rPr>
                  <m:t xml:space="preserve">   ∀i,j,k=2,</m:t>
                </m:r>
                <m:r>
                  <w:rPr>
                    <w:rFonts w:ascii="Cambria Math" w:hAnsi="Cambria Math" w:hint="eastAsia"/>
                    <w:szCs w:val="24"/>
                  </w:rPr>
                  <m:t>…</m:t>
                </m:r>
                <m:r>
                  <w:rPr>
                    <w:rFonts w:ascii="Cambria Math" w:hAnsi="Cambria Math"/>
                    <w:szCs w:val="24"/>
                  </w:rPr>
                  <m:t>,m,</m:t>
                </m:r>
              </m:oMath>
            </m:oMathPara>
          </w:p>
        </w:tc>
        <w:tc>
          <w:tcPr>
            <w:tcW w:w="1170" w:type="dxa"/>
            <w:vAlign w:val="center"/>
          </w:tcPr>
          <w:p w14:paraId="2F0F6487" w14:textId="00AA9267" w:rsidR="00D36DE4" w:rsidRPr="006A09A1" w:rsidRDefault="00D36DE4" w:rsidP="002023DB">
            <w:pPr>
              <w:pStyle w:val="Caption"/>
              <w:rPr>
                <w:rFonts w:ascii="Times New Roman" w:hAnsi="Times New Roman" w:cs="Times New Roman"/>
                <w:sz w:val="24"/>
                <w:szCs w:val="24"/>
              </w:rPr>
            </w:pPr>
            <w:bookmarkStart w:id="377" w:name="_Ref135902197"/>
            <w:r w:rsidRPr="006A09A1">
              <w:rPr>
                <w:rFonts w:ascii="Times New Roman" w:hAnsi="Times New Roman" w:cs="Times New Roman"/>
                <w:sz w:val="24"/>
                <w:szCs w:val="24"/>
              </w:rPr>
              <w:t>(</w:t>
            </w:r>
            <w:r w:rsidRPr="006A09A1">
              <w:rPr>
                <w:rFonts w:ascii="Times New Roman" w:hAnsi="Times New Roman" w:cs="Times New Roman"/>
                <w:sz w:val="24"/>
                <w:szCs w:val="24"/>
              </w:rPr>
              <w:fldChar w:fldCharType="begin"/>
            </w:r>
            <w:r w:rsidRPr="006A09A1">
              <w:rPr>
                <w:rFonts w:ascii="Times New Roman" w:hAnsi="Times New Roman" w:cs="Times New Roman"/>
                <w:sz w:val="24"/>
                <w:szCs w:val="24"/>
              </w:rPr>
              <w:instrText xml:space="preserve"> SEQ equation \* ARABIC </w:instrText>
            </w:r>
            <w:r w:rsidRPr="006A09A1">
              <w:rPr>
                <w:rFonts w:ascii="Times New Roman" w:hAnsi="Times New Roman" w:cs="Times New Roman"/>
                <w:sz w:val="24"/>
                <w:szCs w:val="24"/>
              </w:rPr>
              <w:fldChar w:fldCharType="separate"/>
            </w:r>
            <w:r w:rsidR="000E1725">
              <w:rPr>
                <w:rFonts w:ascii="Times New Roman" w:hAnsi="Times New Roman" w:cs="Times New Roman"/>
                <w:noProof/>
                <w:sz w:val="24"/>
                <w:szCs w:val="24"/>
              </w:rPr>
              <w:t>38</w:t>
            </w:r>
            <w:r w:rsidRPr="006A09A1">
              <w:rPr>
                <w:rFonts w:ascii="Times New Roman" w:hAnsi="Times New Roman" w:cs="Times New Roman"/>
                <w:sz w:val="24"/>
                <w:szCs w:val="24"/>
              </w:rPr>
              <w:fldChar w:fldCharType="end"/>
            </w:r>
            <w:r w:rsidRPr="006A09A1">
              <w:rPr>
                <w:rFonts w:ascii="Times New Roman" w:hAnsi="Times New Roman" w:cs="Times New Roman"/>
                <w:sz w:val="24"/>
                <w:szCs w:val="24"/>
              </w:rPr>
              <w:t>)</w:t>
            </w:r>
            <w:bookmarkEnd w:id="377"/>
          </w:p>
        </w:tc>
      </w:tr>
      <w:tr w:rsidR="00D36DE4" w:rsidRPr="006A09A1" w14:paraId="60391D10" w14:textId="77777777" w:rsidTr="004F29F3">
        <w:trPr>
          <w:trHeight w:val="486"/>
        </w:trPr>
        <w:tc>
          <w:tcPr>
            <w:tcW w:w="7830" w:type="dxa"/>
            <w:vAlign w:val="center"/>
          </w:tcPr>
          <w:p w14:paraId="46EFC77F" w14:textId="77777777" w:rsidR="00D36DE4" w:rsidRPr="006A09A1" w:rsidRDefault="00000000" w:rsidP="002023DB">
            <w:pPr>
              <w:rPr>
                <w:szCs w:val="24"/>
              </w:rPr>
            </w:pPr>
            <m:oMathPara>
              <m:oMath>
                <m:sSubSup>
                  <m:sSubSupPr>
                    <m:ctrlPr>
                      <w:rPr>
                        <w:rFonts w:ascii="Cambria Math" w:hAnsi="Cambria Math"/>
                        <w:i/>
                        <w:szCs w:val="24"/>
                      </w:rPr>
                    </m:ctrlPr>
                  </m:sSubSupPr>
                  <m:e>
                    <m:r>
                      <w:rPr>
                        <w:rFonts w:ascii="Cambria Math" w:hAnsi="Cambria Math"/>
                        <w:szCs w:val="24"/>
                      </w:rPr>
                      <m:t>s</m:t>
                    </m:r>
                  </m:e>
                  <m:sub>
                    <m:r>
                      <w:rPr>
                        <w:rFonts w:ascii="Cambria Math" w:hAnsi="Cambria Math"/>
                        <w:szCs w:val="24"/>
                      </w:rPr>
                      <m:t>ij</m:t>
                    </m:r>
                  </m:sub>
                  <m:sup>
                    <m:r>
                      <w:rPr>
                        <w:rFonts w:ascii="Cambria Math" w:hAnsi="Cambria Math"/>
                        <w:szCs w:val="24"/>
                      </w:rPr>
                      <m:t>k-1</m:t>
                    </m:r>
                  </m:sup>
                </m:sSubSup>
                <m:r>
                  <m:rPr>
                    <m:sty m:val="p"/>
                  </m:rPr>
                  <w:rPr>
                    <w:rFonts w:ascii="Cambria Math" w:hAnsi="Cambria Math" w:hint="eastAsia"/>
                    <w:szCs w:val="24"/>
                  </w:rPr>
                  <m:t>≤</m:t>
                </m:r>
                <m:sSubSup>
                  <m:sSubSupPr>
                    <m:ctrlPr>
                      <w:rPr>
                        <w:rFonts w:ascii="Cambria Math" w:hAnsi="Cambria Math"/>
                        <w:i/>
                        <w:szCs w:val="24"/>
                      </w:rPr>
                    </m:ctrlPr>
                  </m:sSubSupPr>
                  <m:e>
                    <m:r>
                      <w:rPr>
                        <w:rFonts w:ascii="Cambria Math" w:hAnsi="Cambria Math"/>
                        <w:szCs w:val="24"/>
                      </w:rPr>
                      <m:t>s</m:t>
                    </m:r>
                    <m:ctrlPr>
                      <w:rPr>
                        <w:rFonts w:ascii="Cambria Math" w:hAnsi="Cambria Math"/>
                        <w:szCs w:val="24"/>
                      </w:rPr>
                    </m:ctrlPr>
                  </m:e>
                  <m:sub>
                    <m:r>
                      <w:rPr>
                        <w:rFonts w:ascii="Cambria Math" w:hAnsi="Cambria Math"/>
                        <w:szCs w:val="24"/>
                      </w:rPr>
                      <m:t>ij</m:t>
                    </m:r>
                  </m:sub>
                  <m:sup>
                    <m:r>
                      <w:rPr>
                        <w:rFonts w:ascii="Cambria Math" w:hAnsi="Cambria Math"/>
                        <w:szCs w:val="24"/>
                      </w:rPr>
                      <m:t>k</m:t>
                    </m:r>
                  </m:sup>
                </m:sSubSup>
                <m:r>
                  <m:rPr>
                    <m:sty m:val="p"/>
                  </m:rPr>
                  <w:rPr>
                    <w:rFonts w:ascii="Cambria Math" w:hAnsi="Cambria Math"/>
                    <w:szCs w:val="24"/>
                  </w:rPr>
                  <m:t xml:space="preserve">   ∀</m:t>
                </m:r>
                <m:r>
                  <w:rPr>
                    <w:rFonts w:ascii="Cambria Math" w:hAnsi="Cambria Math"/>
                    <w:szCs w:val="24"/>
                  </w:rPr>
                  <m:t>i,j,k=2,</m:t>
                </m:r>
                <m:r>
                  <m:rPr>
                    <m:sty m:val="p"/>
                  </m:rPr>
                  <w:rPr>
                    <w:rFonts w:ascii="Cambria Math" w:hAnsi="Cambria Math" w:hint="eastAsia"/>
                    <w:szCs w:val="24"/>
                  </w:rPr>
                  <m:t>…</m:t>
                </m:r>
                <m:r>
                  <w:rPr>
                    <w:rFonts w:ascii="Cambria Math" w:hAnsi="Cambria Math"/>
                    <w:szCs w:val="24"/>
                  </w:rPr>
                  <m:t>,m,</m:t>
                </m:r>
              </m:oMath>
            </m:oMathPara>
          </w:p>
        </w:tc>
        <w:tc>
          <w:tcPr>
            <w:tcW w:w="1170" w:type="dxa"/>
            <w:vAlign w:val="center"/>
          </w:tcPr>
          <w:p w14:paraId="77C51EBC" w14:textId="0358BA53" w:rsidR="00D36DE4" w:rsidRPr="006A09A1" w:rsidRDefault="00D36DE4" w:rsidP="002023DB">
            <w:pPr>
              <w:pStyle w:val="Caption"/>
              <w:rPr>
                <w:sz w:val="24"/>
                <w:szCs w:val="24"/>
              </w:rPr>
            </w:pPr>
            <w:bookmarkStart w:id="378" w:name="_Ref135257873"/>
            <w:r w:rsidRPr="006A09A1">
              <w:rPr>
                <w:rFonts w:ascii="Times New Roman" w:hAnsi="Times New Roman" w:cs="Times New Roman"/>
                <w:sz w:val="24"/>
                <w:szCs w:val="24"/>
              </w:rPr>
              <w:t>(</w:t>
            </w:r>
            <w:r w:rsidRPr="006A09A1">
              <w:rPr>
                <w:rFonts w:ascii="Times New Roman" w:hAnsi="Times New Roman" w:cs="Times New Roman"/>
                <w:sz w:val="24"/>
                <w:szCs w:val="24"/>
              </w:rPr>
              <w:fldChar w:fldCharType="begin"/>
            </w:r>
            <w:r w:rsidRPr="006A09A1">
              <w:rPr>
                <w:rFonts w:ascii="Times New Roman" w:hAnsi="Times New Roman" w:cs="Times New Roman"/>
                <w:sz w:val="24"/>
                <w:szCs w:val="24"/>
              </w:rPr>
              <w:instrText xml:space="preserve"> SEQ equation \* ARABIC </w:instrText>
            </w:r>
            <w:r w:rsidRPr="006A09A1">
              <w:rPr>
                <w:rFonts w:ascii="Times New Roman" w:hAnsi="Times New Roman" w:cs="Times New Roman"/>
                <w:sz w:val="24"/>
                <w:szCs w:val="24"/>
              </w:rPr>
              <w:fldChar w:fldCharType="separate"/>
            </w:r>
            <w:r w:rsidR="000E1725">
              <w:rPr>
                <w:rFonts w:ascii="Times New Roman" w:hAnsi="Times New Roman" w:cs="Times New Roman"/>
                <w:noProof/>
                <w:sz w:val="24"/>
                <w:szCs w:val="24"/>
              </w:rPr>
              <w:t>39</w:t>
            </w:r>
            <w:r w:rsidRPr="006A09A1">
              <w:rPr>
                <w:rFonts w:ascii="Times New Roman" w:hAnsi="Times New Roman" w:cs="Times New Roman"/>
                <w:sz w:val="24"/>
                <w:szCs w:val="24"/>
              </w:rPr>
              <w:fldChar w:fldCharType="end"/>
            </w:r>
            <w:r w:rsidRPr="006A09A1">
              <w:rPr>
                <w:rFonts w:ascii="Times New Roman" w:hAnsi="Times New Roman" w:cs="Times New Roman"/>
                <w:sz w:val="24"/>
                <w:szCs w:val="24"/>
              </w:rPr>
              <w:t>)</w:t>
            </w:r>
            <w:bookmarkEnd w:id="378"/>
          </w:p>
        </w:tc>
      </w:tr>
      <w:tr w:rsidR="00D36DE4" w:rsidRPr="006A09A1" w14:paraId="5E46C4B0" w14:textId="77777777" w:rsidTr="004F29F3">
        <w:trPr>
          <w:trHeight w:val="486"/>
        </w:trPr>
        <w:tc>
          <w:tcPr>
            <w:tcW w:w="7830" w:type="dxa"/>
            <w:vAlign w:val="center"/>
          </w:tcPr>
          <w:p w14:paraId="0A1CD7F1" w14:textId="77777777" w:rsidR="00D36DE4" w:rsidRPr="006A09A1" w:rsidRDefault="00000000" w:rsidP="002023DB">
            <w:pPr>
              <w:rPr>
                <w:szCs w:val="24"/>
              </w:rPr>
            </w:pPr>
            <m:oMathPara>
              <m:oMath>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ij</m:t>
                    </m:r>
                  </m:sub>
                  <m:sup>
                    <m:r>
                      <w:rPr>
                        <w:rFonts w:ascii="Cambria Math" w:hAnsi="Cambria Math"/>
                        <w:szCs w:val="24"/>
                      </w:rPr>
                      <m:t>k</m:t>
                    </m:r>
                  </m:sup>
                </m:sSubSup>
                <m:r>
                  <m:rPr>
                    <m:sty m:val="p"/>
                  </m:rPr>
                  <w:rPr>
                    <w:rFonts w:ascii="Cambria Math" w:hAnsi="Cambria Math" w:hint="eastAsia"/>
                    <w:szCs w:val="24"/>
                  </w:rPr>
                  <m:t>≤</m:t>
                </m:r>
                <m:sSubSup>
                  <m:sSubSupPr>
                    <m:ctrlPr>
                      <w:rPr>
                        <w:rFonts w:ascii="Cambria Math" w:hAnsi="Cambria Math"/>
                        <w:i/>
                        <w:szCs w:val="24"/>
                      </w:rPr>
                    </m:ctrlPr>
                  </m:sSubSupPr>
                  <m:e>
                    <m:r>
                      <w:rPr>
                        <w:rFonts w:ascii="Cambria Math" w:hAnsi="Cambria Math"/>
                        <w:szCs w:val="24"/>
                      </w:rPr>
                      <m:t>s</m:t>
                    </m:r>
                    <m:ctrlPr>
                      <w:rPr>
                        <w:rFonts w:ascii="Cambria Math" w:hAnsi="Cambria Math"/>
                        <w:szCs w:val="24"/>
                      </w:rPr>
                    </m:ctrlPr>
                  </m:e>
                  <m:sub>
                    <m:r>
                      <w:rPr>
                        <w:rFonts w:ascii="Cambria Math" w:hAnsi="Cambria Math"/>
                        <w:szCs w:val="24"/>
                      </w:rPr>
                      <m:t>ij-1</m:t>
                    </m:r>
                  </m:sub>
                  <m:sup>
                    <m:r>
                      <w:rPr>
                        <w:rFonts w:ascii="Cambria Math" w:hAnsi="Cambria Math"/>
                        <w:szCs w:val="24"/>
                      </w:rPr>
                      <m:t>k</m:t>
                    </m:r>
                  </m:sup>
                </m:sSubSup>
                <m:r>
                  <m:rPr>
                    <m:sty m:val="p"/>
                  </m:rPr>
                  <w:rPr>
                    <w:rFonts w:ascii="Cambria Math" w:hAnsi="Cambria Math"/>
                    <w:szCs w:val="24"/>
                  </w:rPr>
                  <m:t xml:space="preserve">   ∀</m:t>
                </m:r>
                <m:r>
                  <w:rPr>
                    <w:rFonts w:ascii="Cambria Math" w:hAnsi="Cambria Math"/>
                    <w:szCs w:val="24"/>
                  </w:rPr>
                  <m:t>i,j=2,</m:t>
                </m:r>
                <m:r>
                  <m:rPr>
                    <m:sty m:val="p"/>
                  </m:rPr>
                  <w:rPr>
                    <w:rFonts w:ascii="Cambria Math" w:hAnsi="Cambria Math" w:hint="eastAsia"/>
                    <w:szCs w:val="24"/>
                  </w:rPr>
                  <m:t>…</m:t>
                </m:r>
                <m:sSub>
                  <m:sSubPr>
                    <m:ctrlPr>
                      <w:rPr>
                        <w:rFonts w:ascii="Cambria Math" w:hAnsi="Cambria Math"/>
                        <w:i/>
                        <w:szCs w:val="24"/>
                      </w:rPr>
                    </m:ctrlPr>
                  </m:sSubPr>
                  <m:e>
                    <m:r>
                      <w:rPr>
                        <w:rFonts w:ascii="Cambria Math" w:hAnsi="Cambria Math"/>
                        <w:szCs w:val="24"/>
                      </w:rPr>
                      <m:t>n</m:t>
                    </m:r>
                    <m:ctrlPr>
                      <w:rPr>
                        <w:rFonts w:ascii="Cambria Math" w:hAnsi="Cambria Math"/>
                        <w:szCs w:val="24"/>
                      </w:rPr>
                    </m:ctrlPr>
                  </m:e>
                  <m:sub>
                    <m:r>
                      <w:rPr>
                        <w:rFonts w:ascii="Cambria Math" w:hAnsi="Cambria Math"/>
                        <w:szCs w:val="24"/>
                      </w:rPr>
                      <m:t>i</m:t>
                    </m:r>
                  </m:sub>
                </m:sSub>
                <m:r>
                  <w:rPr>
                    <w:rFonts w:ascii="Cambria Math" w:hAnsi="Cambria Math"/>
                    <w:szCs w:val="24"/>
                  </w:rPr>
                  <m:t>,k=1,</m:t>
                </m:r>
                <m:r>
                  <m:rPr>
                    <m:sty m:val="p"/>
                  </m:rPr>
                  <w:rPr>
                    <w:rFonts w:ascii="Cambria Math" w:hAnsi="Cambria Math" w:hint="eastAsia"/>
                    <w:szCs w:val="24"/>
                  </w:rPr>
                  <m:t>…</m:t>
                </m:r>
                <m:r>
                  <w:rPr>
                    <w:rFonts w:ascii="Cambria Math" w:hAnsi="Cambria Math"/>
                    <w:szCs w:val="24"/>
                  </w:rPr>
                  <m:t>,m,</m:t>
                </m:r>
              </m:oMath>
            </m:oMathPara>
          </w:p>
        </w:tc>
        <w:tc>
          <w:tcPr>
            <w:tcW w:w="1170" w:type="dxa"/>
            <w:vAlign w:val="center"/>
          </w:tcPr>
          <w:p w14:paraId="0F94E5F6" w14:textId="2C5B07DD" w:rsidR="00D36DE4" w:rsidRPr="006A09A1" w:rsidRDefault="00D36DE4" w:rsidP="002023DB">
            <w:pPr>
              <w:pStyle w:val="Caption"/>
              <w:rPr>
                <w:iCs/>
                <w:sz w:val="24"/>
                <w:szCs w:val="24"/>
              </w:rPr>
            </w:pPr>
            <w:bookmarkStart w:id="379" w:name="_Ref135259421"/>
            <w:r w:rsidRPr="006A09A1">
              <w:rPr>
                <w:rFonts w:ascii="Times New Roman" w:hAnsi="Times New Roman" w:cs="Times New Roman"/>
                <w:sz w:val="24"/>
                <w:szCs w:val="24"/>
              </w:rPr>
              <w:t>(</w:t>
            </w:r>
            <w:r w:rsidRPr="006A09A1">
              <w:rPr>
                <w:rFonts w:ascii="Times New Roman" w:hAnsi="Times New Roman" w:cs="Times New Roman"/>
                <w:sz w:val="24"/>
                <w:szCs w:val="24"/>
              </w:rPr>
              <w:fldChar w:fldCharType="begin"/>
            </w:r>
            <w:r w:rsidRPr="006A09A1">
              <w:rPr>
                <w:rFonts w:ascii="Times New Roman" w:hAnsi="Times New Roman" w:cs="Times New Roman"/>
                <w:sz w:val="24"/>
                <w:szCs w:val="24"/>
              </w:rPr>
              <w:instrText xml:space="preserve"> SEQ equation \* ARABIC </w:instrText>
            </w:r>
            <w:r w:rsidRPr="006A09A1">
              <w:rPr>
                <w:rFonts w:ascii="Times New Roman" w:hAnsi="Times New Roman" w:cs="Times New Roman"/>
                <w:sz w:val="24"/>
                <w:szCs w:val="24"/>
              </w:rPr>
              <w:fldChar w:fldCharType="separate"/>
            </w:r>
            <w:r w:rsidR="000E1725">
              <w:rPr>
                <w:rFonts w:ascii="Times New Roman" w:hAnsi="Times New Roman" w:cs="Times New Roman"/>
                <w:noProof/>
                <w:sz w:val="24"/>
                <w:szCs w:val="24"/>
              </w:rPr>
              <w:t>40</w:t>
            </w:r>
            <w:r w:rsidRPr="006A09A1">
              <w:rPr>
                <w:rFonts w:ascii="Times New Roman" w:hAnsi="Times New Roman" w:cs="Times New Roman"/>
                <w:sz w:val="24"/>
                <w:szCs w:val="24"/>
              </w:rPr>
              <w:fldChar w:fldCharType="end"/>
            </w:r>
            <w:r w:rsidRPr="006A09A1">
              <w:rPr>
                <w:rFonts w:ascii="Times New Roman" w:hAnsi="Times New Roman" w:cs="Times New Roman"/>
                <w:sz w:val="24"/>
                <w:szCs w:val="24"/>
              </w:rPr>
              <w:t>)</w:t>
            </w:r>
            <w:bookmarkEnd w:id="379"/>
          </w:p>
        </w:tc>
      </w:tr>
      <w:tr w:rsidR="00D36DE4" w:rsidRPr="006A09A1" w14:paraId="575BAC86" w14:textId="77777777" w:rsidTr="004F29F3">
        <w:trPr>
          <w:trHeight w:val="896"/>
        </w:trPr>
        <w:tc>
          <w:tcPr>
            <w:tcW w:w="7830" w:type="dxa"/>
            <w:vAlign w:val="center"/>
          </w:tcPr>
          <w:p w14:paraId="5BF4883A" w14:textId="77777777" w:rsidR="00D36DE4" w:rsidRPr="006A09A1" w:rsidRDefault="00D36DE4" w:rsidP="002023DB">
            <w:pPr>
              <w:rPr>
                <w:rFonts w:eastAsia="SimSun"/>
                <w:szCs w:val="24"/>
              </w:rPr>
            </w:pPr>
            <m:oMathPara>
              <m:oMath>
                <m:r>
                  <w:rPr>
                    <w:rFonts w:ascii="Cambria Math" w:hAnsi="Cambria Math"/>
                    <w:szCs w:val="24"/>
                  </w:rPr>
                  <m:t>0</m:t>
                </m:r>
                <m:r>
                  <m:rPr>
                    <m:sty m:val="p"/>
                  </m:rPr>
                  <w:rPr>
                    <w:rFonts w:ascii="Cambria Math" w:hAnsi="Cambria Math" w:hint="eastAsia"/>
                    <w:szCs w:val="24"/>
                  </w:rPr>
                  <m:t>≤</m:t>
                </m:r>
                <m:nary>
                  <m:naryPr>
                    <m:chr m:val="∑"/>
                    <m:ctrlPr>
                      <w:rPr>
                        <w:rFonts w:ascii="Cambria Math" w:hAnsi="Cambria Math"/>
                        <w:szCs w:val="24"/>
                      </w:rPr>
                    </m:ctrlPr>
                  </m:naryPr>
                  <m:sub>
                    <m:r>
                      <w:rPr>
                        <w:rFonts w:ascii="Cambria Math" w:hAnsi="Cambria Math"/>
                        <w:szCs w:val="24"/>
                      </w:rPr>
                      <m:t>k=1</m:t>
                    </m:r>
                    <m:ctrlPr>
                      <w:rPr>
                        <w:rFonts w:ascii="Cambria Math" w:hAnsi="Cambria Math"/>
                        <w:i/>
                        <w:szCs w:val="24"/>
                      </w:rPr>
                    </m:ctrlPr>
                  </m:sub>
                  <m:sup>
                    <m:r>
                      <w:rPr>
                        <w:rFonts w:ascii="Cambria Math" w:hAnsi="Cambria Math"/>
                        <w:szCs w:val="24"/>
                      </w:rPr>
                      <m:t>m</m:t>
                    </m:r>
                    <m:ctrlPr>
                      <w:rPr>
                        <w:rFonts w:ascii="Cambria Math" w:hAnsi="Cambria Math"/>
                        <w:i/>
                        <w:szCs w:val="24"/>
                      </w:rPr>
                    </m:ctrlPr>
                  </m:sup>
                  <m:e>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s</m:t>
                            </m:r>
                          </m:e>
                          <m:sub>
                            <m:r>
                              <w:rPr>
                                <w:rFonts w:ascii="Cambria Math" w:hAnsi="Cambria Math"/>
                                <w:szCs w:val="24"/>
                              </w:rPr>
                              <m:t>ij-1</m:t>
                            </m:r>
                          </m:sub>
                          <m:sup>
                            <m:r>
                              <w:rPr>
                                <w:rFonts w:ascii="Cambria Math" w:hAnsi="Cambria Math"/>
                                <w:szCs w:val="24"/>
                              </w:rPr>
                              <m:t>k</m:t>
                            </m:r>
                          </m:sup>
                        </m:sSubSup>
                        <m:r>
                          <w:rPr>
                            <w:rFonts w:ascii="Cambria Math" w:hAnsi="Cambria Math"/>
                            <w:szCs w:val="24"/>
                          </w:rPr>
                          <m:t>-</m:t>
                        </m:r>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ij</m:t>
                                </m:r>
                              </m:sub>
                              <m:sup>
                                <m:r>
                                  <w:rPr>
                                    <w:rFonts w:ascii="Cambria Math" w:hAnsi="Cambria Math"/>
                                    <w:szCs w:val="24"/>
                                  </w:rPr>
                                  <m:t>k</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s</m:t>
                                </m:r>
                              </m:e>
                              <m:sub>
                                <m:r>
                                  <w:rPr>
                                    <w:rFonts w:ascii="Cambria Math" w:hAnsi="Cambria Math"/>
                                    <w:szCs w:val="24"/>
                                  </w:rPr>
                                  <m:t>ij</m:t>
                                </m:r>
                              </m:sub>
                              <m:sup>
                                <m:r>
                                  <w:rPr>
                                    <w:rFonts w:ascii="Cambria Math" w:hAnsi="Cambria Math"/>
                                    <w:szCs w:val="24"/>
                                  </w:rPr>
                                  <m:t>k</m:t>
                                </m:r>
                              </m:sup>
                            </m:sSubSup>
                          </m:e>
                        </m:d>
                      </m:e>
                    </m:d>
                    <m:ctrlPr>
                      <w:rPr>
                        <w:rFonts w:ascii="Cambria Math" w:hAnsi="Cambria Math"/>
                        <w:i/>
                        <w:szCs w:val="24"/>
                      </w:rPr>
                    </m:ctrlPr>
                  </m:e>
                </m:nary>
                <m:r>
                  <m:rPr>
                    <m:sty m:val="p"/>
                  </m:rPr>
                  <w:rPr>
                    <w:rFonts w:ascii="Cambria Math" w:hAnsi="Cambria Math" w:hint="eastAsia"/>
                    <w:szCs w:val="24"/>
                  </w:rPr>
                  <m:t>≤</m:t>
                </m:r>
                <m:sSub>
                  <m:sSubPr>
                    <m:ctrlPr>
                      <w:rPr>
                        <w:rFonts w:ascii="Cambria Math" w:hAnsi="Cambria Math"/>
                        <w:i/>
                        <w:szCs w:val="24"/>
                      </w:rPr>
                    </m:ctrlPr>
                  </m:sSubPr>
                  <m:e>
                    <m:r>
                      <w:rPr>
                        <w:rFonts w:ascii="Cambria Math" w:hAnsi="Cambria Math"/>
                        <w:szCs w:val="24"/>
                      </w:rPr>
                      <m:t>D</m:t>
                    </m:r>
                    <m:ctrlPr>
                      <w:rPr>
                        <w:rFonts w:ascii="Cambria Math" w:hAnsi="Cambria Math"/>
                        <w:szCs w:val="24"/>
                      </w:rPr>
                    </m:ctrlPr>
                  </m:e>
                  <m:sub>
                    <m:r>
                      <w:rPr>
                        <w:rFonts w:ascii="Cambria Math" w:hAnsi="Cambria Math"/>
                        <w:szCs w:val="24"/>
                      </w:rPr>
                      <m:t>ij</m:t>
                    </m:r>
                  </m:sub>
                </m:sSub>
                <m:r>
                  <m:rPr>
                    <m:sty m:val="p"/>
                  </m:rPr>
                  <w:rPr>
                    <w:rFonts w:ascii="Cambria Math" w:hAnsi="Cambria Math"/>
                    <w:szCs w:val="24"/>
                  </w:rPr>
                  <m:t xml:space="preserve">   ∀</m:t>
                </m:r>
                <m:r>
                  <w:rPr>
                    <w:rFonts w:ascii="Cambria Math" w:hAnsi="Cambria Math"/>
                    <w:szCs w:val="24"/>
                  </w:rPr>
                  <m:t>i,j=2,</m:t>
                </m:r>
                <m:r>
                  <m:rPr>
                    <m:sty m:val="p"/>
                  </m:rPr>
                  <w:rPr>
                    <w:rFonts w:ascii="Cambria Math" w:hAnsi="Cambria Math" w:hint="eastAsia"/>
                    <w:szCs w:val="24"/>
                  </w:rPr>
                  <m:t>…</m:t>
                </m:r>
                <m:r>
                  <w:rPr>
                    <w:rFonts w:ascii="Cambria Math" w:hAnsi="Cambria Math"/>
                    <w:szCs w:val="24"/>
                  </w:rPr>
                  <m:t>,m,</m:t>
                </m:r>
              </m:oMath>
            </m:oMathPara>
          </w:p>
        </w:tc>
        <w:tc>
          <w:tcPr>
            <w:tcW w:w="1170" w:type="dxa"/>
            <w:vAlign w:val="center"/>
          </w:tcPr>
          <w:p w14:paraId="4F1AEF50" w14:textId="1ECCB13B" w:rsidR="00D36DE4" w:rsidRPr="006A09A1" w:rsidRDefault="00D36DE4" w:rsidP="002023DB">
            <w:pPr>
              <w:pStyle w:val="Caption"/>
              <w:rPr>
                <w:rFonts w:ascii="Times New Roman" w:hAnsi="Times New Roman" w:cs="Times New Roman"/>
                <w:iCs/>
                <w:sz w:val="24"/>
                <w:szCs w:val="24"/>
              </w:rPr>
            </w:pPr>
            <w:bookmarkStart w:id="380" w:name="_Ref135263851"/>
            <w:r w:rsidRPr="006A09A1">
              <w:rPr>
                <w:rFonts w:ascii="Times New Roman" w:hAnsi="Times New Roman" w:cs="Times New Roman"/>
                <w:sz w:val="24"/>
                <w:szCs w:val="24"/>
              </w:rPr>
              <w:t>(</w:t>
            </w:r>
            <w:r w:rsidRPr="006A09A1">
              <w:rPr>
                <w:rFonts w:ascii="Times New Roman" w:hAnsi="Times New Roman" w:cs="Times New Roman"/>
                <w:sz w:val="24"/>
                <w:szCs w:val="24"/>
              </w:rPr>
              <w:fldChar w:fldCharType="begin"/>
            </w:r>
            <w:r w:rsidRPr="006A09A1">
              <w:rPr>
                <w:rFonts w:ascii="Times New Roman" w:hAnsi="Times New Roman" w:cs="Times New Roman"/>
                <w:sz w:val="24"/>
                <w:szCs w:val="24"/>
              </w:rPr>
              <w:instrText xml:space="preserve"> SEQ equation \* ARABIC </w:instrText>
            </w:r>
            <w:r w:rsidRPr="006A09A1">
              <w:rPr>
                <w:rFonts w:ascii="Times New Roman" w:hAnsi="Times New Roman" w:cs="Times New Roman"/>
                <w:sz w:val="24"/>
                <w:szCs w:val="24"/>
              </w:rPr>
              <w:fldChar w:fldCharType="separate"/>
            </w:r>
            <w:r w:rsidR="000E1725">
              <w:rPr>
                <w:rFonts w:ascii="Times New Roman" w:hAnsi="Times New Roman" w:cs="Times New Roman"/>
                <w:noProof/>
                <w:sz w:val="24"/>
                <w:szCs w:val="24"/>
              </w:rPr>
              <w:t>41</w:t>
            </w:r>
            <w:r w:rsidRPr="006A09A1">
              <w:rPr>
                <w:rFonts w:ascii="Times New Roman" w:hAnsi="Times New Roman" w:cs="Times New Roman"/>
                <w:sz w:val="24"/>
                <w:szCs w:val="24"/>
              </w:rPr>
              <w:fldChar w:fldCharType="end"/>
            </w:r>
            <w:r w:rsidRPr="006A09A1">
              <w:rPr>
                <w:rFonts w:ascii="Times New Roman" w:hAnsi="Times New Roman" w:cs="Times New Roman"/>
                <w:sz w:val="24"/>
                <w:szCs w:val="24"/>
              </w:rPr>
              <w:t>)</w:t>
            </w:r>
            <w:bookmarkEnd w:id="380"/>
          </w:p>
        </w:tc>
      </w:tr>
      <w:tr w:rsidR="00D36DE4" w:rsidRPr="006A09A1" w14:paraId="7887FC35" w14:textId="77777777" w:rsidTr="004F29F3">
        <w:trPr>
          <w:trHeight w:val="486"/>
        </w:trPr>
        <w:tc>
          <w:tcPr>
            <w:tcW w:w="7830" w:type="dxa"/>
            <w:vAlign w:val="center"/>
          </w:tcPr>
          <w:p w14:paraId="72F67010" w14:textId="77777777" w:rsidR="00D36DE4" w:rsidRPr="006A09A1" w:rsidRDefault="00000000" w:rsidP="002023DB">
            <w:pPr>
              <w:rPr>
                <w:szCs w:val="24"/>
              </w:rPr>
            </w:pPr>
            <m:oMathPara>
              <m:oMath>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m</m:t>
                    </m:r>
                    <m:sSub>
                      <m:sSubPr>
                        <m:ctrlPr>
                          <w:rPr>
                            <w:rFonts w:ascii="Cambria Math" w:hAnsi="Cambria Math"/>
                            <w:i/>
                            <w:szCs w:val="24"/>
                          </w:rPr>
                        </m:ctrlPr>
                      </m:sSubPr>
                      <m:e>
                        <m:r>
                          <w:rPr>
                            <w:rFonts w:ascii="Cambria Math" w:hAnsi="Cambria Math"/>
                            <w:szCs w:val="24"/>
                          </w:rPr>
                          <m:t>j</m:t>
                        </m:r>
                      </m:e>
                      <m:sub>
                        <m:r>
                          <w:rPr>
                            <w:rFonts w:ascii="Cambria Math" w:hAnsi="Cambria Math"/>
                            <w:szCs w:val="24"/>
                          </w:rPr>
                          <m:t>0</m:t>
                        </m:r>
                      </m:sub>
                    </m:sSub>
                  </m:sub>
                  <m:sup>
                    <m:r>
                      <w:rPr>
                        <w:rFonts w:ascii="Cambria Math" w:hAnsi="Cambria Math"/>
                        <w:szCs w:val="24"/>
                      </w:rPr>
                      <m:t>k</m:t>
                    </m:r>
                  </m:sup>
                </m:sSubSup>
                <m:r>
                  <m:rPr>
                    <m:sty m:val="p"/>
                  </m:rPr>
                  <w:rPr>
                    <w:rFonts w:ascii="Cambria Math" w:hAnsi="Cambria Math" w:hint="eastAsia"/>
                    <w:szCs w:val="24"/>
                  </w:rPr>
                  <m:t>≤</m:t>
                </m:r>
                <m:sSubSup>
                  <m:sSubSupPr>
                    <m:ctrlPr>
                      <w:rPr>
                        <w:rFonts w:ascii="Cambria Math" w:hAnsi="Cambria Math"/>
                        <w:i/>
                        <w:szCs w:val="24"/>
                      </w:rPr>
                    </m:ctrlPr>
                  </m:sSubSupPr>
                  <m:e>
                    <m:r>
                      <w:rPr>
                        <w:rFonts w:ascii="Cambria Math" w:hAnsi="Cambria Math"/>
                        <w:szCs w:val="24"/>
                      </w:rPr>
                      <m:t>s</m:t>
                    </m:r>
                    <m:ctrlPr>
                      <w:rPr>
                        <w:rFonts w:ascii="Cambria Math" w:hAnsi="Cambria Math"/>
                        <w:szCs w:val="24"/>
                      </w:rPr>
                    </m:ctrlPr>
                  </m:e>
                  <m:sub>
                    <m:r>
                      <w:rPr>
                        <w:rFonts w:ascii="Cambria Math" w:hAnsi="Cambria Math"/>
                        <w:szCs w:val="24"/>
                      </w:rPr>
                      <m:t>n</m:t>
                    </m:r>
                    <m:sSub>
                      <m:sSubPr>
                        <m:ctrlPr>
                          <w:rPr>
                            <w:rFonts w:ascii="Cambria Math" w:hAnsi="Cambria Math"/>
                            <w:i/>
                            <w:szCs w:val="24"/>
                          </w:rPr>
                        </m:ctrlPr>
                      </m:sSubPr>
                      <m:e>
                        <m:r>
                          <w:rPr>
                            <w:rFonts w:ascii="Cambria Math" w:hAnsi="Cambria Math"/>
                            <w:szCs w:val="24"/>
                          </w:rPr>
                          <m:t>j</m:t>
                        </m:r>
                      </m:e>
                      <m:sub>
                        <m:r>
                          <w:rPr>
                            <w:rFonts w:ascii="Cambria Math" w:hAnsi="Cambria Math"/>
                            <w:szCs w:val="24"/>
                          </w:rPr>
                          <m:t>-1</m:t>
                        </m:r>
                      </m:sub>
                    </m:sSub>
                  </m:sub>
                  <m:sup>
                    <m:r>
                      <w:rPr>
                        <w:rFonts w:ascii="Cambria Math" w:hAnsi="Cambria Math"/>
                        <w:szCs w:val="24"/>
                      </w:rPr>
                      <m:t>k</m:t>
                    </m:r>
                  </m:sup>
                </m:sSubSup>
                <m:r>
                  <m:rPr>
                    <m:sty m:val="p"/>
                  </m:rPr>
                  <w:rPr>
                    <w:rFonts w:ascii="Cambria Math" w:hAnsi="Cambria Math"/>
                    <w:szCs w:val="24"/>
                  </w:rPr>
                  <m:t xml:space="preserve">   ∀</m:t>
                </m:r>
                <m:r>
                  <w:rPr>
                    <w:rFonts w:ascii="Cambria Math" w:hAnsi="Cambria Math"/>
                    <w:szCs w:val="24"/>
                  </w:rPr>
                  <m:t>k.</m:t>
                </m:r>
              </m:oMath>
            </m:oMathPara>
          </w:p>
        </w:tc>
        <w:tc>
          <w:tcPr>
            <w:tcW w:w="1170" w:type="dxa"/>
            <w:vAlign w:val="center"/>
          </w:tcPr>
          <w:p w14:paraId="7335F86A" w14:textId="1AC0030A" w:rsidR="00D36DE4" w:rsidRPr="006A09A1" w:rsidRDefault="00D36DE4" w:rsidP="002023DB">
            <w:pPr>
              <w:pStyle w:val="Caption"/>
              <w:keepNext/>
              <w:rPr>
                <w:sz w:val="24"/>
                <w:szCs w:val="24"/>
              </w:rPr>
            </w:pPr>
            <w:bookmarkStart w:id="381" w:name="_Ref135902571"/>
            <w:r w:rsidRPr="006A09A1">
              <w:rPr>
                <w:rFonts w:ascii="Times New Roman" w:hAnsi="Times New Roman" w:cs="Times New Roman"/>
                <w:sz w:val="24"/>
                <w:szCs w:val="24"/>
              </w:rPr>
              <w:t>(</w:t>
            </w:r>
            <w:r w:rsidRPr="006A09A1">
              <w:rPr>
                <w:rFonts w:ascii="Times New Roman" w:hAnsi="Times New Roman" w:cs="Times New Roman"/>
                <w:sz w:val="24"/>
                <w:szCs w:val="24"/>
              </w:rPr>
              <w:fldChar w:fldCharType="begin"/>
            </w:r>
            <w:r w:rsidRPr="006A09A1">
              <w:rPr>
                <w:rFonts w:ascii="Times New Roman" w:hAnsi="Times New Roman" w:cs="Times New Roman"/>
                <w:sz w:val="24"/>
                <w:szCs w:val="24"/>
              </w:rPr>
              <w:instrText xml:space="preserve"> SEQ equation \* ARABIC </w:instrText>
            </w:r>
            <w:r w:rsidRPr="006A09A1">
              <w:rPr>
                <w:rFonts w:ascii="Times New Roman" w:hAnsi="Times New Roman" w:cs="Times New Roman"/>
                <w:sz w:val="24"/>
                <w:szCs w:val="24"/>
              </w:rPr>
              <w:fldChar w:fldCharType="separate"/>
            </w:r>
            <w:r w:rsidR="000E1725">
              <w:rPr>
                <w:rFonts w:ascii="Times New Roman" w:hAnsi="Times New Roman" w:cs="Times New Roman"/>
                <w:noProof/>
                <w:sz w:val="24"/>
                <w:szCs w:val="24"/>
              </w:rPr>
              <w:t>42</w:t>
            </w:r>
            <w:r w:rsidRPr="006A09A1">
              <w:rPr>
                <w:rFonts w:ascii="Times New Roman" w:hAnsi="Times New Roman" w:cs="Times New Roman"/>
                <w:sz w:val="24"/>
                <w:szCs w:val="24"/>
              </w:rPr>
              <w:fldChar w:fldCharType="end"/>
            </w:r>
            <w:r w:rsidRPr="006A09A1">
              <w:rPr>
                <w:rFonts w:ascii="Times New Roman" w:hAnsi="Times New Roman" w:cs="Times New Roman"/>
                <w:sz w:val="24"/>
                <w:szCs w:val="24"/>
              </w:rPr>
              <w:t>)</w:t>
            </w:r>
            <w:bookmarkEnd w:id="381"/>
          </w:p>
        </w:tc>
      </w:tr>
    </w:tbl>
    <w:p w14:paraId="13E36748" w14:textId="1EB57B3F" w:rsidR="00D36DE4" w:rsidRPr="006A09A1" w:rsidRDefault="00D36DE4" w:rsidP="00D36DE4">
      <w:pPr>
        <w:rPr>
          <w:szCs w:val="24"/>
        </w:rPr>
      </w:pPr>
      <w:r w:rsidRPr="006A09A1">
        <w:rPr>
          <w:szCs w:val="24"/>
        </w:rPr>
        <w:t xml:space="preserve">where constraints </w:t>
      </w:r>
      <w:r w:rsidRPr="006A09A1">
        <w:rPr>
          <w:szCs w:val="24"/>
        </w:rPr>
        <w:fldChar w:fldCharType="begin"/>
      </w:r>
      <w:r w:rsidRPr="006A09A1">
        <w:rPr>
          <w:szCs w:val="24"/>
        </w:rPr>
        <w:instrText xml:space="preserve"> REF _Ref135902190 \h  \* MERGEFORMAT </w:instrText>
      </w:r>
      <w:r w:rsidRPr="006A09A1">
        <w:rPr>
          <w:szCs w:val="24"/>
        </w:rPr>
      </w:r>
      <w:r w:rsidRPr="006A09A1">
        <w:rPr>
          <w:szCs w:val="24"/>
        </w:rPr>
        <w:fldChar w:fldCharType="separate"/>
      </w:r>
      <w:r w:rsidR="000E1725" w:rsidRPr="006A09A1">
        <w:rPr>
          <w:szCs w:val="24"/>
        </w:rPr>
        <w:t>(</w:t>
      </w:r>
      <w:r w:rsidR="000E1725">
        <w:rPr>
          <w:noProof/>
          <w:szCs w:val="24"/>
        </w:rPr>
        <w:t>37</w:t>
      </w:r>
      <w:r w:rsidR="000E1725" w:rsidRPr="006A09A1">
        <w:rPr>
          <w:szCs w:val="24"/>
        </w:rPr>
        <w:t>)</w:t>
      </w:r>
      <w:r w:rsidRPr="006A09A1">
        <w:rPr>
          <w:szCs w:val="24"/>
        </w:rPr>
        <w:fldChar w:fldCharType="end"/>
      </w:r>
      <w:r w:rsidRPr="006A09A1">
        <w:rPr>
          <w:szCs w:val="24"/>
        </w:rPr>
        <w:t xml:space="preserve"> and </w:t>
      </w:r>
      <w:r w:rsidRPr="006A09A1">
        <w:rPr>
          <w:szCs w:val="24"/>
        </w:rPr>
        <w:fldChar w:fldCharType="begin"/>
      </w:r>
      <w:r w:rsidRPr="006A09A1">
        <w:rPr>
          <w:szCs w:val="24"/>
        </w:rPr>
        <w:instrText xml:space="preserve"> REF _Ref135902197 \h  \* MERGEFORMAT </w:instrText>
      </w:r>
      <w:r w:rsidRPr="006A09A1">
        <w:rPr>
          <w:szCs w:val="24"/>
        </w:rPr>
      </w:r>
      <w:r w:rsidRPr="006A09A1">
        <w:rPr>
          <w:szCs w:val="24"/>
        </w:rPr>
        <w:fldChar w:fldCharType="separate"/>
      </w:r>
      <w:r w:rsidR="000E1725" w:rsidRPr="006A09A1">
        <w:rPr>
          <w:szCs w:val="24"/>
        </w:rPr>
        <w:t>(</w:t>
      </w:r>
      <w:r w:rsidR="000E1725">
        <w:rPr>
          <w:noProof/>
          <w:szCs w:val="24"/>
        </w:rPr>
        <w:t>38</w:t>
      </w:r>
      <w:r w:rsidR="000E1725" w:rsidRPr="006A09A1">
        <w:rPr>
          <w:szCs w:val="24"/>
        </w:rPr>
        <w:t>)</w:t>
      </w:r>
      <w:r w:rsidRPr="006A09A1">
        <w:rPr>
          <w:szCs w:val="24"/>
        </w:rPr>
        <w:fldChar w:fldCharType="end"/>
      </w:r>
      <w:r w:rsidRPr="006A09A1">
        <w:rPr>
          <w:szCs w:val="24"/>
        </w:rPr>
        <w:t xml:space="preserve"> force the auxiliary variable </w:t>
      </w:r>
      <m:oMath>
        <m:sSubSup>
          <m:sSubSupPr>
            <m:ctrlPr>
              <w:rPr>
                <w:rFonts w:ascii="Cambria Math" w:hAnsi="Cambria Math"/>
                <w:i/>
                <w:szCs w:val="24"/>
              </w:rPr>
            </m:ctrlPr>
          </m:sSubSupPr>
          <m:e>
            <m:r>
              <w:rPr>
                <w:rFonts w:ascii="Cambria Math" w:hAnsi="Cambria Math"/>
                <w:szCs w:val="24"/>
              </w:rPr>
              <m:t>s</m:t>
            </m:r>
          </m:e>
          <m:sub>
            <m:r>
              <w:rPr>
                <w:rFonts w:ascii="Cambria Math" w:hAnsi="Cambria Math"/>
                <w:szCs w:val="24"/>
              </w:rPr>
              <m:t>ij</m:t>
            </m:r>
          </m:sub>
          <m:sup>
            <m:r>
              <w:rPr>
                <w:rFonts w:ascii="Cambria Math" w:hAnsi="Cambria Math"/>
                <w:szCs w:val="24"/>
              </w:rPr>
              <m:t>k</m:t>
            </m:r>
          </m:sup>
        </m:sSubSup>
        <m:r>
          <w:rPr>
            <w:rFonts w:ascii="Cambria Math" w:hAnsi="Cambria Math"/>
            <w:szCs w:val="24"/>
          </w:rPr>
          <m:t xml:space="preserve"> </m:t>
        </m:r>
      </m:oMath>
      <w:r w:rsidRPr="006A09A1">
        <w:rPr>
          <w:szCs w:val="24"/>
        </w:rPr>
        <w:t xml:space="preserve">to be 1 once energy phase </w:t>
      </w:r>
      <w:r w:rsidRPr="006A09A1">
        <w:rPr>
          <w:szCs w:val="24"/>
        </w:rPr>
        <w:softHyphen/>
      </w:r>
      <m:oMath>
        <m:r>
          <w:rPr>
            <w:rFonts w:ascii="Cambria Math" w:hAnsi="Cambria Math"/>
            <w:szCs w:val="24"/>
          </w:rPr>
          <m:t>j</m:t>
        </m:r>
      </m:oMath>
      <w:r w:rsidRPr="006A09A1">
        <w:rPr>
          <w:szCs w:val="24"/>
        </w:rPr>
        <w:t xml:space="preserve"> of appliance </w:t>
      </w:r>
      <m:oMath>
        <m:r>
          <w:rPr>
            <w:rFonts w:ascii="Cambria Math" w:hAnsi="Cambria Math"/>
            <w:szCs w:val="24"/>
          </w:rPr>
          <m:t>i</m:t>
        </m:r>
      </m:oMath>
      <w:r w:rsidRPr="006A09A1">
        <w:rPr>
          <w:szCs w:val="24"/>
        </w:rPr>
        <w:t xml:space="preserve"> turns off (i.e., </w:t>
      </w:r>
      <m:oMath>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ij</m:t>
            </m:r>
          </m:sub>
          <m:sup>
            <m:r>
              <w:rPr>
                <w:rFonts w:ascii="Cambria Math" w:hAnsi="Cambria Math"/>
                <w:szCs w:val="24"/>
              </w:rPr>
              <m:t>k</m:t>
            </m:r>
          </m:sup>
        </m:sSubSup>
      </m:oMath>
      <w:r w:rsidRPr="006A09A1">
        <w:rPr>
          <w:szCs w:val="24"/>
        </w:rPr>
        <w:t xml:space="preserve"> to be 0 and </w:t>
      </w:r>
      <m:oMath>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ij</m:t>
            </m:r>
          </m:sub>
          <m:sup>
            <m:r>
              <w:rPr>
                <w:rFonts w:ascii="Cambria Math" w:hAnsi="Cambria Math"/>
                <w:szCs w:val="24"/>
              </w:rPr>
              <m:t>k-1</m:t>
            </m:r>
          </m:sup>
        </m:sSubSup>
      </m:oMath>
      <w:r w:rsidRPr="006A09A1">
        <w:rPr>
          <w:szCs w:val="24"/>
        </w:rPr>
        <w:t xml:space="preserve"> to be 1). Based on constraints </w:t>
      </w:r>
      <w:r w:rsidRPr="006A09A1">
        <w:rPr>
          <w:szCs w:val="24"/>
        </w:rPr>
        <w:fldChar w:fldCharType="begin"/>
      </w:r>
      <w:r w:rsidRPr="006A09A1">
        <w:rPr>
          <w:szCs w:val="24"/>
        </w:rPr>
        <w:instrText xml:space="preserve"> REF _Ref135902190 \h  \* MERGEFORMAT </w:instrText>
      </w:r>
      <w:r w:rsidRPr="006A09A1">
        <w:rPr>
          <w:szCs w:val="24"/>
        </w:rPr>
      </w:r>
      <w:r w:rsidRPr="006A09A1">
        <w:rPr>
          <w:szCs w:val="24"/>
        </w:rPr>
        <w:fldChar w:fldCharType="separate"/>
      </w:r>
      <w:r w:rsidR="000E1725" w:rsidRPr="006A09A1">
        <w:rPr>
          <w:szCs w:val="24"/>
        </w:rPr>
        <w:t>(</w:t>
      </w:r>
      <w:r w:rsidR="000E1725">
        <w:rPr>
          <w:noProof/>
          <w:szCs w:val="24"/>
        </w:rPr>
        <w:t>37</w:t>
      </w:r>
      <w:r w:rsidR="000E1725" w:rsidRPr="006A09A1">
        <w:rPr>
          <w:szCs w:val="24"/>
        </w:rPr>
        <w:t>)</w:t>
      </w:r>
      <w:r w:rsidRPr="006A09A1">
        <w:rPr>
          <w:szCs w:val="24"/>
        </w:rPr>
        <w:fldChar w:fldCharType="end"/>
      </w:r>
      <w:r w:rsidRPr="006A09A1">
        <w:rPr>
          <w:szCs w:val="24"/>
        </w:rPr>
        <w:t xml:space="preserve"> and </w:t>
      </w:r>
      <w:r w:rsidRPr="006A09A1">
        <w:rPr>
          <w:szCs w:val="24"/>
        </w:rPr>
        <w:fldChar w:fldCharType="begin"/>
      </w:r>
      <w:r w:rsidRPr="006A09A1">
        <w:rPr>
          <w:szCs w:val="24"/>
        </w:rPr>
        <w:instrText xml:space="preserve"> REF _Ref135902197 \h  \* MERGEFORMAT </w:instrText>
      </w:r>
      <w:r w:rsidRPr="006A09A1">
        <w:rPr>
          <w:szCs w:val="24"/>
        </w:rPr>
      </w:r>
      <w:r w:rsidRPr="006A09A1">
        <w:rPr>
          <w:szCs w:val="24"/>
        </w:rPr>
        <w:fldChar w:fldCharType="separate"/>
      </w:r>
      <w:r w:rsidR="000E1725" w:rsidRPr="006A09A1">
        <w:rPr>
          <w:szCs w:val="24"/>
        </w:rPr>
        <w:t>(</w:t>
      </w:r>
      <w:r w:rsidR="000E1725">
        <w:rPr>
          <w:noProof/>
          <w:szCs w:val="24"/>
        </w:rPr>
        <w:t>38</w:t>
      </w:r>
      <w:r w:rsidR="000E1725" w:rsidRPr="006A09A1">
        <w:rPr>
          <w:szCs w:val="24"/>
        </w:rPr>
        <w:t>)</w:t>
      </w:r>
      <w:r w:rsidRPr="006A09A1">
        <w:rPr>
          <w:szCs w:val="24"/>
        </w:rPr>
        <w:fldChar w:fldCharType="end"/>
      </w:r>
      <w:r w:rsidRPr="006A09A1">
        <w:rPr>
          <w:szCs w:val="24"/>
        </w:rPr>
        <w:t xml:space="preserve">, constraint </w:t>
      </w:r>
      <w:r w:rsidRPr="006A09A1">
        <w:rPr>
          <w:szCs w:val="24"/>
        </w:rPr>
        <w:fldChar w:fldCharType="begin"/>
      </w:r>
      <w:r w:rsidRPr="006A09A1">
        <w:rPr>
          <w:szCs w:val="24"/>
        </w:rPr>
        <w:instrText xml:space="preserve"> REF _Ref135257873 \h  \* MERGEFORMAT </w:instrText>
      </w:r>
      <w:r w:rsidRPr="006A09A1">
        <w:rPr>
          <w:szCs w:val="24"/>
        </w:rPr>
      </w:r>
      <w:r w:rsidRPr="006A09A1">
        <w:rPr>
          <w:szCs w:val="24"/>
        </w:rPr>
        <w:fldChar w:fldCharType="separate"/>
      </w:r>
      <w:r w:rsidR="000E1725" w:rsidRPr="006A09A1">
        <w:rPr>
          <w:szCs w:val="24"/>
        </w:rPr>
        <w:t>(</w:t>
      </w:r>
      <w:r w:rsidR="000E1725">
        <w:rPr>
          <w:noProof/>
          <w:szCs w:val="24"/>
        </w:rPr>
        <w:t>39</w:t>
      </w:r>
      <w:r w:rsidR="000E1725" w:rsidRPr="006A09A1">
        <w:rPr>
          <w:szCs w:val="24"/>
        </w:rPr>
        <w:t>)</w:t>
      </w:r>
      <w:r w:rsidRPr="006A09A1">
        <w:rPr>
          <w:szCs w:val="24"/>
        </w:rPr>
        <w:fldChar w:fldCharType="end"/>
      </w:r>
      <w:r w:rsidRPr="006A09A1">
        <w:rPr>
          <w:szCs w:val="24"/>
        </w:rPr>
        <w:t xml:space="preserve"> ensures each energy phase of the appliance only executed once. The combination of these three constraints along with the constraint </w:t>
      </w:r>
      <w:r w:rsidRPr="006A09A1">
        <w:rPr>
          <w:szCs w:val="24"/>
        </w:rPr>
        <w:fldChar w:fldCharType="begin"/>
      </w:r>
      <w:r w:rsidRPr="006A09A1">
        <w:rPr>
          <w:szCs w:val="24"/>
        </w:rPr>
        <w:instrText xml:space="preserve"> REF _Ref135902340 \h  \* MERGEFORMAT </w:instrText>
      </w:r>
      <w:r w:rsidRPr="006A09A1">
        <w:rPr>
          <w:szCs w:val="24"/>
        </w:rPr>
      </w:r>
      <w:r w:rsidRPr="006A09A1">
        <w:rPr>
          <w:szCs w:val="24"/>
        </w:rPr>
        <w:fldChar w:fldCharType="separate"/>
      </w:r>
      <w:r w:rsidR="000E1725" w:rsidRPr="006A09A1">
        <w:rPr>
          <w:szCs w:val="24"/>
        </w:rPr>
        <w:t>(</w:t>
      </w:r>
      <w:r w:rsidR="000E1725">
        <w:rPr>
          <w:noProof/>
          <w:szCs w:val="24"/>
        </w:rPr>
        <w:t>36</w:t>
      </w:r>
      <w:r w:rsidR="000E1725" w:rsidRPr="006A09A1">
        <w:rPr>
          <w:szCs w:val="24"/>
        </w:rPr>
        <w:t>)</w:t>
      </w:r>
      <w:r w:rsidRPr="006A09A1">
        <w:rPr>
          <w:szCs w:val="24"/>
        </w:rPr>
        <w:fldChar w:fldCharType="end"/>
      </w:r>
      <w:r w:rsidRPr="006A09A1">
        <w:rPr>
          <w:szCs w:val="24"/>
        </w:rPr>
        <w:t xml:space="preserve"> ensures the energy phase </w:t>
      </w:r>
      <m:oMath>
        <m:r>
          <w:rPr>
            <w:rFonts w:ascii="Cambria Math" w:hAnsi="Cambria Math"/>
            <w:szCs w:val="24"/>
          </w:rPr>
          <m:t>j</m:t>
        </m:r>
      </m:oMath>
      <w:r w:rsidRPr="006A09A1">
        <w:rPr>
          <w:szCs w:val="24"/>
        </w:rPr>
        <w:t xml:space="preserve"> is uninterruptable. Similarly, constraint </w:t>
      </w:r>
      <w:r w:rsidRPr="006A09A1">
        <w:rPr>
          <w:szCs w:val="24"/>
        </w:rPr>
        <w:fldChar w:fldCharType="begin"/>
      </w:r>
      <w:r w:rsidRPr="006A09A1">
        <w:rPr>
          <w:szCs w:val="24"/>
        </w:rPr>
        <w:instrText xml:space="preserve"> REF _Ref135259421 \h  \* MERGEFORMAT </w:instrText>
      </w:r>
      <w:r w:rsidRPr="006A09A1">
        <w:rPr>
          <w:szCs w:val="24"/>
        </w:rPr>
      </w:r>
      <w:r w:rsidRPr="006A09A1">
        <w:rPr>
          <w:szCs w:val="24"/>
        </w:rPr>
        <w:fldChar w:fldCharType="separate"/>
      </w:r>
      <w:r w:rsidR="000E1725" w:rsidRPr="006A09A1">
        <w:rPr>
          <w:szCs w:val="24"/>
        </w:rPr>
        <w:t>(</w:t>
      </w:r>
      <w:r w:rsidR="000E1725">
        <w:rPr>
          <w:noProof/>
          <w:szCs w:val="24"/>
        </w:rPr>
        <w:t>40</w:t>
      </w:r>
      <w:r w:rsidR="000E1725" w:rsidRPr="006A09A1">
        <w:rPr>
          <w:szCs w:val="24"/>
        </w:rPr>
        <w:t>)</w:t>
      </w:r>
      <w:r w:rsidRPr="006A09A1">
        <w:rPr>
          <w:szCs w:val="24"/>
        </w:rPr>
        <w:fldChar w:fldCharType="end"/>
      </w:r>
      <w:r w:rsidRPr="006A09A1">
        <w:rPr>
          <w:szCs w:val="24"/>
        </w:rPr>
        <w:t xml:space="preserve"> ensures energy phase </w:t>
      </w:r>
      <m:oMath>
        <m:r>
          <w:rPr>
            <w:rFonts w:ascii="Cambria Math" w:hAnsi="Cambria Math"/>
            <w:szCs w:val="24"/>
          </w:rPr>
          <m:t>j</m:t>
        </m:r>
      </m:oMath>
      <w:r w:rsidRPr="006A09A1">
        <w:rPr>
          <w:szCs w:val="24"/>
        </w:rPr>
        <w:t xml:space="preserve"> turns on only after the previous energy phase turns off. Constraint </w:t>
      </w:r>
      <w:r w:rsidRPr="006A09A1">
        <w:rPr>
          <w:szCs w:val="24"/>
        </w:rPr>
        <w:fldChar w:fldCharType="begin"/>
      </w:r>
      <w:r w:rsidRPr="006A09A1">
        <w:rPr>
          <w:szCs w:val="24"/>
        </w:rPr>
        <w:instrText xml:space="preserve"> REF _Ref135263851 \h  \* MERGEFORMAT </w:instrText>
      </w:r>
      <w:r w:rsidRPr="006A09A1">
        <w:rPr>
          <w:szCs w:val="24"/>
        </w:rPr>
      </w:r>
      <w:r w:rsidRPr="006A09A1">
        <w:rPr>
          <w:szCs w:val="24"/>
        </w:rPr>
        <w:fldChar w:fldCharType="separate"/>
      </w:r>
      <w:r w:rsidR="000E1725" w:rsidRPr="006A09A1">
        <w:rPr>
          <w:szCs w:val="24"/>
        </w:rPr>
        <w:t>(</w:t>
      </w:r>
      <w:r w:rsidR="000E1725">
        <w:rPr>
          <w:noProof/>
          <w:szCs w:val="24"/>
        </w:rPr>
        <w:t>41</w:t>
      </w:r>
      <w:r w:rsidR="000E1725" w:rsidRPr="006A09A1">
        <w:rPr>
          <w:szCs w:val="24"/>
        </w:rPr>
        <w:t>)</w:t>
      </w:r>
      <w:r w:rsidRPr="006A09A1">
        <w:rPr>
          <w:szCs w:val="24"/>
        </w:rPr>
        <w:fldChar w:fldCharType="end"/>
      </w:r>
      <w:r w:rsidRPr="006A09A1">
        <w:rPr>
          <w:szCs w:val="24"/>
        </w:rPr>
        <w:t xml:space="preserve"> regulates the time delay between energy phase </w:t>
      </w:r>
      <m:oMath>
        <m:r>
          <w:rPr>
            <w:rFonts w:ascii="Cambria Math" w:hAnsi="Cambria Math"/>
            <w:szCs w:val="24"/>
          </w:rPr>
          <m:t xml:space="preserve">j </m:t>
        </m:r>
      </m:oMath>
      <w:r w:rsidRPr="006A09A1">
        <w:rPr>
          <w:szCs w:val="24"/>
        </w:rPr>
        <w:t xml:space="preserve">and </w:t>
      </w:r>
      <m:oMath>
        <m:r>
          <w:rPr>
            <w:rFonts w:ascii="Cambria Math" w:hAnsi="Cambria Math"/>
            <w:szCs w:val="24"/>
          </w:rPr>
          <m:t>j-1</m:t>
        </m:r>
      </m:oMath>
      <w:r w:rsidRPr="006A09A1">
        <w:rPr>
          <w:szCs w:val="24"/>
        </w:rPr>
        <w:t xml:space="preserve"> should be no less than time slots </w:t>
      </w:r>
      <m:oMath>
        <m:sSub>
          <m:sSubPr>
            <m:ctrlPr>
              <w:rPr>
                <w:rFonts w:ascii="Cambria Math" w:hAnsi="Cambria Math"/>
                <w:i/>
                <w:szCs w:val="24"/>
              </w:rPr>
            </m:ctrlPr>
          </m:sSubPr>
          <m:e>
            <m:r>
              <w:rPr>
                <w:rFonts w:ascii="Cambria Math" w:hAnsi="Cambria Math"/>
                <w:szCs w:val="24"/>
              </w:rPr>
              <m:t>D</m:t>
            </m:r>
          </m:e>
          <m:sub>
            <m:r>
              <w:rPr>
                <w:rFonts w:ascii="Cambria Math" w:hAnsi="Cambria Math"/>
                <w:szCs w:val="24"/>
              </w:rPr>
              <m:t>ij</m:t>
            </m:r>
          </m:sub>
        </m:sSub>
      </m:oMath>
      <w:r w:rsidRPr="006A09A1">
        <w:rPr>
          <w:szCs w:val="24"/>
        </w:rPr>
        <w:t xml:space="preserve">. Moreover, constraint </w:t>
      </w:r>
      <w:r w:rsidRPr="006A09A1">
        <w:rPr>
          <w:szCs w:val="24"/>
        </w:rPr>
        <w:fldChar w:fldCharType="begin"/>
      </w:r>
      <w:r w:rsidRPr="006A09A1">
        <w:rPr>
          <w:szCs w:val="24"/>
        </w:rPr>
        <w:instrText xml:space="preserve"> REF _Ref135902571 \h  \* MERGEFORMAT </w:instrText>
      </w:r>
      <w:r w:rsidRPr="006A09A1">
        <w:rPr>
          <w:szCs w:val="24"/>
        </w:rPr>
      </w:r>
      <w:r w:rsidRPr="006A09A1">
        <w:rPr>
          <w:szCs w:val="24"/>
        </w:rPr>
        <w:fldChar w:fldCharType="separate"/>
      </w:r>
      <w:r w:rsidR="000E1725" w:rsidRPr="006A09A1">
        <w:rPr>
          <w:szCs w:val="24"/>
        </w:rPr>
        <w:t>(</w:t>
      </w:r>
      <w:r w:rsidR="000E1725">
        <w:rPr>
          <w:noProof/>
          <w:szCs w:val="24"/>
        </w:rPr>
        <w:t>42</w:t>
      </w:r>
      <w:r w:rsidR="000E1725" w:rsidRPr="006A09A1">
        <w:rPr>
          <w:szCs w:val="24"/>
        </w:rPr>
        <w:t>)</w:t>
      </w:r>
      <w:r w:rsidRPr="006A09A1">
        <w:rPr>
          <w:szCs w:val="24"/>
        </w:rPr>
        <w:fldChar w:fldCharType="end"/>
      </w:r>
      <w:r>
        <w:rPr>
          <w:szCs w:val="24"/>
        </w:rPr>
        <w:t xml:space="preserve"> </w:t>
      </w:r>
      <w:r w:rsidRPr="006A09A1">
        <w:rPr>
          <w:szCs w:val="24"/>
        </w:rPr>
        <w:t xml:space="preserve">ensures that the first energy phase </w:t>
      </w:r>
      <m:oMath>
        <m:sSub>
          <m:sSubPr>
            <m:ctrlPr>
              <w:rPr>
                <w:rFonts w:ascii="Cambria Math" w:hAnsi="Cambria Math"/>
                <w:i/>
                <w:szCs w:val="24"/>
              </w:rPr>
            </m:ctrlPr>
          </m:sSubPr>
          <m:e>
            <m:r>
              <w:rPr>
                <w:rFonts w:ascii="Cambria Math" w:hAnsi="Cambria Math"/>
                <w:szCs w:val="24"/>
              </w:rPr>
              <m:t>j</m:t>
            </m:r>
          </m:e>
          <m:sub>
            <m:r>
              <w:rPr>
                <w:rFonts w:ascii="Cambria Math" w:hAnsi="Cambria Math"/>
                <w:szCs w:val="24"/>
              </w:rPr>
              <m:t>0</m:t>
            </m:r>
          </m:sub>
        </m:sSub>
      </m:oMath>
      <w:r w:rsidRPr="006A09A1">
        <w:rPr>
          <w:szCs w:val="24"/>
        </w:rPr>
        <w:t xml:space="preserve"> of appliance </w:t>
      </w:r>
      <m:oMath>
        <m:r>
          <w:rPr>
            <w:rFonts w:ascii="Cambria Math" w:hAnsi="Cambria Math"/>
            <w:szCs w:val="24"/>
          </w:rPr>
          <m:t>m</m:t>
        </m:r>
      </m:oMath>
      <w:r w:rsidRPr="006A09A1">
        <w:rPr>
          <w:szCs w:val="24"/>
        </w:rPr>
        <w:t xml:space="preserve"> turns on only after the last energy phase </w:t>
      </w:r>
      <m:oMath>
        <m:sSub>
          <m:sSubPr>
            <m:ctrlPr>
              <w:rPr>
                <w:rFonts w:ascii="Cambria Math" w:hAnsi="Cambria Math"/>
                <w:i/>
                <w:szCs w:val="24"/>
              </w:rPr>
            </m:ctrlPr>
          </m:sSubPr>
          <m:e>
            <m:r>
              <w:rPr>
                <w:rFonts w:ascii="Cambria Math" w:hAnsi="Cambria Math"/>
                <w:szCs w:val="24"/>
              </w:rPr>
              <m:t>j</m:t>
            </m:r>
          </m:e>
          <m:sub>
            <m:r>
              <w:rPr>
                <w:rFonts w:ascii="Cambria Math" w:hAnsi="Cambria Math"/>
                <w:szCs w:val="24"/>
              </w:rPr>
              <m:t>-1</m:t>
            </m:r>
          </m:sub>
        </m:sSub>
      </m:oMath>
      <w:r w:rsidRPr="006A09A1">
        <w:rPr>
          <w:szCs w:val="24"/>
        </w:rPr>
        <w:t xml:space="preserve"> of appliance </w:t>
      </w:r>
      <m:oMath>
        <m:r>
          <w:rPr>
            <w:rFonts w:ascii="Cambria Math" w:hAnsi="Cambria Math"/>
            <w:szCs w:val="24"/>
          </w:rPr>
          <m:t>n</m:t>
        </m:r>
      </m:oMath>
      <w:r w:rsidRPr="006A09A1">
        <w:rPr>
          <w:szCs w:val="24"/>
        </w:rPr>
        <w:t xml:space="preserve">, which aims to mimic real-life scenarios such that the clothes washer not running after the dryer. Finally, by using a series of binary sequences </w:t>
      </w:r>
      <m:oMath>
        <m:r>
          <w:rPr>
            <w:rFonts w:ascii="Cambria Math" w:hAnsi="Cambria Math"/>
            <w:szCs w:val="24"/>
          </w:rPr>
          <m:t>T</m:t>
        </m:r>
        <m:sSubSup>
          <m:sSubSupPr>
            <m:ctrlPr>
              <w:rPr>
                <w:rFonts w:ascii="Cambria Math" w:hAnsi="Cambria Math"/>
                <w:i/>
                <w:szCs w:val="24"/>
              </w:rPr>
            </m:ctrlPr>
          </m:sSubSupPr>
          <m:e>
            <m:r>
              <w:rPr>
                <w:rFonts w:ascii="Cambria Math" w:hAnsi="Cambria Math"/>
                <w:szCs w:val="24"/>
              </w:rPr>
              <m:t>P</m:t>
            </m:r>
          </m:e>
          <m:sub>
            <m:r>
              <w:rPr>
                <w:rFonts w:ascii="Cambria Math" w:hAnsi="Cambria Math"/>
                <w:szCs w:val="24"/>
              </w:rPr>
              <m:t>i</m:t>
            </m:r>
          </m:sub>
          <m:sup>
            <m:r>
              <w:rPr>
                <w:rFonts w:ascii="Cambria Math" w:hAnsi="Cambria Math"/>
                <w:szCs w:val="24"/>
              </w:rPr>
              <m:t>k</m:t>
            </m:r>
          </m:sup>
        </m:sSubSup>
      </m:oMath>
      <w:r w:rsidRPr="006A09A1">
        <w:rPr>
          <w:szCs w:val="24"/>
        </w:rPr>
        <w:t xml:space="preserve">, the user time preference constraint on each appliance </w:t>
      </w:r>
      <m:oMath>
        <m:r>
          <w:rPr>
            <w:rFonts w:ascii="Cambria Math" w:hAnsi="Cambria Math"/>
            <w:szCs w:val="24"/>
          </w:rPr>
          <m:t>i</m:t>
        </m:r>
      </m:oMath>
      <w:r w:rsidRPr="006A09A1">
        <w:rPr>
          <w:szCs w:val="24"/>
        </w:rPr>
        <w:t xml:space="preserve"> is shown in </w:t>
      </w:r>
      <w:r w:rsidRPr="006A09A1">
        <w:rPr>
          <w:szCs w:val="24"/>
        </w:rPr>
        <w:fldChar w:fldCharType="begin"/>
      </w:r>
      <w:r w:rsidRPr="006A09A1">
        <w:rPr>
          <w:szCs w:val="24"/>
        </w:rPr>
        <w:instrText xml:space="preserve"> REF _Ref135902636 \h  \* MERGEFORMAT </w:instrText>
      </w:r>
      <w:r w:rsidRPr="006A09A1">
        <w:rPr>
          <w:szCs w:val="24"/>
        </w:rPr>
      </w:r>
      <w:r w:rsidRPr="006A09A1">
        <w:rPr>
          <w:szCs w:val="24"/>
        </w:rPr>
        <w:fldChar w:fldCharType="separate"/>
      </w:r>
      <w:r w:rsidR="000E1725" w:rsidRPr="006A09A1">
        <w:rPr>
          <w:szCs w:val="24"/>
        </w:rPr>
        <w:t>(</w:t>
      </w:r>
      <w:r w:rsidR="000E1725">
        <w:rPr>
          <w:noProof/>
          <w:szCs w:val="24"/>
        </w:rPr>
        <w:t>43</w:t>
      </w:r>
      <w:r w:rsidR="000E1725" w:rsidRPr="006A09A1">
        <w:rPr>
          <w:szCs w:val="24"/>
        </w:rPr>
        <w:t>)</w:t>
      </w:r>
      <w:r w:rsidRPr="006A09A1">
        <w:rPr>
          <w:szCs w:val="24"/>
        </w:rPr>
        <w:fldChar w:fldCharType="end"/>
      </w:r>
      <w:r w:rsidRPr="006A09A1">
        <w:rPr>
          <w:szCs w:val="24"/>
        </w:rPr>
        <w:t xml:space="preserve">. In this study, the user time preference, which specifies the time interval (referred as </w:t>
      </w:r>
      <m:oMath>
        <m:r>
          <w:rPr>
            <w:rFonts w:ascii="Cambria Math" w:hAnsi="Cambria Math"/>
            <w:szCs w:val="24"/>
          </w:rPr>
          <m:t>U</m:t>
        </m:r>
      </m:oMath>
      <w:r w:rsidRPr="006A09A1">
        <w:rPr>
          <w:szCs w:val="24"/>
        </w:rPr>
        <w:t xml:space="preserve">) within which appliance </w:t>
      </w:r>
      <m:oMath>
        <m:r>
          <w:rPr>
            <w:rFonts w:ascii="Cambria Math" w:hAnsi="Cambria Math"/>
            <w:szCs w:val="24"/>
          </w:rPr>
          <m:t>i</m:t>
        </m:r>
      </m:oMath>
      <w:r w:rsidRPr="006A09A1">
        <w:rPr>
          <w:szCs w:val="24"/>
        </w:rPr>
        <w:t xml:space="preserve"> should be operated, is </w:t>
      </w:r>
      <w:r w:rsidRPr="006A09A1">
        <w:rPr>
          <w:szCs w:val="24"/>
        </w:rPr>
        <w:lastRenderedPageBreak/>
        <w:t xml:space="preserve">assumed to be provided by the user. given by: </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350"/>
      </w:tblGrid>
      <w:tr w:rsidR="00D36DE4" w:rsidRPr="006A09A1" w14:paraId="751AC4C1" w14:textId="77777777" w:rsidTr="00AF3671">
        <w:trPr>
          <w:trHeight w:val="548"/>
        </w:trPr>
        <w:tc>
          <w:tcPr>
            <w:tcW w:w="7650" w:type="dxa"/>
            <w:vAlign w:val="center"/>
          </w:tcPr>
          <w:p w14:paraId="15FDE989" w14:textId="77777777" w:rsidR="00D36DE4" w:rsidRPr="006A09A1" w:rsidRDefault="00000000" w:rsidP="002023DB">
            <w:pPr>
              <w:rPr>
                <w:szCs w:val="24"/>
              </w:rPr>
            </w:pPr>
            <m:oMathPara>
              <m:oMath>
                <m:sSubSup>
                  <m:sSubSupPr>
                    <m:ctrlPr>
                      <w:rPr>
                        <w:rFonts w:ascii="Cambria Math" w:hAnsi="Cambria Math"/>
                        <w:szCs w:val="24"/>
                      </w:rPr>
                    </m:ctrlPr>
                  </m:sSubSupPr>
                  <m:e>
                    <m:r>
                      <m:rPr>
                        <m:sty m:val="p"/>
                      </m:rPr>
                      <w:rPr>
                        <w:rFonts w:ascii="Cambria Math" w:hAnsi="Cambria Math"/>
                        <w:szCs w:val="24"/>
                      </w:rPr>
                      <m:t>x</m:t>
                    </m:r>
                  </m:e>
                  <m:sub>
                    <m:r>
                      <m:rPr>
                        <m:sty m:val="p"/>
                      </m:rPr>
                      <w:rPr>
                        <w:rFonts w:ascii="Cambria Math" w:hAnsi="Cambria Math"/>
                        <w:szCs w:val="24"/>
                      </w:rPr>
                      <m:t>ij</m:t>
                    </m:r>
                  </m:sub>
                  <m:sup>
                    <m:r>
                      <m:rPr>
                        <m:sty m:val="p"/>
                      </m:rPr>
                      <w:rPr>
                        <w:rFonts w:ascii="Cambria Math" w:hAnsi="Cambria Math"/>
                        <w:szCs w:val="24"/>
                      </w:rPr>
                      <m:t>k</m:t>
                    </m:r>
                  </m:sup>
                </m:sSubSup>
                <m:r>
                  <m:rPr>
                    <m:sty m:val="p"/>
                  </m:rPr>
                  <w:rPr>
                    <w:rFonts w:ascii="Cambria Math" w:hAnsi="Cambria Math" w:hint="eastAsia"/>
                    <w:szCs w:val="24"/>
                  </w:rPr>
                  <m:t>≤</m:t>
                </m:r>
                <m:r>
                  <m:rPr>
                    <m:sty m:val="p"/>
                  </m:rPr>
                  <w:rPr>
                    <w:rFonts w:ascii="Cambria Math" w:hAnsi="Cambria Math"/>
                    <w:szCs w:val="24"/>
                  </w:rPr>
                  <m:t>T</m:t>
                </m:r>
                <m:sSubSup>
                  <m:sSubSupPr>
                    <m:ctrlPr>
                      <w:rPr>
                        <w:rFonts w:ascii="Cambria Math" w:hAnsi="Cambria Math"/>
                        <w:szCs w:val="24"/>
                      </w:rPr>
                    </m:ctrlPr>
                  </m:sSubSupPr>
                  <m:e>
                    <m:r>
                      <m:rPr>
                        <m:sty m:val="p"/>
                      </m:rPr>
                      <w:rPr>
                        <w:rFonts w:ascii="Cambria Math" w:hAnsi="Cambria Math"/>
                        <w:szCs w:val="24"/>
                      </w:rPr>
                      <m:t>P</m:t>
                    </m:r>
                  </m:e>
                  <m:sub>
                    <m:r>
                      <m:rPr>
                        <m:sty m:val="p"/>
                      </m:rPr>
                      <w:rPr>
                        <w:rFonts w:ascii="Cambria Math" w:hAnsi="Cambria Math"/>
                        <w:szCs w:val="24"/>
                      </w:rPr>
                      <m:t>i</m:t>
                    </m:r>
                  </m:sub>
                  <m:sup>
                    <m:r>
                      <m:rPr>
                        <m:sty m:val="p"/>
                      </m:rPr>
                      <w:rPr>
                        <w:rFonts w:ascii="Cambria Math" w:hAnsi="Cambria Math"/>
                        <w:szCs w:val="24"/>
                      </w:rPr>
                      <m:t>k</m:t>
                    </m:r>
                  </m:sup>
                </m:sSubSup>
                <m:r>
                  <m:rPr>
                    <m:sty m:val="p"/>
                  </m:rPr>
                  <w:rPr>
                    <w:rFonts w:ascii="Cambria Math" w:hAnsi="Cambria Math"/>
                    <w:szCs w:val="24"/>
                  </w:rPr>
                  <m:t>   ∀i,j,k.</m:t>
                </m:r>
              </m:oMath>
            </m:oMathPara>
          </w:p>
        </w:tc>
        <w:tc>
          <w:tcPr>
            <w:tcW w:w="1350" w:type="dxa"/>
            <w:vAlign w:val="center"/>
          </w:tcPr>
          <w:p w14:paraId="48F4DEF9" w14:textId="27F7035E" w:rsidR="00D36DE4" w:rsidRPr="006A09A1" w:rsidRDefault="00D36DE4" w:rsidP="002023DB">
            <w:pPr>
              <w:pStyle w:val="Caption"/>
              <w:rPr>
                <w:rFonts w:ascii="Times New Roman" w:hAnsi="Times New Roman" w:cs="Times New Roman"/>
                <w:sz w:val="24"/>
                <w:szCs w:val="24"/>
              </w:rPr>
            </w:pPr>
            <w:bookmarkStart w:id="382" w:name="_Ref135902636"/>
            <w:r w:rsidRPr="006A09A1">
              <w:rPr>
                <w:rFonts w:ascii="Times New Roman" w:hAnsi="Times New Roman" w:cs="Times New Roman"/>
                <w:sz w:val="24"/>
                <w:szCs w:val="24"/>
              </w:rPr>
              <w:t>(</w:t>
            </w:r>
            <w:r w:rsidRPr="006A09A1">
              <w:rPr>
                <w:rFonts w:ascii="Times New Roman" w:hAnsi="Times New Roman" w:cs="Times New Roman"/>
                <w:sz w:val="24"/>
                <w:szCs w:val="24"/>
              </w:rPr>
              <w:fldChar w:fldCharType="begin"/>
            </w:r>
            <w:r w:rsidRPr="006A09A1">
              <w:rPr>
                <w:rFonts w:ascii="Times New Roman" w:hAnsi="Times New Roman" w:cs="Times New Roman"/>
                <w:sz w:val="24"/>
                <w:szCs w:val="24"/>
              </w:rPr>
              <w:instrText xml:space="preserve"> SEQ equation \* ARABIC </w:instrText>
            </w:r>
            <w:r w:rsidRPr="006A09A1">
              <w:rPr>
                <w:rFonts w:ascii="Times New Roman" w:hAnsi="Times New Roman" w:cs="Times New Roman"/>
                <w:sz w:val="24"/>
                <w:szCs w:val="24"/>
              </w:rPr>
              <w:fldChar w:fldCharType="separate"/>
            </w:r>
            <w:r w:rsidR="000E1725">
              <w:rPr>
                <w:rFonts w:ascii="Times New Roman" w:hAnsi="Times New Roman" w:cs="Times New Roman"/>
                <w:noProof/>
                <w:sz w:val="24"/>
                <w:szCs w:val="24"/>
              </w:rPr>
              <w:t>43</w:t>
            </w:r>
            <w:r w:rsidRPr="006A09A1">
              <w:rPr>
                <w:rFonts w:ascii="Times New Roman" w:hAnsi="Times New Roman" w:cs="Times New Roman"/>
                <w:sz w:val="24"/>
                <w:szCs w:val="24"/>
              </w:rPr>
              <w:fldChar w:fldCharType="end"/>
            </w:r>
            <w:r w:rsidRPr="006A09A1">
              <w:rPr>
                <w:rFonts w:ascii="Times New Roman" w:hAnsi="Times New Roman" w:cs="Times New Roman"/>
                <w:sz w:val="24"/>
                <w:szCs w:val="24"/>
              </w:rPr>
              <w:t>)</w:t>
            </w:r>
            <w:bookmarkEnd w:id="382"/>
          </w:p>
        </w:tc>
      </w:tr>
    </w:tbl>
    <w:p w14:paraId="1EFB1933" w14:textId="765BF12D" w:rsidR="00D36DE4" w:rsidRPr="006A09A1" w:rsidRDefault="00D36DE4" w:rsidP="00D36DE4">
      <w:pPr>
        <w:rPr>
          <w:szCs w:val="24"/>
        </w:rPr>
      </w:pPr>
      <w:r>
        <w:rPr>
          <w:szCs w:val="24"/>
        </w:rPr>
        <w:t xml:space="preserve">The choice of this non-thermal appliance usage preferred timing is discussed in Section </w:t>
      </w:r>
      <w:r>
        <w:rPr>
          <w:szCs w:val="24"/>
        </w:rPr>
        <w:fldChar w:fldCharType="begin"/>
      </w:r>
      <w:r>
        <w:rPr>
          <w:szCs w:val="24"/>
        </w:rPr>
        <w:instrText xml:space="preserve"> REF _Ref138095439 \r \h </w:instrText>
      </w:r>
      <w:r>
        <w:rPr>
          <w:szCs w:val="24"/>
        </w:rPr>
      </w:r>
      <w:r>
        <w:rPr>
          <w:szCs w:val="24"/>
        </w:rPr>
        <w:fldChar w:fldCharType="separate"/>
      </w:r>
      <w:r w:rsidR="000E1725">
        <w:rPr>
          <w:szCs w:val="24"/>
        </w:rPr>
        <w:t>5.2.4</w:t>
      </w:r>
      <w:r>
        <w:rPr>
          <w:szCs w:val="24"/>
        </w:rPr>
        <w:fldChar w:fldCharType="end"/>
      </w:r>
      <w:r>
        <w:rPr>
          <w:szCs w:val="24"/>
        </w:rPr>
        <w:t xml:space="preserve">. </w:t>
      </w:r>
      <w:r w:rsidRPr="006A09A1">
        <w:rPr>
          <w:szCs w:val="24"/>
        </w:rPr>
        <w:t>In</w:t>
      </w:r>
      <w:r>
        <w:rPr>
          <w:szCs w:val="24"/>
        </w:rPr>
        <w:t xml:space="preserve"> addition, in</w:t>
      </w:r>
      <w:r w:rsidRPr="006A09A1">
        <w:rPr>
          <w:szCs w:val="24"/>
        </w:rPr>
        <w:t xml:space="preserve"> </w:t>
      </w:r>
      <w:r w:rsidRPr="006A09A1">
        <w:rPr>
          <w:szCs w:val="24"/>
        </w:rPr>
        <w:fldChar w:fldCharType="begin"/>
      </w:r>
      <w:r w:rsidR="0082416B">
        <w:rPr>
          <w:szCs w:val="24"/>
        </w:rPr>
        <w:instrText xml:space="preserve"> ADDIN ZOTERO_ITEM CSL_CITATION {"citationID":"pP7nwUV6","properties":{"formattedCitation":"[96]","plainCitation":"[96]","noteIndex":0},"citationItems":[{"id":177,"uris":["http://zotero.org/users/5659608/items/MUEFA689"],"itemData":{"id":177,"type":"paper-conference","abstract":"This paper considers the minimum electricity cost scheduling problem of smart home appliances. Operation characteristics, such as expected duration and peak power consumption of the smart appliances, can be adjusted through a power proﬁle signal. The optimal power proﬁle signal minimizes cost, while satisfying technical operation constraints and consumer preferences. Constraints such as enforcing uninterruptible and sequential operations are modeled in the proposed framework using mixed integer linear programming (MILP). Several realistic scenarios based on actual spot price are considered, and the numerical results provide insight into tariff design. Computational issues and extensions of the proposed scheduling framework are also discussed.","container-title":"IEEE Conference on Decision and Control and European Control Conference","DOI":"10.1109/CDC.2011.6161081","event-place":"Orlando, FL, USA","event-title":"2011 50th IEEE Conference on Decision and Control and European Control Conference (CDC-ECC 2011)","ISBN":"978-1-61284-801-3","language":"en","page":"5144-5149","publisher":"IEEE","publisher-place":"Orlando, FL, USA","source":"DOI.org (Crossref)","title":"Scheduling smart home appliances using mixed integer linear programming","URL":"http://ieeexplore.ieee.org/document/6161081/","author":[{"family":"Sou","given":"Kin Cheong"},{"family":"Weimer","given":"James"},{"family":"Sandberg","given":"Henrik"},{"family":"Johansson","given":"Karl Henrik"}],"accessed":{"date-parts":[["2020",10,22]]},"issued":{"date-parts":[["2011",12]]},"citation-key":"souSchedulingSmartHome2011"}}],"schema":"https://github.com/citation-style-language/schema/raw/master/csl-citation.json"} </w:instrText>
      </w:r>
      <w:r w:rsidRPr="006A09A1">
        <w:rPr>
          <w:szCs w:val="24"/>
        </w:rPr>
        <w:fldChar w:fldCharType="separate"/>
      </w:r>
      <w:r w:rsidR="0082416B" w:rsidRPr="0082416B">
        <w:t>[96]</w:t>
      </w:r>
      <w:r w:rsidRPr="006A09A1">
        <w:rPr>
          <w:szCs w:val="24"/>
        </w:rPr>
        <w:fldChar w:fldCharType="end"/>
      </w:r>
      <w:r w:rsidRPr="006A09A1">
        <w:rPr>
          <w:szCs w:val="24"/>
        </w:rPr>
        <w:t xml:space="preserve">, the power consumption of each appliance is one of the problem's decision variables, implying that once the appliances are turned on, the algorithm can determine the power consumption of each appliance at each time slot. However, controlling the exact power usage for some of the appliances is a hard operation that may lead to some mechanical issues. We only consider manipulating the on and off for each appliance in this study. As a result, we only control the on/off of the non-thermal appliances. </w:t>
      </w:r>
    </w:p>
    <w:p w14:paraId="22028163" w14:textId="77777777" w:rsidR="00D36DE4" w:rsidRPr="006A09A1" w:rsidRDefault="00D36DE4" w:rsidP="00D36DE4">
      <w:pPr>
        <w:pStyle w:val="Heading4"/>
      </w:pPr>
      <w:bookmarkStart w:id="383" w:name="_Toc141991734"/>
      <w:r w:rsidRPr="006A09A1">
        <w:t>HVAC system</w:t>
      </w:r>
      <w:bookmarkEnd w:id="383"/>
    </w:p>
    <w:p w14:paraId="552A6DDC" w14:textId="7977A1D1" w:rsidR="00D36DE4" w:rsidRPr="006A09A1" w:rsidRDefault="00D36DE4" w:rsidP="00D36DE4">
      <w:pPr>
        <w:rPr>
          <w:szCs w:val="24"/>
        </w:rPr>
      </w:pPr>
      <w:r w:rsidRPr="006A09A1">
        <w:rPr>
          <w:szCs w:val="24"/>
        </w:rPr>
        <w:t xml:space="preserve">For an HVAC system in the smart home, the on/off signal for each time slot  </w:t>
      </w:r>
      <m:oMath>
        <m:sSubSup>
          <m:sSubSupPr>
            <m:ctrlPr>
              <w:rPr>
                <w:rFonts w:ascii="Cambria Math" w:hAnsi="Cambria Math"/>
                <w:szCs w:val="24"/>
              </w:rPr>
            </m:ctrlPr>
          </m:sSubSupPr>
          <m:e>
            <m:r>
              <w:rPr>
                <w:rFonts w:ascii="Cambria Math" w:hAnsi="Cambria Math"/>
                <w:szCs w:val="24"/>
              </w:rPr>
              <m:t>u</m:t>
            </m:r>
          </m:e>
          <m:sub>
            <m:r>
              <w:rPr>
                <w:rFonts w:ascii="Cambria Math" w:hAnsi="Cambria Math"/>
                <w:szCs w:val="24"/>
              </w:rPr>
              <m:t>hvac</m:t>
            </m:r>
          </m:sub>
          <m:sup>
            <m:r>
              <w:rPr>
                <w:rFonts w:ascii="Cambria Math" w:hAnsi="Cambria Math"/>
                <w:szCs w:val="24"/>
              </w:rPr>
              <m:t>k</m:t>
            </m:r>
          </m:sup>
        </m:sSubSup>
      </m:oMath>
      <w:r w:rsidRPr="006A09A1">
        <w:rPr>
          <w:rFonts w:hint="eastAsia"/>
          <w:szCs w:val="24"/>
        </w:rPr>
        <w:t xml:space="preserve"> </w:t>
      </w:r>
      <w:r w:rsidRPr="006A09A1">
        <w:rPr>
          <w:szCs w:val="24"/>
        </w:rPr>
        <w:t xml:space="preserve">is a binary variable whose output depends on the home thermal dynamics. To accurately capture the home thermal dynamics, a simplified second-order thermal network model which </w:t>
      </w:r>
      <w:r w:rsidRPr="00A0357D">
        <w:rPr>
          <w:szCs w:val="24"/>
        </w:rPr>
        <w:t xml:space="preserve">is </w:t>
      </w:r>
      <w:r w:rsidRPr="00977743">
        <w:rPr>
          <w:szCs w:val="24"/>
        </w:rPr>
        <w:t>introduced in Chapter</w:t>
      </w:r>
      <w:r w:rsidRPr="00A0357D">
        <w:rPr>
          <w:szCs w:val="24"/>
        </w:rPr>
        <w:t xml:space="preserve"> </w:t>
      </w:r>
      <w:r w:rsidR="00A0357D" w:rsidRPr="00A0357D">
        <w:rPr>
          <w:szCs w:val="24"/>
        </w:rPr>
        <w:fldChar w:fldCharType="begin"/>
      </w:r>
      <w:r w:rsidR="00A0357D" w:rsidRPr="00A0357D">
        <w:rPr>
          <w:szCs w:val="24"/>
        </w:rPr>
        <w:instrText xml:space="preserve"> REF _Ref139416841 \n \h </w:instrText>
      </w:r>
      <w:r w:rsidR="00A0357D">
        <w:rPr>
          <w:szCs w:val="24"/>
        </w:rPr>
        <w:instrText xml:space="preserve"> \* MERGEFORMAT </w:instrText>
      </w:r>
      <w:r w:rsidR="00A0357D" w:rsidRPr="00A0357D">
        <w:rPr>
          <w:szCs w:val="24"/>
        </w:rPr>
      </w:r>
      <w:r w:rsidR="00A0357D" w:rsidRPr="00A0357D">
        <w:rPr>
          <w:szCs w:val="24"/>
        </w:rPr>
        <w:fldChar w:fldCharType="separate"/>
      </w:r>
      <w:r w:rsidR="000E1725">
        <w:rPr>
          <w:szCs w:val="24"/>
        </w:rPr>
        <w:t>3</w:t>
      </w:r>
      <w:r w:rsidR="00A0357D" w:rsidRPr="00A0357D">
        <w:rPr>
          <w:szCs w:val="24"/>
        </w:rPr>
        <w:fldChar w:fldCharType="end"/>
      </w:r>
      <w:r w:rsidRPr="00A0357D">
        <w:rPr>
          <w:szCs w:val="24"/>
        </w:rPr>
        <w:t xml:space="preserve"> is adopted, as expressed by</w:t>
      </w:r>
      <w:r w:rsidRPr="006A09A1">
        <w:rPr>
          <w:szCs w:val="24"/>
        </w:rPr>
        <w:t xml:space="preserve"> </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2"/>
        <w:gridCol w:w="1098"/>
      </w:tblGrid>
      <w:tr w:rsidR="00D36DE4" w:rsidRPr="006A09A1" w14:paraId="21AF87E2" w14:textId="77777777" w:rsidTr="00AF3671">
        <w:trPr>
          <w:trHeight w:val="880"/>
        </w:trPr>
        <w:tc>
          <w:tcPr>
            <w:tcW w:w="8010" w:type="dxa"/>
            <w:vAlign w:val="center"/>
          </w:tcPr>
          <w:p w14:paraId="57C561EB" w14:textId="77777777" w:rsidR="00D36DE4" w:rsidRPr="006A09A1" w:rsidRDefault="00000000" w:rsidP="002023DB">
            <w:pPr>
              <w:rPr>
                <w:szCs w:val="24"/>
              </w:rPr>
            </w:pPr>
            <m:oMathPara>
              <m:oMath>
                <m:f>
                  <m:fPr>
                    <m:ctrlPr>
                      <w:rPr>
                        <w:rFonts w:ascii="Cambria Math" w:hAnsi="Cambria Math"/>
                        <w:szCs w:val="24"/>
                      </w:rPr>
                    </m:ctrlPr>
                  </m:fPr>
                  <m:num>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k+1</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k</m:t>
                        </m:r>
                      </m:sup>
                    </m:sSubSup>
                    <m:ctrlPr>
                      <w:rPr>
                        <w:rFonts w:ascii="Cambria Math" w:hAnsi="Cambria Math"/>
                        <w:i/>
                        <w:szCs w:val="24"/>
                      </w:rPr>
                    </m:ctrlPr>
                  </m:num>
                  <m:den>
                    <m:r>
                      <m:rPr>
                        <m:sty m:val="p"/>
                      </m:rPr>
                      <w:rPr>
                        <w:rFonts w:ascii="Cambria Math" w:hAnsi="Cambria Math"/>
                        <w:szCs w:val="24"/>
                      </w:rPr>
                      <m:t>Δt</m:t>
                    </m:r>
                    <m:ctrlPr>
                      <w:rPr>
                        <w:rFonts w:ascii="Cambria Math" w:hAnsi="Cambria Math"/>
                        <w:i/>
                        <w:szCs w:val="24"/>
                      </w:rPr>
                    </m:ctrlPr>
                  </m:den>
                </m:f>
                <m:r>
                  <w:rPr>
                    <w:rFonts w:ascii="Cambria Math" w:hAnsi="Cambria Math"/>
                    <w:szCs w:val="24"/>
                  </w:rPr>
                  <m:t>=</m:t>
                </m:r>
                <m:f>
                  <m:fPr>
                    <m:ctrlPr>
                      <w:rPr>
                        <w:rFonts w:ascii="Cambria Math" w:hAnsi="Cambria Math"/>
                        <w:szCs w:val="24"/>
                      </w:rPr>
                    </m:ctrlPr>
                  </m:fPr>
                  <m:num>
                    <m:r>
                      <w:rPr>
                        <w:rFonts w:ascii="Cambria Math" w:hAnsi="Cambria Math"/>
                        <w:szCs w:val="24"/>
                      </w:rPr>
                      <m:t>1</m:t>
                    </m:r>
                    <m:ctrlPr>
                      <w:rPr>
                        <w:rFonts w:ascii="Cambria Math" w:hAnsi="Cambria Math"/>
                        <w:i/>
                        <w:szCs w:val="24"/>
                      </w:rPr>
                    </m:ctrlPr>
                  </m:num>
                  <m:den>
                    <m:sSub>
                      <m:sSubPr>
                        <m:ctrlPr>
                          <w:rPr>
                            <w:rFonts w:ascii="Cambria Math" w:hAnsi="Cambria Math"/>
                            <w:i/>
                            <w:szCs w:val="24"/>
                          </w:rPr>
                        </m:ctrlPr>
                      </m:sSubPr>
                      <m:e>
                        <m:r>
                          <m:rPr>
                            <m:sty m:val="p"/>
                          </m:rPr>
                          <w:rPr>
                            <w:rFonts w:ascii="Cambria Math" w:hAnsi="Cambria Math"/>
                            <w:szCs w:val="24"/>
                          </w:rPr>
                          <m:t>τ</m:t>
                        </m:r>
                      </m:e>
                      <m:sub>
                        <m:r>
                          <w:rPr>
                            <w:rFonts w:ascii="Cambria Math" w:hAnsi="Cambria Math"/>
                            <w:szCs w:val="24"/>
                          </w:rPr>
                          <m:t>1</m:t>
                        </m:r>
                      </m:sub>
                    </m:sSub>
                    <m:ctrlPr>
                      <w:rPr>
                        <w:rFonts w:ascii="Cambria Math" w:hAnsi="Cambria Math"/>
                        <w:i/>
                        <w:szCs w:val="24"/>
                      </w:rPr>
                    </m:ctrlPr>
                  </m:den>
                </m:f>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o</m:t>
                        </m:r>
                      </m:sub>
                      <m:sup>
                        <m:r>
                          <w:rPr>
                            <w:rFonts w:ascii="Cambria Math" w:hAnsi="Cambria Math"/>
                            <w:szCs w:val="24"/>
                          </w:rPr>
                          <m:t>k</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k</m:t>
                        </m:r>
                      </m:sup>
                    </m:sSubSup>
                  </m:e>
                </m:d>
                <m:r>
                  <w:rPr>
                    <w:rFonts w:ascii="Cambria Math" w:hAnsi="Cambria Math"/>
                    <w:szCs w:val="24"/>
                  </w:rPr>
                  <m:t>+</m:t>
                </m:r>
                <m:f>
                  <m:fPr>
                    <m:ctrlPr>
                      <w:rPr>
                        <w:rFonts w:ascii="Cambria Math" w:hAnsi="Cambria Math"/>
                        <w:szCs w:val="24"/>
                      </w:rPr>
                    </m:ctrlPr>
                  </m:fPr>
                  <m:num>
                    <m:r>
                      <w:rPr>
                        <w:rFonts w:ascii="Cambria Math" w:hAnsi="Cambria Math"/>
                        <w:szCs w:val="24"/>
                      </w:rPr>
                      <m:t>1</m:t>
                    </m:r>
                    <m:ctrlPr>
                      <w:rPr>
                        <w:rFonts w:ascii="Cambria Math" w:hAnsi="Cambria Math"/>
                        <w:i/>
                        <w:szCs w:val="24"/>
                      </w:rPr>
                    </m:ctrlPr>
                  </m:num>
                  <m:den>
                    <m:sSub>
                      <m:sSubPr>
                        <m:ctrlPr>
                          <w:rPr>
                            <w:rFonts w:ascii="Cambria Math" w:hAnsi="Cambria Math"/>
                            <w:i/>
                            <w:szCs w:val="24"/>
                          </w:rPr>
                        </m:ctrlPr>
                      </m:sSubPr>
                      <m:e>
                        <m:r>
                          <m:rPr>
                            <m:sty m:val="p"/>
                          </m:rPr>
                          <w:rPr>
                            <w:rFonts w:ascii="Cambria Math" w:hAnsi="Cambria Math"/>
                            <w:szCs w:val="24"/>
                          </w:rPr>
                          <m:t>τ</m:t>
                        </m:r>
                      </m:e>
                      <m:sub>
                        <m:r>
                          <w:rPr>
                            <w:rFonts w:ascii="Cambria Math" w:hAnsi="Cambria Math"/>
                            <w:szCs w:val="24"/>
                          </w:rPr>
                          <m:t>2</m:t>
                        </m:r>
                      </m:sub>
                    </m:sSub>
                    <m:ctrlPr>
                      <w:rPr>
                        <w:rFonts w:ascii="Cambria Math" w:hAnsi="Cambria Math"/>
                        <w:i/>
                        <w:szCs w:val="24"/>
                      </w:rPr>
                    </m:ctrlPr>
                  </m:den>
                </m:f>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k</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k</m:t>
                        </m:r>
                      </m:sup>
                    </m:sSubSup>
                  </m:e>
                </m:d>
                <m:r>
                  <w:rPr>
                    <w:rFonts w:ascii="Cambria Math" w:hAnsi="Cambria Math"/>
                    <w:szCs w:val="24"/>
                  </w:rPr>
                  <m:t>,</m:t>
                </m:r>
              </m:oMath>
            </m:oMathPara>
          </w:p>
        </w:tc>
        <w:tc>
          <w:tcPr>
            <w:tcW w:w="990" w:type="dxa"/>
            <w:vAlign w:val="center"/>
          </w:tcPr>
          <w:p w14:paraId="4A4A5BC6" w14:textId="1A0A7666" w:rsidR="00D36DE4" w:rsidRPr="006A09A1" w:rsidRDefault="00D36DE4" w:rsidP="002023DB">
            <w:pPr>
              <w:rPr>
                <w:szCs w:val="24"/>
              </w:rPr>
            </w:pPr>
            <w:r w:rsidRPr="006A09A1">
              <w:rPr>
                <w:rFonts w:hint="eastAsia"/>
                <w:szCs w:val="24"/>
              </w:rPr>
              <w:t>(</w:t>
            </w:r>
            <w:r w:rsidRPr="006A09A1">
              <w:rPr>
                <w:szCs w:val="24"/>
              </w:rPr>
              <w:fldChar w:fldCharType="begin"/>
            </w:r>
            <w:r w:rsidRPr="006A09A1">
              <w:rPr>
                <w:szCs w:val="24"/>
              </w:rPr>
              <w:instrText xml:space="preserve"> </w:instrText>
            </w:r>
            <w:r w:rsidRPr="006A09A1">
              <w:rPr>
                <w:rFonts w:hint="eastAsia"/>
                <w:szCs w:val="24"/>
              </w:rPr>
              <w:instrText>SEQ equation \* ARABIC</w:instrText>
            </w:r>
            <w:r w:rsidRPr="006A09A1">
              <w:rPr>
                <w:szCs w:val="24"/>
              </w:rPr>
              <w:instrText xml:space="preserve"> </w:instrText>
            </w:r>
            <w:r w:rsidRPr="006A09A1">
              <w:rPr>
                <w:szCs w:val="24"/>
              </w:rPr>
              <w:fldChar w:fldCharType="separate"/>
            </w:r>
            <w:r w:rsidR="000E1725">
              <w:rPr>
                <w:noProof/>
                <w:szCs w:val="24"/>
              </w:rPr>
              <w:t>44</w:t>
            </w:r>
            <w:r w:rsidRPr="006A09A1">
              <w:rPr>
                <w:szCs w:val="24"/>
              </w:rPr>
              <w:fldChar w:fldCharType="end"/>
            </w:r>
            <w:r w:rsidRPr="006A09A1">
              <w:rPr>
                <w:szCs w:val="24"/>
              </w:rPr>
              <w:t>)</w:t>
            </w:r>
          </w:p>
        </w:tc>
      </w:tr>
      <w:tr w:rsidR="00D36DE4" w:rsidRPr="006A09A1" w14:paraId="4DEE2892" w14:textId="77777777" w:rsidTr="00AF3671">
        <w:trPr>
          <w:trHeight w:val="1478"/>
        </w:trPr>
        <w:tc>
          <w:tcPr>
            <w:tcW w:w="8010" w:type="dxa"/>
            <w:vAlign w:val="center"/>
          </w:tcPr>
          <w:p w14:paraId="65FCB17B" w14:textId="77777777" w:rsidR="00D36DE4" w:rsidRPr="006A09A1" w:rsidRDefault="00000000" w:rsidP="002023DB">
            <w:pPr>
              <w:rPr>
                <w:rFonts w:eastAsiaTheme="minorEastAsia"/>
                <w:szCs w:val="24"/>
              </w:rPr>
            </w:pPr>
            <m:oMathPara>
              <m:oMath>
                <m:f>
                  <m:fPr>
                    <m:ctrlPr>
                      <w:rPr>
                        <w:rFonts w:ascii="Cambria Math" w:hAnsi="Cambria Math"/>
                        <w:szCs w:val="24"/>
                      </w:rPr>
                    </m:ctrlPr>
                  </m:fPr>
                  <m:num>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k+1</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k</m:t>
                        </m:r>
                      </m:sup>
                    </m:sSubSup>
                    <m:ctrlPr>
                      <w:rPr>
                        <w:rFonts w:ascii="Cambria Math" w:hAnsi="Cambria Math"/>
                        <w:i/>
                        <w:szCs w:val="24"/>
                      </w:rPr>
                    </m:ctrlPr>
                  </m:num>
                  <m:den>
                    <m:r>
                      <m:rPr>
                        <m:sty m:val="p"/>
                      </m:rPr>
                      <w:rPr>
                        <w:rFonts w:ascii="Cambria Math" w:hAnsi="Cambria Math"/>
                        <w:szCs w:val="24"/>
                      </w:rPr>
                      <m:t>Δt</m:t>
                    </m:r>
                    <m:ctrlPr>
                      <w:rPr>
                        <w:rFonts w:ascii="Cambria Math" w:hAnsi="Cambria Math"/>
                        <w:i/>
                        <w:szCs w:val="24"/>
                      </w:rPr>
                    </m:ctrlPr>
                  </m:den>
                </m:f>
                <m:r>
                  <w:rPr>
                    <w:rFonts w:ascii="Cambria Math" w:hAnsi="Cambria Math"/>
                    <w:szCs w:val="24"/>
                  </w:rPr>
                  <m:t>=</m:t>
                </m:r>
                <m:f>
                  <m:fPr>
                    <m:ctrlPr>
                      <w:rPr>
                        <w:rFonts w:ascii="Cambria Math" w:hAnsi="Cambria Math"/>
                        <w:szCs w:val="24"/>
                      </w:rPr>
                    </m:ctrlPr>
                  </m:fPr>
                  <m:num>
                    <m:r>
                      <w:rPr>
                        <w:rFonts w:ascii="Cambria Math" w:hAnsi="Cambria Math"/>
                        <w:szCs w:val="24"/>
                      </w:rPr>
                      <m:t>1</m:t>
                    </m:r>
                    <m:ctrlPr>
                      <w:rPr>
                        <w:rFonts w:ascii="Cambria Math" w:hAnsi="Cambria Math"/>
                        <w:i/>
                        <w:szCs w:val="24"/>
                      </w:rPr>
                    </m:ctrlPr>
                  </m:num>
                  <m:den>
                    <m:sSub>
                      <m:sSubPr>
                        <m:ctrlPr>
                          <w:rPr>
                            <w:rFonts w:ascii="Cambria Math" w:hAnsi="Cambria Math"/>
                            <w:i/>
                            <w:szCs w:val="24"/>
                          </w:rPr>
                        </m:ctrlPr>
                      </m:sSubPr>
                      <m:e>
                        <m:r>
                          <w:rPr>
                            <w:rFonts w:ascii="Cambria Math" w:hAnsi="Cambria Math"/>
                            <w:szCs w:val="24"/>
                          </w:rPr>
                          <m:t>τ</m:t>
                        </m:r>
                      </m:e>
                      <m:sub>
                        <m:r>
                          <w:rPr>
                            <w:rFonts w:ascii="Cambria Math" w:hAnsi="Cambria Math"/>
                            <w:szCs w:val="24"/>
                          </w:rPr>
                          <m:t>3</m:t>
                        </m:r>
                      </m:sub>
                    </m:sSub>
                    <m:ctrlPr>
                      <w:rPr>
                        <w:rFonts w:ascii="Cambria Math" w:hAnsi="Cambria Math"/>
                        <w:i/>
                        <w:szCs w:val="24"/>
                      </w:rPr>
                    </m:ctrlPr>
                  </m:den>
                </m:f>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k</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k</m:t>
                        </m:r>
                      </m:sup>
                    </m:sSubSup>
                  </m:e>
                </m:d>
                <m:r>
                  <w:rPr>
                    <w:rFonts w:ascii="Cambria Math" w:hAnsi="Cambria Math"/>
                    <w:szCs w:val="24"/>
                  </w:rPr>
                  <m:t>+</m:t>
                </m:r>
                <m:f>
                  <m:fPr>
                    <m:ctrlPr>
                      <w:rPr>
                        <w:rFonts w:ascii="Cambria Math" w:hAnsi="Cambria Math"/>
                        <w:szCs w:val="24"/>
                      </w:rPr>
                    </m:ctrlPr>
                  </m:fPr>
                  <m:num>
                    <m:r>
                      <w:rPr>
                        <w:rFonts w:ascii="Cambria Math" w:hAnsi="Cambria Math"/>
                        <w:szCs w:val="24"/>
                      </w:rPr>
                      <m:t>1</m:t>
                    </m:r>
                    <m:ctrlPr>
                      <w:rPr>
                        <w:rFonts w:ascii="Cambria Math" w:hAnsi="Cambria Math"/>
                        <w:i/>
                        <w:szCs w:val="24"/>
                      </w:rPr>
                    </m:ctrlPr>
                  </m:num>
                  <m:den>
                    <m:sSub>
                      <m:sSubPr>
                        <m:ctrlPr>
                          <w:rPr>
                            <w:rFonts w:ascii="Cambria Math" w:hAnsi="Cambria Math"/>
                            <w:i/>
                            <w:szCs w:val="24"/>
                          </w:rPr>
                        </m:ctrlPr>
                      </m:sSubPr>
                      <m:e>
                        <m:r>
                          <w:rPr>
                            <w:rFonts w:ascii="Cambria Math" w:hAnsi="Cambria Math"/>
                            <w:szCs w:val="24"/>
                          </w:rPr>
                          <m:t>τ</m:t>
                        </m:r>
                      </m:e>
                      <m:sub>
                        <m:r>
                          <w:rPr>
                            <w:rFonts w:ascii="Cambria Math" w:hAnsi="Cambria Math"/>
                            <w:szCs w:val="24"/>
                          </w:rPr>
                          <m:t>3</m:t>
                        </m:r>
                      </m:sub>
                    </m:sSub>
                    <m:ctrlPr>
                      <w:rPr>
                        <w:rFonts w:ascii="Cambria Math" w:hAnsi="Cambria Math"/>
                        <w:i/>
                        <w:szCs w:val="24"/>
                      </w:rPr>
                    </m:ctrlPr>
                  </m:den>
                </m:f>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a</m:t>
                        </m:r>
                      </m:e>
                      <m:sub>
                        <m:r>
                          <w:rPr>
                            <w:rFonts w:ascii="Cambria Math" w:hAnsi="Cambria Math"/>
                            <w:szCs w:val="24"/>
                          </w:rPr>
                          <m:t>1</m:t>
                        </m:r>
                      </m:sub>
                    </m:sSub>
                    <m:sSup>
                      <m:sSupPr>
                        <m:ctrlPr>
                          <w:rPr>
                            <w:rFonts w:ascii="Cambria Math" w:hAnsi="Cambria Math"/>
                            <w:i/>
                            <w:szCs w:val="24"/>
                          </w:rPr>
                        </m:ctrlPr>
                      </m:sSupPr>
                      <m:e>
                        <m:r>
                          <w:rPr>
                            <w:rFonts w:ascii="Cambria Math" w:hAnsi="Cambria Math"/>
                            <w:szCs w:val="24"/>
                          </w:rPr>
                          <m:t>S</m:t>
                        </m:r>
                      </m:e>
                      <m:sup>
                        <m:r>
                          <w:rPr>
                            <w:rFonts w:ascii="Cambria Math" w:hAnsi="Cambria Math"/>
                            <w:szCs w:val="24"/>
                          </w:rPr>
                          <m:t>k</m:t>
                        </m:r>
                      </m:sup>
                    </m:sSup>
                    <m:sSub>
                      <m:sSubPr>
                        <m:ctrlPr>
                          <w:rPr>
                            <w:rFonts w:ascii="Cambria Math" w:hAnsi="Cambria Math"/>
                            <w:szCs w:val="24"/>
                          </w:rPr>
                        </m:ctrlPr>
                      </m:sSubPr>
                      <m:e>
                        <m:r>
                          <w:rPr>
                            <w:rFonts w:ascii="Cambria Math" w:hAnsi="Cambria Math"/>
                            <w:szCs w:val="24"/>
                          </w:rPr>
                          <m:t>+a</m:t>
                        </m:r>
                      </m:e>
                      <m:sub>
                        <m:r>
                          <m:rPr>
                            <m:sty m:val="p"/>
                          </m:rPr>
                          <w:rPr>
                            <w:rFonts w:ascii="Cambria Math" w:hAnsi="Cambria Math"/>
                            <w:szCs w:val="24"/>
                          </w:rPr>
                          <m:t>2</m:t>
                        </m:r>
                      </m:sub>
                    </m:sSub>
                    <m:sSup>
                      <m:sSupPr>
                        <m:ctrlPr>
                          <w:rPr>
                            <w:rFonts w:ascii="Cambria Math" w:hAnsi="Cambria Math"/>
                            <w:i/>
                            <w:szCs w:val="24"/>
                          </w:rPr>
                        </m:ctrlPr>
                      </m:sSupPr>
                      <m:e>
                        <m:r>
                          <w:rPr>
                            <w:rFonts w:ascii="Cambria Math" w:hAnsi="Cambria Math"/>
                            <w:szCs w:val="24"/>
                          </w:rPr>
                          <m:t>(S</m:t>
                        </m:r>
                      </m:e>
                      <m:sup>
                        <m:r>
                          <w:rPr>
                            <w:rFonts w:ascii="Cambria Math" w:hAnsi="Cambria Math"/>
                            <w:szCs w:val="24"/>
                          </w:rPr>
                          <m:t>k</m:t>
                        </m:r>
                      </m:sup>
                    </m:sSup>
                    <m:r>
                      <w:rPr>
                        <w:rFonts w:ascii="Cambria Math" w:hAnsi="Cambria Math"/>
                        <w:szCs w:val="24"/>
                      </w:rPr>
                      <m:t>)^2</m:t>
                    </m:r>
                  </m:e>
                </m:d>
                <m:r>
                  <w:rPr>
                    <w:rFonts w:ascii="Cambria Math" w:hAnsi="Cambria Math"/>
                    <w:szCs w:val="24"/>
                  </w:rPr>
                  <m:t>+</m:t>
                </m:r>
                <m:f>
                  <m:fPr>
                    <m:ctrlPr>
                      <w:rPr>
                        <w:rFonts w:ascii="Cambria Math" w:hAnsi="Cambria Math"/>
                        <w:szCs w:val="24"/>
                      </w:rPr>
                    </m:ctrlPr>
                  </m:fPr>
                  <m:num>
                    <m:r>
                      <m:rPr>
                        <m:sty m:val="p"/>
                      </m:rPr>
                      <w:rPr>
                        <w:rFonts w:ascii="Cambria Math" w:hAnsi="Cambria Math"/>
                        <w:szCs w:val="24"/>
                      </w:rPr>
                      <m:t>1</m:t>
                    </m:r>
                  </m:num>
                  <m:den>
                    <m:sSub>
                      <m:sSubPr>
                        <m:ctrlPr>
                          <w:rPr>
                            <w:rFonts w:ascii="Cambria Math" w:hAnsi="Cambria Math"/>
                            <w:szCs w:val="24"/>
                          </w:rPr>
                        </m:ctrlPr>
                      </m:sSubPr>
                      <m:e>
                        <m:r>
                          <w:rPr>
                            <w:rFonts w:ascii="Cambria Math" w:hAnsi="Cambria Math"/>
                            <w:szCs w:val="24"/>
                          </w:rPr>
                          <m:t>τ</m:t>
                        </m:r>
                      </m:e>
                      <m:sub>
                        <m:r>
                          <m:rPr>
                            <m:sty m:val="p"/>
                          </m:rPr>
                          <w:rPr>
                            <w:rFonts w:ascii="Cambria Math" w:hAnsi="Cambria Math"/>
                            <w:szCs w:val="24"/>
                          </w:rPr>
                          <m:t>3</m:t>
                        </m:r>
                      </m:sub>
                    </m:sSub>
                  </m:den>
                </m:f>
                <m:d>
                  <m:dPr>
                    <m:ctrlPr>
                      <w:rPr>
                        <w:rFonts w:ascii="Cambria Math" w:hAnsi="Cambria Math"/>
                        <w:szCs w:val="24"/>
                      </w:rPr>
                    </m:ctrlPr>
                  </m:dPr>
                  <m:e>
                    <m:sSubSup>
                      <m:sSubSupPr>
                        <m:ctrlPr>
                          <w:rPr>
                            <w:rFonts w:ascii="Cambria Math" w:hAnsi="Cambria Math"/>
                            <w:szCs w:val="24"/>
                          </w:rPr>
                        </m:ctrlPr>
                      </m:sSubSupPr>
                      <m:e>
                        <m:r>
                          <w:rPr>
                            <w:rFonts w:ascii="Cambria Math" w:hAnsi="Cambria Math"/>
                            <w:szCs w:val="24"/>
                          </w:rPr>
                          <m:t>T</m:t>
                        </m:r>
                        <m:ctrlPr>
                          <w:rPr>
                            <w:rFonts w:ascii="Cambria Math" w:hAnsi="Cambria Math"/>
                            <w:i/>
                            <w:szCs w:val="24"/>
                          </w:rPr>
                        </m:ctrlPr>
                      </m:e>
                      <m:sub>
                        <m:r>
                          <w:rPr>
                            <w:rFonts w:ascii="Cambria Math" w:hAnsi="Cambria Math"/>
                            <w:szCs w:val="24"/>
                          </w:rPr>
                          <m:t>o</m:t>
                        </m:r>
                        <m:ctrlPr>
                          <w:rPr>
                            <w:rFonts w:ascii="Cambria Math" w:hAnsi="Cambria Math"/>
                            <w:i/>
                            <w:szCs w:val="24"/>
                          </w:rPr>
                        </m:ctrlPr>
                      </m:sub>
                      <m:sup>
                        <m:r>
                          <m:rPr>
                            <m:sty m:val="p"/>
                          </m:rPr>
                          <w:rPr>
                            <w:rFonts w:ascii="Cambria Math" w:hAnsi="Cambria Math"/>
                            <w:szCs w:val="24"/>
                          </w:rPr>
                          <m:t>k</m:t>
                        </m:r>
                      </m:sup>
                    </m:sSubSup>
                    <m:r>
                      <m:rPr>
                        <m:sty m:val="p"/>
                      </m:rPr>
                      <w:rPr>
                        <w:rFonts w:ascii="Cambria Math" w:hAnsi="Cambria Math"/>
                        <w:szCs w:val="24"/>
                      </w:rPr>
                      <m:t>-</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k</m:t>
                        </m:r>
                      </m:sup>
                    </m:sSubSup>
                  </m:e>
                </m:d>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b</m:t>
                        </m:r>
                      </m:e>
                      <m:sub>
                        <m:r>
                          <m:rPr>
                            <m:sty m:val="p"/>
                          </m:rPr>
                          <w:rPr>
                            <w:rFonts w:ascii="Cambria Math" w:hAnsi="Cambria Math"/>
                            <w:szCs w:val="24"/>
                          </w:rPr>
                          <m:t>1</m:t>
                        </m:r>
                      </m:sub>
                    </m:sSub>
                    <m:r>
                      <w:rPr>
                        <w:rFonts w:ascii="Cambria Math" w:hAnsi="Cambria Math"/>
                        <w:szCs w:val="24"/>
                      </w:rPr>
                      <m:t>W^k</m:t>
                    </m:r>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b</m:t>
                        </m:r>
                      </m:e>
                      <m:sub>
                        <m:r>
                          <m:rPr>
                            <m:sty m:val="p"/>
                          </m:rPr>
                          <w:rPr>
                            <w:rFonts w:ascii="Cambria Math" w:hAnsi="Cambria Math"/>
                            <w:szCs w:val="24"/>
                          </w:rPr>
                          <m:t>2</m:t>
                        </m:r>
                      </m:sub>
                    </m:sSub>
                    <m:r>
                      <w:rPr>
                        <w:rFonts w:ascii="Cambria Math" w:hAnsi="Cambria Math"/>
                        <w:szCs w:val="24"/>
                      </w:rPr>
                      <m:t>(</m:t>
                    </m:r>
                    <m:sSup>
                      <m:sSupPr>
                        <m:ctrlPr>
                          <w:rPr>
                            <w:rFonts w:ascii="Cambria Math" w:hAnsi="Cambria Math"/>
                            <w:szCs w:val="24"/>
                          </w:rPr>
                        </m:ctrlPr>
                      </m:sSupPr>
                      <m:e>
                        <m:r>
                          <w:rPr>
                            <w:rFonts w:ascii="Cambria Math" w:hAnsi="Cambria Math"/>
                            <w:szCs w:val="24"/>
                          </w:rPr>
                          <m:t>W^k)</m:t>
                        </m:r>
                      </m:e>
                      <m:sup>
                        <m:r>
                          <m:rPr>
                            <m:sty m:val="p"/>
                          </m:rPr>
                          <w:rPr>
                            <w:rFonts w:ascii="Cambria Math" w:hAnsi="Cambria Math"/>
                            <w:szCs w:val="24"/>
                          </w:rPr>
                          <m:t>2</m:t>
                        </m:r>
                      </m:sup>
                    </m:sSup>
                  </m:e>
                </m:d>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1</m:t>
                    </m:r>
                  </m:num>
                  <m:den>
                    <m:sSub>
                      <m:sSubPr>
                        <m:ctrlPr>
                          <w:rPr>
                            <w:rFonts w:ascii="Cambria Math" w:hAnsi="Cambria Math"/>
                            <w:szCs w:val="24"/>
                          </w:rPr>
                        </m:ctrlPr>
                      </m:sSubPr>
                      <m:e>
                        <m:r>
                          <w:rPr>
                            <w:rFonts w:ascii="Cambria Math" w:hAnsi="Cambria Math"/>
                            <w:szCs w:val="24"/>
                          </w:rPr>
                          <m:t>τ</m:t>
                        </m:r>
                      </m:e>
                      <m:sub>
                        <m:r>
                          <m:rPr>
                            <m:sty m:val="p"/>
                          </m:rPr>
                          <w:rPr>
                            <w:rFonts w:ascii="Cambria Math" w:hAnsi="Cambria Math"/>
                            <w:szCs w:val="24"/>
                          </w:rPr>
                          <m:t>3</m:t>
                        </m:r>
                      </m:sub>
                    </m:sSub>
                  </m:den>
                </m:f>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c</m:t>
                        </m:r>
                      </m:e>
                      <m:sub>
                        <m:r>
                          <m:rPr>
                            <m:sty m:val="p"/>
                          </m:rPr>
                          <w:rPr>
                            <w:rFonts w:ascii="Cambria Math" w:hAnsi="Cambria Math"/>
                            <w:szCs w:val="24"/>
                          </w:rPr>
                          <m:t>1</m:t>
                        </m:r>
                      </m:sub>
                    </m:sSub>
                    <m:sSubSup>
                      <m:sSubSupPr>
                        <m:ctrlPr>
                          <w:rPr>
                            <w:rFonts w:ascii="Cambria Math" w:hAnsi="Cambria Math"/>
                            <w:szCs w:val="24"/>
                          </w:rPr>
                        </m:ctrlPr>
                      </m:sSubSupPr>
                      <m:e>
                        <m:r>
                          <w:rPr>
                            <w:rFonts w:ascii="Cambria Math" w:hAnsi="Cambria Math"/>
                            <w:szCs w:val="24"/>
                          </w:rPr>
                          <m:t>T</m:t>
                        </m:r>
                        <m:ctrlPr>
                          <w:rPr>
                            <w:rFonts w:ascii="Cambria Math" w:hAnsi="Cambria Math"/>
                            <w:i/>
                            <w:szCs w:val="24"/>
                          </w:rPr>
                        </m:ctrlPr>
                      </m:e>
                      <m:sub>
                        <m:r>
                          <w:rPr>
                            <w:rFonts w:ascii="Cambria Math" w:hAnsi="Cambria Math"/>
                            <w:szCs w:val="24"/>
                          </w:rPr>
                          <m:t>o</m:t>
                        </m:r>
                        <m:ctrlPr>
                          <w:rPr>
                            <w:rFonts w:ascii="Cambria Math" w:hAnsi="Cambria Math"/>
                            <w:i/>
                            <w:szCs w:val="24"/>
                          </w:rPr>
                        </m:ctrlPr>
                      </m:sub>
                      <m:sup>
                        <m:r>
                          <m:rPr>
                            <m:sty m:val="p"/>
                          </m:rPr>
                          <w:rPr>
                            <w:rFonts w:ascii="Cambria Math" w:hAnsi="Cambria Math"/>
                            <w:szCs w:val="24"/>
                          </w:rPr>
                          <m:t>k</m:t>
                        </m:r>
                      </m:sup>
                    </m:sSubSup>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c</m:t>
                        </m:r>
                      </m:e>
                      <m:sub>
                        <m:r>
                          <m:rPr>
                            <m:sty m:val="p"/>
                          </m:rPr>
                          <w:rPr>
                            <w:rFonts w:ascii="Cambria Math" w:hAnsi="Cambria Math"/>
                            <w:szCs w:val="24"/>
                          </w:rPr>
                          <m:t>2</m:t>
                        </m:r>
                      </m:sub>
                    </m:sSub>
                    <m:sSup>
                      <m:sSupPr>
                        <m:ctrlPr>
                          <w:rPr>
                            <w:rFonts w:ascii="Cambria Math" w:hAnsi="Cambria Math"/>
                            <w:i/>
                            <w:szCs w:val="24"/>
                          </w:rPr>
                        </m:ctrlPr>
                      </m:sSupPr>
                      <m:e>
                        <m:d>
                          <m:dPr>
                            <m:ctrlPr>
                              <w:rPr>
                                <w:rFonts w:ascii="Cambria Math" w:hAnsi="Cambria Math"/>
                                <w:i/>
                                <w:szCs w:val="24"/>
                              </w:rPr>
                            </m:ctrlPr>
                          </m:dPr>
                          <m:e>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o</m:t>
                                </m:r>
                              </m:sub>
                              <m:sup>
                                <m:r>
                                  <m:rPr>
                                    <m:sty m:val="p"/>
                                  </m:rPr>
                                  <w:rPr>
                                    <w:rFonts w:ascii="Cambria Math" w:hAnsi="Cambria Math"/>
                                    <w:szCs w:val="24"/>
                                  </w:rPr>
                                  <m:t>2</m:t>
                                </m:r>
                              </m:sup>
                            </m:sSubSup>
                          </m:e>
                        </m:d>
                      </m:e>
                      <m:sup>
                        <m:r>
                          <w:rPr>
                            <w:rFonts w:ascii="Cambria Math" w:hAnsi="Cambria Math"/>
                            <w:szCs w:val="24"/>
                          </w:rPr>
                          <m:t>k</m:t>
                        </m:r>
                      </m:sup>
                    </m:sSup>
                  </m:e>
                </m:d>
                <m:sSubSup>
                  <m:sSubSupPr>
                    <m:ctrlPr>
                      <w:rPr>
                        <w:rFonts w:ascii="Cambria Math" w:hAnsi="Cambria Math"/>
                        <w:i/>
                        <w:szCs w:val="24"/>
                      </w:rPr>
                    </m:ctrlPr>
                  </m:sSubSupPr>
                  <m:e>
                    <m:r>
                      <w:rPr>
                        <w:rFonts w:ascii="Cambria Math" w:hAnsi="Cambria Math"/>
                        <w:szCs w:val="24"/>
                      </w:rPr>
                      <m:t>u</m:t>
                    </m:r>
                  </m:e>
                  <m:sub>
                    <m:r>
                      <w:rPr>
                        <w:rFonts w:ascii="Cambria Math" w:hAnsi="Cambria Math"/>
                        <w:szCs w:val="24"/>
                      </w:rPr>
                      <m:t>hvac</m:t>
                    </m:r>
                  </m:sub>
                  <m:sup>
                    <m:r>
                      <w:rPr>
                        <w:rFonts w:ascii="Cambria Math" w:hAnsi="Cambria Math"/>
                        <w:szCs w:val="24"/>
                      </w:rPr>
                      <m:t>k</m:t>
                    </m:r>
                  </m:sup>
                </m:sSubSup>
                <m:r>
                  <w:rPr>
                    <w:rFonts w:ascii="Cambria Math" w:hAnsi="Cambria Math"/>
                    <w:szCs w:val="24"/>
                  </w:rPr>
                  <m:t xml:space="preserve">, </m:t>
                </m:r>
                <m:r>
                  <m:rPr>
                    <m:sty m:val="p"/>
                  </m:rPr>
                  <w:rPr>
                    <w:rFonts w:ascii="Cambria Math" w:hAnsi="Cambria Math"/>
                    <w:szCs w:val="24"/>
                  </w:rPr>
                  <m:t xml:space="preserve"> </m:t>
                </m:r>
                <m:r>
                  <w:rPr>
                    <w:rFonts w:ascii="Cambria Math" w:hAnsi="Cambria Math"/>
                    <w:szCs w:val="24"/>
                  </w:rPr>
                  <m:t xml:space="preserve"> </m:t>
                </m:r>
                <m:r>
                  <m:rPr>
                    <m:nor/>
                  </m:rPr>
                  <w:rPr>
                    <w:rFonts w:ascii="Cambria Math" w:hAnsi="Cambria Math"/>
                    <w:szCs w:val="24"/>
                  </w:rPr>
                  <m:t xml:space="preserve">for all </m:t>
                </m:r>
                <m:r>
                  <w:rPr>
                    <w:rFonts w:ascii="Cambria Math" w:hAnsi="Cambria Math"/>
                    <w:szCs w:val="24"/>
                  </w:rPr>
                  <m:t>k</m:t>
                </m:r>
              </m:oMath>
            </m:oMathPara>
          </w:p>
        </w:tc>
        <w:tc>
          <w:tcPr>
            <w:tcW w:w="990" w:type="dxa"/>
            <w:vAlign w:val="center"/>
          </w:tcPr>
          <w:p w14:paraId="2A31A75B" w14:textId="15439154" w:rsidR="00D36DE4" w:rsidRPr="006A09A1" w:rsidRDefault="00D36DE4" w:rsidP="002023DB">
            <w:pPr>
              <w:rPr>
                <w:szCs w:val="24"/>
              </w:rPr>
            </w:pPr>
            <w:r w:rsidRPr="006A09A1">
              <w:rPr>
                <w:rFonts w:hint="eastAsia"/>
                <w:szCs w:val="24"/>
              </w:rPr>
              <w:t>(</w:t>
            </w:r>
            <w:r w:rsidRPr="006A09A1">
              <w:rPr>
                <w:szCs w:val="24"/>
              </w:rPr>
              <w:fldChar w:fldCharType="begin"/>
            </w:r>
            <w:r w:rsidRPr="006A09A1">
              <w:rPr>
                <w:szCs w:val="24"/>
              </w:rPr>
              <w:instrText xml:space="preserve"> SEQ equation \* ARABIC </w:instrText>
            </w:r>
            <w:r w:rsidRPr="006A09A1">
              <w:rPr>
                <w:szCs w:val="24"/>
              </w:rPr>
              <w:fldChar w:fldCharType="separate"/>
            </w:r>
            <w:r w:rsidR="000E1725">
              <w:rPr>
                <w:noProof/>
                <w:szCs w:val="24"/>
              </w:rPr>
              <w:t>45</w:t>
            </w:r>
            <w:r w:rsidRPr="006A09A1">
              <w:rPr>
                <w:szCs w:val="24"/>
              </w:rPr>
              <w:fldChar w:fldCharType="end"/>
            </w:r>
            <w:r w:rsidRPr="006A09A1">
              <w:rPr>
                <w:rFonts w:hint="eastAsia"/>
                <w:szCs w:val="24"/>
              </w:rPr>
              <w:t>)</w:t>
            </w:r>
          </w:p>
        </w:tc>
      </w:tr>
    </w:tbl>
    <w:p w14:paraId="44975310" w14:textId="7AF70AEF" w:rsidR="00D36DE4" w:rsidRPr="006A09A1" w:rsidRDefault="00D36DE4" w:rsidP="00D36DE4">
      <w:pPr>
        <w:rPr>
          <w:szCs w:val="24"/>
        </w:rPr>
      </w:pPr>
      <w:r w:rsidRPr="006A09A1">
        <w:rPr>
          <w:szCs w:val="24"/>
        </w:rPr>
        <w:t xml:space="preserve">where </w:t>
      </w:r>
      <m:oMath>
        <m:r>
          <w:rPr>
            <w:rFonts w:ascii="Cambria Math" w:hAnsi="Cambria Math"/>
            <w:szCs w:val="24"/>
          </w:rPr>
          <m:t>k</m:t>
        </m:r>
      </m:oMath>
      <w:r w:rsidRPr="006A09A1">
        <w:rPr>
          <w:rFonts w:hint="eastAsia"/>
          <w:szCs w:val="24"/>
        </w:rPr>
        <w:t xml:space="preserve"> </w:t>
      </w:r>
      <w:r w:rsidRPr="006A09A1">
        <w:rPr>
          <w:szCs w:val="24"/>
        </w:rPr>
        <w:t xml:space="preserve">denotes time slot, </w:t>
      </w:r>
      <m:oMath>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k</m:t>
            </m:r>
          </m:sup>
        </m:sSubSup>
      </m:oMath>
      <w:r w:rsidRPr="006A09A1">
        <w:rPr>
          <w:szCs w:val="24"/>
        </w:rPr>
        <w:t xml:space="preserve"> is the interior wall surface temperature, </w:t>
      </w:r>
      <m:oMath>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k</m:t>
            </m:r>
          </m:sup>
        </m:sSubSup>
      </m:oMath>
      <w:r w:rsidRPr="006A09A1">
        <w:rPr>
          <w:szCs w:val="24"/>
        </w:rPr>
        <w:t xml:space="preserve"> is the </w:t>
      </w:r>
      <w:r w:rsidRPr="006A09A1">
        <w:rPr>
          <w:szCs w:val="24"/>
        </w:rPr>
        <w:lastRenderedPageBreak/>
        <w:t xml:space="preserve">indoor air temperature, </w:t>
      </w:r>
      <m:oMath>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o</m:t>
            </m:r>
          </m:sub>
          <m:sup>
            <m:r>
              <w:rPr>
                <w:rFonts w:ascii="Cambria Math" w:hAnsi="Cambria Math"/>
                <w:szCs w:val="24"/>
              </w:rPr>
              <m:t>k</m:t>
            </m:r>
          </m:sup>
        </m:sSubSup>
      </m:oMath>
      <w:r w:rsidRPr="006A09A1">
        <w:rPr>
          <w:szCs w:val="24"/>
        </w:rPr>
        <w:t xml:space="preserve"> is the outdoor air temperature, </w:t>
      </w:r>
      <m:oMath>
        <m:sSup>
          <m:sSupPr>
            <m:ctrlPr>
              <w:rPr>
                <w:rFonts w:ascii="Cambria Math" w:hAnsi="Cambria Math"/>
                <w:i/>
                <w:szCs w:val="24"/>
              </w:rPr>
            </m:ctrlPr>
          </m:sSupPr>
          <m:e>
            <m:r>
              <w:rPr>
                <w:rFonts w:ascii="Cambria Math" w:hAnsi="Cambria Math"/>
                <w:szCs w:val="24"/>
              </w:rPr>
              <m:t>S</m:t>
            </m:r>
          </m:e>
          <m:sup>
            <m:r>
              <w:rPr>
                <w:rFonts w:ascii="Cambria Math" w:hAnsi="Cambria Math"/>
                <w:szCs w:val="24"/>
              </w:rPr>
              <m:t>k</m:t>
            </m:r>
          </m:sup>
        </m:sSup>
      </m:oMath>
      <w:r w:rsidRPr="006A09A1">
        <w:rPr>
          <w:szCs w:val="24"/>
        </w:rPr>
        <w:t xml:space="preserve"> is the solar irradiation, </w:t>
      </w:r>
      <m:oMath>
        <m:sSup>
          <m:sSupPr>
            <m:ctrlPr>
              <w:rPr>
                <w:rFonts w:ascii="Cambria Math" w:hAnsi="Cambria Math"/>
                <w:i/>
                <w:szCs w:val="24"/>
              </w:rPr>
            </m:ctrlPr>
          </m:sSupPr>
          <m:e>
            <m:r>
              <w:rPr>
                <w:rFonts w:ascii="Cambria Math" w:hAnsi="Cambria Math"/>
                <w:szCs w:val="24"/>
              </w:rPr>
              <m:t>W</m:t>
            </m:r>
          </m:e>
          <m:sup>
            <m:r>
              <w:rPr>
                <w:rFonts w:ascii="Cambria Math" w:hAnsi="Cambria Math"/>
                <w:szCs w:val="24"/>
              </w:rPr>
              <m:t>k</m:t>
            </m:r>
          </m:sup>
        </m:sSup>
      </m:oMath>
      <w:r w:rsidRPr="006A09A1">
        <w:rPr>
          <w:szCs w:val="24"/>
        </w:rPr>
        <w:t xml:space="preserve"> is the wind speed, and </w:t>
      </w:r>
      <m:oMath>
        <m:sSubSup>
          <m:sSubSupPr>
            <m:ctrlPr>
              <w:rPr>
                <w:rFonts w:ascii="Cambria Math" w:hAnsi="Cambria Math"/>
                <w:szCs w:val="24"/>
              </w:rPr>
            </m:ctrlPr>
          </m:sSubSupPr>
          <m:e>
            <m:r>
              <w:rPr>
                <w:rFonts w:ascii="Cambria Math" w:hAnsi="Cambria Math"/>
                <w:szCs w:val="24"/>
              </w:rPr>
              <m:t>u</m:t>
            </m:r>
            <m:ctrlPr>
              <w:rPr>
                <w:rFonts w:ascii="Cambria Math" w:hAnsi="Cambria Math"/>
                <w:i/>
                <w:szCs w:val="24"/>
              </w:rPr>
            </m:ctrlPr>
          </m:e>
          <m:sub>
            <m:r>
              <w:rPr>
                <w:rFonts w:ascii="Cambria Math" w:hAnsi="Cambria Math"/>
                <w:szCs w:val="24"/>
              </w:rPr>
              <m:t>hvac</m:t>
            </m:r>
            <m:ctrlPr>
              <w:rPr>
                <w:rFonts w:ascii="Cambria Math" w:hAnsi="Cambria Math"/>
                <w:i/>
                <w:szCs w:val="24"/>
              </w:rPr>
            </m:ctrlPr>
          </m:sub>
          <m:sup>
            <m:r>
              <m:rPr>
                <m:sty m:val="p"/>
              </m:rPr>
              <w:rPr>
                <w:rFonts w:ascii="Cambria Math" w:hAnsi="Cambria Math"/>
                <w:szCs w:val="24"/>
              </w:rPr>
              <m:t>k</m:t>
            </m:r>
          </m:sup>
        </m:sSubSup>
        <m:r>
          <m:rPr>
            <m:sty m:val="p"/>
          </m:rPr>
          <w:rPr>
            <w:rFonts w:ascii="Cambria Math" w:hAnsi="Cambria Math" w:hint="eastAsia"/>
            <w:szCs w:val="24"/>
          </w:rPr>
          <m:t>∈</m:t>
        </m:r>
        <m:r>
          <m:rPr>
            <m:lit/>
          </m:rPr>
          <w:rPr>
            <w:rFonts w:ascii="Cambria Math" w:hAnsi="Cambria Math"/>
            <w:szCs w:val="24"/>
          </w:rPr>
          <m:t>{</m:t>
        </m:r>
        <m:r>
          <w:rPr>
            <w:rFonts w:ascii="Cambria Math" w:hAnsi="Cambria Math"/>
            <w:szCs w:val="24"/>
          </w:rPr>
          <m:t>0,1</m:t>
        </m:r>
        <m:r>
          <m:rPr>
            <m:lit/>
          </m:rPr>
          <w:rPr>
            <w:rFonts w:ascii="Cambria Math" w:hAnsi="Cambria Math"/>
            <w:szCs w:val="24"/>
          </w:rPr>
          <m:t>}</m:t>
        </m:r>
      </m:oMath>
      <w:r w:rsidRPr="006A09A1">
        <w:rPr>
          <w:szCs w:val="24"/>
        </w:rPr>
        <w:t xml:space="preserve"> is the AC on/off signal. Note that </w:t>
      </w:r>
      <w:r w:rsidRPr="006A09A1">
        <w:rPr>
          <w:rFonts w:hint="eastAsia"/>
          <w:szCs w:val="24"/>
        </w:rPr>
        <w:t>(</w:t>
      </w:r>
      <w:r w:rsidRPr="006A09A1">
        <w:rPr>
          <w:szCs w:val="24"/>
        </w:rPr>
        <w:fldChar w:fldCharType="begin"/>
      </w:r>
      <w:r w:rsidRPr="006A09A1">
        <w:rPr>
          <w:szCs w:val="24"/>
        </w:rPr>
        <w:instrText xml:space="preserve"> </w:instrText>
      </w:r>
      <w:r w:rsidRPr="006A09A1">
        <w:rPr>
          <w:rFonts w:hint="eastAsia"/>
          <w:szCs w:val="24"/>
        </w:rPr>
        <w:instrText>SEQ equation \* ARABIC</w:instrText>
      </w:r>
      <w:r w:rsidRPr="006A09A1">
        <w:rPr>
          <w:szCs w:val="24"/>
        </w:rPr>
        <w:instrText xml:space="preserve"> </w:instrText>
      </w:r>
      <w:r w:rsidRPr="006A09A1">
        <w:rPr>
          <w:szCs w:val="24"/>
        </w:rPr>
        <w:fldChar w:fldCharType="separate"/>
      </w:r>
      <w:r w:rsidR="000E1725">
        <w:rPr>
          <w:noProof/>
          <w:szCs w:val="24"/>
        </w:rPr>
        <w:t>46</w:t>
      </w:r>
      <w:r w:rsidRPr="006A09A1">
        <w:rPr>
          <w:szCs w:val="24"/>
        </w:rPr>
        <w:fldChar w:fldCharType="end"/>
      </w:r>
      <w:r w:rsidRPr="006A09A1">
        <w:rPr>
          <w:szCs w:val="24"/>
        </w:rPr>
        <w:t xml:space="preserve">) and </w:t>
      </w:r>
      <w:r w:rsidRPr="006A09A1">
        <w:rPr>
          <w:rFonts w:hint="eastAsia"/>
          <w:szCs w:val="24"/>
        </w:rPr>
        <w:t>(</w:t>
      </w:r>
      <w:r w:rsidRPr="006A09A1">
        <w:rPr>
          <w:szCs w:val="24"/>
        </w:rPr>
        <w:fldChar w:fldCharType="begin"/>
      </w:r>
      <w:r w:rsidRPr="006A09A1">
        <w:rPr>
          <w:szCs w:val="24"/>
        </w:rPr>
        <w:instrText xml:space="preserve"> SEQ equation \* ARABIC </w:instrText>
      </w:r>
      <w:r w:rsidRPr="006A09A1">
        <w:rPr>
          <w:szCs w:val="24"/>
        </w:rPr>
        <w:fldChar w:fldCharType="separate"/>
      </w:r>
      <w:r w:rsidR="000E1725">
        <w:rPr>
          <w:noProof/>
          <w:szCs w:val="24"/>
        </w:rPr>
        <w:t>47</w:t>
      </w:r>
      <w:r w:rsidRPr="006A09A1">
        <w:rPr>
          <w:szCs w:val="24"/>
        </w:rPr>
        <w:fldChar w:fldCharType="end"/>
      </w:r>
      <w:r w:rsidRPr="006A09A1">
        <w:rPr>
          <w:rFonts w:hint="eastAsia"/>
          <w:szCs w:val="24"/>
        </w:rPr>
        <w:t>)</w:t>
      </w:r>
      <w:r w:rsidRPr="006A09A1">
        <w:rPr>
          <w:szCs w:val="24"/>
        </w:rPr>
        <w:t xml:space="preserve"> contain a total of nine unknown parameters: </w:t>
      </w:r>
      <m:oMath>
        <m:sSub>
          <m:sSubPr>
            <m:ctrlPr>
              <w:rPr>
                <w:rFonts w:ascii="Cambria Math" w:hAnsi="Cambria Math"/>
                <w:szCs w:val="24"/>
              </w:rPr>
            </m:ctrlPr>
          </m:sSubPr>
          <m:e>
            <m:r>
              <w:rPr>
                <w:rFonts w:ascii="Cambria Math" w:hAnsi="Cambria Math"/>
                <w:szCs w:val="24"/>
              </w:rPr>
              <m:t>τ</m:t>
            </m:r>
          </m:e>
          <m:sub>
            <m:r>
              <m:rPr>
                <m:sty m:val="p"/>
              </m:rPr>
              <w:rPr>
                <w:rFonts w:ascii="Cambria Math" w:hAnsi="Cambria Math"/>
                <w:szCs w:val="24"/>
              </w:rPr>
              <m:t>1</m:t>
            </m:r>
          </m:sub>
        </m:sSub>
      </m:oMath>
      <w:r w:rsidRPr="006A09A1">
        <w:rPr>
          <w:rFonts w:hint="eastAsia"/>
          <w:szCs w:val="24"/>
        </w:rPr>
        <w:t xml:space="preserve"> </w:t>
      </w:r>
      <w:r w:rsidRPr="006A09A1">
        <w:rPr>
          <w:szCs w:val="24"/>
        </w:rPr>
        <w:t xml:space="preserve">is the time constant of the building envelope, </w:t>
      </w:r>
      <m:oMath>
        <m:sSub>
          <m:sSubPr>
            <m:ctrlPr>
              <w:rPr>
                <w:rFonts w:ascii="Cambria Math" w:hAnsi="Cambria Math"/>
                <w:szCs w:val="24"/>
              </w:rPr>
            </m:ctrlPr>
          </m:sSubPr>
          <m:e>
            <m:r>
              <w:rPr>
                <w:rFonts w:ascii="Cambria Math" w:hAnsi="Cambria Math"/>
                <w:szCs w:val="24"/>
              </w:rPr>
              <m:t>τ</m:t>
            </m:r>
          </m:e>
          <m:sub>
            <m:r>
              <m:rPr>
                <m:sty m:val="p"/>
              </m:rPr>
              <w:rPr>
                <w:rFonts w:ascii="Cambria Math" w:hAnsi="Cambria Math"/>
                <w:szCs w:val="24"/>
              </w:rPr>
              <m:t>2</m:t>
            </m:r>
          </m:sub>
        </m:sSub>
      </m:oMath>
      <w:r w:rsidRPr="006A09A1">
        <w:rPr>
          <w:szCs w:val="24"/>
        </w:rPr>
        <w:t xml:space="preserve"> is a coefficient associated with the thermal resistance of air and thermal capacitance of the building envelope, </w:t>
      </w:r>
      <m:oMath>
        <m:sSub>
          <m:sSubPr>
            <m:ctrlPr>
              <w:rPr>
                <w:rFonts w:ascii="Cambria Math" w:hAnsi="Cambria Math"/>
                <w:i/>
                <w:szCs w:val="24"/>
              </w:rPr>
            </m:ctrlPr>
          </m:sSubPr>
          <m:e>
            <m:r>
              <w:rPr>
                <w:rFonts w:ascii="Cambria Math" w:hAnsi="Cambria Math"/>
                <w:szCs w:val="24"/>
              </w:rPr>
              <m:t>τ</m:t>
            </m:r>
            <m:ctrlPr>
              <w:rPr>
                <w:rFonts w:ascii="Cambria Math" w:hAnsi="Cambria Math"/>
                <w:szCs w:val="24"/>
              </w:rPr>
            </m:ctrlPr>
          </m:e>
          <m:sub>
            <m:r>
              <w:rPr>
                <w:rFonts w:ascii="Cambria Math" w:hAnsi="Cambria Math"/>
                <w:szCs w:val="24"/>
              </w:rPr>
              <m:t>3</m:t>
            </m:r>
          </m:sub>
        </m:sSub>
        <m:r>
          <w:rPr>
            <w:rFonts w:ascii="Cambria Math" w:hAnsi="Cambria Math" w:hint="eastAsia"/>
            <w:szCs w:val="24"/>
          </w:rPr>
          <m:t xml:space="preserve"> </m:t>
        </m:r>
      </m:oMath>
      <w:r w:rsidRPr="006A09A1">
        <w:rPr>
          <w:szCs w:val="24"/>
        </w:rPr>
        <w:t xml:space="preserve">is the time constant of the indoor air, and </w:t>
      </w:r>
      <m:oMath>
        <m:sSub>
          <m:sSubPr>
            <m:ctrlPr>
              <w:rPr>
                <w:rFonts w:ascii="Cambria Math" w:hAnsi="Cambria Math"/>
                <w:i/>
                <w:szCs w:val="24"/>
              </w:rPr>
            </m:ctrlPr>
          </m:sSubPr>
          <m:e>
            <m:r>
              <w:rPr>
                <w:rFonts w:ascii="Cambria Math" w:hAnsi="Cambria Math"/>
                <w:szCs w:val="24"/>
              </w:rPr>
              <m:t>a</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2</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b</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b</m:t>
            </m:r>
          </m:e>
          <m:sub>
            <m:r>
              <w:rPr>
                <w:rFonts w:ascii="Cambria Math" w:hAnsi="Cambria Math"/>
                <w:szCs w:val="24"/>
              </w:rPr>
              <m:t>2</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2</m:t>
            </m:r>
          </m:sub>
        </m:sSub>
      </m:oMath>
      <w:r w:rsidRPr="006A09A1">
        <w:rPr>
          <w:rFonts w:hint="eastAsia"/>
          <w:szCs w:val="24"/>
        </w:rPr>
        <w:t xml:space="preserve"> </w:t>
      </w:r>
      <w:r w:rsidRPr="006A09A1">
        <w:rPr>
          <w:szCs w:val="24"/>
        </w:rPr>
        <w:t xml:space="preserve">are coefficients representing the impact of solar irradiation, wind speed, and AC output, respectively. Also note that in general, the AC output mainly depends on both </w:t>
      </w:r>
      <m:oMath>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o</m:t>
            </m:r>
          </m:sub>
          <m:sup>
            <m:r>
              <w:rPr>
                <w:rFonts w:ascii="Cambria Math" w:hAnsi="Cambria Math"/>
                <w:szCs w:val="24"/>
              </w:rPr>
              <m:t>k</m:t>
            </m:r>
          </m:sup>
        </m:sSubSup>
      </m:oMath>
      <w:r w:rsidRPr="006A09A1">
        <w:rPr>
          <w:rFonts w:hint="eastAsia"/>
          <w:szCs w:val="24"/>
        </w:rPr>
        <w:t xml:space="preserve"> </w:t>
      </w:r>
      <w:r w:rsidRPr="006A09A1">
        <w:rPr>
          <w:szCs w:val="24"/>
        </w:rPr>
        <w:t xml:space="preserve">and indoor air web bulb temperature. However, the latter has relatively small variation compared to </w:t>
      </w:r>
      <m:oMath>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o</m:t>
            </m:r>
          </m:sub>
          <m:sup>
            <m:r>
              <w:rPr>
                <w:rFonts w:ascii="Cambria Math" w:hAnsi="Cambria Math"/>
                <w:szCs w:val="24"/>
              </w:rPr>
              <m:t>k</m:t>
            </m:r>
          </m:sup>
        </m:sSubSup>
      </m:oMath>
      <w:r w:rsidRPr="006A09A1">
        <w:rPr>
          <w:rFonts w:hint="eastAsia"/>
          <w:szCs w:val="24"/>
        </w:rPr>
        <w:t xml:space="preserve"> </w:t>
      </w:r>
      <w:r w:rsidRPr="006A09A1">
        <w:rPr>
          <w:szCs w:val="24"/>
        </w:rPr>
        <w:t xml:space="preserve">and, thus, is neglected.  </w:t>
      </w:r>
    </w:p>
    <w:p w14:paraId="7C5A6779" w14:textId="77777777" w:rsidR="00D36DE4" w:rsidRPr="006A09A1" w:rsidRDefault="00D36DE4" w:rsidP="00D36DE4">
      <w:pPr>
        <w:rPr>
          <w:szCs w:val="24"/>
        </w:rPr>
      </w:pPr>
      <w:r w:rsidRPr="006A09A1">
        <w:rPr>
          <w:szCs w:val="24"/>
        </w:rPr>
        <w:t xml:space="preserve">The indoor air temperature is regulated by the following constraint during the scheduling period, as expressed by </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gridCol w:w="1170"/>
      </w:tblGrid>
      <w:tr w:rsidR="00D36DE4" w:rsidRPr="006A09A1" w:rsidDel="00444469" w14:paraId="781306F6" w14:textId="77777777" w:rsidTr="004F29F3">
        <w:trPr>
          <w:trHeight w:val="1716"/>
        </w:trPr>
        <w:tc>
          <w:tcPr>
            <w:tcW w:w="7830" w:type="dxa"/>
            <w:vAlign w:val="center"/>
          </w:tcPr>
          <w:p w14:paraId="334084EB" w14:textId="77777777" w:rsidR="00D36DE4" w:rsidRPr="006A09A1" w:rsidDel="00444469" w:rsidRDefault="00000000" w:rsidP="002023DB">
            <w:pPr>
              <w:jc w:val="center"/>
              <w:rPr>
                <w:szCs w:val="24"/>
              </w:rPr>
            </w:pPr>
            <m:oMath>
              <m:sSub>
                <m:sSubPr>
                  <m:ctrlPr>
                    <w:rPr>
                      <w:rFonts w:ascii="Cambria Math" w:hAnsi="Cambria Math"/>
                      <w:szCs w:val="24"/>
                      <w:vertAlign w:val="subscript"/>
                    </w:rPr>
                  </m:ctrlPr>
                </m:sSubPr>
                <m:e>
                  <m:bar>
                    <m:barPr>
                      <m:ctrlPr>
                        <w:rPr>
                          <w:rFonts w:ascii="Cambria Math" w:hAnsi="Cambria Math"/>
                          <w:szCs w:val="24"/>
                          <w:vertAlign w:val="subscript"/>
                        </w:rPr>
                      </m:ctrlPr>
                    </m:barPr>
                    <m:e>
                      <m:r>
                        <w:rPr>
                          <w:rFonts w:ascii="Cambria Math" w:hAnsi="Cambria Math"/>
                          <w:szCs w:val="24"/>
                          <w:vertAlign w:val="subscript"/>
                        </w:rPr>
                        <m:t>T</m:t>
                      </m:r>
                    </m:e>
                  </m:bar>
                </m:e>
                <m:sub>
                  <m:r>
                    <m:rPr>
                      <m:sty m:val="p"/>
                    </m:rPr>
                    <w:rPr>
                      <w:rFonts w:ascii="Cambria Math" w:hAnsi="Cambria Math"/>
                      <w:szCs w:val="24"/>
                      <w:vertAlign w:val="subscript"/>
                    </w:rPr>
                    <m:t>hvac</m:t>
                  </m:r>
                </m:sub>
              </m:sSub>
              <m:r>
                <m:rPr>
                  <m:sty m:val="p"/>
                </m:rPr>
                <w:rPr>
                  <w:rFonts w:ascii="Cambria Math" w:hAnsi="Cambria Math" w:hint="eastAsia"/>
                  <w:szCs w:val="24"/>
                  <w:vertAlign w:val="subscript"/>
                </w:rPr>
                <m:t>≤</m:t>
              </m:r>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k</m:t>
                  </m:r>
                </m:sup>
              </m:sSubSup>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hint="eastAsia"/>
                      <w:szCs w:val="24"/>
                    </w:rPr>
                    <m:t>Δ</m:t>
                  </m:r>
                  <m:r>
                    <w:rPr>
                      <w:rFonts w:ascii="Cambria Math" w:hAnsi="Cambria Math"/>
                      <w:szCs w:val="24"/>
                    </w:rPr>
                    <m:t>t</m:t>
                  </m:r>
                </m:num>
                <m:den>
                  <m:sSub>
                    <m:sSubPr>
                      <m:ctrlPr>
                        <w:rPr>
                          <w:rFonts w:ascii="Cambria Math" w:hAnsi="Cambria Math"/>
                          <w:szCs w:val="24"/>
                        </w:rPr>
                      </m:ctrlPr>
                    </m:sSubPr>
                    <m:e>
                      <m:r>
                        <m:rPr>
                          <m:sty m:val="p"/>
                        </m:rPr>
                        <w:rPr>
                          <w:rFonts w:ascii="Cambria Math" w:hAnsi="Cambria Math"/>
                          <w:szCs w:val="24"/>
                        </w:rPr>
                        <m:t>τ</m:t>
                      </m:r>
                    </m:e>
                    <m:sub>
                      <m:r>
                        <m:rPr>
                          <m:sty m:val="p"/>
                        </m:rPr>
                        <w:rPr>
                          <w:rFonts w:ascii="Cambria Math" w:hAnsi="Cambria Math"/>
                          <w:szCs w:val="24"/>
                        </w:rPr>
                        <m:t>3</m:t>
                      </m:r>
                    </m:sub>
                  </m:sSub>
                </m:den>
              </m:f>
              <m:d>
                <m:dPr>
                  <m:ctrlPr>
                    <w:rPr>
                      <w:rFonts w:ascii="Cambria Math" w:hAnsi="Cambria Math"/>
                      <w:szCs w:val="24"/>
                    </w:rPr>
                  </m:ctrlPr>
                </m:dPr>
                <m:e>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ie</m:t>
                      </m:r>
                    </m:sub>
                    <m:sup>
                      <m:r>
                        <w:rPr>
                          <w:rFonts w:ascii="Cambria Math" w:hAnsi="Cambria Math"/>
                          <w:szCs w:val="24"/>
                        </w:rPr>
                        <m:t>k</m:t>
                      </m:r>
                      <m:r>
                        <m:rPr>
                          <m:sty m:val="p"/>
                        </m:rPr>
                        <w:rPr>
                          <w:rFonts w:ascii="Cambria Math" w:hAnsi="Cambria Math"/>
                          <w:szCs w:val="24"/>
                        </w:rPr>
                        <m:t>-1</m:t>
                      </m:r>
                    </m:sup>
                  </m:sSubSup>
                  <m:r>
                    <m:rPr>
                      <m:sty m:val="p"/>
                    </m:rPr>
                    <w:rPr>
                      <w:rFonts w:ascii="Cambria Math" w:hAnsi="Cambria Math"/>
                      <w:szCs w:val="24"/>
                    </w:rPr>
                    <m:t>-</m:t>
                  </m:r>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k</m:t>
                      </m:r>
                      <m:r>
                        <m:rPr>
                          <m:sty m:val="p"/>
                        </m:rPr>
                        <w:rPr>
                          <w:rFonts w:ascii="Cambria Math" w:hAnsi="Cambria Math"/>
                          <w:szCs w:val="24"/>
                        </w:rPr>
                        <m:t>-1</m:t>
                      </m:r>
                    </m:sup>
                  </m:sSubSup>
                </m:e>
              </m:d>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hint="eastAsia"/>
                      <w:szCs w:val="24"/>
                    </w:rPr>
                    <m:t>Δ</m:t>
                  </m:r>
                  <m:r>
                    <w:rPr>
                      <w:rFonts w:ascii="Cambria Math" w:hAnsi="Cambria Math"/>
                      <w:szCs w:val="24"/>
                    </w:rPr>
                    <m:t>t</m:t>
                  </m:r>
                </m:num>
                <m:den>
                  <m:sSub>
                    <m:sSubPr>
                      <m:ctrlPr>
                        <w:rPr>
                          <w:rFonts w:ascii="Cambria Math" w:hAnsi="Cambria Math"/>
                          <w:szCs w:val="24"/>
                        </w:rPr>
                      </m:ctrlPr>
                    </m:sSubPr>
                    <m:e>
                      <m:r>
                        <m:rPr>
                          <m:sty m:val="p"/>
                        </m:rPr>
                        <w:rPr>
                          <w:rFonts w:ascii="Cambria Math" w:hAnsi="Cambria Math"/>
                          <w:szCs w:val="24"/>
                        </w:rPr>
                        <m:t>τ</m:t>
                      </m:r>
                    </m:e>
                    <m:sub>
                      <m:r>
                        <m:rPr>
                          <m:sty m:val="p"/>
                        </m:rPr>
                        <w:rPr>
                          <w:rFonts w:ascii="Cambria Math" w:hAnsi="Cambria Math"/>
                          <w:szCs w:val="24"/>
                        </w:rPr>
                        <m:t>3</m:t>
                      </m:r>
                    </m:sub>
                  </m:sSub>
                </m:den>
              </m:f>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a</m:t>
                      </m:r>
                    </m:e>
                    <m:sub>
                      <m:r>
                        <m:rPr>
                          <m:sty m:val="p"/>
                        </m:rPr>
                        <w:rPr>
                          <w:rFonts w:ascii="Cambria Math" w:hAnsi="Cambria Math"/>
                          <w:szCs w:val="24"/>
                        </w:rPr>
                        <m:t>1</m:t>
                      </m:r>
                    </m:sub>
                  </m:sSub>
                  <m:sSup>
                    <m:sSupPr>
                      <m:ctrlPr>
                        <w:rPr>
                          <w:rFonts w:ascii="Cambria Math" w:hAnsi="Cambria Math"/>
                          <w:szCs w:val="24"/>
                        </w:rPr>
                      </m:ctrlPr>
                    </m:sSupPr>
                    <m:e>
                      <m:r>
                        <w:rPr>
                          <w:rFonts w:ascii="Cambria Math" w:hAnsi="Cambria Math"/>
                          <w:szCs w:val="24"/>
                        </w:rPr>
                        <m:t>S</m:t>
                      </m:r>
                    </m:e>
                    <m:sup>
                      <m:r>
                        <w:rPr>
                          <w:rFonts w:ascii="Cambria Math" w:hAnsi="Cambria Math"/>
                          <w:szCs w:val="24"/>
                        </w:rPr>
                        <m:t>k</m:t>
                      </m:r>
                      <m:r>
                        <m:rPr>
                          <m:sty m:val="p"/>
                        </m:rPr>
                        <w:rPr>
                          <w:rFonts w:ascii="Cambria Math" w:hAnsi="Cambria Math"/>
                          <w:szCs w:val="24"/>
                        </w:rPr>
                        <m:t>-1</m:t>
                      </m:r>
                    </m:sup>
                  </m:sSup>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a</m:t>
                      </m:r>
                    </m:e>
                    <m:sub>
                      <m:r>
                        <m:rPr>
                          <m:sty m:val="p"/>
                        </m:rPr>
                        <w:rPr>
                          <w:rFonts w:ascii="Cambria Math" w:hAnsi="Cambria Math"/>
                          <w:szCs w:val="24"/>
                        </w:rPr>
                        <m:t>2</m:t>
                      </m:r>
                    </m:sub>
                  </m:sSub>
                  <m:sSup>
                    <m:sSupPr>
                      <m:ctrlPr>
                        <w:rPr>
                          <w:rFonts w:ascii="Cambria Math" w:hAnsi="Cambria Math"/>
                          <w:szCs w:val="24"/>
                        </w:rPr>
                      </m:ctrlPr>
                    </m:sSupPr>
                    <m:e>
                      <m:d>
                        <m:dPr>
                          <m:ctrlPr>
                            <w:rPr>
                              <w:rFonts w:ascii="Cambria Math" w:hAnsi="Cambria Math"/>
                              <w:szCs w:val="24"/>
                            </w:rPr>
                          </m:ctrlPr>
                        </m:dPr>
                        <m:e>
                          <m:sSup>
                            <m:sSupPr>
                              <m:ctrlPr>
                                <w:rPr>
                                  <w:rFonts w:ascii="Cambria Math" w:hAnsi="Cambria Math"/>
                                  <w:szCs w:val="24"/>
                                </w:rPr>
                              </m:ctrlPr>
                            </m:sSupPr>
                            <m:e>
                              <m:r>
                                <w:rPr>
                                  <w:rFonts w:ascii="Cambria Math" w:hAnsi="Cambria Math"/>
                                  <w:szCs w:val="24"/>
                                </w:rPr>
                                <m:t>S</m:t>
                              </m:r>
                            </m:e>
                            <m:sup>
                              <m:r>
                                <w:rPr>
                                  <w:rFonts w:ascii="Cambria Math" w:hAnsi="Cambria Math"/>
                                  <w:szCs w:val="24"/>
                                </w:rPr>
                                <m:t>k</m:t>
                              </m:r>
                              <m:r>
                                <m:rPr>
                                  <m:sty m:val="p"/>
                                </m:rPr>
                                <w:rPr>
                                  <w:rFonts w:ascii="Cambria Math" w:hAnsi="Cambria Math"/>
                                  <w:szCs w:val="24"/>
                                </w:rPr>
                                <m:t>-1</m:t>
                              </m:r>
                            </m:sup>
                          </m:sSup>
                        </m:e>
                      </m:d>
                    </m:e>
                    <m:sup>
                      <m:r>
                        <m:rPr>
                          <m:sty m:val="p"/>
                        </m:rPr>
                        <w:rPr>
                          <w:rFonts w:ascii="Cambria Math" w:hAnsi="Cambria Math"/>
                          <w:szCs w:val="24"/>
                        </w:rPr>
                        <m:t>2</m:t>
                      </m:r>
                    </m:sup>
                  </m:sSup>
                </m:e>
              </m:d>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hint="eastAsia"/>
                      <w:szCs w:val="24"/>
                    </w:rPr>
                    <m:t>Δ</m:t>
                  </m:r>
                  <m:r>
                    <w:rPr>
                      <w:rFonts w:ascii="Cambria Math" w:hAnsi="Cambria Math"/>
                      <w:szCs w:val="24"/>
                    </w:rPr>
                    <m:t>t</m:t>
                  </m:r>
                </m:num>
                <m:den>
                  <m:sSub>
                    <m:sSubPr>
                      <m:ctrlPr>
                        <w:rPr>
                          <w:rFonts w:ascii="Cambria Math" w:hAnsi="Cambria Math"/>
                          <w:szCs w:val="24"/>
                        </w:rPr>
                      </m:ctrlPr>
                    </m:sSubPr>
                    <m:e>
                      <m:r>
                        <m:rPr>
                          <m:sty m:val="p"/>
                        </m:rPr>
                        <w:rPr>
                          <w:rFonts w:ascii="Cambria Math" w:hAnsi="Cambria Math"/>
                          <w:szCs w:val="24"/>
                        </w:rPr>
                        <m:t>τ</m:t>
                      </m:r>
                    </m:e>
                    <m:sub>
                      <m:r>
                        <m:rPr>
                          <m:sty m:val="p"/>
                        </m:rPr>
                        <w:rPr>
                          <w:rFonts w:ascii="Cambria Math" w:hAnsi="Cambria Math"/>
                          <w:szCs w:val="24"/>
                        </w:rPr>
                        <m:t>3</m:t>
                      </m:r>
                    </m:sub>
                  </m:sSub>
                </m:den>
              </m:f>
              <m:d>
                <m:dPr>
                  <m:ctrlPr>
                    <w:rPr>
                      <w:rFonts w:ascii="Cambria Math" w:hAnsi="Cambria Math"/>
                      <w:szCs w:val="24"/>
                    </w:rPr>
                  </m:ctrlPr>
                </m:dPr>
                <m:e>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o</m:t>
                      </m:r>
                    </m:sub>
                    <m:sup>
                      <m:r>
                        <w:rPr>
                          <w:rFonts w:ascii="Cambria Math" w:hAnsi="Cambria Math"/>
                          <w:szCs w:val="24"/>
                        </w:rPr>
                        <m:t>k</m:t>
                      </m:r>
                      <m:r>
                        <m:rPr>
                          <m:sty m:val="p"/>
                        </m:rPr>
                        <w:rPr>
                          <w:rFonts w:ascii="Cambria Math" w:hAnsi="Cambria Math"/>
                          <w:szCs w:val="24"/>
                        </w:rPr>
                        <m:t>-1</m:t>
                      </m:r>
                    </m:sup>
                  </m:sSubSup>
                  <m:r>
                    <m:rPr>
                      <m:sty m:val="p"/>
                    </m:rPr>
                    <w:rPr>
                      <w:rFonts w:ascii="Cambria Math" w:hAnsi="Cambria Math"/>
                      <w:szCs w:val="24"/>
                    </w:rPr>
                    <m:t>-</m:t>
                  </m:r>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k</m:t>
                      </m:r>
                      <m:r>
                        <m:rPr>
                          <m:sty m:val="p"/>
                        </m:rPr>
                        <w:rPr>
                          <w:rFonts w:ascii="Cambria Math" w:hAnsi="Cambria Math"/>
                          <w:szCs w:val="24"/>
                        </w:rPr>
                        <m:t>-1</m:t>
                      </m:r>
                    </m:sup>
                  </m:sSubSup>
                </m:e>
              </m:d>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b</m:t>
                      </m:r>
                    </m:e>
                    <m:sub>
                      <m:r>
                        <m:rPr>
                          <m:sty m:val="p"/>
                        </m:rPr>
                        <w:rPr>
                          <w:rFonts w:ascii="Cambria Math" w:hAnsi="Cambria Math"/>
                          <w:szCs w:val="24"/>
                        </w:rPr>
                        <m:t>1</m:t>
                      </m:r>
                    </m:sub>
                  </m:sSub>
                  <m:sSup>
                    <m:sSupPr>
                      <m:ctrlPr>
                        <w:rPr>
                          <w:rFonts w:ascii="Cambria Math" w:hAnsi="Cambria Math"/>
                          <w:szCs w:val="24"/>
                        </w:rPr>
                      </m:ctrlPr>
                    </m:sSupPr>
                    <m:e>
                      <m:r>
                        <w:rPr>
                          <w:rFonts w:ascii="Cambria Math" w:hAnsi="Cambria Math"/>
                          <w:szCs w:val="24"/>
                        </w:rPr>
                        <m:t>W</m:t>
                      </m:r>
                    </m:e>
                    <m:sup>
                      <m:r>
                        <w:rPr>
                          <w:rFonts w:ascii="Cambria Math" w:hAnsi="Cambria Math"/>
                          <w:szCs w:val="24"/>
                        </w:rPr>
                        <m:t>k</m:t>
                      </m:r>
                      <m:r>
                        <m:rPr>
                          <m:sty m:val="p"/>
                        </m:rPr>
                        <w:rPr>
                          <w:rFonts w:ascii="Cambria Math" w:hAnsi="Cambria Math"/>
                          <w:szCs w:val="24"/>
                        </w:rPr>
                        <m:t>-1</m:t>
                      </m:r>
                    </m:sup>
                  </m:sSup>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b</m:t>
                      </m:r>
                    </m:e>
                    <m:sub>
                      <m:r>
                        <m:rPr>
                          <m:sty m:val="p"/>
                        </m:rPr>
                        <w:rPr>
                          <w:rFonts w:ascii="Cambria Math" w:hAnsi="Cambria Math"/>
                          <w:szCs w:val="24"/>
                        </w:rPr>
                        <m:t>2</m:t>
                      </m:r>
                    </m:sub>
                  </m:sSub>
                  <m:sSup>
                    <m:sSupPr>
                      <m:ctrlPr>
                        <w:rPr>
                          <w:rFonts w:ascii="Cambria Math" w:hAnsi="Cambria Math"/>
                          <w:szCs w:val="24"/>
                        </w:rPr>
                      </m:ctrlPr>
                    </m:sSupPr>
                    <m:e>
                      <m:d>
                        <m:dPr>
                          <m:ctrlPr>
                            <w:rPr>
                              <w:rFonts w:ascii="Cambria Math" w:hAnsi="Cambria Math"/>
                              <w:szCs w:val="24"/>
                            </w:rPr>
                          </m:ctrlPr>
                        </m:dPr>
                        <m:e>
                          <m:sSup>
                            <m:sSupPr>
                              <m:ctrlPr>
                                <w:rPr>
                                  <w:rFonts w:ascii="Cambria Math" w:hAnsi="Cambria Math"/>
                                  <w:szCs w:val="24"/>
                                </w:rPr>
                              </m:ctrlPr>
                            </m:sSupPr>
                            <m:e>
                              <m:r>
                                <w:rPr>
                                  <w:rFonts w:ascii="Cambria Math" w:hAnsi="Cambria Math"/>
                                  <w:szCs w:val="24"/>
                                </w:rPr>
                                <m:t>W</m:t>
                              </m:r>
                            </m:e>
                            <m:sup>
                              <m:r>
                                <w:rPr>
                                  <w:rFonts w:ascii="Cambria Math" w:hAnsi="Cambria Math"/>
                                  <w:szCs w:val="24"/>
                                </w:rPr>
                                <m:t>k</m:t>
                              </m:r>
                              <m:r>
                                <m:rPr>
                                  <m:sty m:val="p"/>
                                </m:rPr>
                                <w:rPr>
                                  <w:rFonts w:ascii="Cambria Math" w:hAnsi="Cambria Math"/>
                                  <w:szCs w:val="24"/>
                                </w:rPr>
                                <m:t>-1</m:t>
                              </m:r>
                            </m:sup>
                          </m:sSup>
                        </m:e>
                      </m:d>
                    </m:e>
                    <m:sup>
                      <m:r>
                        <m:rPr>
                          <m:sty m:val="p"/>
                        </m:rPr>
                        <w:rPr>
                          <w:rFonts w:ascii="Cambria Math" w:hAnsi="Cambria Math"/>
                          <w:szCs w:val="24"/>
                        </w:rPr>
                        <m:t>2</m:t>
                      </m:r>
                    </m:sup>
                  </m:sSup>
                </m:e>
              </m:d>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hint="eastAsia"/>
                      <w:szCs w:val="24"/>
                    </w:rPr>
                    <m:t>Δ</m:t>
                  </m:r>
                  <m:r>
                    <w:rPr>
                      <w:rFonts w:ascii="Cambria Math" w:hAnsi="Cambria Math"/>
                      <w:szCs w:val="24"/>
                    </w:rPr>
                    <m:t>t</m:t>
                  </m:r>
                </m:num>
                <m:den>
                  <m:sSub>
                    <m:sSubPr>
                      <m:ctrlPr>
                        <w:rPr>
                          <w:rFonts w:ascii="Cambria Math" w:hAnsi="Cambria Math"/>
                          <w:szCs w:val="24"/>
                        </w:rPr>
                      </m:ctrlPr>
                    </m:sSubPr>
                    <m:e>
                      <m:r>
                        <m:rPr>
                          <m:sty m:val="p"/>
                        </m:rPr>
                        <w:rPr>
                          <w:rFonts w:ascii="Cambria Math" w:hAnsi="Cambria Math"/>
                          <w:szCs w:val="24"/>
                        </w:rPr>
                        <m:t>τ</m:t>
                      </m:r>
                    </m:e>
                    <m:sub>
                      <m:r>
                        <m:rPr>
                          <m:sty m:val="p"/>
                        </m:rPr>
                        <w:rPr>
                          <w:rFonts w:ascii="Cambria Math" w:hAnsi="Cambria Math"/>
                          <w:szCs w:val="24"/>
                        </w:rPr>
                        <m:t>3</m:t>
                      </m:r>
                    </m:sub>
                  </m:sSub>
                </m:den>
              </m:f>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c</m:t>
                      </m:r>
                    </m:e>
                    <m:sub>
                      <m:r>
                        <m:rPr>
                          <m:sty m:val="p"/>
                        </m:rPr>
                        <w:rPr>
                          <w:rFonts w:ascii="Cambria Math" w:hAnsi="Cambria Math"/>
                          <w:szCs w:val="24"/>
                        </w:rPr>
                        <m:t>1</m:t>
                      </m:r>
                    </m:sub>
                  </m:sSub>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o</m:t>
                      </m:r>
                    </m:sub>
                    <m:sup>
                      <m:r>
                        <w:rPr>
                          <w:rFonts w:ascii="Cambria Math" w:hAnsi="Cambria Math"/>
                          <w:szCs w:val="24"/>
                        </w:rPr>
                        <m:t>k</m:t>
                      </m:r>
                      <m:r>
                        <m:rPr>
                          <m:sty m:val="p"/>
                        </m:rPr>
                        <w:rPr>
                          <w:rFonts w:ascii="Cambria Math" w:hAnsi="Cambria Math"/>
                          <w:szCs w:val="24"/>
                        </w:rPr>
                        <m:t>-1</m:t>
                      </m:r>
                    </m:sup>
                  </m:sSubSup>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c</m:t>
                      </m:r>
                    </m:e>
                    <m:sub>
                      <m:r>
                        <m:rPr>
                          <m:sty m:val="p"/>
                        </m:rPr>
                        <w:rPr>
                          <w:rFonts w:ascii="Cambria Math" w:hAnsi="Cambria Math"/>
                          <w:szCs w:val="24"/>
                        </w:rPr>
                        <m:t>2</m:t>
                      </m:r>
                    </m:sub>
                  </m:sSub>
                  <m:sSup>
                    <m:sSupPr>
                      <m:ctrlPr>
                        <w:rPr>
                          <w:rFonts w:ascii="Cambria Math" w:hAnsi="Cambria Math"/>
                          <w:szCs w:val="24"/>
                        </w:rPr>
                      </m:ctrlPr>
                    </m:sSupPr>
                    <m:e>
                      <m:d>
                        <m:dPr>
                          <m:ctrlPr>
                            <w:rPr>
                              <w:rFonts w:ascii="Cambria Math" w:hAnsi="Cambria Math"/>
                              <w:szCs w:val="24"/>
                            </w:rPr>
                          </m:ctrlPr>
                        </m:dPr>
                        <m:e>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o</m:t>
                              </m:r>
                            </m:sub>
                            <m:sup>
                              <m:r>
                                <w:rPr>
                                  <w:rFonts w:ascii="Cambria Math" w:hAnsi="Cambria Math"/>
                                  <w:szCs w:val="24"/>
                                </w:rPr>
                                <m:t>k</m:t>
                              </m:r>
                              <m:r>
                                <m:rPr>
                                  <m:sty m:val="p"/>
                                </m:rPr>
                                <w:rPr>
                                  <w:rFonts w:ascii="Cambria Math" w:hAnsi="Cambria Math"/>
                                  <w:szCs w:val="24"/>
                                </w:rPr>
                                <m:t>-1</m:t>
                              </m:r>
                            </m:sup>
                          </m:sSubSup>
                        </m:e>
                      </m:d>
                    </m:e>
                    <m:sup>
                      <m:r>
                        <m:rPr>
                          <m:sty m:val="p"/>
                        </m:rPr>
                        <w:rPr>
                          <w:rFonts w:ascii="Cambria Math" w:hAnsi="Cambria Math"/>
                          <w:szCs w:val="24"/>
                        </w:rPr>
                        <m:t>2</m:t>
                      </m:r>
                    </m:sup>
                  </m:sSup>
                </m:e>
              </m:d>
              <m:sSup>
                <m:sSupPr>
                  <m:ctrlPr>
                    <w:rPr>
                      <w:rFonts w:ascii="Cambria Math" w:hAnsi="Cambria Math"/>
                      <w:szCs w:val="24"/>
                    </w:rPr>
                  </m:ctrlPr>
                </m:sSupPr>
                <m:e>
                  <m:r>
                    <w:rPr>
                      <w:rFonts w:ascii="Cambria Math" w:hAnsi="Cambria Math"/>
                      <w:szCs w:val="24"/>
                    </w:rPr>
                    <m:t>u</m:t>
                  </m:r>
                </m:e>
                <m:sup>
                  <m:r>
                    <w:rPr>
                      <w:rFonts w:ascii="Cambria Math" w:hAnsi="Cambria Math"/>
                      <w:szCs w:val="24"/>
                    </w:rPr>
                    <m:t>k</m:t>
                  </m:r>
                  <m:r>
                    <m:rPr>
                      <m:sty m:val="p"/>
                    </m:rPr>
                    <w:rPr>
                      <w:rFonts w:ascii="Cambria Math" w:hAnsi="Cambria Math"/>
                      <w:szCs w:val="24"/>
                    </w:rPr>
                    <m:t>-1</m:t>
                  </m:r>
                </m:sup>
              </m:sSup>
              <m:r>
                <m:rPr>
                  <m:sty m:val="p"/>
                </m:rPr>
                <w:rPr>
                  <w:rFonts w:ascii="Cambria Math" w:hAnsi="Cambria Math"/>
                  <w:szCs w:val="24"/>
                </w:rPr>
                <m:t>+</m:t>
              </m:r>
              <m:sSubSup>
                <m:sSubSupPr>
                  <m:ctrlPr>
                    <w:rPr>
                      <w:rFonts w:ascii="Cambria Math" w:hAnsi="Cambria Math"/>
                      <w:szCs w:val="24"/>
                    </w:rPr>
                  </m:ctrlPr>
                </m:sSubSupPr>
                <m:e>
                  <m:r>
                    <w:rPr>
                      <w:rFonts w:ascii="Cambria Math" w:hAnsi="Cambria Math"/>
                      <w:szCs w:val="24"/>
                    </w:rPr>
                    <m:t>T</m:t>
                  </m:r>
                </m:e>
                <m:sub>
                  <m:r>
                    <w:rPr>
                      <w:rFonts w:ascii="Cambria Math" w:hAnsi="Cambria Math"/>
                      <w:szCs w:val="24"/>
                    </w:rPr>
                    <m:t>in</m:t>
                  </m:r>
                </m:sub>
                <m:sup>
                  <m:r>
                    <w:rPr>
                      <w:rFonts w:ascii="Cambria Math" w:hAnsi="Cambria Math"/>
                      <w:szCs w:val="24"/>
                    </w:rPr>
                    <m:t>k</m:t>
                  </m:r>
                  <m:r>
                    <m:rPr>
                      <m:sty m:val="p"/>
                    </m:rPr>
                    <w:rPr>
                      <w:rFonts w:ascii="Cambria Math" w:hAnsi="Cambria Math"/>
                      <w:szCs w:val="24"/>
                    </w:rPr>
                    <m:t>-1</m:t>
                  </m:r>
                </m:sup>
              </m:sSubSup>
              <m:r>
                <m:rPr>
                  <m:sty m:val="p"/>
                </m:rPr>
                <w:rPr>
                  <w:rFonts w:ascii="Cambria Math" w:hAnsi="Cambria Math" w:hint="eastAsia"/>
                  <w:szCs w:val="24"/>
                  <w:vertAlign w:val="subscript"/>
                </w:rPr>
                <m:t>≤</m:t>
              </m:r>
              <m:sSub>
                <m:sSubPr>
                  <m:ctrlPr>
                    <w:rPr>
                      <w:rFonts w:ascii="Cambria Math" w:hAnsi="Cambria Math"/>
                      <w:i/>
                      <w:szCs w:val="24"/>
                      <w:vertAlign w:val="subscript"/>
                    </w:rPr>
                  </m:ctrlPr>
                </m:sSubPr>
                <m:e>
                  <m:bar>
                    <m:barPr>
                      <m:pos m:val="top"/>
                      <m:ctrlPr>
                        <w:rPr>
                          <w:rFonts w:ascii="Cambria Math" w:hAnsi="Cambria Math"/>
                          <w:szCs w:val="24"/>
                          <w:vertAlign w:val="subscript"/>
                        </w:rPr>
                      </m:ctrlPr>
                    </m:barPr>
                    <m:e>
                      <m:r>
                        <w:rPr>
                          <w:rFonts w:ascii="Cambria Math" w:hAnsi="Cambria Math"/>
                          <w:szCs w:val="24"/>
                          <w:vertAlign w:val="subscript"/>
                        </w:rPr>
                        <m:t>T</m:t>
                      </m:r>
                    </m:e>
                  </m:bar>
                  <m:ctrlPr>
                    <w:rPr>
                      <w:rFonts w:ascii="Cambria Math" w:hAnsi="Cambria Math"/>
                      <w:szCs w:val="24"/>
                      <w:vertAlign w:val="subscript"/>
                    </w:rPr>
                  </m:ctrlPr>
                </m:e>
                <m:sub>
                  <m:r>
                    <w:rPr>
                      <w:rFonts w:ascii="Cambria Math" w:hAnsi="Cambria Math"/>
                      <w:szCs w:val="24"/>
                      <w:vertAlign w:val="subscript"/>
                    </w:rPr>
                    <m:t>hvac</m:t>
                  </m:r>
                </m:sub>
              </m:sSub>
              <m:r>
                <w:rPr>
                  <w:rFonts w:ascii="Cambria Math" w:hAnsi="Cambria Math"/>
                  <w:szCs w:val="24"/>
                  <w:vertAlign w:val="subscript"/>
                </w:rPr>
                <m:t xml:space="preserve">   </m:t>
              </m:r>
              <m:r>
                <m:rPr>
                  <m:sty m:val="p"/>
                </m:rPr>
                <w:rPr>
                  <w:rFonts w:ascii="Cambria Math" w:hAnsi="Cambria Math"/>
                  <w:szCs w:val="24"/>
                  <w:vertAlign w:val="subscript"/>
                </w:rPr>
                <m:t>for</m:t>
              </m:r>
              <m:r>
                <w:rPr>
                  <w:rFonts w:ascii="Cambria Math" w:hAnsi="Cambria Math"/>
                  <w:szCs w:val="24"/>
                  <w:vertAlign w:val="subscript"/>
                </w:rPr>
                <m:t xml:space="preserve"> k=1,2,</m:t>
              </m:r>
              <m:r>
                <m:rPr>
                  <m:sty m:val="p"/>
                </m:rPr>
                <w:rPr>
                  <w:rFonts w:ascii="Cambria Math" w:hAnsi="Cambria Math" w:hint="eastAsia"/>
                  <w:szCs w:val="24"/>
                  <w:vertAlign w:val="subscript"/>
                </w:rPr>
                <m:t>…</m:t>
              </m:r>
              <m:r>
                <w:rPr>
                  <w:rFonts w:ascii="Cambria Math" w:hAnsi="Cambria Math"/>
                  <w:szCs w:val="24"/>
                  <w:vertAlign w:val="subscript"/>
                </w:rPr>
                <m:t>,m-1</m:t>
              </m:r>
            </m:oMath>
            <w:r w:rsidR="00D36DE4" w:rsidRPr="006A09A1" w:rsidDel="00444469">
              <w:rPr>
                <w:rFonts w:hint="eastAsia"/>
                <w:szCs w:val="24"/>
                <w:vertAlign w:val="subscript"/>
              </w:rPr>
              <w:t>,</w:t>
            </w:r>
          </w:p>
        </w:tc>
        <w:tc>
          <w:tcPr>
            <w:tcW w:w="1170" w:type="dxa"/>
            <w:vAlign w:val="center"/>
          </w:tcPr>
          <w:p w14:paraId="4D37FDDE" w14:textId="72F23FEF" w:rsidR="00D36DE4" w:rsidRPr="006A09A1" w:rsidDel="00444469" w:rsidRDefault="00D36DE4" w:rsidP="002023DB">
            <w:pPr>
              <w:rPr>
                <w:szCs w:val="24"/>
              </w:rPr>
            </w:pPr>
            <w:bookmarkStart w:id="384" w:name="_Ref123070342"/>
            <w:r w:rsidRPr="006A09A1" w:rsidDel="00444469">
              <w:rPr>
                <w:rFonts w:hint="eastAsia"/>
                <w:szCs w:val="24"/>
              </w:rPr>
              <w:t>(</w:t>
            </w:r>
            <w:r w:rsidRPr="006A09A1" w:rsidDel="00444469">
              <w:rPr>
                <w:szCs w:val="24"/>
              </w:rPr>
              <w:fldChar w:fldCharType="begin"/>
            </w:r>
            <w:r w:rsidRPr="006A09A1" w:rsidDel="00444469">
              <w:rPr>
                <w:szCs w:val="24"/>
              </w:rPr>
              <w:instrText xml:space="preserve"> </w:instrText>
            </w:r>
            <w:r w:rsidRPr="006A09A1" w:rsidDel="00444469">
              <w:rPr>
                <w:rFonts w:hint="eastAsia"/>
                <w:szCs w:val="24"/>
              </w:rPr>
              <w:instrText>SEQ equation \* ARABIC</w:instrText>
            </w:r>
            <w:r w:rsidRPr="006A09A1" w:rsidDel="00444469">
              <w:rPr>
                <w:szCs w:val="24"/>
              </w:rPr>
              <w:instrText xml:space="preserve"> </w:instrText>
            </w:r>
            <w:r w:rsidRPr="006A09A1" w:rsidDel="00444469">
              <w:rPr>
                <w:szCs w:val="24"/>
              </w:rPr>
              <w:fldChar w:fldCharType="separate"/>
            </w:r>
            <w:r w:rsidR="000E1725">
              <w:rPr>
                <w:noProof/>
                <w:szCs w:val="24"/>
              </w:rPr>
              <w:t>48</w:t>
            </w:r>
            <w:r w:rsidRPr="006A09A1" w:rsidDel="00444469">
              <w:rPr>
                <w:szCs w:val="24"/>
              </w:rPr>
              <w:fldChar w:fldCharType="end"/>
            </w:r>
            <w:bookmarkEnd w:id="384"/>
            <w:r w:rsidRPr="006A09A1">
              <w:rPr>
                <w:szCs w:val="24"/>
              </w:rPr>
              <w:t>)</w:t>
            </w:r>
          </w:p>
        </w:tc>
      </w:tr>
    </w:tbl>
    <w:p w14:paraId="0CFEF8FE" w14:textId="77777777" w:rsidR="00D36DE4" w:rsidRPr="006A09A1" w:rsidRDefault="00D36DE4" w:rsidP="00D36DE4">
      <w:pPr>
        <w:rPr>
          <w:szCs w:val="24"/>
        </w:rPr>
      </w:pPr>
      <w:r w:rsidRPr="006A09A1">
        <w:rPr>
          <w:szCs w:val="24"/>
        </w:rPr>
        <w:t xml:space="preserve">where </w:t>
      </w:r>
      <m:oMath>
        <m:sSub>
          <m:sSubPr>
            <m:ctrlPr>
              <w:rPr>
                <w:rFonts w:ascii="Cambria Math" w:hAnsi="Cambria Math"/>
                <w:i/>
                <w:szCs w:val="24"/>
              </w:rPr>
            </m:ctrlPr>
          </m:sSubPr>
          <m:e>
            <m:bar>
              <m:barPr>
                <m:ctrlPr>
                  <w:rPr>
                    <w:rFonts w:ascii="Cambria Math" w:hAnsi="Cambria Math"/>
                    <w:szCs w:val="24"/>
                  </w:rPr>
                </m:ctrlPr>
              </m:barPr>
              <m:e>
                <m:r>
                  <w:rPr>
                    <w:rFonts w:ascii="Cambria Math" w:hAnsi="Cambria Math"/>
                    <w:szCs w:val="24"/>
                  </w:rPr>
                  <m:t>T</m:t>
                </m:r>
              </m:e>
            </m:bar>
          </m:e>
          <m:sub>
            <m:r>
              <w:rPr>
                <w:rFonts w:ascii="Cambria Math" w:hAnsi="Cambria Math"/>
                <w:szCs w:val="24"/>
              </w:rPr>
              <m:t>hvac</m:t>
            </m:r>
          </m:sub>
        </m:sSub>
      </m:oMath>
      <w:r w:rsidRPr="006A09A1">
        <w:rPr>
          <w:szCs w:val="24"/>
        </w:rPr>
        <w:t xml:space="preserve"> and </w:t>
      </w:r>
      <m:oMath>
        <m:sSub>
          <m:sSubPr>
            <m:ctrlPr>
              <w:rPr>
                <w:rFonts w:ascii="Cambria Math" w:hAnsi="Cambria Math"/>
                <w:i/>
                <w:szCs w:val="24"/>
              </w:rPr>
            </m:ctrlPr>
          </m:sSubPr>
          <m:e>
            <m:bar>
              <m:barPr>
                <m:pos m:val="top"/>
                <m:ctrlPr>
                  <w:rPr>
                    <w:rFonts w:ascii="Cambria Math" w:hAnsi="Cambria Math"/>
                    <w:szCs w:val="24"/>
                  </w:rPr>
                </m:ctrlPr>
              </m:barPr>
              <m:e>
                <m:r>
                  <w:rPr>
                    <w:rFonts w:ascii="Cambria Math" w:hAnsi="Cambria Math"/>
                    <w:szCs w:val="24"/>
                  </w:rPr>
                  <m:t>T</m:t>
                </m:r>
              </m:e>
            </m:bar>
          </m:e>
          <m:sub>
            <m:r>
              <w:rPr>
                <w:rFonts w:ascii="Cambria Math" w:hAnsi="Cambria Math"/>
                <w:szCs w:val="24"/>
              </w:rPr>
              <m:t>hvac</m:t>
            </m:r>
          </m:sub>
        </m:sSub>
      </m:oMath>
      <w:r w:rsidRPr="006A09A1">
        <w:rPr>
          <w:szCs w:val="24"/>
        </w:rPr>
        <w:t xml:space="preserve"> are the acceptable lower and upper temperature bounds on indoor air temperature </w:t>
      </w: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in</m:t>
            </m:r>
          </m:sub>
        </m:sSub>
        <m:r>
          <w:rPr>
            <w:rFonts w:ascii="Cambria Math" w:hAnsi="Cambria Math"/>
            <w:szCs w:val="24"/>
          </w:rPr>
          <m:t>.</m:t>
        </m:r>
      </m:oMath>
    </w:p>
    <w:p w14:paraId="2CA2D1DC" w14:textId="77777777" w:rsidR="00D36DE4" w:rsidRPr="006A09A1" w:rsidRDefault="00D36DE4" w:rsidP="00D36DE4">
      <w:pPr>
        <w:pStyle w:val="Heading4"/>
      </w:pPr>
      <w:bookmarkStart w:id="385" w:name="_Toc141991735"/>
      <w:r w:rsidRPr="006A09A1">
        <w:t>Water heater system and its coupling effect</w:t>
      </w:r>
      <w:bookmarkEnd w:id="385"/>
    </w:p>
    <w:p w14:paraId="7D59B77D" w14:textId="3DDDC1EC" w:rsidR="00D36DE4" w:rsidRPr="006A09A1" w:rsidRDefault="00D36DE4" w:rsidP="00D36DE4">
      <w:pPr>
        <w:rPr>
          <w:spacing w:val="4"/>
          <w:szCs w:val="24"/>
        </w:rPr>
      </w:pPr>
      <w:r w:rsidRPr="006A09A1">
        <w:rPr>
          <w:szCs w:val="24"/>
        </w:rPr>
        <w:t>Generally, water heaters have a higher power rating compared to other electrical appliances in home. Furthermore, hot</w:t>
      </w:r>
      <w:r w:rsidRPr="006A09A1">
        <w:rPr>
          <w:spacing w:val="-11"/>
          <w:szCs w:val="24"/>
        </w:rPr>
        <w:t xml:space="preserve"> </w:t>
      </w:r>
      <w:r w:rsidRPr="006A09A1">
        <w:rPr>
          <w:szCs w:val="24"/>
        </w:rPr>
        <w:t>water</w:t>
      </w:r>
      <w:r w:rsidRPr="006A09A1">
        <w:rPr>
          <w:spacing w:val="-11"/>
          <w:szCs w:val="24"/>
        </w:rPr>
        <w:t xml:space="preserve"> </w:t>
      </w:r>
      <w:r w:rsidRPr="006A09A1">
        <w:rPr>
          <w:szCs w:val="24"/>
        </w:rPr>
        <w:t>is utilized</w:t>
      </w:r>
      <w:r w:rsidRPr="006A09A1">
        <w:rPr>
          <w:spacing w:val="-11"/>
          <w:szCs w:val="24"/>
        </w:rPr>
        <w:t xml:space="preserve"> </w:t>
      </w:r>
      <w:r w:rsidRPr="006A09A1">
        <w:rPr>
          <w:szCs w:val="24"/>
        </w:rPr>
        <w:t>in</w:t>
      </w:r>
      <w:r w:rsidRPr="006A09A1">
        <w:rPr>
          <w:spacing w:val="-11"/>
          <w:szCs w:val="24"/>
        </w:rPr>
        <w:t xml:space="preserve"> </w:t>
      </w:r>
      <w:r w:rsidRPr="006A09A1">
        <w:rPr>
          <w:szCs w:val="24"/>
        </w:rPr>
        <w:t>many</w:t>
      </w:r>
      <w:r w:rsidRPr="006A09A1">
        <w:rPr>
          <w:spacing w:val="-11"/>
          <w:szCs w:val="24"/>
        </w:rPr>
        <w:t xml:space="preserve"> </w:t>
      </w:r>
      <w:r w:rsidRPr="006A09A1">
        <w:rPr>
          <w:szCs w:val="24"/>
        </w:rPr>
        <w:t>other</w:t>
      </w:r>
      <w:r w:rsidRPr="006A09A1">
        <w:rPr>
          <w:spacing w:val="-11"/>
          <w:szCs w:val="24"/>
        </w:rPr>
        <w:t xml:space="preserve"> </w:t>
      </w:r>
      <w:r w:rsidRPr="006A09A1">
        <w:rPr>
          <w:szCs w:val="24"/>
        </w:rPr>
        <w:t>appliances:</w:t>
      </w:r>
      <w:r w:rsidRPr="006A09A1">
        <w:rPr>
          <w:spacing w:val="6"/>
          <w:szCs w:val="24"/>
        </w:rPr>
        <w:t xml:space="preserve"> </w:t>
      </w:r>
      <w:r w:rsidRPr="006A09A1">
        <w:rPr>
          <w:spacing w:val="-3"/>
          <w:szCs w:val="24"/>
        </w:rPr>
        <w:t>for</w:t>
      </w:r>
      <w:r w:rsidRPr="006A09A1">
        <w:rPr>
          <w:spacing w:val="-10"/>
          <w:szCs w:val="24"/>
        </w:rPr>
        <w:t xml:space="preserve"> </w:t>
      </w:r>
      <w:r w:rsidRPr="006A09A1">
        <w:rPr>
          <w:szCs w:val="24"/>
        </w:rPr>
        <w:t>instance,</w:t>
      </w:r>
      <w:r w:rsidRPr="006A09A1">
        <w:rPr>
          <w:spacing w:val="-11"/>
          <w:szCs w:val="24"/>
        </w:rPr>
        <w:t xml:space="preserve"> </w:t>
      </w:r>
      <w:r w:rsidRPr="006A09A1">
        <w:rPr>
          <w:szCs w:val="24"/>
        </w:rPr>
        <w:t>clothes</w:t>
      </w:r>
      <w:r w:rsidRPr="006A09A1">
        <w:rPr>
          <w:spacing w:val="-11"/>
          <w:szCs w:val="24"/>
        </w:rPr>
        <w:t xml:space="preserve"> </w:t>
      </w:r>
      <w:r w:rsidRPr="006A09A1">
        <w:rPr>
          <w:szCs w:val="24"/>
        </w:rPr>
        <w:t>washer withdraws</w:t>
      </w:r>
      <w:r w:rsidRPr="006A09A1">
        <w:rPr>
          <w:spacing w:val="-13"/>
          <w:szCs w:val="24"/>
        </w:rPr>
        <w:t xml:space="preserve"> </w:t>
      </w:r>
      <w:r w:rsidRPr="006A09A1">
        <w:rPr>
          <w:szCs w:val="24"/>
        </w:rPr>
        <w:t>hot</w:t>
      </w:r>
      <w:r w:rsidRPr="006A09A1">
        <w:rPr>
          <w:spacing w:val="-13"/>
          <w:szCs w:val="24"/>
        </w:rPr>
        <w:t xml:space="preserve"> </w:t>
      </w:r>
      <w:r w:rsidRPr="006A09A1">
        <w:rPr>
          <w:szCs w:val="24"/>
        </w:rPr>
        <w:t>water</w:t>
      </w:r>
      <w:r w:rsidRPr="006A09A1">
        <w:rPr>
          <w:spacing w:val="-13"/>
          <w:szCs w:val="24"/>
        </w:rPr>
        <w:t xml:space="preserve"> </w:t>
      </w:r>
      <w:r w:rsidRPr="006A09A1">
        <w:rPr>
          <w:szCs w:val="24"/>
        </w:rPr>
        <w:t>from</w:t>
      </w:r>
      <w:r w:rsidRPr="006A09A1">
        <w:rPr>
          <w:spacing w:val="-13"/>
          <w:szCs w:val="24"/>
        </w:rPr>
        <w:t xml:space="preserve"> </w:t>
      </w:r>
      <w:r w:rsidRPr="006A09A1">
        <w:rPr>
          <w:szCs w:val="24"/>
        </w:rPr>
        <w:t>the</w:t>
      </w:r>
      <w:r w:rsidRPr="006A09A1">
        <w:rPr>
          <w:spacing w:val="-13"/>
          <w:szCs w:val="24"/>
        </w:rPr>
        <w:t xml:space="preserve"> </w:t>
      </w:r>
      <w:r w:rsidRPr="006A09A1">
        <w:rPr>
          <w:spacing w:val="-3"/>
          <w:szCs w:val="24"/>
        </w:rPr>
        <w:t>hot</w:t>
      </w:r>
      <w:r w:rsidRPr="006A09A1">
        <w:rPr>
          <w:spacing w:val="-13"/>
          <w:szCs w:val="24"/>
        </w:rPr>
        <w:t xml:space="preserve"> </w:t>
      </w:r>
      <w:r w:rsidRPr="006A09A1">
        <w:rPr>
          <w:szCs w:val="24"/>
        </w:rPr>
        <w:t>water</w:t>
      </w:r>
      <w:r w:rsidRPr="006A09A1">
        <w:rPr>
          <w:spacing w:val="-12"/>
          <w:szCs w:val="24"/>
        </w:rPr>
        <w:t xml:space="preserve"> </w:t>
      </w:r>
      <w:r w:rsidRPr="006A09A1">
        <w:rPr>
          <w:szCs w:val="24"/>
        </w:rPr>
        <w:t>tank.</w:t>
      </w:r>
      <w:r w:rsidRPr="006A09A1">
        <w:rPr>
          <w:spacing w:val="-12"/>
          <w:szCs w:val="24"/>
        </w:rPr>
        <w:t xml:space="preserve"> </w:t>
      </w:r>
      <w:r w:rsidRPr="006A09A1">
        <w:rPr>
          <w:szCs w:val="24"/>
        </w:rPr>
        <w:t xml:space="preserve">Consequently, accurate prediction of water heater behavior, considering these interconnected thermal impacts (i.e., coupling </w:t>
      </w:r>
      <w:r w:rsidRPr="006A09A1">
        <w:rPr>
          <w:szCs w:val="24"/>
        </w:rPr>
        <w:lastRenderedPageBreak/>
        <w:t>effect), is crucial for the efficient operation of all appliances. The RC network</w:t>
      </w:r>
      <w:r w:rsidRPr="006A09A1">
        <w:rPr>
          <w:spacing w:val="-15"/>
          <w:szCs w:val="24"/>
        </w:rPr>
        <w:t xml:space="preserve"> </w:t>
      </w:r>
      <w:r w:rsidRPr="006A09A1">
        <w:rPr>
          <w:szCs w:val="24"/>
        </w:rPr>
        <w:t>concept</w:t>
      </w:r>
      <w:r w:rsidRPr="006A09A1">
        <w:rPr>
          <w:spacing w:val="-16"/>
          <w:szCs w:val="24"/>
        </w:rPr>
        <w:t xml:space="preserve"> </w:t>
      </w:r>
      <w:r w:rsidRPr="006A09A1">
        <w:rPr>
          <w:szCs w:val="24"/>
        </w:rPr>
        <w:t>introduced</w:t>
      </w:r>
      <w:r w:rsidRPr="006A09A1">
        <w:rPr>
          <w:spacing w:val="-15"/>
          <w:szCs w:val="24"/>
        </w:rPr>
        <w:t xml:space="preserve"> </w:t>
      </w:r>
      <w:r w:rsidRPr="006A09A1">
        <w:rPr>
          <w:szCs w:val="24"/>
        </w:rPr>
        <w:t>in</w:t>
      </w:r>
      <w:r w:rsidRPr="006A09A1">
        <w:rPr>
          <w:spacing w:val="-15"/>
          <w:szCs w:val="24"/>
        </w:rPr>
        <w:t xml:space="preserve"> the HVAC system </w:t>
      </w:r>
      <w:r w:rsidRPr="006A09A1">
        <w:rPr>
          <w:szCs w:val="24"/>
        </w:rPr>
        <w:t xml:space="preserve">is also widely used in the water heater modelling. In addition, the physical model can be easily modified to model the coupling effects between the water heater and other appliances. In this study, the modelling method in </w:t>
      </w:r>
      <w:r w:rsidRPr="006A09A1">
        <w:rPr>
          <w:szCs w:val="24"/>
        </w:rPr>
        <w:fldChar w:fldCharType="begin"/>
      </w:r>
      <w:r w:rsidR="0082416B">
        <w:rPr>
          <w:szCs w:val="24"/>
        </w:rPr>
        <w:instrText xml:space="preserve"> ADDIN ZOTERO_ITEM CSL_CITATION {"citationID":"4v2maFtC","properties":{"formattedCitation":"[105]","plainCitation":"[105]","noteIndex":0},"citationItems":[{"id":514,"uris":["http://zotero.org/users/5659608/items/XZG22HB3"],"itemData":{"id":514,"type":"paper-conference","container-title":"2012 25th IEEE Canadian Conference on Electrical and Computer Engineering (CCECE)","DOI":"10.1109/CCECE.2012.6334885","event-place":"Montreal, QC","ISBN":"978-1-4673-1433-6","language":"English","note":"Citation Key: shaadParameterIdentificationThermal2012","page":"1–5","publisher":"IEEE","publisher-place":"Montreal, QC","title":"Parameter identification of thermal models for domestic electric water heaters in a direct load control program","author":[{"family":"Shaad","given":"M."},{"family":"Momeni","given":"A."},{"family":"Diduch","given":"C. P."},{"family":"Kaye","given":"M."},{"family":"Chang","given":"L."}],"issued":{"date-parts":[["2012",4]]},"citation-key":"shaadParameterIdentificationThermal2012"}}],"schema":"https://github.com/citation-style-language/schema/raw/master/csl-citation.json"} </w:instrText>
      </w:r>
      <w:r w:rsidRPr="006A09A1">
        <w:rPr>
          <w:szCs w:val="24"/>
        </w:rPr>
        <w:fldChar w:fldCharType="separate"/>
      </w:r>
      <w:r w:rsidR="0082416B" w:rsidRPr="0082416B">
        <w:t>[105]</w:t>
      </w:r>
      <w:r w:rsidRPr="006A09A1">
        <w:rPr>
          <w:szCs w:val="24"/>
        </w:rPr>
        <w:fldChar w:fldCharType="end"/>
      </w:r>
      <w:r w:rsidRPr="006A09A1">
        <w:rPr>
          <w:szCs w:val="24"/>
        </w:rPr>
        <w:t xml:space="preserve"> is adopted and modified</w:t>
      </w:r>
      <w:r w:rsidRPr="006A09A1">
        <w:rPr>
          <w:spacing w:val="-14"/>
          <w:szCs w:val="24"/>
        </w:rPr>
        <w:t xml:space="preserve"> </w:t>
      </w:r>
      <w:r w:rsidRPr="006A09A1">
        <w:rPr>
          <w:szCs w:val="24"/>
        </w:rPr>
        <w:t>to</w:t>
      </w:r>
      <w:r w:rsidRPr="006A09A1">
        <w:rPr>
          <w:spacing w:val="-13"/>
          <w:szCs w:val="24"/>
        </w:rPr>
        <w:t xml:space="preserve"> </w:t>
      </w:r>
      <w:r w:rsidRPr="006A09A1">
        <w:rPr>
          <w:szCs w:val="24"/>
        </w:rPr>
        <w:t>capture</w:t>
      </w:r>
      <w:r w:rsidRPr="006A09A1">
        <w:rPr>
          <w:spacing w:val="-13"/>
          <w:szCs w:val="24"/>
        </w:rPr>
        <w:t xml:space="preserve"> </w:t>
      </w:r>
      <w:r w:rsidRPr="006A09A1">
        <w:rPr>
          <w:szCs w:val="24"/>
        </w:rPr>
        <w:t>the</w:t>
      </w:r>
      <w:r w:rsidRPr="006A09A1">
        <w:rPr>
          <w:spacing w:val="-14"/>
          <w:szCs w:val="24"/>
        </w:rPr>
        <w:t xml:space="preserve"> </w:t>
      </w:r>
      <w:r w:rsidRPr="006A09A1">
        <w:rPr>
          <w:szCs w:val="24"/>
        </w:rPr>
        <w:t>dynamics</w:t>
      </w:r>
      <w:r w:rsidRPr="006A09A1">
        <w:rPr>
          <w:spacing w:val="-13"/>
          <w:szCs w:val="24"/>
        </w:rPr>
        <w:t xml:space="preserve"> </w:t>
      </w:r>
      <w:r w:rsidRPr="006A09A1">
        <w:rPr>
          <w:szCs w:val="24"/>
        </w:rPr>
        <w:t>of</w:t>
      </w:r>
      <w:r w:rsidRPr="006A09A1">
        <w:rPr>
          <w:spacing w:val="-13"/>
          <w:szCs w:val="24"/>
        </w:rPr>
        <w:t xml:space="preserve"> </w:t>
      </w:r>
      <w:r w:rsidRPr="006A09A1">
        <w:rPr>
          <w:szCs w:val="24"/>
        </w:rPr>
        <w:t>the</w:t>
      </w:r>
      <w:r w:rsidRPr="006A09A1">
        <w:rPr>
          <w:spacing w:val="-13"/>
          <w:szCs w:val="24"/>
        </w:rPr>
        <w:t xml:space="preserve"> </w:t>
      </w:r>
      <w:r w:rsidRPr="006A09A1">
        <w:rPr>
          <w:szCs w:val="24"/>
        </w:rPr>
        <w:t>hot</w:t>
      </w:r>
      <w:r w:rsidRPr="006A09A1">
        <w:rPr>
          <w:spacing w:val="-13"/>
          <w:szCs w:val="24"/>
        </w:rPr>
        <w:t xml:space="preserve"> </w:t>
      </w:r>
      <w:r w:rsidRPr="006A09A1">
        <w:rPr>
          <w:szCs w:val="24"/>
        </w:rPr>
        <w:t>water inside the</w:t>
      </w:r>
      <w:r w:rsidRPr="006A09A1">
        <w:rPr>
          <w:spacing w:val="-14"/>
          <w:szCs w:val="24"/>
        </w:rPr>
        <w:t xml:space="preserve"> </w:t>
      </w:r>
      <w:r w:rsidRPr="006A09A1">
        <w:rPr>
          <w:szCs w:val="24"/>
        </w:rPr>
        <w:t>tank.</w:t>
      </w:r>
      <w:r w:rsidRPr="006A09A1">
        <w:rPr>
          <w:spacing w:val="4"/>
          <w:szCs w:val="24"/>
        </w:rPr>
        <w:t xml:space="preserve"> </w:t>
      </w:r>
    </w:p>
    <w:p w14:paraId="75E13D0E" w14:textId="77777777" w:rsidR="00D36DE4" w:rsidRPr="006A09A1" w:rsidRDefault="00D36DE4" w:rsidP="00D36DE4">
      <w:pPr>
        <w:rPr>
          <w:spacing w:val="-3"/>
          <w:szCs w:val="24"/>
        </w:rPr>
      </w:pPr>
      <w:r w:rsidRPr="006A09A1">
        <w:rPr>
          <w:szCs w:val="24"/>
        </w:rPr>
        <w:t>For</w:t>
      </w:r>
      <w:r w:rsidRPr="006A09A1">
        <w:rPr>
          <w:spacing w:val="-12"/>
          <w:szCs w:val="24"/>
        </w:rPr>
        <w:t xml:space="preserve"> </w:t>
      </w:r>
      <w:r w:rsidRPr="006A09A1">
        <w:rPr>
          <w:szCs w:val="24"/>
        </w:rPr>
        <w:t>the</w:t>
      </w:r>
      <w:r w:rsidRPr="006A09A1">
        <w:rPr>
          <w:spacing w:val="-14"/>
          <w:szCs w:val="24"/>
        </w:rPr>
        <w:t xml:space="preserve"> </w:t>
      </w:r>
      <w:r w:rsidRPr="006A09A1">
        <w:rPr>
          <w:szCs w:val="24"/>
        </w:rPr>
        <w:t>electric</w:t>
      </w:r>
      <w:r w:rsidRPr="006A09A1">
        <w:rPr>
          <w:spacing w:val="-12"/>
          <w:szCs w:val="24"/>
        </w:rPr>
        <w:t xml:space="preserve"> </w:t>
      </w:r>
      <w:r w:rsidRPr="006A09A1">
        <w:rPr>
          <w:szCs w:val="24"/>
        </w:rPr>
        <w:t>water heater,</w:t>
      </w:r>
      <w:r w:rsidRPr="006A09A1">
        <w:rPr>
          <w:spacing w:val="-12"/>
          <w:szCs w:val="24"/>
        </w:rPr>
        <w:t xml:space="preserve"> </w:t>
      </w:r>
      <w:r w:rsidRPr="006A09A1">
        <w:rPr>
          <w:szCs w:val="24"/>
        </w:rPr>
        <w:t>the</w:t>
      </w:r>
      <w:r w:rsidRPr="006A09A1">
        <w:rPr>
          <w:spacing w:val="-14"/>
          <w:szCs w:val="24"/>
        </w:rPr>
        <w:t xml:space="preserve"> </w:t>
      </w:r>
      <w:r w:rsidRPr="006A09A1">
        <w:rPr>
          <w:szCs w:val="24"/>
        </w:rPr>
        <w:t>on/off</w:t>
      </w:r>
      <w:r w:rsidRPr="006A09A1">
        <w:rPr>
          <w:spacing w:val="-12"/>
          <w:szCs w:val="24"/>
        </w:rPr>
        <w:t xml:space="preserve"> </w:t>
      </w:r>
      <w:r w:rsidRPr="006A09A1">
        <w:rPr>
          <w:szCs w:val="24"/>
        </w:rPr>
        <w:t>signal</w:t>
      </w:r>
      <w:r w:rsidRPr="006A09A1">
        <w:rPr>
          <w:spacing w:val="-14"/>
          <w:szCs w:val="24"/>
        </w:rPr>
        <w:t xml:space="preserve"> </w:t>
      </w:r>
      <w:r w:rsidRPr="006A09A1">
        <w:rPr>
          <w:szCs w:val="24"/>
        </w:rPr>
        <w:t>at</w:t>
      </w:r>
      <w:r w:rsidRPr="006A09A1">
        <w:rPr>
          <w:spacing w:val="-13"/>
          <w:szCs w:val="24"/>
        </w:rPr>
        <w:t xml:space="preserve"> </w:t>
      </w:r>
      <w:r w:rsidRPr="006A09A1">
        <w:rPr>
          <w:szCs w:val="24"/>
        </w:rPr>
        <w:t>each time</w:t>
      </w:r>
      <w:r w:rsidRPr="006A09A1">
        <w:rPr>
          <w:spacing w:val="-4"/>
          <w:szCs w:val="24"/>
        </w:rPr>
        <w:t xml:space="preserve"> </w:t>
      </w:r>
      <w:r w:rsidRPr="006A09A1">
        <w:rPr>
          <w:szCs w:val="24"/>
        </w:rPr>
        <w:t>slot</w:t>
      </w:r>
      <w:r w:rsidRPr="006A09A1">
        <w:rPr>
          <w:rFonts w:ascii="Arial"/>
          <w:i/>
          <w:spacing w:val="6"/>
          <w:szCs w:val="24"/>
        </w:rPr>
        <w:t xml:space="preserve"> </w:t>
      </w:r>
      <m:oMath>
        <m:sSubSup>
          <m:sSubSupPr>
            <m:ctrlPr>
              <w:rPr>
                <w:rFonts w:ascii="Cambria Math" w:hAnsi="Cambria Math"/>
                <w:i/>
                <w:spacing w:val="6"/>
                <w:szCs w:val="24"/>
              </w:rPr>
            </m:ctrlPr>
          </m:sSubSupPr>
          <m:e>
            <m:r>
              <w:rPr>
                <w:rFonts w:ascii="Cambria Math" w:hAnsi="Cambria Math"/>
                <w:spacing w:val="6"/>
                <w:szCs w:val="24"/>
              </w:rPr>
              <m:t>u</m:t>
            </m:r>
          </m:e>
          <m:sub>
            <m:r>
              <w:rPr>
                <w:rFonts w:ascii="Cambria Math" w:hAnsi="Cambria Math"/>
                <w:spacing w:val="6"/>
                <w:szCs w:val="24"/>
              </w:rPr>
              <m:t>wh</m:t>
            </m:r>
          </m:sub>
          <m:sup>
            <m:r>
              <w:rPr>
                <w:rFonts w:ascii="Cambria Math" w:hAnsi="Cambria Math"/>
                <w:spacing w:val="6"/>
                <w:szCs w:val="24"/>
              </w:rPr>
              <m:t>k</m:t>
            </m:r>
          </m:sup>
        </m:sSubSup>
      </m:oMath>
      <w:r w:rsidRPr="006A09A1">
        <w:rPr>
          <w:rFonts w:ascii="Arial" w:hint="eastAsia"/>
          <w:i/>
          <w:spacing w:val="6"/>
          <w:szCs w:val="24"/>
        </w:rPr>
        <w:t xml:space="preserve"> </w:t>
      </w:r>
      <w:r w:rsidRPr="006A09A1">
        <w:rPr>
          <w:szCs w:val="24"/>
        </w:rPr>
        <w:t>is a binary decision variable whose output is depending on its thermodynamic behavior. It is assumed that once</w:t>
      </w:r>
      <w:r w:rsidRPr="006A09A1">
        <w:rPr>
          <w:spacing w:val="10"/>
          <w:szCs w:val="24"/>
        </w:rPr>
        <w:t xml:space="preserve"> </w:t>
      </w:r>
      <w:r w:rsidRPr="006A09A1">
        <w:rPr>
          <w:szCs w:val="24"/>
        </w:rPr>
        <w:t>the clothes</w:t>
      </w:r>
      <w:r w:rsidRPr="006A09A1">
        <w:rPr>
          <w:spacing w:val="-10"/>
          <w:szCs w:val="24"/>
        </w:rPr>
        <w:t xml:space="preserve"> </w:t>
      </w:r>
      <w:r w:rsidRPr="006A09A1">
        <w:rPr>
          <w:szCs w:val="24"/>
        </w:rPr>
        <w:t>washer</w:t>
      </w:r>
      <w:r w:rsidRPr="006A09A1">
        <w:rPr>
          <w:spacing w:val="-10"/>
          <w:szCs w:val="24"/>
        </w:rPr>
        <w:t xml:space="preserve"> </w:t>
      </w:r>
      <w:r w:rsidRPr="006A09A1">
        <w:rPr>
          <w:szCs w:val="24"/>
        </w:rPr>
        <w:t>is</w:t>
      </w:r>
      <w:r w:rsidRPr="006A09A1">
        <w:rPr>
          <w:spacing w:val="-10"/>
          <w:szCs w:val="24"/>
        </w:rPr>
        <w:t xml:space="preserve"> </w:t>
      </w:r>
      <w:r w:rsidRPr="006A09A1">
        <w:rPr>
          <w:szCs w:val="24"/>
        </w:rPr>
        <w:t>in</w:t>
      </w:r>
      <w:r w:rsidRPr="006A09A1">
        <w:rPr>
          <w:spacing w:val="-10"/>
          <w:szCs w:val="24"/>
        </w:rPr>
        <w:t xml:space="preserve"> </w:t>
      </w:r>
      <w:r w:rsidRPr="006A09A1">
        <w:rPr>
          <w:szCs w:val="24"/>
        </w:rPr>
        <w:t>the</w:t>
      </w:r>
      <w:r w:rsidRPr="006A09A1">
        <w:rPr>
          <w:spacing w:val="-10"/>
          <w:szCs w:val="24"/>
        </w:rPr>
        <w:t xml:space="preserve"> </w:t>
      </w:r>
      <w:r w:rsidRPr="006A09A1">
        <w:rPr>
          <w:szCs w:val="24"/>
        </w:rPr>
        <w:t>washing</w:t>
      </w:r>
      <w:r w:rsidRPr="006A09A1">
        <w:rPr>
          <w:spacing w:val="-10"/>
          <w:szCs w:val="24"/>
        </w:rPr>
        <w:t xml:space="preserve"> </w:t>
      </w:r>
      <w:r w:rsidRPr="006A09A1">
        <w:rPr>
          <w:szCs w:val="24"/>
        </w:rPr>
        <w:t>or</w:t>
      </w:r>
      <w:r w:rsidRPr="006A09A1">
        <w:rPr>
          <w:spacing w:val="-10"/>
          <w:szCs w:val="24"/>
        </w:rPr>
        <w:t xml:space="preserve"> </w:t>
      </w:r>
      <w:r w:rsidRPr="006A09A1">
        <w:rPr>
          <w:szCs w:val="24"/>
        </w:rPr>
        <w:t>rinsing</w:t>
      </w:r>
      <w:r w:rsidRPr="006A09A1">
        <w:rPr>
          <w:spacing w:val="-10"/>
          <w:szCs w:val="24"/>
        </w:rPr>
        <w:t xml:space="preserve"> </w:t>
      </w:r>
      <w:r w:rsidRPr="006A09A1">
        <w:rPr>
          <w:szCs w:val="24"/>
        </w:rPr>
        <w:t>phase,</w:t>
      </w:r>
      <w:r w:rsidRPr="006A09A1">
        <w:rPr>
          <w:spacing w:val="-10"/>
          <w:szCs w:val="24"/>
        </w:rPr>
        <w:t xml:space="preserve"> </w:t>
      </w:r>
      <w:r w:rsidRPr="006A09A1">
        <w:rPr>
          <w:szCs w:val="24"/>
        </w:rPr>
        <w:t>i.e.,</w:t>
      </w:r>
      <w:r w:rsidRPr="006A09A1">
        <w:rPr>
          <w:spacing w:val="-9"/>
          <w:szCs w:val="24"/>
        </w:rPr>
        <w:t xml:space="preserve"> </w:t>
      </w:r>
      <m:oMath>
        <m:sSubSup>
          <m:sSubSupPr>
            <m:ctrlPr>
              <w:rPr>
                <w:rFonts w:ascii="Cambria Math" w:hAnsi="Cambria Math"/>
                <w:i/>
                <w:spacing w:val="-9"/>
                <w:szCs w:val="24"/>
              </w:rPr>
            </m:ctrlPr>
          </m:sSubSupPr>
          <m:e>
            <m:r>
              <w:rPr>
                <w:rFonts w:ascii="Cambria Math" w:hAnsi="Cambria Math"/>
                <w:spacing w:val="-9"/>
                <w:szCs w:val="24"/>
              </w:rPr>
              <m:t>x</m:t>
            </m:r>
          </m:e>
          <m:sub>
            <m:r>
              <w:rPr>
                <w:rFonts w:ascii="Cambria Math" w:hAnsi="Cambria Math"/>
                <w:spacing w:val="-9"/>
                <w:szCs w:val="24"/>
              </w:rPr>
              <m:t>cw j</m:t>
            </m:r>
          </m:sub>
          <m:sup>
            <m:r>
              <w:rPr>
                <w:rFonts w:ascii="Cambria Math" w:hAnsi="Cambria Math"/>
                <w:spacing w:val="-9"/>
                <w:szCs w:val="24"/>
              </w:rPr>
              <m:t>k</m:t>
            </m:r>
          </m:sup>
        </m:sSubSup>
        <m:r>
          <w:rPr>
            <w:rFonts w:ascii="Cambria Math" w:hAnsi="Cambria Math"/>
            <w:spacing w:val="-9"/>
            <w:szCs w:val="24"/>
          </w:rPr>
          <m:t>=1</m:t>
        </m:r>
      </m:oMath>
      <w:r w:rsidRPr="006A09A1">
        <w:rPr>
          <w:rFonts w:hint="eastAsia"/>
          <w:spacing w:val="-9"/>
          <w:szCs w:val="24"/>
        </w:rPr>
        <w:t xml:space="preserve"> </w:t>
      </w:r>
      <w:r w:rsidRPr="006A09A1">
        <w:rPr>
          <w:spacing w:val="-9"/>
          <w:szCs w:val="24"/>
        </w:rPr>
        <w:t xml:space="preserve">for </w:t>
      </w:r>
      <m:oMath>
        <m:r>
          <w:rPr>
            <w:rFonts w:ascii="Cambria Math" w:hAnsi="Cambria Math"/>
            <w:spacing w:val="-9"/>
            <w:szCs w:val="24"/>
          </w:rPr>
          <m:t>j =</m:t>
        </m:r>
      </m:oMath>
      <w:r w:rsidRPr="006A09A1">
        <w:rPr>
          <w:rFonts w:hint="eastAsia"/>
          <w:spacing w:val="-9"/>
          <w:szCs w:val="24"/>
        </w:rPr>
        <w:t xml:space="preserve"> washing</w:t>
      </w:r>
      <w:r w:rsidRPr="006A09A1">
        <w:rPr>
          <w:spacing w:val="-9"/>
          <w:szCs w:val="24"/>
        </w:rPr>
        <w:t xml:space="preserve"> or rinsing, the hot water is withdrawn from the </w:t>
      </w:r>
      <w:r w:rsidRPr="006A09A1">
        <w:rPr>
          <w:szCs w:val="24"/>
        </w:rPr>
        <w:t>tank,</w:t>
      </w:r>
      <w:r w:rsidRPr="006A09A1">
        <w:rPr>
          <w:spacing w:val="-12"/>
          <w:szCs w:val="24"/>
        </w:rPr>
        <w:t xml:space="preserve"> </w:t>
      </w:r>
      <w:r w:rsidRPr="006A09A1">
        <w:rPr>
          <w:szCs w:val="24"/>
        </w:rPr>
        <w:t>and</w:t>
      </w:r>
      <w:r w:rsidRPr="006A09A1">
        <w:rPr>
          <w:spacing w:val="-12"/>
          <w:szCs w:val="24"/>
        </w:rPr>
        <w:t xml:space="preserve"> </w:t>
      </w:r>
      <w:r w:rsidRPr="006A09A1">
        <w:rPr>
          <w:szCs w:val="24"/>
        </w:rPr>
        <w:t>the</w:t>
      </w:r>
      <w:r w:rsidRPr="006A09A1">
        <w:rPr>
          <w:spacing w:val="-12"/>
          <w:szCs w:val="24"/>
        </w:rPr>
        <w:t xml:space="preserve"> </w:t>
      </w:r>
      <w:r w:rsidRPr="006A09A1">
        <w:rPr>
          <w:szCs w:val="24"/>
        </w:rPr>
        <w:t>tank</w:t>
      </w:r>
      <w:r w:rsidRPr="006A09A1">
        <w:rPr>
          <w:spacing w:val="-12"/>
          <w:szCs w:val="24"/>
        </w:rPr>
        <w:t xml:space="preserve"> </w:t>
      </w:r>
      <w:r w:rsidRPr="006A09A1">
        <w:rPr>
          <w:szCs w:val="24"/>
        </w:rPr>
        <w:t>is</w:t>
      </w:r>
      <w:r w:rsidRPr="006A09A1">
        <w:rPr>
          <w:spacing w:val="-12"/>
          <w:szCs w:val="24"/>
        </w:rPr>
        <w:t xml:space="preserve"> </w:t>
      </w:r>
      <w:r w:rsidRPr="006A09A1">
        <w:rPr>
          <w:szCs w:val="24"/>
        </w:rPr>
        <w:t>replenished</w:t>
      </w:r>
      <w:r w:rsidRPr="006A09A1">
        <w:rPr>
          <w:spacing w:val="-12"/>
          <w:szCs w:val="24"/>
        </w:rPr>
        <w:t xml:space="preserve"> </w:t>
      </w:r>
      <w:r w:rsidRPr="006A09A1">
        <w:rPr>
          <w:szCs w:val="24"/>
        </w:rPr>
        <w:t>with</w:t>
      </w:r>
      <w:r w:rsidRPr="006A09A1">
        <w:rPr>
          <w:spacing w:val="-12"/>
          <w:szCs w:val="24"/>
        </w:rPr>
        <w:t xml:space="preserve"> </w:t>
      </w:r>
      <w:r w:rsidRPr="006A09A1">
        <w:rPr>
          <w:szCs w:val="24"/>
        </w:rPr>
        <w:t>the</w:t>
      </w:r>
      <w:r w:rsidRPr="006A09A1">
        <w:rPr>
          <w:spacing w:val="-12"/>
          <w:szCs w:val="24"/>
        </w:rPr>
        <w:t xml:space="preserve"> </w:t>
      </w:r>
      <w:r w:rsidRPr="006A09A1">
        <w:rPr>
          <w:szCs w:val="24"/>
        </w:rPr>
        <w:t>same</w:t>
      </w:r>
      <w:r w:rsidRPr="006A09A1">
        <w:rPr>
          <w:spacing w:val="-12"/>
          <w:szCs w:val="24"/>
        </w:rPr>
        <w:t xml:space="preserve"> </w:t>
      </w:r>
      <w:r w:rsidRPr="006A09A1">
        <w:rPr>
          <w:szCs w:val="24"/>
        </w:rPr>
        <w:t>amount</w:t>
      </w:r>
      <w:r w:rsidRPr="006A09A1">
        <w:rPr>
          <w:spacing w:val="-12"/>
          <w:szCs w:val="24"/>
        </w:rPr>
        <w:t xml:space="preserve"> </w:t>
      </w:r>
      <w:r w:rsidRPr="006A09A1">
        <w:rPr>
          <w:szCs w:val="24"/>
        </w:rPr>
        <w:t>of</w:t>
      </w:r>
      <w:r w:rsidRPr="006A09A1">
        <w:rPr>
          <w:spacing w:val="-12"/>
          <w:szCs w:val="24"/>
        </w:rPr>
        <w:t xml:space="preserve"> </w:t>
      </w:r>
      <w:r w:rsidRPr="006A09A1">
        <w:rPr>
          <w:szCs w:val="24"/>
        </w:rPr>
        <w:t>city</w:t>
      </w:r>
      <w:r w:rsidRPr="006A09A1">
        <w:rPr>
          <w:spacing w:val="-12"/>
          <w:szCs w:val="24"/>
        </w:rPr>
        <w:t xml:space="preserve"> </w:t>
      </w:r>
      <w:r w:rsidRPr="006A09A1">
        <w:rPr>
          <w:szCs w:val="24"/>
        </w:rPr>
        <w:t>cold</w:t>
      </w:r>
      <w:r w:rsidRPr="006A09A1">
        <w:rPr>
          <w:spacing w:val="-12"/>
          <w:szCs w:val="24"/>
        </w:rPr>
        <w:t xml:space="preserve"> </w:t>
      </w:r>
      <w:r w:rsidRPr="006A09A1">
        <w:rPr>
          <w:spacing w:val="-3"/>
          <w:szCs w:val="24"/>
        </w:rPr>
        <w:t>water.</w:t>
      </w:r>
      <w:r w:rsidRPr="006A09A1">
        <w:rPr>
          <w:spacing w:val="5"/>
          <w:szCs w:val="24"/>
        </w:rPr>
        <w:t xml:space="preserve"> </w:t>
      </w:r>
      <w:r w:rsidRPr="006A09A1">
        <w:rPr>
          <w:szCs w:val="24"/>
        </w:rPr>
        <w:t>Additionally,</w:t>
      </w:r>
      <w:r w:rsidRPr="006A09A1">
        <w:rPr>
          <w:spacing w:val="-12"/>
          <w:szCs w:val="24"/>
        </w:rPr>
        <w:t xml:space="preserve"> </w:t>
      </w:r>
      <w:r w:rsidRPr="006A09A1">
        <w:rPr>
          <w:spacing w:val="-3"/>
          <w:szCs w:val="24"/>
        </w:rPr>
        <w:t>we</w:t>
      </w:r>
      <w:r w:rsidRPr="006A09A1">
        <w:rPr>
          <w:spacing w:val="-12"/>
          <w:szCs w:val="24"/>
        </w:rPr>
        <w:t xml:space="preserve"> </w:t>
      </w:r>
      <w:r w:rsidRPr="006A09A1">
        <w:rPr>
          <w:szCs w:val="24"/>
        </w:rPr>
        <w:t>assume</w:t>
      </w:r>
      <w:r w:rsidRPr="006A09A1">
        <w:rPr>
          <w:spacing w:val="-12"/>
          <w:szCs w:val="24"/>
        </w:rPr>
        <w:t xml:space="preserve"> </w:t>
      </w:r>
      <w:r w:rsidRPr="006A09A1">
        <w:rPr>
          <w:szCs w:val="24"/>
        </w:rPr>
        <w:t>the</w:t>
      </w:r>
      <w:r w:rsidRPr="006A09A1">
        <w:rPr>
          <w:spacing w:val="-12"/>
          <w:szCs w:val="24"/>
        </w:rPr>
        <w:t xml:space="preserve"> </w:t>
      </w:r>
      <w:r w:rsidRPr="006A09A1">
        <w:rPr>
          <w:szCs w:val="24"/>
        </w:rPr>
        <w:t>water</w:t>
      </w:r>
      <w:r w:rsidRPr="006A09A1">
        <w:rPr>
          <w:spacing w:val="-11"/>
          <w:szCs w:val="24"/>
        </w:rPr>
        <w:t xml:space="preserve"> </w:t>
      </w:r>
      <w:r w:rsidRPr="006A09A1">
        <w:rPr>
          <w:szCs w:val="24"/>
        </w:rPr>
        <w:t>heater</w:t>
      </w:r>
      <w:r w:rsidRPr="006A09A1">
        <w:rPr>
          <w:spacing w:val="-12"/>
          <w:szCs w:val="24"/>
        </w:rPr>
        <w:t xml:space="preserve"> </w:t>
      </w:r>
      <w:r w:rsidRPr="006A09A1">
        <w:rPr>
          <w:szCs w:val="24"/>
        </w:rPr>
        <w:t>is exposed</w:t>
      </w:r>
      <w:r w:rsidRPr="006A09A1">
        <w:rPr>
          <w:spacing w:val="-4"/>
          <w:szCs w:val="24"/>
        </w:rPr>
        <w:t xml:space="preserve"> </w:t>
      </w:r>
      <w:r w:rsidRPr="006A09A1">
        <w:rPr>
          <w:szCs w:val="24"/>
        </w:rPr>
        <w:t>to</w:t>
      </w:r>
      <w:r w:rsidRPr="006A09A1">
        <w:rPr>
          <w:spacing w:val="-3"/>
          <w:szCs w:val="24"/>
        </w:rPr>
        <w:t xml:space="preserve"> </w:t>
      </w:r>
      <w:r w:rsidRPr="006A09A1">
        <w:rPr>
          <w:szCs w:val="24"/>
        </w:rPr>
        <w:t>the</w:t>
      </w:r>
      <w:r w:rsidRPr="006A09A1">
        <w:rPr>
          <w:spacing w:val="-4"/>
          <w:szCs w:val="24"/>
        </w:rPr>
        <w:t xml:space="preserve"> </w:t>
      </w:r>
      <w:r w:rsidRPr="006A09A1">
        <w:rPr>
          <w:szCs w:val="24"/>
        </w:rPr>
        <w:t>indoor</w:t>
      </w:r>
      <w:r w:rsidRPr="006A09A1">
        <w:rPr>
          <w:spacing w:val="-3"/>
          <w:szCs w:val="24"/>
        </w:rPr>
        <w:t xml:space="preserve"> </w:t>
      </w:r>
      <w:r w:rsidRPr="006A09A1">
        <w:rPr>
          <w:szCs w:val="24"/>
        </w:rPr>
        <w:t>air</w:t>
      </w:r>
      <w:r w:rsidRPr="006A09A1">
        <w:rPr>
          <w:spacing w:val="-3"/>
          <w:szCs w:val="24"/>
        </w:rPr>
        <w:t xml:space="preserve"> </w:t>
      </w:r>
      <w:r w:rsidRPr="006A09A1">
        <w:rPr>
          <w:szCs w:val="24"/>
        </w:rPr>
        <w:t>temperature,</w:t>
      </w:r>
      <w:r w:rsidRPr="006A09A1">
        <w:rPr>
          <w:spacing w:val="-3"/>
          <w:szCs w:val="24"/>
        </w:rPr>
        <w:t xml:space="preserve"> </w:t>
      </w:r>
      <w:r w:rsidRPr="006A09A1">
        <w:rPr>
          <w:szCs w:val="24"/>
        </w:rPr>
        <w:t>and</w:t>
      </w:r>
      <w:r w:rsidRPr="006A09A1">
        <w:rPr>
          <w:spacing w:val="-3"/>
          <w:szCs w:val="24"/>
        </w:rPr>
        <w:t xml:space="preserve"> </w:t>
      </w:r>
      <w:r w:rsidRPr="006A09A1">
        <w:rPr>
          <w:szCs w:val="24"/>
        </w:rPr>
        <w:t>the</w:t>
      </w:r>
      <w:r w:rsidRPr="006A09A1">
        <w:rPr>
          <w:spacing w:val="-4"/>
          <w:szCs w:val="24"/>
        </w:rPr>
        <w:t xml:space="preserve"> </w:t>
      </w:r>
      <w:r w:rsidRPr="006A09A1">
        <w:rPr>
          <w:szCs w:val="24"/>
        </w:rPr>
        <w:t>changing</w:t>
      </w:r>
      <w:r w:rsidRPr="006A09A1">
        <w:rPr>
          <w:spacing w:val="-2"/>
          <w:szCs w:val="24"/>
        </w:rPr>
        <w:t xml:space="preserve"> </w:t>
      </w:r>
      <w:r w:rsidRPr="006A09A1">
        <w:rPr>
          <w:szCs w:val="24"/>
        </w:rPr>
        <w:t>indoor</w:t>
      </w:r>
      <w:r w:rsidRPr="006A09A1">
        <w:rPr>
          <w:spacing w:val="-4"/>
          <w:szCs w:val="24"/>
        </w:rPr>
        <w:t xml:space="preserve"> </w:t>
      </w:r>
      <w:r w:rsidRPr="006A09A1">
        <w:rPr>
          <w:szCs w:val="24"/>
        </w:rPr>
        <w:t>air</w:t>
      </w:r>
      <w:r w:rsidRPr="006A09A1">
        <w:rPr>
          <w:spacing w:val="-3"/>
          <w:szCs w:val="24"/>
        </w:rPr>
        <w:t xml:space="preserve"> </w:t>
      </w:r>
      <w:r w:rsidRPr="006A09A1">
        <w:rPr>
          <w:szCs w:val="24"/>
        </w:rPr>
        <w:t>temperature</w:t>
      </w:r>
      <w:r w:rsidRPr="006A09A1">
        <w:rPr>
          <w:spacing w:val="-10"/>
          <w:szCs w:val="24"/>
        </w:rPr>
        <w:t xml:space="preserve"> </w:t>
      </w:r>
      <m:oMath>
        <m:sSub>
          <m:sSubPr>
            <m:ctrlPr>
              <w:rPr>
                <w:rFonts w:ascii="Cambria Math" w:hAnsi="Cambria Math"/>
                <w:i/>
                <w:spacing w:val="-10"/>
                <w:szCs w:val="24"/>
              </w:rPr>
            </m:ctrlPr>
          </m:sSubPr>
          <m:e>
            <m:r>
              <w:rPr>
                <w:rFonts w:ascii="Cambria Math" w:hAnsi="Cambria Math"/>
                <w:spacing w:val="-10"/>
                <w:szCs w:val="24"/>
              </w:rPr>
              <m:t>T</m:t>
            </m:r>
          </m:e>
          <m:sub>
            <m:r>
              <w:rPr>
                <w:rFonts w:ascii="Cambria Math" w:hAnsi="Cambria Math"/>
                <w:spacing w:val="-10"/>
                <w:szCs w:val="24"/>
              </w:rPr>
              <m:t>in</m:t>
            </m:r>
          </m:sub>
        </m:sSub>
      </m:oMath>
      <w:r w:rsidRPr="006A09A1">
        <w:rPr>
          <w:rFonts w:hint="eastAsia"/>
          <w:spacing w:val="-10"/>
          <w:szCs w:val="24"/>
        </w:rPr>
        <w:t xml:space="preserve"> </w:t>
      </w:r>
      <w:r w:rsidRPr="006A09A1">
        <w:rPr>
          <w:szCs w:val="24"/>
        </w:rPr>
        <w:t>influences</w:t>
      </w:r>
      <w:r w:rsidRPr="006A09A1">
        <w:rPr>
          <w:spacing w:val="-3"/>
          <w:szCs w:val="24"/>
        </w:rPr>
        <w:t xml:space="preserve"> </w:t>
      </w:r>
      <w:r w:rsidRPr="006A09A1">
        <w:rPr>
          <w:szCs w:val="24"/>
        </w:rPr>
        <w:t>the</w:t>
      </w:r>
      <w:r w:rsidRPr="006A09A1">
        <w:rPr>
          <w:spacing w:val="-4"/>
          <w:szCs w:val="24"/>
        </w:rPr>
        <w:t xml:space="preserve"> </w:t>
      </w:r>
      <w:r w:rsidRPr="006A09A1">
        <w:rPr>
          <w:szCs w:val="24"/>
        </w:rPr>
        <w:t>thermal</w:t>
      </w:r>
      <w:r w:rsidRPr="006A09A1">
        <w:rPr>
          <w:spacing w:val="-2"/>
          <w:szCs w:val="24"/>
        </w:rPr>
        <w:t xml:space="preserve"> </w:t>
      </w:r>
      <w:r w:rsidRPr="006A09A1">
        <w:rPr>
          <w:szCs w:val="24"/>
        </w:rPr>
        <w:t>leakage</w:t>
      </w:r>
      <w:r w:rsidRPr="006A09A1">
        <w:rPr>
          <w:spacing w:val="-4"/>
          <w:szCs w:val="24"/>
        </w:rPr>
        <w:t xml:space="preserve"> </w:t>
      </w:r>
      <w:r w:rsidRPr="006A09A1">
        <w:rPr>
          <w:szCs w:val="24"/>
        </w:rPr>
        <w:t>of</w:t>
      </w:r>
      <w:r w:rsidRPr="006A09A1">
        <w:rPr>
          <w:spacing w:val="-3"/>
          <w:szCs w:val="24"/>
        </w:rPr>
        <w:t xml:space="preserve"> </w:t>
      </w:r>
      <w:r w:rsidRPr="006A09A1">
        <w:rPr>
          <w:szCs w:val="24"/>
        </w:rPr>
        <w:t>the tank. The modified model is discretized as</w:t>
      </w:r>
      <w:r w:rsidRPr="006A09A1">
        <w:rPr>
          <w:spacing w:val="10"/>
          <w:szCs w:val="24"/>
        </w:rPr>
        <w:t xml:space="preserve"> </w:t>
      </w:r>
      <w:r w:rsidRPr="006A09A1">
        <w:rPr>
          <w:spacing w:val="-3"/>
          <w:szCs w:val="24"/>
        </w:rPr>
        <w:t xml:space="preserve">follow: </w:t>
      </w: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gridCol w:w="1098"/>
      </w:tblGrid>
      <w:tr w:rsidR="00D36DE4" w:rsidRPr="006A09A1" w14:paraId="7F912FDD" w14:textId="77777777" w:rsidTr="004F29F3">
        <w:trPr>
          <w:trHeight w:val="1579"/>
        </w:trPr>
        <w:tc>
          <w:tcPr>
            <w:tcW w:w="7920" w:type="dxa"/>
            <w:vAlign w:val="center"/>
          </w:tcPr>
          <w:p w14:paraId="5CF02BA9" w14:textId="77777777" w:rsidR="00D36DE4" w:rsidRPr="006A09A1" w:rsidRDefault="00000000" w:rsidP="002023DB">
            <w:pPr>
              <w:rPr>
                <w:szCs w:val="24"/>
              </w:rPr>
            </w:pPr>
            <m:oMathPara>
              <m:oMath>
                <m:f>
                  <m:fPr>
                    <m:ctrlPr>
                      <w:rPr>
                        <w:rFonts w:ascii="Cambria Math" w:hAnsi="Cambria Math"/>
                        <w:szCs w:val="24"/>
                      </w:rPr>
                    </m:ctrlPr>
                  </m:fPr>
                  <m:num>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wh</m:t>
                        </m:r>
                      </m:sub>
                      <m:sup>
                        <m:r>
                          <w:rPr>
                            <w:rFonts w:ascii="Cambria Math" w:hAnsi="Cambria Math"/>
                            <w:szCs w:val="24"/>
                          </w:rPr>
                          <m:t>k+1</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wh</m:t>
                        </m:r>
                      </m:sub>
                      <m:sup>
                        <m:r>
                          <w:rPr>
                            <w:rFonts w:ascii="Cambria Math" w:hAnsi="Cambria Math"/>
                            <w:szCs w:val="24"/>
                          </w:rPr>
                          <m:t>k</m:t>
                        </m:r>
                      </m:sup>
                    </m:sSubSup>
                    <m:ctrlPr>
                      <w:rPr>
                        <w:rFonts w:ascii="Cambria Math" w:hAnsi="Cambria Math"/>
                        <w:i/>
                        <w:szCs w:val="24"/>
                      </w:rPr>
                    </m:ctrlPr>
                  </m:num>
                  <m:den>
                    <m:r>
                      <m:rPr>
                        <m:sty m:val="p"/>
                      </m:rPr>
                      <w:rPr>
                        <w:rFonts w:ascii="Cambria Math" w:hAnsi="Cambria Math" w:hint="eastAsia"/>
                        <w:szCs w:val="24"/>
                      </w:rPr>
                      <m:t>Δ</m:t>
                    </m:r>
                    <m:r>
                      <w:rPr>
                        <w:rFonts w:ascii="Cambria Math" w:hAnsi="Cambria Math"/>
                        <w:szCs w:val="24"/>
                      </w:rPr>
                      <m:t>t</m:t>
                    </m:r>
                    <m:ctrlPr>
                      <w:rPr>
                        <w:rFonts w:ascii="Cambria Math" w:hAnsi="Cambria Math"/>
                        <w:i/>
                        <w:szCs w:val="24"/>
                      </w:rPr>
                    </m:ctrlPr>
                  </m:den>
                </m:f>
                <m:r>
                  <w:rPr>
                    <w:rFonts w:ascii="Cambria Math" w:hAnsi="Cambria Math"/>
                    <w:szCs w:val="24"/>
                  </w:rPr>
                  <m:t>=</m:t>
                </m:r>
                <m:f>
                  <m:fPr>
                    <m:ctrlPr>
                      <w:rPr>
                        <w:rFonts w:ascii="Cambria Math" w:hAnsi="Cambria Math"/>
                        <w:szCs w:val="24"/>
                      </w:rPr>
                    </m:ctrlPr>
                  </m:fPr>
                  <m:num>
                    <m:r>
                      <w:rPr>
                        <w:rFonts w:ascii="Cambria Math" w:hAnsi="Cambria Math"/>
                        <w:szCs w:val="24"/>
                      </w:rPr>
                      <m:t>1</m:t>
                    </m:r>
                    <m:ctrlPr>
                      <w:rPr>
                        <w:rFonts w:ascii="Cambria Math" w:hAnsi="Cambria Math"/>
                        <w:i/>
                        <w:szCs w:val="24"/>
                      </w:rPr>
                    </m:ctrlPr>
                  </m:num>
                  <m:den>
                    <m:r>
                      <m:rPr>
                        <m:sty m:val="p"/>
                      </m:rPr>
                      <w:rPr>
                        <w:rFonts w:ascii="Cambria Math" w:hAnsi="Cambria Math"/>
                        <w:szCs w:val="24"/>
                      </w:rPr>
                      <m:t>α</m:t>
                    </m:r>
                    <m:ctrlPr>
                      <w:rPr>
                        <w:rFonts w:ascii="Cambria Math" w:hAnsi="Cambria Math"/>
                        <w:i/>
                        <w:szCs w:val="24"/>
                      </w:rPr>
                    </m:ctrlPr>
                  </m:den>
                </m:f>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A</m:t>
                        </m:r>
                      </m:num>
                      <m:den>
                        <m:r>
                          <w:rPr>
                            <w:rFonts w:ascii="Cambria Math" w:hAnsi="Cambria Math"/>
                            <w:szCs w:val="24"/>
                          </w:rPr>
                          <m:t>R</m:t>
                        </m:r>
                      </m:den>
                    </m:f>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room</m:t>
                            </m:r>
                          </m:sub>
                          <m:sup>
                            <m:r>
                              <w:rPr>
                                <w:rFonts w:ascii="Cambria Math" w:hAnsi="Cambria Math"/>
                                <w:szCs w:val="24"/>
                              </w:rPr>
                              <m:t xml:space="preserve"> </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wh</m:t>
                            </m:r>
                          </m:sub>
                          <m:sup>
                            <m:r>
                              <w:rPr>
                                <w:rFonts w:ascii="Cambria Math" w:hAnsi="Cambria Math"/>
                                <w:szCs w:val="24"/>
                              </w:rPr>
                              <m:t>k</m:t>
                            </m:r>
                          </m:sup>
                        </m:sSubSup>
                      </m:e>
                    </m:d>
                  </m:e>
                </m:d>
                <m:r>
                  <w:rPr>
                    <w:rFonts w:ascii="Cambria Math" w:hAnsi="Cambria Math"/>
                    <w:szCs w:val="24"/>
                  </w:rPr>
                  <m:t>+</m:t>
                </m:r>
                <m:f>
                  <m:fPr>
                    <m:ctrlPr>
                      <w:rPr>
                        <w:rFonts w:ascii="Cambria Math" w:hAnsi="Cambria Math"/>
                        <w:szCs w:val="24"/>
                      </w:rPr>
                    </m:ctrlPr>
                  </m:fPr>
                  <m:num>
                    <m:r>
                      <w:rPr>
                        <w:rFonts w:ascii="Cambria Math" w:hAnsi="Cambria Math"/>
                        <w:szCs w:val="24"/>
                      </w:rPr>
                      <m:t>1</m:t>
                    </m:r>
                    <m:ctrlPr>
                      <w:rPr>
                        <w:rFonts w:ascii="Cambria Math" w:hAnsi="Cambria Math"/>
                        <w:i/>
                        <w:szCs w:val="24"/>
                      </w:rPr>
                    </m:ctrlPr>
                  </m:num>
                  <m:den>
                    <m:r>
                      <w:rPr>
                        <w:rFonts w:ascii="Cambria Math" w:hAnsi="Cambria Math"/>
                        <w:szCs w:val="24"/>
                      </w:rPr>
                      <m:t>V</m:t>
                    </m:r>
                    <m:ctrlPr>
                      <w:rPr>
                        <w:rFonts w:ascii="Cambria Math" w:hAnsi="Cambria Math"/>
                        <w:i/>
                        <w:szCs w:val="24"/>
                      </w:rPr>
                    </m:ctrlPr>
                  </m:den>
                </m:f>
                <m:d>
                  <m:dPr>
                    <m:ctrlPr>
                      <w:rPr>
                        <w:rFonts w:ascii="Cambria Math" w:hAnsi="Cambria Math"/>
                        <w:i/>
                        <w:szCs w:val="24"/>
                      </w:rPr>
                    </m:ctrlPr>
                  </m:dPr>
                  <m:e>
                    <m:nary>
                      <m:naryPr>
                        <m:chr m:val="∑"/>
                        <m:ctrlPr>
                          <w:rPr>
                            <w:rFonts w:ascii="Cambria Math" w:hAnsi="Cambria Math"/>
                            <w:szCs w:val="24"/>
                          </w:rPr>
                        </m:ctrlPr>
                      </m:naryPr>
                      <m:sub>
                        <m:r>
                          <w:rPr>
                            <w:rFonts w:ascii="Cambria Math" w:hAnsi="Cambria Math"/>
                            <w:szCs w:val="24"/>
                          </w:rPr>
                          <m:t>cwj</m:t>
                        </m:r>
                        <m:ctrlPr>
                          <w:rPr>
                            <w:rFonts w:ascii="Cambria Math" w:hAnsi="Cambria Math"/>
                            <w:i/>
                            <w:szCs w:val="24"/>
                          </w:rPr>
                        </m:ctrlPr>
                      </m:sub>
                      <m:sup>
                        <m:sSub>
                          <m:sSubPr>
                            <m:ctrlPr>
                              <w:rPr>
                                <w:rFonts w:ascii="Cambria Math" w:hAnsi="Cambria Math"/>
                                <w:i/>
                                <w:szCs w:val="24"/>
                              </w:rPr>
                            </m:ctrlPr>
                          </m:sSubPr>
                          <m:e>
                            <m:r>
                              <w:rPr>
                                <w:rFonts w:ascii="Cambria Math" w:hAnsi="Cambria Math"/>
                                <w:szCs w:val="24"/>
                              </w:rPr>
                              <m:t>n</m:t>
                            </m:r>
                          </m:e>
                          <m:sub>
                            <m:r>
                              <w:rPr>
                                <w:rFonts w:ascii="Cambria Math" w:hAnsi="Cambria Math"/>
                                <w:szCs w:val="24"/>
                              </w:rPr>
                              <m:t>cw</m:t>
                            </m:r>
                          </m:sub>
                        </m:sSub>
                        <m:ctrlPr>
                          <w:rPr>
                            <w:rFonts w:ascii="Cambria Math" w:hAnsi="Cambria Math"/>
                            <w:i/>
                            <w:szCs w:val="24"/>
                          </w:rPr>
                        </m:ctrlPr>
                      </m:sup>
                      <m:e>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cwj</m:t>
                            </m:r>
                          </m:sub>
                          <m:sup>
                            <m:r>
                              <w:rPr>
                                <w:rFonts w:ascii="Cambria Math" w:hAnsi="Cambria Math"/>
                                <w:szCs w:val="24"/>
                              </w:rPr>
                              <m:t>k</m:t>
                            </m:r>
                          </m:sup>
                        </m:sSubSup>
                        <m:sSub>
                          <m:sSubPr>
                            <m:ctrlPr>
                              <w:rPr>
                                <w:rFonts w:ascii="Cambria Math" w:hAnsi="Cambria Math"/>
                                <w:i/>
                                <w:szCs w:val="24"/>
                              </w:rPr>
                            </m:ctrlPr>
                          </m:sSubPr>
                          <m:e>
                            <m:r>
                              <w:rPr>
                                <w:rFonts w:ascii="Cambria Math" w:hAnsi="Cambria Math"/>
                                <w:szCs w:val="24"/>
                              </w:rPr>
                              <m:t>W</m:t>
                            </m:r>
                          </m:e>
                          <m:sub>
                            <m:r>
                              <w:rPr>
                                <w:rFonts w:ascii="Cambria Math" w:hAnsi="Cambria Math"/>
                                <w:szCs w:val="24"/>
                              </w:rPr>
                              <m:t>cwj</m:t>
                            </m:r>
                          </m:sub>
                        </m:sSub>
                        <m:ctrlPr>
                          <w:rPr>
                            <w:rFonts w:ascii="Cambria Math" w:hAnsi="Cambria Math"/>
                            <w:i/>
                            <w:szCs w:val="24"/>
                          </w:rPr>
                        </m:ctrlPr>
                      </m:e>
                    </m:nary>
                    <m:r>
                      <w:rPr>
                        <w:rFonts w:ascii="Cambria Math" w:hAnsi="Cambria Math"/>
                        <w:szCs w:val="24"/>
                      </w:rPr>
                      <m:t>+</m:t>
                    </m:r>
                    <m:sSubSup>
                      <m:sSubSupPr>
                        <m:ctrlPr>
                          <w:rPr>
                            <w:rFonts w:ascii="Cambria Math" w:hAnsi="Cambria Math"/>
                            <w:i/>
                            <w:szCs w:val="24"/>
                          </w:rPr>
                        </m:ctrlPr>
                      </m:sSubSupPr>
                      <m:e>
                        <m:r>
                          <w:rPr>
                            <w:rFonts w:ascii="Cambria Math" w:hAnsi="Cambria Math"/>
                            <w:szCs w:val="24"/>
                          </w:rPr>
                          <m:t>W</m:t>
                        </m:r>
                      </m:e>
                      <m:sub>
                        <m:r>
                          <w:rPr>
                            <w:rFonts w:ascii="Cambria Math" w:hAnsi="Cambria Math"/>
                            <w:szCs w:val="24"/>
                          </w:rPr>
                          <m:t>wh</m:t>
                        </m:r>
                      </m:sub>
                      <m:sup>
                        <m:r>
                          <w:rPr>
                            <w:rFonts w:ascii="Cambria Math" w:hAnsi="Cambria Math"/>
                            <w:szCs w:val="24"/>
                          </w:rPr>
                          <m:t>k</m:t>
                        </m:r>
                      </m:sup>
                    </m:sSubSup>
                  </m:e>
                </m:d>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inlet</m:t>
                        </m:r>
                      </m:sub>
                    </m:sSub>
                    <m:r>
                      <w:rPr>
                        <w:rFonts w:ascii="Cambria Math" w:hAnsi="Cambria Math"/>
                        <w:szCs w:val="24"/>
                      </w:rPr>
                      <m:t>-</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wh</m:t>
                        </m:r>
                      </m:sub>
                      <m:sup>
                        <m:r>
                          <w:rPr>
                            <w:rFonts w:ascii="Cambria Math" w:hAnsi="Cambria Math"/>
                            <w:szCs w:val="24"/>
                          </w:rPr>
                          <m:t>k</m:t>
                        </m:r>
                      </m:sup>
                    </m:sSubSup>
                  </m:e>
                </m:d>
                <m:r>
                  <w:rPr>
                    <w:rFonts w:ascii="Cambria Math" w:hAnsi="Cambria Math"/>
                    <w:szCs w:val="24"/>
                  </w:rPr>
                  <m:t>+</m:t>
                </m:r>
                <m:f>
                  <m:fPr>
                    <m:ctrlPr>
                      <w:rPr>
                        <w:rFonts w:ascii="Cambria Math" w:hAnsi="Cambria Math"/>
                        <w:szCs w:val="24"/>
                      </w:rPr>
                    </m:ctrlPr>
                  </m:fPr>
                  <m:num>
                    <m:r>
                      <w:rPr>
                        <w:rFonts w:ascii="Cambria Math" w:hAnsi="Cambria Math"/>
                        <w:szCs w:val="24"/>
                      </w:rPr>
                      <m:t>1</m:t>
                    </m:r>
                    <m:ctrlPr>
                      <w:rPr>
                        <w:rFonts w:ascii="Cambria Math" w:hAnsi="Cambria Math"/>
                        <w:i/>
                        <w:szCs w:val="24"/>
                      </w:rPr>
                    </m:ctrlPr>
                  </m:num>
                  <m:den>
                    <m:r>
                      <m:rPr>
                        <m:sty m:val="p"/>
                      </m:rPr>
                      <w:rPr>
                        <w:rFonts w:ascii="Cambria Math" w:hAnsi="Cambria Math"/>
                        <w:szCs w:val="24"/>
                      </w:rPr>
                      <m:t>α</m:t>
                    </m:r>
                    <m:ctrlPr>
                      <w:rPr>
                        <w:rFonts w:ascii="Cambria Math" w:hAnsi="Cambria Math"/>
                        <w:i/>
                        <w:szCs w:val="24"/>
                      </w:rPr>
                    </m:ctrlPr>
                  </m:den>
                </m:f>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P</m:t>
                        </m:r>
                      </m:e>
                      <m:sub>
                        <m:r>
                          <w:rPr>
                            <w:rFonts w:ascii="Cambria Math" w:hAnsi="Cambria Math"/>
                            <w:szCs w:val="24"/>
                          </w:rPr>
                          <m:t>wh</m:t>
                        </m:r>
                      </m:sub>
                    </m:sSub>
                    <m:sSubSup>
                      <m:sSubSupPr>
                        <m:ctrlPr>
                          <w:rPr>
                            <w:rFonts w:ascii="Cambria Math" w:hAnsi="Cambria Math"/>
                            <w:i/>
                            <w:szCs w:val="24"/>
                          </w:rPr>
                        </m:ctrlPr>
                      </m:sSubSupPr>
                      <m:e>
                        <m:r>
                          <w:rPr>
                            <w:rFonts w:ascii="Cambria Math" w:hAnsi="Cambria Math"/>
                            <w:szCs w:val="24"/>
                          </w:rPr>
                          <m:t>u</m:t>
                        </m:r>
                      </m:e>
                      <m:sub>
                        <m:r>
                          <w:rPr>
                            <w:rFonts w:ascii="Cambria Math" w:hAnsi="Cambria Math"/>
                            <w:szCs w:val="24"/>
                          </w:rPr>
                          <m:t>wh</m:t>
                        </m:r>
                      </m:sub>
                      <m:sup>
                        <m:r>
                          <w:rPr>
                            <w:rFonts w:ascii="Cambria Math" w:hAnsi="Cambria Math"/>
                            <w:szCs w:val="24"/>
                          </w:rPr>
                          <m:t>k</m:t>
                        </m:r>
                      </m:sup>
                    </m:sSubSup>
                  </m:e>
                </m:d>
                <m:r>
                  <m:rPr>
                    <m:sty m:val="p"/>
                  </m:rPr>
                  <w:rPr>
                    <w:rFonts w:ascii="Cambria Math" w:hAnsi="Cambria Math"/>
                    <w:szCs w:val="24"/>
                  </w:rPr>
                  <m:t> </m:t>
                </m:r>
                <m:r>
                  <m:rPr>
                    <m:nor/>
                  </m:rPr>
                  <w:rPr>
                    <w:rFonts w:ascii="Cambria Math" w:hAnsi="Cambria Math"/>
                    <w:szCs w:val="24"/>
                  </w:rPr>
                  <m:t xml:space="preserve">for </m:t>
                </m:r>
                <m:r>
                  <w:rPr>
                    <w:rFonts w:ascii="Cambria Math" w:hAnsi="Cambria Math"/>
                    <w:szCs w:val="24"/>
                  </w:rPr>
                  <m:t>k=1,2,</m:t>
                </m:r>
                <m:r>
                  <m:rPr>
                    <m:sty m:val="p"/>
                  </m:rPr>
                  <w:rPr>
                    <w:rFonts w:ascii="Cambria Math" w:hAnsi="Cambria Math" w:hint="eastAsia"/>
                    <w:szCs w:val="24"/>
                  </w:rPr>
                  <m:t>…</m:t>
                </m:r>
                <m:r>
                  <w:rPr>
                    <w:rFonts w:ascii="Cambria Math" w:hAnsi="Cambria Math"/>
                    <w:szCs w:val="24"/>
                  </w:rPr>
                  <m:t>,m-1.</m:t>
                </m:r>
              </m:oMath>
            </m:oMathPara>
          </w:p>
        </w:tc>
        <w:tc>
          <w:tcPr>
            <w:tcW w:w="1098" w:type="dxa"/>
            <w:vAlign w:val="center"/>
          </w:tcPr>
          <w:p w14:paraId="04C7C9B1" w14:textId="07CA380B" w:rsidR="00D36DE4" w:rsidRPr="006A09A1" w:rsidRDefault="00D36DE4" w:rsidP="002023DB">
            <w:pPr>
              <w:rPr>
                <w:szCs w:val="24"/>
              </w:rPr>
            </w:pPr>
            <w:r w:rsidRPr="006A09A1">
              <w:rPr>
                <w:rFonts w:hint="eastAsia"/>
                <w:szCs w:val="24"/>
              </w:rPr>
              <w:t>(</w:t>
            </w:r>
            <w:r w:rsidRPr="006A09A1">
              <w:rPr>
                <w:szCs w:val="24"/>
              </w:rPr>
              <w:fldChar w:fldCharType="begin"/>
            </w:r>
            <w:r w:rsidRPr="006A09A1">
              <w:rPr>
                <w:szCs w:val="24"/>
              </w:rPr>
              <w:instrText>SEQ Equation \* ARABIC</w:instrText>
            </w:r>
            <w:r w:rsidRPr="006A09A1">
              <w:rPr>
                <w:szCs w:val="24"/>
              </w:rPr>
              <w:fldChar w:fldCharType="separate"/>
            </w:r>
            <w:r w:rsidR="000E1725">
              <w:rPr>
                <w:noProof/>
                <w:szCs w:val="24"/>
              </w:rPr>
              <w:t>49</w:t>
            </w:r>
            <w:r w:rsidRPr="006A09A1">
              <w:rPr>
                <w:szCs w:val="24"/>
              </w:rPr>
              <w:fldChar w:fldCharType="end"/>
            </w:r>
            <w:r w:rsidRPr="006A09A1">
              <w:rPr>
                <w:szCs w:val="24"/>
              </w:rPr>
              <w:t>)</w:t>
            </w:r>
          </w:p>
        </w:tc>
      </w:tr>
    </w:tbl>
    <w:p w14:paraId="7FE623B2" w14:textId="41BD5FB9" w:rsidR="00D36DE4" w:rsidRPr="006A09A1" w:rsidRDefault="00D36DE4" w:rsidP="00D36DE4">
      <w:pPr>
        <w:rPr>
          <w:szCs w:val="24"/>
        </w:rPr>
      </w:pPr>
      <w:r w:rsidRPr="006A09A1">
        <w:rPr>
          <w:szCs w:val="24"/>
        </w:rPr>
        <w:t>where</w:t>
      </w:r>
      <m:oMath>
        <m:r>
          <w:rPr>
            <w:rFonts w:ascii="Cambria Math" w:hAnsi="Cambria Math"/>
            <w:szCs w:val="24"/>
          </w:rPr>
          <m:t xml:space="preserve"> </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wh</m:t>
            </m:r>
          </m:sub>
          <m:sup>
            <m:r>
              <w:rPr>
                <w:rFonts w:ascii="Cambria Math" w:hAnsi="Cambria Math"/>
                <w:szCs w:val="24"/>
              </w:rPr>
              <m:t>k</m:t>
            </m:r>
          </m:sup>
        </m:sSubSup>
      </m:oMath>
      <w:r w:rsidRPr="006A09A1">
        <w:rPr>
          <w:szCs w:val="24"/>
        </w:rPr>
        <w:t xml:space="preserve"> is the temperature of the water inside the tank at time slo</w:t>
      </w:r>
      <w:r w:rsidRPr="006A09A1">
        <w:rPr>
          <w:rFonts w:hint="eastAsia"/>
          <w:szCs w:val="24"/>
        </w:rPr>
        <w:t>t</w:t>
      </w:r>
      <w:r w:rsidRPr="006A09A1">
        <w:rPr>
          <w:szCs w:val="24"/>
        </w:rPr>
        <w:t xml:space="preserve"> </w:t>
      </w:r>
      <m:oMath>
        <m:r>
          <w:rPr>
            <w:rFonts w:ascii="Cambria Math" w:hAnsi="Cambria Math"/>
            <w:szCs w:val="24"/>
          </w:rPr>
          <m:t>k</m:t>
        </m:r>
      </m:oMath>
      <w:r w:rsidRPr="006A09A1">
        <w:rPr>
          <w:szCs w:val="24"/>
        </w:rPr>
        <w:t xml:space="preserve">; </w:t>
      </w:r>
      <m:oMath>
        <m:r>
          <w:rPr>
            <w:rFonts w:ascii="Cambria Math" w:hAnsi="Cambria Math"/>
            <w:szCs w:val="24"/>
          </w:rPr>
          <m:t>α</m:t>
        </m:r>
      </m:oMath>
      <w:r w:rsidRPr="006A09A1">
        <w:rPr>
          <w:szCs w:val="24"/>
        </w:rPr>
        <w:t xml:space="preserve"> is the lumped parameter equal to </w:t>
      </w:r>
      <m:oMath>
        <m:r>
          <w:rPr>
            <w:rFonts w:ascii="Cambria Math" w:hAnsi="Cambria Math"/>
            <w:szCs w:val="24"/>
          </w:rPr>
          <m:t>ρ</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r>
          <w:rPr>
            <w:rFonts w:ascii="Cambria Math" w:hAnsi="Cambria Math"/>
            <w:szCs w:val="24"/>
          </w:rPr>
          <m:t>V</m:t>
        </m:r>
      </m:oMath>
      <w:r w:rsidRPr="006A09A1">
        <w:rPr>
          <w:szCs w:val="24"/>
        </w:rPr>
        <w:t xml:space="preserve">; </w:t>
      </w:r>
      <m:oMath>
        <m:r>
          <w:rPr>
            <w:rFonts w:ascii="Cambria Math" w:hAnsi="Cambria Math"/>
            <w:szCs w:val="24"/>
          </w:rPr>
          <m:t>ρ,</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r>
          <w:rPr>
            <w:rFonts w:ascii="Cambria Math" w:hAnsi="Cambria Math"/>
            <w:szCs w:val="24"/>
          </w:rPr>
          <m:t>,V,</m:t>
        </m:r>
      </m:oMath>
      <w:r w:rsidRPr="006A09A1">
        <w:rPr>
          <w:szCs w:val="24"/>
        </w:rPr>
        <w:t xml:space="preserve"> </w:t>
      </w:r>
      <m:oMath>
        <m:r>
          <w:rPr>
            <w:rFonts w:ascii="Cambria Math" w:hAnsi="Cambria Math"/>
            <w:szCs w:val="24"/>
          </w:rPr>
          <m:t>A</m:t>
        </m:r>
      </m:oMath>
      <w:r w:rsidRPr="006A09A1">
        <w:rPr>
          <w:szCs w:val="24"/>
        </w:rPr>
        <w:t xml:space="preserve">, and </w:t>
      </w:r>
      <m:oMath>
        <m:r>
          <w:rPr>
            <w:rFonts w:ascii="Cambria Math" w:hAnsi="Cambria Math"/>
            <w:szCs w:val="24"/>
          </w:rPr>
          <m:t>R</m:t>
        </m:r>
      </m:oMath>
      <w:r w:rsidRPr="006A09A1">
        <w:rPr>
          <w:szCs w:val="24"/>
        </w:rPr>
        <w:t xml:space="preserve"> are the density of water, the specific heat of water, the tank volume, surface area, and its thermal resistance, respectively; In this study, we assume that once the hot water is withdrawn, cold water with temperature </w:t>
      </w: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inlet</m:t>
            </m:r>
          </m:sub>
        </m:sSub>
        <m:r>
          <w:rPr>
            <w:rFonts w:ascii="Cambria Math" w:hAnsi="Cambria Math"/>
            <w:szCs w:val="24"/>
          </w:rPr>
          <m:t xml:space="preserve"> </m:t>
        </m:r>
      </m:oMath>
      <w:r w:rsidRPr="006A09A1">
        <w:rPr>
          <w:szCs w:val="24"/>
        </w:rPr>
        <w:t xml:space="preserve">will enter the </w:t>
      </w:r>
      <w:r w:rsidRPr="006A09A1">
        <w:rPr>
          <w:szCs w:val="24"/>
        </w:rPr>
        <w:lastRenderedPageBreak/>
        <w:t xml:space="preserve">tank, and </w:t>
      </w:r>
      <m:oMath>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room</m:t>
            </m:r>
          </m:sub>
          <m:sup>
            <m:r>
              <w:rPr>
                <w:rFonts w:ascii="Cambria Math" w:hAnsi="Cambria Math"/>
                <w:szCs w:val="24"/>
              </w:rPr>
              <m:t xml:space="preserve"> </m:t>
            </m:r>
          </m:sup>
        </m:sSubSup>
      </m:oMath>
      <w:r w:rsidRPr="006A09A1">
        <w:rPr>
          <w:szCs w:val="24"/>
        </w:rPr>
        <w:t xml:space="preserve"> represents the air temperature of the room that the water heater exposure to, which is a relatively constant value since the water heater usually installed in a utility room instead of living space. </w:t>
      </w:r>
      <m:oMath>
        <m:sSub>
          <m:sSubPr>
            <m:ctrlPr>
              <w:rPr>
                <w:rFonts w:ascii="Cambria Math" w:hAnsi="Cambria Math"/>
                <w:i/>
                <w:szCs w:val="24"/>
              </w:rPr>
            </m:ctrlPr>
          </m:sSubPr>
          <m:e>
            <m:r>
              <w:rPr>
                <w:rFonts w:ascii="Cambria Math" w:hAnsi="Cambria Math"/>
                <w:szCs w:val="24"/>
              </w:rPr>
              <m:t>W</m:t>
            </m:r>
          </m:e>
          <m:sub>
            <m:r>
              <w:rPr>
                <w:rFonts w:ascii="Cambria Math" w:hAnsi="Cambria Math"/>
                <w:szCs w:val="24"/>
              </w:rPr>
              <m:t>cwj</m:t>
            </m:r>
          </m:sub>
        </m:sSub>
      </m:oMath>
      <w:r w:rsidRPr="006A09A1">
        <w:rPr>
          <w:szCs w:val="24"/>
        </w:rPr>
        <w:t xml:space="preserve"> represents the water usage for clothes washer at energy phase </w:t>
      </w:r>
      <m:oMath>
        <m:r>
          <w:rPr>
            <w:rFonts w:ascii="Cambria Math" w:hAnsi="Cambria Math"/>
            <w:szCs w:val="24"/>
          </w:rPr>
          <m:t>j</m:t>
        </m:r>
      </m:oMath>
      <w:r w:rsidRPr="006A09A1">
        <w:rPr>
          <w:szCs w:val="24"/>
        </w:rPr>
        <w:t xml:space="preserve"> and </w:t>
      </w:r>
      <m:oMath>
        <m:sSub>
          <m:sSubPr>
            <m:ctrlPr>
              <w:rPr>
                <w:rFonts w:ascii="Cambria Math" w:hAnsi="Cambria Math"/>
                <w:i/>
                <w:szCs w:val="24"/>
              </w:rPr>
            </m:ctrlPr>
          </m:sSubPr>
          <m:e>
            <m:r>
              <w:rPr>
                <w:rFonts w:ascii="Cambria Math" w:hAnsi="Cambria Math"/>
                <w:szCs w:val="24"/>
              </w:rPr>
              <m:t>W</m:t>
            </m:r>
          </m:e>
          <m:sub>
            <m:r>
              <w:rPr>
                <w:rFonts w:ascii="Cambria Math" w:hAnsi="Cambria Math"/>
                <w:szCs w:val="24"/>
              </w:rPr>
              <m:t>wh</m:t>
            </m:r>
          </m:sub>
        </m:sSub>
      </m:oMath>
      <w:r w:rsidRPr="006A09A1">
        <w:rPr>
          <w:szCs w:val="24"/>
        </w:rPr>
        <w:t xml:space="preserve"> represents a typical water usage in a home, which is further discussed </w:t>
      </w:r>
      <w:r>
        <w:rPr>
          <w:szCs w:val="24"/>
        </w:rPr>
        <w:fldChar w:fldCharType="begin"/>
      </w:r>
      <w:r>
        <w:rPr>
          <w:szCs w:val="24"/>
        </w:rPr>
        <w:instrText xml:space="preserve"> REF _Ref138095439 \n \h </w:instrText>
      </w:r>
      <w:r>
        <w:rPr>
          <w:szCs w:val="24"/>
        </w:rPr>
      </w:r>
      <w:r>
        <w:rPr>
          <w:szCs w:val="24"/>
        </w:rPr>
        <w:fldChar w:fldCharType="separate"/>
      </w:r>
      <w:r w:rsidR="000E1725">
        <w:rPr>
          <w:szCs w:val="24"/>
        </w:rPr>
        <w:t>5.2.4</w:t>
      </w:r>
      <w:r>
        <w:rPr>
          <w:szCs w:val="24"/>
        </w:rPr>
        <w:fldChar w:fldCharType="end"/>
      </w:r>
      <w:r>
        <w:rPr>
          <w:szCs w:val="24"/>
        </w:rPr>
        <w:t xml:space="preserve">. </w:t>
      </w:r>
      <w:r w:rsidRPr="006A09A1">
        <w:rPr>
          <w:szCs w:val="24"/>
        </w:rPr>
        <w:t xml:space="preserve">In addition, like the HVAC system, the water temperature is also regulated within a thermal comfort temperature range, </w:t>
      </w:r>
      <m:oMath>
        <m:sSub>
          <m:sSubPr>
            <m:ctrlPr>
              <w:rPr>
                <w:rFonts w:ascii="Cambria Math" w:hAnsi="Cambria Math"/>
                <w:szCs w:val="24"/>
                <w:vertAlign w:val="subscript"/>
              </w:rPr>
            </m:ctrlPr>
          </m:sSubPr>
          <m:e>
            <m:bar>
              <m:barPr>
                <m:ctrlPr>
                  <w:rPr>
                    <w:rFonts w:ascii="Cambria Math" w:hAnsi="Cambria Math"/>
                    <w:szCs w:val="24"/>
                    <w:vertAlign w:val="subscript"/>
                  </w:rPr>
                </m:ctrlPr>
              </m:barPr>
              <m:e>
                <m:r>
                  <w:rPr>
                    <w:rFonts w:ascii="Cambria Math" w:hAnsi="Cambria Math"/>
                    <w:szCs w:val="24"/>
                    <w:vertAlign w:val="subscript"/>
                  </w:rPr>
                  <m:t>T</m:t>
                </m:r>
              </m:e>
            </m:bar>
          </m:e>
          <m:sub>
            <m:r>
              <m:rPr>
                <m:sty m:val="p"/>
              </m:rPr>
              <w:rPr>
                <w:rFonts w:ascii="Cambria Math" w:hAnsi="Cambria Math"/>
                <w:szCs w:val="24"/>
                <w:vertAlign w:val="subscript"/>
              </w:rPr>
              <m:t>wh</m:t>
            </m:r>
          </m:sub>
        </m:sSub>
      </m:oMath>
      <w:r w:rsidRPr="006A09A1">
        <w:rPr>
          <w:szCs w:val="24"/>
          <w:vertAlign w:val="subscript"/>
        </w:rPr>
        <w:t xml:space="preserve"> </w:t>
      </w:r>
      <w:r w:rsidRPr="006A09A1">
        <w:rPr>
          <w:szCs w:val="24"/>
        </w:rPr>
        <w:t xml:space="preserve">and </w:t>
      </w:r>
      <m:oMath>
        <m:sSub>
          <m:sSubPr>
            <m:ctrlPr>
              <w:rPr>
                <w:rFonts w:ascii="Cambria Math" w:hAnsi="Cambria Math"/>
                <w:i/>
                <w:szCs w:val="24"/>
                <w:vertAlign w:val="subscript"/>
              </w:rPr>
            </m:ctrlPr>
          </m:sSubPr>
          <m:e>
            <m:bar>
              <m:barPr>
                <m:pos m:val="top"/>
                <m:ctrlPr>
                  <w:rPr>
                    <w:rFonts w:ascii="Cambria Math" w:hAnsi="Cambria Math"/>
                    <w:szCs w:val="24"/>
                    <w:vertAlign w:val="subscript"/>
                  </w:rPr>
                </m:ctrlPr>
              </m:barPr>
              <m:e>
                <m:r>
                  <w:rPr>
                    <w:rFonts w:ascii="Cambria Math" w:hAnsi="Cambria Math"/>
                    <w:szCs w:val="24"/>
                    <w:vertAlign w:val="subscript"/>
                  </w:rPr>
                  <m:t>T</m:t>
                </m:r>
              </m:e>
            </m:bar>
            <m:ctrlPr>
              <w:rPr>
                <w:rFonts w:ascii="Cambria Math" w:hAnsi="Cambria Math"/>
                <w:szCs w:val="24"/>
                <w:vertAlign w:val="subscript"/>
              </w:rPr>
            </m:ctrlPr>
          </m:e>
          <m:sub>
            <m:r>
              <w:rPr>
                <w:rFonts w:ascii="Cambria Math" w:hAnsi="Cambria Math"/>
                <w:szCs w:val="24"/>
                <w:vertAlign w:val="subscript"/>
              </w:rPr>
              <m:t>wh</m:t>
            </m:r>
          </m:sub>
        </m:sSub>
      </m:oMath>
      <w:r w:rsidRPr="006A09A1">
        <w:rPr>
          <w:szCs w:val="24"/>
        </w:rPr>
        <w:t xml:space="preserve"> which are assumed to be given:</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260"/>
      </w:tblGrid>
      <w:tr w:rsidR="00D36DE4" w:rsidRPr="006A09A1" w14:paraId="61CC7F7E" w14:textId="77777777" w:rsidTr="004F29F3">
        <w:trPr>
          <w:trHeight w:val="744"/>
        </w:trPr>
        <w:tc>
          <w:tcPr>
            <w:tcW w:w="7740" w:type="dxa"/>
            <w:vAlign w:val="center"/>
          </w:tcPr>
          <w:p w14:paraId="3AF471F4" w14:textId="77777777" w:rsidR="00D36DE4" w:rsidRPr="006A09A1" w:rsidRDefault="00000000" w:rsidP="002023DB">
            <w:pPr>
              <w:rPr>
                <w:szCs w:val="24"/>
              </w:rPr>
            </w:pPr>
            <m:oMathPara>
              <m:oMath>
                <m:sSub>
                  <m:sSubPr>
                    <m:ctrlPr>
                      <w:rPr>
                        <w:rFonts w:ascii="Cambria Math" w:hAnsi="Cambria Math"/>
                        <w:i/>
                        <w:szCs w:val="24"/>
                      </w:rPr>
                    </m:ctrlPr>
                  </m:sSubPr>
                  <m:e>
                    <m:bar>
                      <m:barPr>
                        <m:ctrlPr>
                          <w:rPr>
                            <w:rFonts w:ascii="Cambria Math" w:hAnsi="Cambria Math"/>
                            <w:szCs w:val="24"/>
                          </w:rPr>
                        </m:ctrlPr>
                      </m:barPr>
                      <m:e>
                        <m:r>
                          <w:rPr>
                            <w:rFonts w:ascii="Cambria Math" w:hAnsi="Cambria Math"/>
                            <w:szCs w:val="24"/>
                          </w:rPr>
                          <m:t>T</m:t>
                        </m:r>
                      </m:e>
                    </m:bar>
                  </m:e>
                  <m:sub>
                    <m:r>
                      <w:rPr>
                        <w:rFonts w:ascii="Cambria Math" w:hAnsi="Cambria Math"/>
                        <w:szCs w:val="24"/>
                      </w:rPr>
                      <m:t>wh</m:t>
                    </m:r>
                  </m:sub>
                </m:sSub>
                <m:r>
                  <m:rPr>
                    <m:sty m:val="p"/>
                  </m:rPr>
                  <w:rPr>
                    <w:rFonts w:ascii="Cambria Math" w:hAnsi="Cambria Math" w:hint="eastAsia"/>
                    <w:szCs w:val="24"/>
                  </w:rPr>
                  <m:t>≤</m:t>
                </m:r>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wh</m:t>
                    </m:r>
                  </m:sub>
                  <m:sup>
                    <m:r>
                      <w:rPr>
                        <w:rFonts w:ascii="Cambria Math" w:hAnsi="Cambria Math"/>
                        <w:szCs w:val="24"/>
                      </w:rPr>
                      <m:t>k</m:t>
                    </m:r>
                  </m:sup>
                </m:sSubSup>
                <m:r>
                  <m:rPr>
                    <m:sty m:val="p"/>
                  </m:rPr>
                  <w:rPr>
                    <w:rFonts w:ascii="Cambria Math" w:hAnsi="Cambria Math" w:hint="eastAsia"/>
                    <w:szCs w:val="24"/>
                  </w:rPr>
                  <m:t>≤</m:t>
                </m:r>
                <m:sSub>
                  <m:sSubPr>
                    <m:ctrlPr>
                      <w:rPr>
                        <w:rFonts w:ascii="Cambria Math" w:hAnsi="Cambria Math"/>
                        <w:i/>
                        <w:szCs w:val="24"/>
                      </w:rPr>
                    </m:ctrlPr>
                  </m:sSubPr>
                  <m:e>
                    <m:bar>
                      <m:barPr>
                        <m:pos m:val="top"/>
                        <m:ctrlPr>
                          <w:rPr>
                            <w:rFonts w:ascii="Cambria Math" w:hAnsi="Cambria Math"/>
                            <w:szCs w:val="24"/>
                          </w:rPr>
                        </m:ctrlPr>
                      </m:barPr>
                      <m:e>
                        <m:r>
                          <w:rPr>
                            <w:rFonts w:ascii="Cambria Math" w:hAnsi="Cambria Math"/>
                            <w:szCs w:val="24"/>
                          </w:rPr>
                          <m:t>T</m:t>
                        </m:r>
                      </m:e>
                    </m:bar>
                    <m:ctrlPr>
                      <w:rPr>
                        <w:rFonts w:ascii="Cambria Math" w:hAnsi="Cambria Math"/>
                        <w:szCs w:val="24"/>
                      </w:rPr>
                    </m:ctrlPr>
                  </m:e>
                  <m:sub>
                    <m:r>
                      <w:rPr>
                        <w:rFonts w:ascii="Cambria Math" w:hAnsi="Cambria Math"/>
                        <w:szCs w:val="24"/>
                      </w:rPr>
                      <m:t>wh</m:t>
                    </m:r>
                  </m:sub>
                </m:sSub>
                <m:r>
                  <m:rPr>
                    <m:sty m:val="p"/>
                  </m:rPr>
                  <w:rPr>
                    <w:rFonts w:ascii="Cambria Math" w:hAnsi="Cambria Math"/>
                    <w:szCs w:val="24"/>
                  </w:rPr>
                  <m:t xml:space="preserve">   </m:t>
                </m:r>
                <m:r>
                  <m:rPr>
                    <m:sty m:val="p"/>
                  </m:rPr>
                  <w:rPr>
                    <w:rFonts w:ascii="Cambria Math" w:hAnsi="Cambria Math"/>
                    <w:szCs w:val="24"/>
                    <w:vertAlign w:val="subscript"/>
                  </w:rPr>
                  <m:t>for</m:t>
                </m:r>
                <m:r>
                  <w:rPr>
                    <w:rFonts w:ascii="Cambria Math" w:hAnsi="Cambria Math"/>
                    <w:szCs w:val="24"/>
                    <w:vertAlign w:val="subscript"/>
                  </w:rPr>
                  <m:t xml:space="preserve"> k=1,2,</m:t>
                </m:r>
                <m:r>
                  <m:rPr>
                    <m:sty m:val="p"/>
                  </m:rPr>
                  <w:rPr>
                    <w:rFonts w:ascii="Cambria Math" w:hAnsi="Cambria Math" w:hint="eastAsia"/>
                    <w:szCs w:val="24"/>
                    <w:vertAlign w:val="subscript"/>
                  </w:rPr>
                  <m:t>…</m:t>
                </m:r>
                <m:r>
                  <w:rPr>
                    <w:rFonts w:ascii="Cambria Math" w:hAnsi="Cambria Math"/>
                    <w:szCs w:val="24"/>
                    <w:vertAlign w:val="subscript"/>
                  </w:rPr>
                  <m:t>,m-1.</m:t>
                </m:r>
              </m:oMath>
            </m:oMathPara>
          </w:p>
        </w:tc>
        <w:tc>
          <w:tcPr>
            <w:tcW w:w="1260" w:type="dxa"/>
            <w:vAlign w:val="center"/>
          </w:tcPr>
          <w:p w14:paraId="4EC47515" w14:textId="22EF4293" w:rsidR="00D36DE4" w:rsidRPr="006A09A1" w:rsidRDefault="00D36DE4" w:rsidP="002023DB">
            <w:pPr>
              <w:rPr>
                <w:szCs w:val="24"/>
              </w:rPr>
            </w:pPr>
            <w:r w:rsidRPr="006A09A1">
              <w:rPr>
                <w:rFonts w:hint="eastAsia"/>
                <w:szCs w:val="24"/>
              </w:rPr>
              <w:t>(</w:t>
            </w:r>
            <w:r w:rsidRPr="006A09A1">
              <w:rPr>
                <w:szCs w:val="24"/>
              </w:rPr>
              <w:fldChar w:fldCharType="begin"/>
            </w:r>
            <w:r w:rsidRPr="006A09A1">
              <w:rPr>
                <w:szCs w:val="24"/>
              </w:rPr>
              <w:instrText xml:space="preserve"> </w:instrText>
            </w:r>
            <w:r w:rsidRPr="006A09A1">
              <w:rPr>
                <w:rFonts w:hint="eastAsia"/>
                <w:szCs w:val="24"/>
              </w:rPr>
              <w:instrText>SEQ equation \* ARABIC</w:instrText>
            </w:r>
            <w:r w:rsidRPr="006A09A1">
              <w:rPr>
                <w:szCs w:val="24"/>
              </w:rPr>
              <w:instrText xml:space="preserve"> </w:instrText>
            </w:r>
            <w:r w:rsidRPr="006A09A1">
              <w:rPr>
                <w:szCs w:val="24"/>
              </w:rPr>
              <w:fldChar w:fldCharType="separate"/>
            </w:r>
            <w:r w:rsidR="000E1725">
              <w:rPr>
                <w:noProof/>
                <w:szCs w:val="24"/>
              </w:rPr>
              <w:t>50</w:t>
            </w:r>
            <w:r w:rsidRPr="006A09A1">
              <w:rPr>
                <w:szCs w:val="24"/>
              </w:rPr>
              <w:fldChar w:fldCharType="end"/>
            </w:r>
            <w:r w:rsidRPr="006A09A1">
              <w:rPr>
                <w:szCs w:val="24"/>
              </w:rPr>
              <w:t>)</w:t>
            </w:r>
          </w:p>
        </w:tc>
      </w:tr>
    </w:tbl>
    <w:p w14:paraId="7D43EEF2" w14:textId="77777777" w:rsidR="00D36DE4" w:rsidRPr="006A09A1" w:rsidRDefault="00D36DE4" w:rsidP="00D36DE4">
      <w:pPr>
        <w:rPr>
          <w:b/>
          <w:bCs/>
          <w:szCs w:val="24"/>
        </w:rPr>
      </w:pPr>
    </w:p>
    <w:p w14:paraId="3232A284" w14:textId="35730E68" w:rsidR="00D36DE4" w:rsidRPr="006A09A1" w:rsidRDefault="00D36DE4" w:rsidP="00D36DE4">
      <w:pPr>
        <w:pStyle w:val="Heading3"/>
        <w:rPr>
          <w:szCs w:val="24"/>
        </w:rPr>
      </w:pPr>
      <w:bookmarkStart w:id="386" w:name="_Toc141991736"/>
      <w:r w:rsidRPr="006A09A1">
        <w:rPr>
          <w:szCs w:val="24"/>
        </w:rPr>
        <w:t xml:space="preserve">Grid-tie PV </w:t>
      </w:r>
      <w:r w:rsidR="007A6199">
        <w:rPr>
          <w:szCs w:val="24"/>
        </w:rPr>
        <w:t>s</w:t>
      </w:r>
      <w:r w:rsidRPr="006A09A1">
        <w:rPr>
          <w:szCs w:val="24"/>
        </w:rPr>
        <w:t>ystem</w:t>
      </w:r>
      <w:bookmarkEnd w:id="386"/>
    </w:p>
    <w:p w14:paraId="5B916B4E" w14:textId="77777777" w:rsidR="00D36DE4" w:rsidRPr="006A09A1" w:rsidRDefault="00D36DE4" w:rsidP="00D36DE4">
      <w:pPr>
        <w:rPr>
          <w:szCs w:val="24"/>
        </w:rPr>
      </w:pPr>
      <w:r w:rsidRPr="006A09A1">
        <w:rPr>
          <w:szCs w:val="24"/>
        </w:rPr>
        <w:t>T</w:t>
      </w:r>
      <w:r w:rsidRPr="006A09A1">
        <w:rPr>
          <w:rFonts w:hint="eastAsia"/>
          <w:szCs w:val="24"/>
        </w:rPr>
        <w:t>o</w:t>
      </w:r>
      <w:r w:rsidRPr="006A09A1">
        <w:rPr>
          <w:szCs w:val="24"/>
        </w:rPr>
        <w:t xml:space="preserve"> incorporate the PV panel and the home appliances, we added two more decision variables into the model. </w:t>
      </w:r>
      <m:oMath>
        <m:sSubSup>
          <m:sSubSupPr>
            <m:ctrlPr>
              <w:rPr>
                <w:rFonts w:ascii="Cambria Math" w:hAnsi="Cambria Math"/>
                <w:i/>
                <w:szCs w:val="24"/>
              </w:rPr>
            </m:ctrlPr>
          </m:sSubSupPr>
          <m:e>
            <m:r>
              <w:rPr>
                <w:rFonts w:ascii="Cambria Math" w:hAnsi="Cambria Math"/>
                <w:szCs w:val="24"/>
              </w:rPr>
              <m:t>P</m:t>
            </m:r>
          </m:e>
          <m:sub>
            <m:r>
              <w:rPr>
                <w:rFonts w:ascii="Cambria Math" w:hAnsi="Cambria Math"/>
                <w:szCs w:val="24"/>
              </w:rPr>
              <m:t>pv</m:t>
            </m:r>
          </m:sub>
          <m:sup>
            <m:r>
              <w:rPr>
                <w:rFonts w:ascii="Cambria Math" w:hAnsi="Cambria Math"/>
                <w:szCs w:val="24"/>
              </w:rPr>
              <m:t>k</m:t>
            </m:r>
          </m:sup>
        </m:sSubSup>
      </m:oMath>
      <w:r w:rsidRPr="006A09A1">
        <w:rPr>
          <w:rFonts w:hint="eastAsia"/>
          <w:szCs w:val="24"/>
        </w:rPr>
        <w:t xml:space="preserve"> </w:t>
      </w:r>
      <w:r w:rsidRPr="006A09A1">
        <w:rPr>
          <w:szCs w:val="24"/>
        </w:rPr>
        <w:t xml:space="preserve">denotes the power from the photovoltaic panel array to the home appliances at each time slot, while </w:t>
      </w:r>
      <m:oMath>
        <m:sSubSup>
          <m:sSubSupPr>
            <m:ctrlPr>
              <w:rPr>
                <w:rFonts w:ascii="Cambria Math" w:hAnsi="Cambria Math"/>
                <w:i/>
                <w:szCs w:val="24"/>
              </w:rPr>
            </m:ctrlPr>
          </m:sSubSupPr>
          <m:e>
            <m:r>
              <w:rPr>
                <w:rFonts w:ascii="Cambria Math" w:hAnsi="Cambria Math"/>
                <w:szCs w:val="24"/>
              </w:rPr>
              <m:t>P</m:t>
            </m:r>
          </m:e>
          <m:sub>
            <m:r>
              <w:rPr>
                <w:rFonts w:ascii="Cambria Math" w:hAnsi="Cambria Math"/>
                <w:szCs w:val="24"/>
              </w:rPr>
              <m:t>grid</m:t>
            </m:r>
          </m:sub>
          <m:sup>
            <m:r>
              <w:rPr>
                <w:rFonts w:ascii="Cambria Math" w:hAnsi="Cambria Math"/>
                <w:szCs w:val="24"/>
              </w:rPr>
              <m:t>k</m:t>
            </m:r>
          </m:sup>
        </m:sSubSup>
      </m:oMath>
      <w:r w:rsidRPr="006A09A1">
        <w:rPr>
          <w:rFonts w:hint="eastAsia"/>
          <w:szCs w:val="24"/>
        </w:rPr>
        <w:t xml:space="preserve"> </w:t>
      </w:r>
      <w:r w:rsidRPr="006A09A1">
        <w:rPr>
          <w:szCs w:val="24"/>
        </w:rPr>
        <w:t>denotes the power the homeowner must buy from the gird. In this study, the author assumes the homeowner did not get credits from the grid, implying the homeowner will not sell their energy to the grid. As a result, the grid-tied PV panel model becomes: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7"/>
        <w:gridCol w:w="989"/>
      </w:tblGrid>
      <w:tr w:rsidR="00D36DE4" w:rsidRPr="0094515F" w14:paraId="7F775207" w14:textId="77777777" w:rsidTr="009648F2">
        <w:tc>
          <w:tcPr>
            <w:tcW w:w="8370" w:type="dxa"/>
            <w:vAlign w:val="center"/>
          </w:tcPr>
          <w:p w14:paraId="74CE88DE" w14:textId="4BC8F7D5" w:rsidR="00D36DE4" w:rsidRPr="009648F2" w:rsidRDefault="009648F2" w:rsidP="009648F2">
            <w:pPr>
              <w:pStyle w:val="10Level1Heading"/>
              <w:rPr>
                <w:caps/>
                <w:color w:val="FF0000"/>
              </w:rPr>
            </w:pPr>
            <m:oMathPara>
              <m:oMath>
                <m:r>
                  <m:rPr>
                    <m:sty m:val="p"/>
                  </m:rPr>
                  <m:t>min</m:t>
                </m:r>
                <m:sSub>
                  <m:sSubPr>
                    <m:ctrlPr/>
                  </m:sSubPr>
                  <m:e>
                    <m:r>
                      <m:rPr>
                        <m:sty m:val="p"/>
                      </m:rPr>
                      <m:t>f</m:t>
                    </m:r>
                  </m:e>
                  <m:sub>
                    <m:r>
                      <m:rPr>
                        <m:sty m:val="p"/>
                      </m:rPr>
                      <m:t>cost</m:t>
                    </m:r>
                  </m:sub>
                </m:sSub>
                <m:r>
                  <m:rPr>
                    <m:sty m:val="p"/>
                  </m:rPr>
                  <m:t>=</m:t>
                </m:r>
                <m:nary>
                  <m:naryPr>
                    <m:chr m:val="∑"/>
                    <m:ctrlPr/>
                  </m:naryPr>
                  <m:sub>
                    <m:r>
                      <m:rPr>
                        <m:sty m:val="p"/>
                      </m:rPr>
                      <m:t>k=1</m:t>
                    </m:r>
                  </m:sub>
                  <m:sup>
                    <m:r>
                      <m:rPr>
                        <m:sty m:val="p"/>
                      </m:rPr>
                      <m:t>m</m:t>
                    </m:r>
                  </m:sup>
                  <m:e>
                    <m:sSup>
                      <m:sSupPr>
                        <m:ctrlPr/>
                      </m:sSupPr>
                      <m:e>
                        <m:r>
                          <m:rPr>
                            <m:sty m:val="p"/>
                          </m:rPr>
                          <m:t>c</m:t>
                        </m:r>
                      </m:e>
                      <m:sup>
                        <m:r>
                          <m:rPr>
                            <m:sty m:val="p"/>
                          </m:rPr>
                          <m:t>k</m:t>
                        </m:r>
                      </m:sup>
                    </m:sSup>
                  </m:e>
                </m:nary>
                <m:sSubSup>
                  <m:sSubSupPr>
                    <m:ctrlPr/>
                  </m:sSubSupPr>
                  <m:e>
                    <m:r>
                      <m:rPr>
                        <m:sty m:val="p"/>
                      </m:rPr>
                      <m:t>P</m:t>
                    </m:r>
                  </m:e>
                  <m:sub>
                    <m:r>
                      <m:rPr>
                        <m:sty m:val="p"/>
                      </m:rPr>
                      <m:t>grid</m:t>
                    </m:r>
                  </m:sub>
                  <m:sup>
                    <m:r>
                      <m:rPr>
                        <m:sty m:val="p"/>
                      </m:rPr>
                      <m:t>k</m:t>
                    </m:r>
                  </m:sup>
                </m:sSubSup>
              </m:oMath>
            </m:oMathPara>
          </w:p>
        </w:tc>
        <w:tc>
          <w:tcPr>
            <w:tcW w:w="990" w:type="dxa"/>
            <w:vAlign w:val="center"/>
          </w:tcPr>
          <w:p w14:paraId="32659E51" w14:textId="785E1915" w:rsidR="00D36DE4" w:rsidRPr="0094515F" w:rsidRDefault="00D36DE4" w:rsidP="00146A55">
            <w:pPr>
              <w:pStyle w:val="Caption"/>
              <w:ind w:left="360" w:firstLine="0"/>
              <w:jc w:val="left"/>
              <w:rPr>
                <w:rFonts w:ascii="Times New Roman" w:hAnsi="Times New Roman" w:cs="Times New Roman"/>
                <w:bCs/>
                <w:caps/>
                <w:color w:val="FF0000"/>
                <w:sz w:val="24"/>
                <w:szCs w:val="24"/>
              </w:rPr>
            </w:pPr>
            <w:bookmarkStart w:id="387" w:name="_Ref100508926"/>
            <w:r w:rsidRPr="0094515F">
              <w:rPr>
                <w:rFonts w:ascii="Times New Roman" w:hAnsi="Times New Roman" w:cs="Times New Roman"/>
                <w:bCs/>
                <w:caps/>
                <w:sz w:val="24"/>
                <w:szCs w:val="24"/>
              </w:rPr>
              <w:t>(</w:t>
            </w:r>
            <w:r w:rsidRPr="0094515F">
              <w:rPr>
                <w:rFonts w:ascii="Times New Roman" w:hAnsi="Times New Roman" w:cs="Times New Roman"/>
                <w:bCs/>
                <w:caps/>
                <w:sz w:val="24"/>
                <w:szCs w:val="24"/>
              </w:rPr>
              <w:fldChar w:fldCharType="begin"/>
            </w:r>
            <w:r w:rsidRPr="0094515F">
              <w:rPr>
                <w:rFonts w:ascii="Times New Roman" w:hAnsi="Times New Roman" w:cs="Times New Roman"/>
                <w:bCs/>
                <w:caps/>
                <w:sz w:val="24"/>
                <w:szCs w:val="24"/>
              </w:rPr>
              <w:instrText xml:space="preserve"> SEQ Equation \* ARABIC </w:instrText>
            </w:r>
            <w:r w:rsidRPr="0094515F">
              <w:rPr>
                <w:rFonts w:ascii="Times New Roman" w:hAnsi="Times New Roman" w:cs="Times New Roman"/>
                <w:bCs/>
                <w:caps/>
                <w:sz w:val="24"/>
                <w:szCs w:val="24"/>
              </w:rPr>
              <w:fldChar w:fldCharType="separate"/>
            </w:r>
            <w:r w:rsidR="000E1725">
              <w:rPr>
                <w:rFonts w:ascii="Times New Roman" w:hAnsi="Times New Roman" w:cs="Times New Roman"/>
                <w:bCs/>
                <w:caps/>
                <w:noProof/>
                <w:sz w:val="24"/>
                <w:szCs w:val="24"/>
              </w:rPr>
              <w:t>51</w:t>
            </w:r>
            <w:r w:rsidRPr="0094515F">
              <w:rPr>
                <w:rFonts w:ascii="Times New Roman" w:hAnsi="Times New Roman" w:cs="Times New Roman"/>
                <w:bCs/>
                <w:caps/>
                <w:sz w:val="24"/>
                <w:szCs w:val="24"/>
              </w:rPr>
              <w:fldChar w:fldCharType="end"/>
            </w:r>
            <w:r w:rsidRPr="0094515F">
              <w:rPr>
                <w:rFonts w:ascii="Times New Roman" w:hAnsi="Times New Roman" w:cs="Times New Roman"/>
                <w:bCs/>
                <w:caps/>
                <w:sz w:val="24"/>
                <w:szCs w:val="24"/>
              </w:rPr>
              <w:t>)</w:t>
            </w:r>
            <w:bookmarkEnd w:id="387"/>
          </w:p>
        </w:tc>
      </w:tr>
      <w:tr w:rsidR="00D36DE4" w:rsidRPr="0094515F" w14:paraId="238B3D4B" w14:textId="77777777" w:rsidTr="009648F2">
        <w:tc>
          <w:tcPr>
            <w:tcW w:w="8370" w:type="dxa"/>
            <w:vAlign w:val="center"/>
          </w:tcPr>
          <w:p w14:paraId="1F92D71F" w14:textId="6D65CE9A" w:rsidR="00D36DE4" w:rsidRPr="009648F2" w:rsidRDefault="00000000" w:rsidP="009648F2">
            <w:pPr>
              <w:pStyle w:val="10Level1Heading"/>
              <w:rPr>
                <w:rFonts w:ascii="Calibri" w:hAnsi="Calibri"/>
              </w:rPr>
            </w:pPr>
            <m:oMathPara>
              <m:oMathParaPr>
                <m:jc m:val="center"/>
              </m:oMathParaPr>
              <m:oMath>
                <m:sSubSup>
                  <m:sSubSupPr>
                    <m:ctrlPr/>
                  </m:sSubSupPr>
                  <m:e>
                    <m:r>
                      <m:t>P</m:t>
                    </m:r>
                  </m:e>
                  <m:sub>
                    <m:r>
                      <m:t>grid</m:t>
                    </m:r>
                  </m:sub>
                  <m:sup>
                    <m:r>
                      <m:t>k</m:t>
                    </m:r>
                  </m:sup>
                </m:sSubSup>
                <m:r>
                  <m:rPr>
                    <m:sty m:val="p"/>
                  </m:rPr>
                  <m:t xml:space="preserve"> +</m:t>
                </m:r>
                <m:sSubSup>
                  <m:sSubSupPr>
                    <m:ctrlPr/>
                  </m:sSubSupPr>
                  <m:e>
                    <m:r>
                      <m:t>P</m:t>
                    </m:r>
                  </m:e>
                  <m:sub>
                    <m:r>
                      <m:t>pv</m:t>
                    </m:r>
                  </m:sub>
                  <m:sup>
                    <m:r>
                      <m:t>k</m:t>
                    </m:r>
                  </m:sup>
                </m:sSubSup>
                <m:r>
                  <m:rPr>
                    <m:sty m:val="p"/>
                  </m:rPr>
                  <m:t xml:space="preserve"> = </m:t>
                </m:r>
                <m:d>
                  <m:dPr>
                    <m:ctrlPr/>
                  </m:dPr>
                  <m:e>
                    <m:nary>
                      <m:naryPr>
                        <m:chr m:val="∑"/>
                        <m:ctrlPr/>
                      </m:naryPr>
                      <m:sub>
                        <m:r>
                          <m:t>i</m:t>
                        </m:r>
                        <m:r>
                          <m:rPr>
                            <m:sty m:val="p"/>
                          </m:rPr>
                          <m:t>=1</m:t>
                        </m:r>
                      </m:sub>
                      <m:sup>
                        <m:sSub>
                          <m:sSubPr>
                            <m:ctrlPr/>
                          </m:sSubPr>
                          <m:e>
                            <m:r>
                              <m:t>N</m:t>
                            </m:r>
                          </m:e>
                          <m:sub>
                            <m:r>
                              <m:t>nt</m:t>
                            </m:r>
                          </m:sub>
                        </m:sSub>
                      </m:sup>
                      <m:e>
                        <m:r>
                          <m:rPr>
                            <m:sty m:val="p"/>
                          </m:rPr>
                          <m:t xml:space="preserve"> </m:t>
                        </m:r>
                      </m:e>
                    </m:nary>
                    <m:nary>
                      <m:naryPr>
                        <m:chr m:val="∑"/>
                        <m:ctrlPr/>
                      </m:naryPr>
                      <m:sub>
                        <m:r>
                          <m:t>j</m:t>
                        </m:r>
                        <m:r>
                          <m:rPr>
                            <m:sty m:val="p"/>
                          </m:rPr>
                          <m:t>=1</m:t>
                        </m:r>
                      </m:sub>
                      <m:sup>
                        <m:r>
                          <m:t>nt</m:t>
                        </m:r>
                      </m:sup>
                      <m:e>
                        <m:d>
                          <m:dPr>
                            <m:ctrlPr/>
                          </m:dPr>
                          <m:e>
                            <m:sSubSup>
                              <m:sSubSupPr>
                                <m:ctrlPr/>
                              </m:sSubSupPr>
                              <m:e>
                                <m:r>
                                  <m:t>x</m:t>
                                </m:r>
                              </m:e>
                              <m:sub>
                                <m:r>
                                  <m:t>ij</m:t>
                                </m:r>
                              </m:sub>
                              <m:sup>
                                <m:r>
                                  <m:t>k</m:t>
                                </m:r>
                              </m:sup>
                            </m:sSubSup>
                            <m:sSub>
                              <m:sSubPr>
                                <m:ctrlPr/>
                              </m:sSubPr>
                              <m:e>
                                <m:r>
                                  <m:t>P</m:t>
                                </m:r>
                              </m:e>
                              <m:sub>
                                <m:r>
                                  <m:t>ij</m:t>
                                </m:r>
                              </m:sub>
                            </m:sSub>
                          </m:e>
                        </m:d>
                      </m:e>
                    </m:nary>
                    <m:r>
                      <m:rPr>
                        <m:sty m:val="p"/>
                      </m:rPr>
                      <m:t>+</m:t>
                    </m:r>
                    <m:sSubSup>
                      <m:sSubSupPr>
                        <m:ctrlPr/>
                      </m:sSubSupPr>
                      <m:e>
                        <m:r>
                          <m:t>u</m:t>
                        </m:r>
                      </m:e>
                      <m:sub>
                        <m:r>
                          <m:t>wh</m:t>
                        </m:r>
                      </m:sub>
                      <m:sup>
                        <m:r>
                          <m:t>k</m:t>
                        </m:r>
                      </m:sup>
                    </m:sSubSup>
                    <m:sSub>
                      <m:sSubPr>
                        <m:ctrlPr/>
                      </m:sSubPr>
                      <m:e>
                        <m:r>
                          <m:t>P</m:t>
                        </m:r>
                      </m:e>
                      <m:sub>
                        <m:r>
                          <m:t>wh</m:t>
                        </m:r>
                      </m:sub>
                    </m:sSub>
                    <m:r>
                      <m:rPr>
                        <m:sty m:val="p"/>
                      </m:rPr>
                      <m:t>+</m:t>
                    </m:r>
                    <m:sSubSup>
                      <m:sSubSupPr>
                        <m:ctrlPr/>
                      </m:sSubSupPr>
                      <m:e>
                        <m:r>
                          <m:t>u</m:t>
                        </m:r>
                      </m:e>
                      <m:sub>
                        <m:r>
                          <m:t>hvac</m:t>
                        </m:r>
                      </m:sub>
                      <m:sup>
                        <m:r>
                          <m:t>k</m:t>
                        </m:r>
                      </m:sup>
                    </m:sSubSup>
                    <m:sSub>
                      <m:sSubPr>
                        <m:ctrlPr/>
                      </m:sSubPr>
                      <m:e>
                        <m:sSup>
                          <m:sSupPr>
                            <m:ctrlPr/>
                          </m:sSupPr>
                          <m:e>
                            <m:r>
                              <m:t>P</m:t>
                            </m:r>
                          </m:e>
                          <m:sup>
                            <m:r>
                              <m:t>k</m:t>
                            </m:r>
                          </m:sup>
                        </m:sSup>
                      </m:e>
                      <m:sub>
                        <m:r>
                          <m:t>hvac</m:t>
                        </m:r>
                      </m:sub>
                    </m:sSub>
                  </m:e>
                </m:d>
                <m:r>
                  <m:rPr>
                    <m:sty m:val="p"/>
                  </m:rPr>
                  <m:t>∀</m:t>
                </m:r>
                <m:r>
                  <m:t>k</m:t>
                </m:r>
              </m:oMath>
            </m:oMathPara>
          </w:p>
        </w:tc>
        <w:tc>
          <w:tcPr>
            <w:tcW w:w="990" w:type="dxa"/>
            <w:vAlign w:val="center"/>
          </w:tcPr>
          <w:p w14:paraId="5F538E69" w14:textId="045D9878" w:rsidR="00D36DE4" w:rsidRPr="0094515F" w:rsidRDefault="00D36DE4" w:rsidP="00146A55">
            <w:pPr>
              <w:pStyle w:val="Caption"/>
              <w:ind w:left="360" w:firstLine="0"/>
              <w:jc w:val="left"/>
              <w:rPr>
                <w:rFonts w:ascii="Times New Roman" w:hAnsi="Times New Roman" w:cs="Times New Roman"/>
                <w:bCs/>
                <w:caps/>
                <w:color w:val="FF0000"/>
                <w:sz w:val="24"/>
                <w:szCs w:val="24"/>
              </w:rPr>
            </w:pPr>
            <w:bookmarkStart w:id="388" w:name="_Ref100505529"/>
            <w:r w:rsidRPr="0094515F">
              <w:rPr>
                <w:rFonts w:ascii="Times New Roman" w:hAnsi="Times New Roman" w:cs="Times New Roman"/>
                <w:bCs/>
                <w:caps/>
                <w:sz w:val="24"/>
                <w:szCs w:val="24"/>
              </w:rPr>
              <w:t>(</w:t>
            </w:r>
            <w:r w:rsidRPr="0094515F">
              <w:rPr>
                <w:rFonts w:ascii="Times New Roman" w:hAnsi="Times New Roman" w:cs="Times New Roman"/>
                <w:bCs/>
                <w:caps/>
                <w:sz w:val="24"/>
                <w:szCs w:val="24"/>
              </w:rPr>
              <w:fldChar w:fldCharType="begin"/>
            </w:r>
            <w:r w:rsidRPr="0094515F">
              <w:rPr>
                <w:rFonts w:ascii="Times New Roman" w:hAnsi="Times New Roman" w:cs="Times New Roman"/>
                <w:bCs/>
                <w:caps/>
                <w:sz w:val="24"/>
                <w:szCs w:val="24"/>
              </w:rPr>
              <w:instrText xml:space="preserve"> SEQ Equation \* ARABIC </w:instrText>
            </w:r>
            <w:r w:rsidRPr="0094515F">
              <w:rPr>
                <w:rFonts w:ascii="Times New Roman" w:hAnsi="Times New Roman" w:cs="Times New Roman"/>
                <w:bCs/>
                <w:caps/>
                <w:sz w:val="24"/>
                <w:szCs w:val="24"/>
              </w:rPr>
              <w:fldChar w:fldCharType="separate"/>
            </w:r>
            <w:r w:rsidR="000E1725">
              <w:rPr>
                <w:rFonts w:ascii="Times New Roman" w:hAnsi="Times New Roman" w:cs="Times New Roman"/>
                <w:bCs/>
                <w:caps/>
                <w:noProof/>
                <w:sz w:val="24"/>
                <w:szCs w:val="24"/>
              </w:rPr>
              <w:t>52</w:t>
            </w:r>
            <w:r w:rsidRPr="0094515F">
              <w:rPr>
                <w:rFonts w:ascii="Times New Roman" w:hAnsi="Times New Roman" w:cs="Times New Roman"/>
                <w:bCs/>
                <w:caps/>
                <w:sz w:val="24"/>
                <w:szCs w:val="24"/>
              </w:rPr>
              <w:fldChar w:fldCharType="end"/>
            </w:r>
            <w:r w:rsidRPr="0094515F">
              <w:rPr>
                <w:rFonts w:ascii="Times New Roman" w:hAnsi="Times New Roman" w:cs="Times New Roman"/>
                <w:bCs/>
                <w:caps/>
                <w:sz w:val="24"/>
                <w:szCs w:val="24"/>
              </w:rPr>
              <w:t>)</w:t>
            </w:r>
            <w:bookmarkEnd w:id="388"/>
          </w:p>
        </w:tc>
      </w:tr>
      <w:tr w:rsidR="00D36DE4" w:rsidRPr="0094515F" w14:paraId="4CD2565C" w14:textId="77777777" w:rsidTr="009648F2">
        <w:tc>
          <w:tcPr>
            <w:tcW w:w="8370" w:type="dxa"/>
            <w:vAlign w:val="center"/>
          </w:tcPr>
          <w:p w14:paraId="2FBB3659" w14:textId="55C3118A" w:rsidR="00D36DE4" w:rsidRPr="009648F2" w:rsidRDefault="009648F2" w:rsidP="009648F2">
            <w:pPr>
              <w:pStyle w:val="10Level1Heading"/>
              <w:rPr>
                <w:rFonts w:ascii="Calibri" w:hAnsi="Calibri"/>
              </w:rPr>
            </w:pPr>
            <m:oMathPara>
              <m:oMath>
                <m:r>
                  <m:rPr>
                    <m:sty m:val="p"/>
                  </m:rPr>
                  <m:t>0</m:t>
                </m:r>
                <m:r>
                  <m:rPr>
                    <m:sty m:val="p"/>
                  </m:rPr>
                  <w:rPr>
                    <w:rFonts w:hint="eastAsia"/>
                  </w:rPr>
                  <m:t>≤</m:t>
                </m:r>
                <m:sSubSup>
                  <m:sSubSupPr>
                    <m:ctrlPr/>
                  </m:sSubSupPr>
                  <m:e>
                    <m:r>
                      <m:t>P</m:t>
                    </m:r>
                  </m:e>
                  <m:sub>
                    <m:r>
                      <m:t>pv</m:t>
                    </m:r>
                  </m:sub>
                  <m:sup>
                    <m:r>
                      <m:t>k</m:t>
                    </m:r>
                  </m:sup>
                </m:sSubSup>
                <m:r>
                  <m:rPr>
                    <m:sty m:val="p"/>
                  </m:rPr>
                  <w:rPr>
                    <w:rFonts w:hint="eastAsia"/>
                  </w:rPr>
                  <m:t>≤</m:t>
                </m:r>
                <m:sSubSup>
                  <m:sSubSupPr>
                    <m:ctrlPr/>
                  </m:sSubSupPr>
                  <m:e>
                    <m:r>
                      <m:t>P</m:t>
                    </m:r>
                  </m:e>
                  <m:sub>
                    <m:r>
                      <m:t>max</m:t>
                    </m:r>
                  </m:sub>
                  <m:sup>
                    <m:r>
                      <m:t>k</m:t>
                    </m:r>
                  </m:sup>
                </m:sSubSup>
                <m:r>
                  <m:rPr>
                    <m:sty m:val="p"/>
                  </m:rPr>
                  <m:t xml:space="preserve"> ∀</m:t>
                </m:r>
                <m:r>
                  <m:t>k</m:t>
                </m:r>
              </m:oMath>
            </m:oMathPara>
          </w:p>
        </w:tc>
        <w:tc>
          <w:tcPr>
            <w:tcW w:w="990" w:type="dxa"/>
            <w:vAlign w:val="center"/>
          </w:tcPr>
          <w:p w14:paraId="3C20AE7A" w14:textId="439DF1B0" w:rsidR="00D36DE4" w:rsidRPr="0094515F" w:rsidRDefault="00D36DE4" w:rsidP="00146A55">
            <w:pPr>
              <w:pStyle w:val="Caption"/>
              <w:ind w:left="360" w:firstLine="0"/>
              <w:jc w:val="left"/>
              <w:rPr>
                <w:rFonts w:ascii="Times New Roman" w:hAnsi="Times New Roman" w:cs="Times New Roman"/>
                <w:bCs/>
                <w:caps/>
                <w:color w:val="FF0000"/>
                <w:sz w:val="24"/>
                <w:szCs w:val="24"/>
              </w:rPr>
            </w:pPr>
            <w:bookmarkStart w:id="389" w:name="_Ref100506982"/>
            <w:r w:rsidRPr="0094515F">
              <w:rPr>
                <w:rFonts w:ascii="Times New Roman" w:hAnsi="Times New Roman" w:cs="Times New Roman"/>
                <w:bCs/>
                <w:caps/>
                <w:sz w:val="24"/>
                <w:szCs w:val="24"/>
              </w:rPr>
              <w:t>(</w:t>
            </w:r>
            <w:r w:rsidRPr="0094515F">
              <w:rPr>
                <w:rFonts w:ascii="Times New Roman" w:hAnsi="Times New Roman" w:cs="Times New Roman"/>
                <w:bCs/>
                <w:caps/>
                <w:sz w:val="24"/>
                <w:szCs w:val="24"/>
              </w:rPr>
              <w:fldChar w:fldCharType="begin"/>
            </w:r>
            <w:r w:rsidRPr="0094515F">
              <w:rPr>
                <w:rFonts w:ascii="Times New Roman" w:hAnsi="Times New Roman" w:cs="Times New Roman"/>
                <w:bCs/>
                <w:caps/>
                <w:sz w:val="24"/>
                <w:szCs w:val="24"/>
              </w:rPr>
              <w:instrText xml:space="preserve"> SEQ Equation \* ARABIC </w:instrText>
            </w:r>
            <w:r w:rsidRPr="0094515F">
              <w:rPr>
                <w:rFonts w:ascii="Times New Roman" w:hAnsi="Times New Roman" w:cs="Times New Roman"/>
                <w:bCs/>
                <w:caps/>
                <w:sz w:val="24"/>
                <w:szCs w:val="24"/>
              </w:rPr>
              <w:fldChar w:fldCharType="separate"/>
            </w:r>
            <w:r w:rsidR="000E1725">
              <w:rPr>
                <w:rFonts w:ascii="Times New Roman" w:hAnsi="Times New Roman" w:cs="Times New Roman"/>
                <w:bCs/>
                <w:caps/>
                <w:noProof/>
                <w:sz w:val="24"/>
                <w:szCs w:val="24"/>
              </w:rPr>
              <w:t>53</w:t>
            </w:r>
            <w:r w:rsidRPr="0094515F">
              <w:rPr>
                <w:rFonts w:ascii="Times New Roman" w:hAnsi="Times New Roman" w:cs="Times New Roman"/>
                <w:bCs/>
                <w:caps/>
                <w:sz w:val="24"/>
                <w:szCs w:val="24"/>
              </w:rPr>
              <w:fldChar w:fldCharType="end"/>
            </w:r>
            <w:r w:rsidRPr="0094515F">
              <w:rPr>
                <w:rFonts w:ascii="Times New Roman" w:hAnsi="Times New Roman" w:cs="Times New Roman"/>
                <w:bCs/>
                <w:caps/>
                <w:sz w:val="24"/>
                <w:szCs w:val="24"/>
              </w:rPr>
              <w:t>)</w:t>
            </w:r>
            <w:bookmarkEnd w:id="389"/>
          </w:p>
        </w:tc>
      </w:tr>
      <w:tr w:rsidR="00D36DE4" w:rsidRPr="0094515F" w14:paraId="71CC7788" w14:textId="77777777" w:rsidTr="009648F2">
        <w:tc>
          <w:tcPr>
            <w:tcW w:w="8370" w:type="dxa"/>
            <w:vAlign w:val="center"/>
          </w:tcPr>
          <w:p w14:paraId="3C47F1AC" w14:textId="47C2C020" w:rsidR="00D36DE4" w:rsidRPr="009648F2" w:rsidRDefault="00000000" w:rsidP="009648F2">
            <w:pPr>
              <w:pStyle w:val="10Level1Heading"/>
              <w:rPr>
                <w:rFonts w:ascii="Calibri" w:hAnsi="Calibri"/>
              </w:rPr>
            </w:pPr>
            <m:oMathPara>
              <m:oMathParaPr>
                <m:jc m:val="center"/>
              </m:oMathParaPr>
              <m:oMath>
                <m:sSubSup>
                  <m:sSubSupPr>
                    <m:ctrlPr/>
                  </m:sSubSupPr>
                  <m:e>
                    <m:r>
                      <m:t>P</m:t>
                    </m:r>
                  </m:e>
                  <m:sub>
                    <m:r>
                      <m:t>grid</m:t>
                    </m:r>
                  </m:sub>
                  <m:sup>
                    <m:r>
                      <m:t>k</m:t>
                    </m:r>
                  </m:sup>
                </m:sSubSup>
                <m:r>
                  <m:rPr>
                    <m:sty m:val="p"/>
                  </m:rPr>
                  <m:t xml:space="preserve"> </m:t>
                </m:r>
                <m:r>
                  <m:rPr>
                    <m:sty m:val="p"/>
                  </m:rPr>
                  <w:rPr>
                    <w:rFonts w:hint="eastAsia"/>
                  </w:rPr>
                  <m:t>≥</m:t>
                </m:r>
                <m:r>
                  <m:rPr>
                    <m:sty m:val="p"/>
                  </m:rPr>
                  <m:t>0 ∀</m:t>
                </m:r>
                <m:r>
                  <m:t>k</m:t>
                </m:r>
              </m:oMath>
            </m:oMathPara>
          </w:p>
        </w:tc>
        <w:tc>
          <w:tcPr>
            <w:tcW w:w="990" w:type="dxa"/>
            <w:vAlign w:val="center"/>
          </w:tcPr>
          <w:p w14:paraId="2F0F1CB1" w14:textId="2683D6F9" w:rsidR="00D36DE4" w:rsidRPr="0094515F" w:rsidRDefault="00D36DE4" w:rsidP="00146A55">
            <w:pPr>
              <w:pStyle w:val="Caption"/>
              <w:ind w:left="360" w:firstLine="0"/>
              <w:jc w:val="left"/>
              <w:rPr>
                <w:rFonts w:ascii="Times New Roman" w:hAnsi="Times New Roman" w:cs="Times New Roman"/>
                <w:bCs/>
                <w:caps/>
                <w:color w:val="FF0000"/>
                <w:sz w:val="24"/>
                <w:szCs w:val="24"/>
              </w:rPr>
            </w:pPr>
            <w:bookmarkStart w:id="390" w:name="_Ref101144619"/>
            <w:r w:rsidRPr="0094515F">
              <w:rPr>
                <w:rFonts w:ascii="Times New Roman" w:hAnsi="Times New Roman" w:cs="Times New Roman"/>
                <w:bCs/>
                <w:caps/>
                <w:sz w:val="24"/>
                <w:szCs w:val="24"/>
              </w:rPr>
              <w:t>(</w:t>
            </w:r>
            <w:r w:rsidRPr="0094515F">
              <w:rPr>
                <w:rFonts w:ascii="Times New Roman" w:hAnsi="Times New Roman" w:cs="Times New Roman"/>
                <w:bCs/>
                <w:caps/>
                <w:sz w:val="24"/>
                <w:szCs w:val="24"/>
              </w:rPr>
              <w:fldChar w:fldCharType="begin"/>
            </w:r>
            <w:r w:rsidRPr="0094515F">
              <w:rPr>
                <w:rFonts w:ascii="Times New Roman" w:hAnsi="Times New Roman" w:cs="Times New Roman"/>
                <w:bCs/>
                <w:caps/>
                <w:sz w:val="24"/>
                <w:szCs w:val="24"/>
              </w:rPr>
              <w:instrText xml:space="preserve"> SEQ Equation \* ARABIC </w:instrText>
            </w:r>
            <w:r w:rsidRPr="0094515F">
              <w:rPr>
                <w:rFonts w:ascii="Times New Roman" w:hAnsi="Times New Roman" w:cs="Times New Roman"/>
                <w:bCs/>
                <w:caps/>
                <w:sz w:val="24"/>
                <w:szCs w:val="24"/>
              </w:rPr>
              <w:fldChar w:fldCharType="separate"/>
            </w:r>
            <w:r w:rsidR="000E1725">
              <w:rPr>
                <w:rFonts w:ascii="Times New Roman" w:hAnsi="Times New Roman" w:cs="Times New Roman"/>
                <w:bCs/>
                <w:caps/>
                <w:noProof/>
                <w:sz w:val="24"/>
                <w:szCs w:val="24"/>
              </w:rPr>
              <w:t>54</w:t>
            </w:r>
            <w:r w:rsidRPr="0094515F">
              <w:rPr>
                <w:rFonts w:ascii="Times New Roman" w:hAnsi="Times New Roman" w:cs="Times New Roman"/>
                <w:bCs/>
                <w:caps/>
                <w:sz w:val="24"/>
                <w:szCs w:val="24"/>
              </w:rPr>
              <w:fldChar w:fldCharType="end"/>
            </w:r>
            <w:r w:rsidRPr="0094515F">
              <w:rPr>
                <w:rFonts w:ascii="Times New Roman" w:hAnsi="Times New Roman" w:cs="Times New Roman"/>
                <w:bCs/>
                <w:caps/>
                <w:sz w:val="24"/>
                <w:szCs w:val="24"/>
              </w:rPr>
              <w:t>)</w:t>
            </w:r>
            <w:bookmarkEnd w:id="390"/>
          </w:p>
        </w:tc>
      </w:tr>
    </w:tbl>
    <w:p w14:paraId="4C129650" w14:textId="77777777" w:rsidR="00D36DE4" w:rsidRPr="006A09A1" w:rsidRDefault="00D36DE4" w:rsidP="00D36DE4">
      <w:pPr>
        <w:rPr>
          <w:bCs/>
          <w:szCs w:val="24"/>
        </w:rPr>
      </w:pPr>
    </w:p>
    <w:p w14:paraId="001D6949" w14:textId="55209298" w:rsidR="00D36DE4" w:rsidRPr="006A09A1" w:rsidRDefault="00D36DE4" w:rsidP="00D36DE4">
      <w:pPr>
        <w:rPr>
          <w:szCs w:val="24"/>
        </w:rPr>
      </w:pPr>
      <w:r w:rsidRPr="006A09A1">
        <w:rPr>
          <w:szCs w:val="24"/>
        </w:rPr>
        <w:t xml:space="preserve">Constraint </w:t>
      </w:r>
      <w:r w:rsidRPr="006A09A1">
        <w:rPr>
          <w:szCs w:val="24"/>
        </w:rPr>
        <w:fldChar w:fldCharType="begin"/>
      </w:r>
      <w:r w:rsidRPr="006A09A1">
        <w:rPr>
          <w:szCs w:val="24"/>
        </w:rPr>
        <w:instrText xml:space="preserve"> REF _Ref100505529 \h  \* MERGEFORMAT </w:instrText>
      </w:r>
      <w:r w:rsidRPr="006A09A1">
        <w:rPr>
          <w:szCs w:val="24"/>
        </w:rPr>
      </w:r>
      <w:r w:rsidRPr="006A09A1">
        <w:rPr>
          <w:szCs w:val="24"/>
        </w:rPr>
        <w:fldChar w:fldCharType="separate"/>
      </w:r>
      <w:r w:rsidR="000E1725" w:rsidRPr="000E1725">
        <w:rPr>
          <w:szCs w:val="24"/>
          <w:lang w:eastAsia="en-US"/>
        </w:rPr>
        <w:t>(52)</w:t>
      </w:r>
      <w:r w:rsidRPr="006A09A1">
        <w:rPr>
          <w:szCs w:val="24"/>
        </w:rPr>
        <w:fldChar w:fldCharType="end"/>
      </w:r>
      <w:r w:rsidRPr="006A09A1">
        <w:rPr>
          <w:szCs w:val="24"/>
        </w:rPr>
        <w:t xml:space="preserve"> denotes the energy usage of the appliances comes from either the direct energy from PV or the grid. Constraint </w:t>
      </w:r>
      <w:r w:rsidRPr="006A09A1">
        <w:rPr>
          <w:szCs w:val="24"/>
        </w:rPr>
        <w:fldChar w:fldCharType="begin"/>
      </w:r>
      <w:r w:rsidRPr="006A09A1">
        <w:rPr>
          <w:szCs w:val="24"/>
        </w:rPr>
        <w:instrText xml:space="preserve"> REF _Ref100506982 \h  \* MERGEFORMAT </w:instrText>
      </w:r>
      <w:r w:rsidRPr="006A09A1">
        <w:rPr>
          <w:szCs w:val="24"/>
        </w:rPr>
      </w:r>
      <w:r w:rsidRPr="006A09A1">
        <w:rPr>
          <w:szCs w:val="24"/>
        </w:rPr>
        <w:fldChar w:fldCharType="separate"/>
      </w:r>
      <w:r w:rsidR="000E1725" w:rsidRPr="000E1725">
        <w:rPr>
          <w:szCs w:val="24"/>
          <w:lang w:eastAsia="en-US"/>
        </w:rPr>
        <w:t>(53)</w:t>
      </w:r>
      <w:r w:rsidRPr="006A09A1">
        <w:rPr>
          <w:szCs w:val="24"/>
        </w:rPr>
        <w:fldChar w:fldCharType="end"/>
      </w:r>
      <w:r w:rsidRPr="006A09A1">
        <w:rPr>
          <w:szCs w:val="24"/>
        </w:rPr>
        <w:t xml:space="preserve"> restrict the minimum and maximum amount of energy that PV system can generates. Here, the </w:t>
      </w:r>
      <m:oMath>
        <m:sSubSup>
          <m:sSubSupPr>
            <m:ctrlPr>
              <w:rPr>
                <w:rFonts w:ascii="Cambria Math" w:hAnsi="Cambria Math"/>
                <w:i/>
                <w:szCs w:val="24"/>
              </w:rPr>
            </m:ctrlPr>
          </m:sSubSupPr>
          <m:e>
            <m:r>
              <w:rPr>
                <w:rFonts w:ascii="Cambria Math" w:hAnsi="Cambria Math"/>
                <w:szCs w:val="24"/>
              </w:rPr>
              <m:t>P</m:t>
            </m:r>
            <m:ctrlPr>
              <w:rPr>
                <w:rFonts w:ascii="Cambria Math" w:hAnsi="Cambria Math"/>
                <w:szCs w:val="24"/>
              </w:rPr>
            </m:ctrlPr>
          </m:e>
          <m:sub>
            <m:r>
              <w:rPr>
                <w:rFonts w:ascii="Cambria Math" w:hAnsi="Cambria Math"/>
                <w:szCs w:val="24"/>
              </w:rPr>
              <m:t>max</m:t>
            </m:r>
          </m:sub>
          <m:sup>
            <m:r>
              <w:rPr>
                <w:rFonts w:ascii="Cambria Math" w:hAnsi="Cambria Math"/>
                <w:szCs w:val="24"/>
              </w:rPr>
              <m:t>k</m:t>
            </m:r>
          </m:sup>
        </m:sSubSup>
      </m:oMath>
      <w:r w:rsidRPr="006A09A1">
        <w:rPr>
          <w:rFonts w:hint="eastAsia"/>
          <w:szCs w:val="24"/>
        </w:rPr>
        <w:t xml:space="preserve"> </w:t>
      </w:r>
      <w:r w:rsidRPr="006A09A1">
        <w:rPr>
          <w:szCs w:val="24"/>
        </w:rPr>
        <w:t xml:space="preserve">is generated by using </w:t>
      </w:r>
      <w:r>
        <w:rPr>
          <w:szCs w:val="24"/>
        </w:rPr>
        <w:t>PV power generation forecast</w:t>
      </w:r>
      <w:r w:rsidRPr="006A09A1">
        <w:rPr>
          <w:szCs w:val="24"/>
        </w:rPr>
        <w:t xml:space="preserve"> model described </w:t>
      </w:r>
      <w:r w:rsidRPr="00A0357D">
        <w:rPr>
          <w:szCs w:val="24"/>
        </w:rPr>
        <w:t xml:space="preserve">in </w:t>
      </w:r>
      <w:r w:rsidRPr="00977743">
        <w:rPr>
          <w:szCs w:val="24"/>
        </w:rPr>
        <w:t>Chapter</w:t>
      </w:r>
      <w:r w:rsidR="00A0357D" w:rsidRPr="00977743">
        <w:rPr>
          <w:szCs w:val="24"/>
        </w:rPr>
        <w:t xml:space="preserve"> </w:t>
      </w:r>
      <w:r w:rsidR="00A0357D" w:rsidRPr="00977743">
        <w:rPr>
          <w:szCs w:val="24"/>
        </w:rPr>
        <w:fldChar w:fldCharType="begin"/>
      </w:r>
      <w:r w:rsidR="00A0357D" w:rsidRPr="00977743">
        <w:rPr>
          <w:szCs w:val="24"/>
        </w:rPr>
        <w:instrText xml:space="preserve"> REF _Ref139416841 \n \h </w:instrText>
      </w:r>
      <w:r w:rsidR="00A0357D">
        <w:rPr>
          <w:szCs w:val="24"/>
        </w:rPr>
        <w:instrText xml:space="preserve"> \* MERGEFORMAT </w:instrText>
      </w:r>
      <w:r w:rsidR="00A0357D" w:rsidRPr="00977743">
        <w:rPr>
          <w:szCs w:val="24"/>
        </w:rPr>
      </w:r>
      <w:r w:rsidR="00A0357D" w:rsidRPr="00977743">
        <w:rPr>
          <w:szCs w:val="24"/>
        </w:rPr>
        <w:fldChar w:fldCharType="separate"/>
      </w:r>
      <w:r w:rsidR="000E1725">
        <w:rPr>
          <w:szCs w:val="24"/>
        </w:rPr>
        <w:t>3</w:t>
      </w:r>
      <w:r w:rsidR="00A0357D" w:rsidRPr="00977743">
        <w:rPr>
          <w:szCs w:val="24"/>
        </w:rPr>
        <w:fldChar w:fldCharType="end"/>
      </w:r>
      <w:r w:rsidRPr="00A0357D">
        <w:rPr>
          <w:szCs w:val="24"/>
        </w:rPr>
        <w:t>. Note since</w:t>
      </w:r>
      <w:r w:rsidRPr="006A09A1">
        <w:rPr>
          <w:szCs w:val="24"/>
        </w:rPr>
        <w:t xml:space="preserve"> the energy losses from the inverter and wires has already considered in </w:t>
      </w:r>
      <w:r>
        <w:rPr>
          <w:szCs w:val="24"/>
        </w:rPr>
        <w:t>PV power generation forecast</w:t>
      </w:r>
      <w:r w:rsidRPr="006A09A1">
        <w:rPr>
          <w:szCs w:val="24"/>
        </w:rPr>
        <w:t xml:space="preserve"> model, the author did not put efficiency parameter in </w:t>
      </w:r>
      <w:r>
        <w:rPr>
          <w:szCs w:val="24"/>
        </w:rPr>
        <w:t>the constraints</w:t>
      </w:r>
      <w:r w:rsidRPr="006A09A1">
        <w:rPr>
          <w:szCs w:val="24"/>
        </w:rPr>
        <w:t xml:space="preserve">. Combines the Constraint </w:t>
      </w:r>
      <w:r w:rsidRPr="006A09A1">
        <w:rPr>
          <w:szCs w:val="24"/>
        </w:rPr>
        <w:fldChar w:fldCharType="begin"/>
      </w:r>
      <w:r w:rsidRPr="006A09A1">
        <w:rPr>
          <w:szCs w:val="24"/>
        </w:rPr>
        <w:instrText xml:space="preserve"> REF _Ref101144619 \h  \* MERGEFORMAT </w:instrText>
      </w:r>
      <w:r w:rsidRPr="006A09A1">
        <w:rPr>
          <w:szCs w:val="24"/>
        </w:rPr>
      </w:r>
      <w:r w:rsidRPr="006A09A1">
        <w:rPr>
          <w:szCs w:val="24"/>
        </w:rPr>
        <w:fldChar w:fldCharType="separate"/>
      </w:r>
      <w:r w:rsidR="000E1725" w:rsidRPr="0094515F">
        <w:rPr>
          <w:bCs/>
          <w:caps/>
          <w:szCs w:val="24"/>
        </w:rPr>
        <w:t>(</w:t>
      </w:r>
      <w:r w:rsidR="000E1725">
        <w:rPr>
          <w:bCs/>
          <w:caps/>
          <w:noProof/>
          <w:szCs w:val="24"/>
        </w:rPr>
        <w:t>54</w:t>
      </w:r>
      <w:r w:rsidR="000E1725" w:rsidRPr="0094515F">
        <w:rPr>
          <w:bCs/>
          <w:caps/>
          <w:szCs w:val="24"/>
        </w:rPr>
        <w:t>)</w:t>
      </w:r>
      <w:r w:rsidRPr="006A09A1">
        <w:rPr>
          <w:szCs w:val="24"/>
        </w:rPr>
        <w:fldChar w:fldCharType="end"/>
      </w:r>
      <w:r w:rsidRPr="006A09A1">
        <w:rPr>
          <w:szCs w:val="24"/>
        </w:rPr>
        <w:t xml:space="preserve"> and the left-hand side in Constraint </w:t>
      </w:r>
      <w:r w:rsidRPr="006A09A1">
        <w:rPr>
          <w:szCs w:val="24"/>
        </w:rPr>
        <w:fldChar w:fldCharType="begin"/>
      </w:r>
      <w:r w:rsidRPr="006A09A1">
        <w:rPr>
          <w:szCs w:val="24"/>
        </w:rPr>
        <w:instrText xml:space="preserve"> REF _Ref100505529 \h  \* MERGEFORMAT </w:instrText>
      </w:r>
      <w:r w:rsidRPr="006A09A1">
        <w:rPr>
          <w:szCs w:val="24"/>
        </w:rPr>
      </w:r>
      <w:r w:rsidRPr="006A09A1">
        <w:rPr>
          <w:szCs w:val="24"/>
        </w:rPr>
        <w:fldChar w:fldCharType="separate"/>
      </w:r>
      <w:r w:rsidR="000E1725" w:rsidRPr="0094515F">
        <w:rPr>
          <w:bCs/>
          <w:caps/>
          <w:szCs w:val="24"/>
        </w:rPr>
        <w:t>(</w:t>
      </w:r>
      <w:r w:rsidR="000E1725">
        <w:rPr>
          <w:bCs/>
          <w:caps/>
          <w:noProof/>
          <w:szCs w:val="24"/>
        </w:rPr>
        <w:t>52</w:t>
      </w:r>
      <w:r w:rsidR="000E1725" w:rsidRPr="0094515F">
        <w:rPr>
          <w:bCs/>
          <w:caps/>
          <w:szCs w:val="24"/>
        </w:rPr>
        <w:t>)</w:t>
      </w:r>
      <w:r w:rsidRPr="006A09A1">
        <w:rPr>
          <w:szCs w:val="24"/>
        </w:rPr>
        <w:fldChar w:fldCharType="end"/>
      </w:r>
      <w:r w:rsidRPr="006A09A1">
        <w:rPr>
          <w:szCs w:val="24"/>
        </w:rPr>
        <w:t xml:space="preserve">, if the PV panel generates more energy than the home appliances needed, the excess part will be wasted. In fact, </w:t>
      </w:r>
      <w:r>
        <w:rPr>
          <w:szCs w:val="24"/>
        </w:rPr>
        <w:t>t</w:t>
      </w:r>
      <w:r w:rsidRPr="006A09A1">
        <w:rPr>
          <w:szCs w:val="24"/>
        </w:rPr>
        <w:t>he following inequality constraint</w:t>
      </w:r>
      <w:r>
        <w:rPr>
          <w:szCs w:val="24"/>
        </w:rPr>
        <w:t xml:space="preserve"> is considered</w:t>
      </w:r>
      <w:r w:rsidRPr="006A09A1">
        <w:rPr>
          <w:szCs w:val="24"/>
        </w:rPr>
        <w:t>:</w:t>
      </w:r>
      <w:r w:rsidR="009648F2">
        <w:rPr>
          <w:szCs w:val="24"/>
        </w:rPr>
        <w:t xml:space="preserve"> </w:t>
      </w:r>
      <w:r w:rsidRPr="006A09A1">
        <w:rPr>
          <w:szCs w:val="24"/>
        </w:rPr>
        <w:t xml:space="preserve"> </w:t>
      </w:r>
      <m:oMath>
        <m:r>
          <w:rPr>
            <w:rFonts w:ascii="Cambria Math" w:hAnsi="Cambria Math"/>
            <w:szCs w:val="24"/>
          </w:rPr>
          <m:t>0</m:t>
        </m:r>
        <m:r>
          <m:rPr>
            <m:sty m:val="p"/>
          </m:rPr>
          <w:rPr>
            <w:rFonts w:ascii="Cambria Math" w:hAnsi="Cambria Math" w:hint="eastAsia"/>
            <w:szCs w:val="24"/>
          </w:rPr>
          <m:t>≤</m:t>
        </m:r>
        <m:sSubSup>
          <m:sSubSupPr>
            <m:ctrlPr>
              <w:rPr>
                <w:rFonts w:ascii="Cambria Math" w:hAnsi="Cambria Math"/>
                <w:i/>
                <w:szCs w:val="24"/>
              </w:rPr>
            </m:ctrlPr>
          </m:sSubSupPr>
          <m:e>
            <m:r>
              <w:rPr>
                <w:rFonts w:ascii="Cambria Math" w:hAnsi="Cambria Math"/>
                <w:szCs w:val="24"/>
              </w:rPr>
              <m:t>P</m:t>
            </m:r>
          </m:e>
          <m:sub>
            <m:r>
              <w:rPr>
                <w:rFonts w:ascii="Cambria Math" w:hAnsi="Cambria Math"/>
                <w:szCs w:val="24"/>
              </w:rPr>
              <m:t>pv</m:t>
            </m:r>
          </m:sub>
          <m:sup>
            <m:r>
              <w:rPr>
                <w:rFonts w:ascii="Cambria Math" w:hAnsi="Cambria Math"/>
                <w:szCs w:val="24"/>
              </w:rPr>
              <m:t>k</m:t>
            </m:r>
          </m:sup>
        </m:sSubSup>
        <m:r>
          <w:rPr>
            <w:rFonts w:ascii="Cambria Math"/>
            <w:szCs w:val="24"/>
          </w:rPr>
          <m:t xml:space="preserve"> </m:t>
        </m:r>
        <m:r>
          <m:rPr>
            <m:sty m:val="p"/>
          </m:rPr>
          <w:rPr>
            <w:rFonts w:ascii="Cambria Math" w:hint="eastAsia"/>
            <w:szCs w:val="24"/>
          </w:rPr>
          <m:t>≤</m:t>
        </m:r>
        <m:r>
          <w:rPr>
            <w:rFonts w:ascii="Cambria Math"/>
            <w:szCs w:val="24"/>
          </w:rPr>
          <m:t xml:space="preserve">min </m:t>
        </m:r>
        <m:r>
          <m:rPr>
            <m:lit/>
          </m:rPr>
          <w:rPr>
            <w:rFonts w:ascii="Cambria Math"/>
            <w:szCs w:val="24"/>
          </w:rPr>
          <m:t>{</m:t>
        </m:r>
        <m:sSubSup>
          <m:sSubSupPr>
            <m:ctrlPr>
              <w:rPr>
                <w:rFonts w:ascii="Cambria Math" w:hAnsi="Cambria Math"/>
                <w:i/>
                <w:szCs w:val="24"/>
              </w:rPr>
            </m:ctrlPr>
          </m:sSubSupPr>
          <m:e>
            <m:r>
              <w:rPr>
                <w:rFonts w:ascii="Cambria Math" w:hAnsi="Cambria Math"/>
                <w:szCs w:val="24"/>
              </w:rPr>
              <m:t>P</m:t>
            </m:r>
            <m:ctrlPr>
              <w:rPr>
                <w:rFonts w:ascii="Cambria Math" w:hAnsi="Cambria Math"/>
                <w:szCs w:val="24"/>
              </w:rPr>
            </m:ctrlPr>
          </m:e>
          <m:sub>
            <m:r>
              <w:rPr>
                <w:rFonts w:ascii="Cambria Math" w:hAnsi="Cambria Math"/>
                <w:szCs w:val="24"/>
              </w:rPr>
              <m:t>max</m:t>
            </m:r>
          </m:sub>
          <m:sup>
            <m:r>
              <w:rPr>
                <w:rFonts w:ascii="Cambria Math" w:hAnsi="Cambria Math"/>
                <w:szCs w:val="24"/>
              </w:rPr>
              <m:t>k</m:t>
            </m:r>
          </m:sup>
        </m:sSubSup>
        <m:r>
          <w:rPr>
            <w:rFonts w:ascii="Cambria Math"/>
            <w:szCs w:val="24"/>
          </w:rPr>
          <m:t xml:space="preserve">, </m:t>
        </m:r>
        <m:d>
          <m:dPr>
            <m:ctrlPr>
              <w:rPr>
                <w:rFonts w:ascii="Cambria Math" w:hAnsi="Cambria Math"/>
                <w:i/>
                <w:szCs w:val="24"/>
              </w:rPr>
            </m:ctrlPr>
          </m:dPr>
          <m:e>
            <m:nary>
              <m:naryPr>
                <m:chr m:val="∑"/>
                <m:ctrlPr>
                  <w:rPr>
                    <w:rFonts w:ascii="Cambria Math" w:hAnsi="Cambria Math"/>
                    <w:szCs w:val="24"/>
                  </w:rPr>
                </m:ctrlPr>
              </m:naryPr>
              <m:sub>
                <m:r>
                  <w:rPr>
                    <w:rFonts w:ascii="Cambria Math" w:hAnsi="Cambria Math"/>
                    <w:szCs w:val="24"/>
                  </w:rPr>
                  <m:t>i=1</m:t>
                </m:r>
                <m:ctrlPr>
                  <w:rPr>
                    <w:rFonts w:ascii="Cambria Math" w:hAnsi="Cambria Math"/>
                    <w:i/>
                    <w:szCs w:val="24"/>
                  </w:rPr>
                </m:ctrlPr>
              </m:sub>
              <m:sup>
                <m:sSub>
                  <m:sSubPr>
                    <m:ctrlPr>
                      <w:rPr>
                        <w:rFonts w:ascii="Cambria Math" w:hAnsi="Cambria Math"/>
                        <w:i/>
                        <w:szCs w:val="24"/>
                      </w:rPr>
                    </m:ctrlPr>
                  </m:sSubPr>
                  <m:e>
                    <m:r>
                      <w:rPr>
                        <w:rFonts w:ascii="Cambria Math" w:hAnsi="Cambria Math"/>
                        <w:szCs w:val="24"/>
                      </w:rPr>
                      <m:t>N</m:t>
                    </m:r>
                  </m:e>
                  <m:sub>
                    <m:r>
                      <w:rPr>
                        <w:rFonts w:ascii="Cambria Math" w:hAnsi="Cambria Math"/>
                        <w:szCs w:val="24"/>
                      </w:rPr>
                      <m:t>nt</m:t>
                    </m:r>
                  </m:sub>
                </m:sSub>
                <m:ctrlPr>
                  <w:rPr>
                    <w:rFonts w:ascii="Cambria Math" w:hAnsi="Cambria Math"/>
                    <w:i/>
                    <w:szCs w:val="24"/>
                  </w:rPr>
                </m:ctrlPr>
              </m:sup>
              <m:e>
                <m:r>
                  <w:rPr>
                    <w:rFonts w:ascii="Cambria Math" w:hAnsi="Cambria Math"/>
                    <w:szCs w:val="24"/>
                  </w:rPr>
                  <m:t xml:space="preserve"> </m:t>
                </m:r>
                <m:ctrlPr>
                  <w:rPr>
                    <w:rFonts w:ascii="Cambria Math" w:hAnsi="Cambria Math"/>
                    <w:i/>
                    <w:szCs w:val="24"/>
                  </w:rPr>
                </m:ctrlPr>
              </m:e>
            </m:nary>
            <m:nary>
              <m:naryPr>
                <m:chr m:val="∑"/>
                <m:ctrlPr>
                  <w:rPr>
                    <w:rFonts w:ascii="Cambria Math" w:hAnsi="Cambria Math"/>
                    <w:szCs w:val="24"/>
                  </w:rPr>
                </m:ctrlPr>
              </m:naryPr>
              <m:sub>
                <m:r>
                  <w:rPr>
                    <w:rFonts w:ascii="Cambria Math" w:hAnsi="Cambria Math"/>
                    <w:szCs w:val="24"/>
                  </w:rPr>
                  <m:t>j=1</m:t>
                </m:r>
                <m:ctrlPr>
                  <w:rPr>
                    <w:rFonts w:ascii="Cambria Math" w:hAnsi="Cambria Math"/>
                    <w:i/>
                    <w:szCs w:val="24"/>
                  </w:rPr>
                </m:ctrlPr>
              </m:sub>
              <m:sup>
                <m:r>
                  <w:rPr>
                    <w:rFonts w:ascii="Cambria Math" w:hAnsi="Cambria Math"/>
                    <w:szCs w:val="24"/>
                  </w:rPr>
                  <m:t>nt</m:t>
                </m:r>
                <m:ctrlPr>
                  <w:rPr>
                    <w:rFonts w:ascii="Cambria Math" w:hAnsi="Cambria Math"/>
                    <w:i/>
                    <w:szCs w:val="24"/>
                  </w:rPr>
                </m:ctrlPr>
              </m:sup>
              <m:e>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ij</m:t>
                        </m:r>
                      </m:sub>
                      <m:sup>
                        <m:r>
                          <w:rPr>
                            <w:rFonts w:ascii="Cambria Math" w:hAnsi="Cambria Math"/>
                            <w:szCs w:val="24"/>
                          </w:rPr>
                          <m:t>k</m:t>
                        </m:r>
                      </m:sup>
                    </m:sSubSup>
                    <m:sSub>
                      <m:sSubPr>
                        <m:ctrlPr>
                          <w:rPr>
                            <w:rFonts w:ascii="Cambria Math" w:hAnsi="Cambria Math"/>
                            <w:i/>
                            <w:szCs w:val="24"/>
                          </w:rPr>
                        </m:ctrlPr>
                      </m:sSubPr>
                      <m:e>
                        <m:r>
                          <w:rPr>
                            <w:rFonts w:ascii="Cambria Math" w:hAnsi="Cambria Math"/>
                            <w:szCs w:val="24"/>
                          </w:rPr>
                          <m:t>P</m:t>
                        </m:r>
                      </m:e>
                      <m:sub>
                        <m:r>
                          <w:rPr>
                            <w:rFonts w:ascii="Cambria Math" w:hAnsi="Cambria Math"/>
                            <w:szCs w:val="24"/>
                          </w:rPr>
                          <m:t>ij</m:t>
                        </m:r>
                      </m:sub>
                    </m:sSub>
                  </m:e>
                </m:d>
                <m:ctrlPr>
                  <w:rPr>
                    <w:rFonts w:ascii="Cambria Math" w:hAnsi="Cambria Math"/>
                    <w:i/>
                    <w:szCs w:val="24"/>
                  </w:rPr>
                </m:ctrlPr>
              </m:e>
            </m:nary>
            <m:r>
              <w:rPr>
                <w:rFonts w:ascii="Cambria Math" w:hAnsi="Cambria Math"/>
                <w:szCs w:val="24"/>
              </w:rPr>
              <m:t>+</m:t>
            </m:r>
            <m:sSubSup>
              <m:sSubSupPr>
                <m:ctrlPr>
                  <w:rPr>
                    <w:rFonts w:ascii="Cambria Math" w:hAnsi="Cambria Math"/>
                    <w:i/>
                    <w:szCs w:val="24"/>
                  </w:rPr>
                </m:ctrlPr>
              </m:sSubSupPr>
              <m:e>
                <m:r>
                  <w:rPr>
                    <w:rFonts w:ascii="Cambria Math" w:hAnsi="Cambria Math"/>
                    <w:szCs w:val="24"/>
                  </w:rPr>
                  <m:t>u</m:t>
                </m:r>
              </m:e>
              <m:sub>
                <m:r>
                  <w:rPr>
                    <w:rFonts w:ascii="Cambria Math" w:hAnsi="Cambria Math"/>
                    <w:szCs w:val="24"/>
                  </w:rPr>
                  <m:t>wh</m:t>
                </m:r>
              </m:sub>
              <m:sup>
                <m:r>
                  <w:rPr>
                    <w:rFonts w:ascii="Cambria Math" w:hAnsi="Cambria Math"/>
                    <w:szCs w:val="24"/>
                  </w:rPr>
                  <m:t>k</m:t>
                </m:r>
              </m:sup>
            </m:sSubSup>
            <m:sSub>
              <m:sSubPr>
                <m:ctrlPr>
                  <w:rPr>
                    <w:rFonts w:ascii="Cambria Math" w:hAnsi="Cambria Math"/>
                    <w:i/>
                    <w:szCs w:val="24"/>
                  </w:rPr>
                </m:ctrlPr>
              </m:sSubPr>
              <m:e>
                <m:r>
                  <w:rPr>
                    <w:rFonts w:ascii="Cambria Math" w:hAnsi="Cambria Math"/>
                    <w:szCs w:val="24"/>
                  </w:rPr>
                  <m:t>P</m:t>
                </m:r>
              </m:e>
              <m:sub>
                <m:r>
                  <w:rPr>
                    <w:rFonts w:ascii="Cambria Math" w:hAnsi="Cambria Math"/>
                    <w:szCs w:val="24"/>
                  </w:rPr>
                  <m:t>wh</m:t>
                </m:r>
              </m:sub>
            </m:sSub>
            <m:r>
              <w:rPr>
                <w:rFonts w:ascii="Cambria Math" w:hAnsi="Cambria Math"/>
                <w:szCs w:val="24"/>
              </w:rPr>
              <m:t>+</m:t>
            </m:r>
            <m:sSubSup>
              <m:sSubSupPr>
                <m:ctrlPr>
                  <w:rPr>
                    <w:rFonts w:ascii="Cambria Math" w:hAnsi="Cambria Math"/>
                    <w:i/>
                    <w:szCs w:val="24"/>
                  </w:rPr>
                </m:ctrlPr>
              </m:sSubSupPr>
              <m:e>
                <m:r>
                  <w:rPr>
                    <w:rFonts w:ascii="Cambria Math" w:hAnsi="Cambria Math"/>
                    <w:szCs w:val="24"/>
                  </w:rPr>
                  <m:t>u</m:t>
                </m:r>
              </m:e>
              <m:sub>
                <m:r>
                  <w:rPr>
                    <w:rFonts w:ascii="Cambria Math" w:hAnsi="Cambria Math"/>
                    <w:szCs w:val="24"/>
                  </w:rPr>
                  <m:t>hvac</m:t>
                </m:r>
              </m:sub>
              <m:sup>
                <m:r>
                  <w:rPr>
                    <w:rFonts w:ascii="Cambria Math" w:hAnsi="Cambria Math"/>
                    <w:szCs w:val="24"/>
                  </w:rPr>
                  <m:t>k</m:t>
                </m:r>
              </m:sup>
            </m:sSubSup>
            <m:sSub>
              <m:sSubPr>
                <m:ctrlPr>
                  <w:rPr>
                    <w:rFonts w:ascii="Cambria Math" w:hAnsi="Cambria Math"/>
                    <w:i/>
                    <w:szCs w:val="24"/>
                  </w:rPr>
                </m:ctrlPr>
              </m:sSubPr>
              <m:e>
                <m:sSup>
                  <m:sSupPr>
                    <m:ctrlPr>
                      <w:rPr>
                        <w:rFonts w:ascii="Cambria Math" w:hAnsi="Cambria Math"/>
                        <w:i/>
                        <w:szCs w:val="24"/>
                      </w:rPr>
                    </m:ctrlPr>
                  </m:sSupPr>
                  <m:e>
                    <m:r>
                      <w:rPr>
                        <w:rFonts w:ascii="Cambria Math" w:hAnsi="Cambria Math"/>
                        <w:szCs w:val="24"/>
                      </w:rPr>
                      <m:t>P</m:t>
                    </m:r>
                  </m:e>
                  <m:sup>
                    <m:r>
                      <w:rPr>
                        <w:rFonts w:ascii="Cambria Math" w:hAnsi="Cambria Math"/>
                        <w:szCs w:val="24"/>
                      </w:rPr>
                      <m:t>k</m:t>
                    </m:r>
                  </m:sup>
                </m:sSup>
              </m:e>
              <m:sub>
                <m:r>
                  <w:rPr>
                    <w:rFonts w:ascii="Cambria Math" w:hAnsi="Cambria Math"/>
                    <w:szCs w:val="24"/>
                  </w:rPr>
                  <m:t>hvac</m:t>
                </m:r>
              </m:sub>
            </m:sSub>
          </m:e>
        </m:d>
      </m:oMath>
      <w:r w:rsidRPr="006A09A1">
        <w:rPr>
          <w:rFonts w:hint="eastAsia"/>
          <w:szCs w:val="24"/>
        </w:rPr>
        <w:t>.</w:t>
      </w:r>
      <w:r w:rsidRPr="006A09A1">
        <w:rPr>
          <w:szCs w:val="24"/>
        </w:rPr>
        <w:t xml:space="preserve"> Note, since the PV panel generates energy, the utility bill calculation is different from baseline model. In this model, the cost depends on the </w:t>
      </w:r>
      <m:oMath>
        <m:sSubSup>
          <m:sSubSupPr>
            <m:ctrlPr>
              <w:rPr>
                <w:rFonts w:ascii="Cambria Math" w:hAnsi="Cambria Math"/>
                <w:iCs/>
                <w:szCs w:val="24"/>
              </w:rPr>
            </m:ctrlPr>
          </m:sSubSupPr>
          <m:e>
            <m:r>
              <m:rPr>
                <m:sty m:val="p"/>
              </m:rPr>
              <w:rPr>
                <w:rFonts w:ascii="Cambria Math" w:hAnsi="Cambria Math"/>
                <w:szCs w:val="24"/>
              </w:rPr>
              <m:t>P</m:t>
            </m:r>
          </m:e>
          <m:sub>
            <m:r>
              <m:rPr>
                <m:sty m:val="p"/>
              </m:rPr>
              <w:rPr>
                <w:rFonts w:ascii="Cambria Math" w:hAnsi="Cambria Math"/>
                <w:szCs w:val="24"/>
              </w:rPr>
              <m:t>grid</m:t>
            </m:r>
          </m:sub>
          <m:sup>
            <m:r>
              <m:rPr>
                <m:sty m:val="p"/>
              </m:rPr>
              <w:rPr>
                <w:rFonts w:ascii="Cambria Math" w:hAnsi="Cambria Math"/>
                <w:szCs w:val="24"/>
              </w:rPr>
              <m:t>k</m:t>
            </m:r>
          </m:sup>
        </m:sSubSup>
      </m:oMath>
      <w:r w:rsidRPr="006A09A1">
        <w:rPr>
          <w:szCs w:val="24"/>
        </w:rPr>
        <w:t xml:space="preserve"> and the utility rate in different time step (Constraint </w:t>
      </w:r>
      <w:r w:rsidRPr="006A09A1">
        <w:rPr>
          <w:szCs w:val="24"/>
        </w:rPr>
        <w:fldChar w:fldCharType="begin"/>
      </w:r>
      <w:r w:rsidRPr="006A09A1">
        <w:rPr>
          <w:szCs w:val="24"/>
        </w:rPr>
        <w:instrText xml:space="preserve"> REF _Ref100508926 \h  \* MERGEFORMAT </w:instrText>
      </w:r>
      <w:r w:rsidRPr="006A09A1">
        <w:rPr>
          <w:szCs w:val="24"/>
        </w:rPr>
      </w:r>
      <w:r w:rsidRPr="006A09A1">
        <w:rPr>
          <w:szCs w:val="24"/>
        </w:rPr>
        <w:fldChar w:fldCharType="separate"/>
      </w:r>
      <w:r w:rsidR="000E1725" w:rsidRPr="000E1725">
        <w:rPr>
          <w:szCs w:val="24"/>
          <w:lang w:eastAsia="en-US"/>
        </w:rPr>
        <w:t>(51)</w:t>
      </w:r>
      <w:r w:rsidRPr="006A09A1">
        <w:rPr>
          <w:szCs w:val="24"/>
        </w:rPr>
        <w:fldChar w:fldCharType="end"/>
      </w:r>
      <w:r w:rsidRPr="006A09A1">
        <w:rPr>
          <w:szCs w:val="24"/>
        </w:rPr>
        <w:t xml:space="preserve">). Here we assume the power flow for each equipment is constant during each time slot, hence </w:t>
      </w:r>
      <m:oMath>
        <m:sSup>
          <m:sSupPr>
            <m:ctrlPr>
              <w:rPr>
                <w:rFonts w:ascii="Cambria Math" w:hAnsi="Cambria Math"/>
                <w:i/>
                <w:szCs w:val="24"/>
              </w:rPr>
            </m:ctrlPr>
          </m:sSupPr>
          <m:e>
            <m:r>
              <w:rPr>
                <w:rFonts w:ascii="Cambria Math" w:hAnsi="Cambria Math"/>
                <w:szCs w:val="24"/>
              </w:rPr>
              <m:t>c</m:t>
            </m:r>
          </m:e>
          <m:sup>
            <m:r>
              <w:rPr>
                <w:rFonts w:ascii="Cambria Math" w:hAnsi="Cambria Math"/>
                <w:szCs w:val="24"/>
              </w:rPr>
              <m:t>k</m:t>
            </m:r>
          </m:sup>
        </m:sSup>
        <m:r>
          <w:rPr>
            <w:rFonts w:ascii="Cambria Math" w:hAnsi="Cambria Math"/>
            <w:szCs w:val="24"/>
          </w:rPr>
          <m:t xml:space="preserve"> </m:t>
        </m:r>
      </m:oMath>
      <w:r w:rsidRPr="006A09A1">
        <w:rPr>
          <w:szCs w:val="24"/>
        </w:rPr>
        <w:t xml:space="preserve">is not only the utility rate ($/kWh), but the utility rate per time interval. </w:t>
      </w:r>
    </w:p>
    <w:p w14:paraId="035CD06B" w14:textId="77777777" w:rsidR="00D36DE4" w:rsidRPr="006A09A1" w:rsidRDefault="00D36DE4" w:rsidP="00D36DE4">
      <w:pPr>
        <w:pStyle w:val="Heading3"/>
        <w:rPr>
          <w:szCs w:val="24"/>
        </w:rPr>
      </w:pPr>
      <w:bookmarkStart w:id="391" w:name="_Toc141991737"/>
      <w:r w:rsidRPr="006A09A1">
        <w:rPr>
          <w:szCs w:val="24"/>
        </w:rPr>
        <w:lastRenderedPageBreak/>
        <w:t>Hybrid PV system with AC battery</w:t>
      </w:r>
      <w:bookmarkEnd w:id="391"/>
    </w:p>
    <w:p w14:paraId="1AB44382" w14:textId="77777777" w:rsidR="00D36DE4" w:rsidRPr="006A09A1" w:rsidRDefault="00D36DE4" w:rsidP="00D36DE4">
      <w:pPr>
        <w:rPr>
          <w:szCs w:val="24"/>
        </w:rPr>
      </w:pPr>
      <w:r w:rsidRPr="006A09A1">
        <w:rPr>
          <w:szCs w:val="24"/>
        </w:rPr>
        <w:t xml:space="preserve">The second integration model in this study is the hybrid PV system. Here, we will assume that a hybrid inverter is available to transfer energy from the PV system to the home or to (with-)draw energy from the AC battery. In this case, at each time step k, the home appliances have three distinct energy sources: the direct PV panel generation </w:t>
      </w:r>
      <m:oMath>
        <m:sSubSup>
          <m:sSubSupPr>
            <m:ctrlPr>
              <w:rPr>
                <w:rFonts w:ascii="Cambria Math" w:hAnsi="Cambria Math"/>
                <w:i/>
                <w:szCs w:val="24"/>
              </w:rPr>
            </m:ctrlPr>
          </m:sSubSupPr>
          <m:e>
            <m:r>
              <w:rPr>
                <w:rFonts w:ascii="Cambria Math" w:hAnsi="Cambria Math"/>
                <w:szCs w:val="24"/>
              </w:rPr>
              <m:t>P</m:t>
            </m:r>
          </m:e>
          <m:sub>
            <m:r>
              <w:rPr>
                <w:rFonts w:ascii="Cambria Math" w:hAnsi="Cambria Math"/>
                <w:szCs w:val="24"/>
              </w:rPr>
              <m:t>p</m:t>
            </m:r>
            <m:sSub>
              <m:sSubPr>
                <m:ctrlPr>
                  <w:rPr>
                    <w:rFonts w:ascii="Cambria Math" w:hAnsi="Cambria Math"/>
                    <w:i/>
                    <w:szCs w:val="24"/>
                  </w:rPr>
                </m:ctrlPr>
              </m:sSubPr>
              <m:e>
                <m:r>
                  <w:rPr>
                    <w:rFonts w:ascii="Cambria Math" w:hAnsi="Cambria Math"/>
                    <w:szCs w:val="24"/>
                  </w:rPr>
                  <m:t>v</m:t>
                </m:r>
              </m:e>
              <m:sub>
                <m:r>
                  <w:rPr>
                    <w:rFonts w:ascii="Cambria Math" w:hAnsi="Cambria Math"/>
                    <w:szCs w:val="24"/>
                  </w:rPr>
                  <m:t>toload</m:t>
                </m:r>
              </m:sub>
            </m:sSub>
          </m:sub>
          <m:sup>
            <m:r>
              <w:rPr>
                <w:rFonts w:ascii="Cambria Math" w:hAnsi="Cambria Math"/>
                <w:szCs w:val="24"/>
              </w:rPr>
              <m:t>k</m:t>
            </m:r>
          </m:sup>
        </m:sSubSup>
      </m:oMath>
      <w:r w:rsidRPr="006A09A1">
        <w:rPr>
          <w:szCs w:val="24"/>
        </w:rPr>
        <w:t xml:space="preserve">, the energy buying from the gird </w:t>
      </w:r>
      <m:oMath>
        <m:sSubSup>
          <m:sSubSupPr>
            <m:ctrlPr>
              <w:rPr>
                <w:rFonts w:ascii="Cambria Math" w:hAnsi="Cambria Math"/>
                <w:iCs/>
                <w:szCs w:val="24"/>
              </w:rPr>
            </m:ctrlPr>
          </m:sSubSupPr>
          <m:e>
            <m:r>
              <m:rPr>
                <m:sty m:val="p"/>
              </m:rPr>
              <w:rPr>
                <w:rFonts w:ascii="Cambria Math" w:hAnsi="Cambria Math"/>
                <w:szCs w:val="24"/>
              </w:rPr>
              <m:t>P</m:t>
            </m:r>
          </m:e>
          <m:sub>
            <m:r>
              <m:rPr>
                <m:sty m:val="p"/>
              </m:rPr>
              <w:rPr>
                <w:rFonts w:ascii="Cambria Math" w:hAnsi="Cambria Math"/>
                <w:szCs w:val="24"/>
              </w:rPr>
              <m:t>grid</m:t>
            </m:r>
          </m:sub>
          <m:sup>
            <m:r>
              <m:rPr>
                <m:sty m:val="p"/>
              </m:rPr>
              <w:rPr>
                <w:rFonts w:ascii="Cambria Math" w:hAnsi="Cambria Math"/>
                <w:szCs w:val="24"/>
              </w:rPr>
              <m:t>k</m:t>
            </m:r>
          </m:sup>
        </m:sSubSup>
      </m:oMath>
      <w:r w:rsidRPr="006A09A1">
        <w:rPr>
          <w:szCs w:val="24"/>
        </w:rPr>
        <w:t xml:space="preserve">, and the possible battery discharge </w:t>
      </w:r>
      <m:oMath>
        <m:sSubSup>
          <m:sSubSupPr>
            <m:ctrlPr>
              <w:rPr>
                <w:rFonts w:ascii="Cambria Math" w:hAnsi="Cambria Math"/>
                <w:szCs w:val="24"/>
              </w:rPr>
            </m:ctrlPr>
          </m:sSubSupPr>
          <m:e>
            <m:r>
              <w:rPr>
                <w:rFonts w:ascii="Cambria Math" w:hAnsi="Cambria Math"/>
                <w:szCs w:val="24"/>
              </w:rPr>
              <m:t>P</m:t>
            </m:r>
          </m:e>
          <m:sub>
            <m:r>
              <w:rPr>
                <w:rFonts w:ascii="Cambria Math" w:hAnsi="Cambria Math"/>
                <w:szCs w:val="24"/>
              </w:rPr>
              <m:t>dis</m:t>
            </m:r>
          </m:sub>
          <m:sup>
            <m:r>
              <w:rPr>
                <w:rFonts w:ascii="Cambria Math" w:hAnsi="Cambria Math"/>
                <w:szCs w:val="24"/>
              </w:rPr>
              <m:t>k</m:t>
            </m:r>
          </m:sup>
        </m:sSubSup>
      </m:oMath>
      <w:r w:rsidRPr="006A09A1">
        <w:rPr>
          <w:szCs w:val="24"/>
        </w:rPr>
        <w:t xml:space="preserve">. </w:t>
      </w:r>
      <w:r w:rsidRPr="006A09A1">
        <w:rPr>
          <w:rFonts w:hint="eastAsia"/>
          <w:szCs w:val="24"/>
        </w:rPr>
        <w:t>Th</w:t>
      </w:r>
      <w:r w:rsidRPr="006A09A1">
        <w:rPr>
          <w:szCs w:val="24"/>
        </w:rPr>
        <w:t xml:space="preserve">e following model illustrates such power flow between the house (all appliances), the PV, the battery, and the grid:  </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40"/>
      </w:tblGrid>
      <w:tr w:rsidR="00D36DE4" w:rsidRPr="006A09A1" w14:paraId="6BA85292" w14:textId="77777777" w:rsidTr="004F29F3">
        <w:trPr>
          <w:trHeight w:val="1030"/>
        </w:trPr>
        <w:tc>
          <w:tcPr>
            <w:tcW w:w="7560" w:type="dxa"/>
            <w:vAlign w:val="center"/>
          </w:tcPr>
          <w:p w14:paraId="108EA1A4" w14:textId="77777777" w:rsidR="00D36DE4" w:rsidRPr="006A09A1" w:rsidRDefault="00D36DE4" w:rsidP="002023DB">
            <w:pPr>
              <w:pStyle w:val="BodyTextIndent"/>
              <w:ind w:left="480"/>
              <w:jc w:val="center"/>
              <w:rPr>
                <w:szCs w:val="24"/>
              </w:rPr>
            </w:pPr>
            <m:oMathPara>
              <m:oMath>
                <m:r>
                  <m:rPr>
                    <m:sty m:val="p"/>
                  </m:rPr>
                  <w:rPr>
                    <w:rFonts w:ascii="Cambria Math" w:hAnsi="Cambria Math"/>
                    <w:szCs w:val="24"/>
                  </w:rPr>
                  <m:t xml:space="preserve">min </m:t>
                </m:r>
                <m:sSub>
                  <m:sSubPr>
                    <m:ctrlPr>
                      <w:rPr>
                        <w:rFonts w:ascii="Cambria Math" w:hAnsi="Cambria Math"/>
                        <w:iCs/>
                        <w:szCs w:val="24"/>
                      </w:rPr>
                    </m:ctrlPr>
                  </m:sSubPr>
                  <m:e>
                    <m:r>
                      <m:rPr>
                        <m:sty m:val="p"/>
                      </m:rPr>
                      <w:rPr>
                        <w:rFonts w:ascii="Cambria Math" w:hAnsi="Cambria Math"/>
                        <w:szCs w:val="24"/>
                      </w:rPr>
                      <m:t>f</m:t>
                    </m:r>
                  </m:e>
                  <m:sub>
                    <m:r>
                      <m:rPr>
                        <m:sty m:val="p"/>
                      </m:rPr>
                      <w:rPr>
                        <w:rFonts w:ascii="Cambria Math" w:hAnsi="Cambria Math"/>
                        <w:szCs w:val="24"/>
                      </w:rPr>
                      <m:t>cost</m:t>
                    </m:r>
                  </m:sub>
                </m:sSub>
                <m:r>
                  <m:rPr>
                    <m:sty m:val="p"/>
                  </m:rPr>
                  <w:rPr>
                    <w:rFonts w:ascii="Cambria Math" w:hAnsi="Cambria Math"/>
                    <w:szCs w:val="24"/>
                  </w:rPr>
                  <m:t>=</m:t>
                </m:r>
                <m:nary>
                  <m:naryPr>
                    <m:chr m:val="∑"/>
                    <m:ctrlPr>
                      <w:rPr>
                        <w:rFonts w:ascii="Cambria Math" w:hAnsi="Cambria Math"/>
                        <w:iCs/>
                        <w:szCs w:val="24"/>
                      </w:rPr>
                    </m:ctrlPr>
                  </m:naryPr>
                  <m:sub>
                    <m:r>
                      <m:rPr>
                        <m:sty m:val="p"/>
                      </m:rPr>
                      <w:rPr>
                        <w:rFonts w:ascii="Cambria Math" w:hAnsi="Cambria Math"/>
                        <w:szCs w:val="24"/>
                      </w:rPr>
                      <m:t>k=1</m:t>
                    </m:r>
                  </m:sub>
                  <m:sup>
                    <m:r>
                      <m:rPr>
                        <m:sty m:val="p"/>
                      </m:rPr>
                      <w:rPr>
                        <w:rFonts w:ascii="Cambria Math" w:hAnsi="Cambria Math"/>
                        <w:szCs w:val="24"/>
                      </w:rPr>
                      <m:t>m</m:t>
                    </m:r>
                  </m:sup>
                  <m:e>
                    <m:sSup>
                      <m:sSupPr>
                        <m:ctrlPr>
                          <w:rPr>
                            <w:rFonts w:ascii="Cambria Math" w:hAnsi="Cambria Math"/>
                            <w:iCs/>
                            <w:szCs w:val="24"/>
                          </w:rPr>
                        </m:ctrlPr>
                      </m:sSupPr>
                      <m:e>
                        <m:r>
                          <m:rPr>
                            <m:sty m:val="p"/>
                          </m:rPr>
                          <w:rPr>
                            <w:rFonts w:ascii="Cambria Math" w:hAnsi="Cambria Math"/>
                            <w:szCs w:val="24"/>
                          </w:rPr>
                          <m:t>c</m:t>
                        </m:r>
                      </m:e>
                      <m:sup>
                        <m:r>
                          <m:rPr>
                            <m:sty m:val="p"/>
                          </m:rPr>
                          <w:rPr>
                            <w:rFonts w:ascii="Cambria Math" w:hAnsi="Cambria Math"/>
                            <w:szCs w:val="24"/>
                          </w:rPr>
                          <m:t>k</m:t>
                        </m:r>
                      </m:sup>
                    </m:sSup>
                  </m:e>
                </m:nary>
                <m:sSubSup>
                  <m:sSubSupPr>
                    <m:ctrlPr>
                      <w:rPr>
                        <w:rFonts w:ascii="Cambria Math" w:hAnsi="Cambria Math"/>
                        <w:iCs/>
                        <w:szCs w:val="24"/>
                      </w:rPr>
                    </m:ctrlPr>
                  </m:sSubSupPr>
                  <m:e>
                    <m:r>
                      <m:rPr>
                        <m:sty m:val="p"/>
                      </m:rPr>
                      <w:rPr>
                        <w:rFonts w:ascii="Cambria Math" w:hAnsi="Cambria Math"/>
                        <w:szCs w:val="24"/>
                      </w:rPr>
                      <m:t>P</m:t>
                    </m:r>
                  </m:e>
                  <m:sub>
                    <m:r>
                      <m:rPr>
                        <m:sty m:val="p"/>
                      </m:rPr>
                      <w:rPr>
                        <w:rFonts w:ascii="Cambria Math" w:hAnsi="Cambria Math"/>
                        <w:szCs w:val="24"/>
                      </w:rPr>
                      <m:t>grid</m:t>
                    </m:r>
                  </m:sub>
                  <m:sup>
                    <m:r>
                      <m:rPr>
                        <m:sty m:val="p"/>
                      </m:rPr>
                      <w:rPr>
                        <w:rFonts w:ascii="Cambria Math" w:hAnsi="Cambria Math"/>
                        <w:szCs w:val="24"/>
                      </w:rPr>
                      <m:t>k</m:t>
                    </m:r>
                  </m:sup>
                </m:sSubSup>
              </m:oMath>
            </m:oMathPara>
          </w:p>
        </w:tc>
        <w:tc>
          <w:tcPr>
            <w:tcW w:w="1440" w:type="dxa"/>
            <w:vAlign w:val="center"/>
          </w:tcPr>
          <w:p w14:paraId="4ADBC1D8" w14:textId="19E724CB" w:rsidR="00D36DE4" w:rsidRPr="006A09A1" w:rsidRDefault="00D36DE4" w:rsidP="002023DB">
            <w:pPr>
              <w:pStyle w:val="BodyTextIndent"/>
              <w:ind w:left="480" w:firstLine="0"/>
              <w:jc w:val="center"/>
              <w:rPr>
                <w:szCs w:val="24"/>
              </w:rPr>
            </w:pPr>
            <w:bookmarkStart w:id="392" w:name="_Ref100728457"/>
            <w:r w:rsidRPr="006A09A1">
              <w:rPr>
                <w:szCs w:val="24"/>
              </w:rPr>
              <w:t>(</w:t>
            </w:r>
            <w:r w:rsidRPr="006A09A1">
              <w:rPr>
                <w:szCs w:val="24"/>
              </w:rPr>
              <w:fldChar w:fldCharType="begin"/>
            </w:r>
            <w:r w:rsidRPr="006A09A1">
              <w:rPr>
                <w:szCs w:val="24"/>
              </w:rPr>
              <w:instrText>SEQ Equation \* ARABIC</w:instrText>
            </w:r>
            <w:r w:rsidRPr="006A09A1">
              <w:rPr>
                <w:szCs w:val="24"/>
              </w:rPr>
              <w:fldChar w:fldCharType="separate"/>
            </w:r>
            <w:r w:rsidR="000E1725">
              <w:rPr>
                <w:noProof/>
                <w:szCs w:val="24"/>
              </w:rPr>
              <w:t>55</w:t>
            </w:r>
            <w:r w:rsidRPr="006A09A1">
              <w:rPr>
                <w:szCs w:val="24"/>
              </w:rPr>
              <w:fldChar w:fldCharType="end"/>
            </w:r>
            <w:r w:rsidRPr="006A09A1">
              <w:rPr>
                <w:szCs w:val="24"/>
              </w:rPr>
              <w:t>)</w:t>
            </w:r>
            <w:bookmarkEnd w:id="392"/>
          </w:p>
        </w:tc>
      </w:tr>
      <w:tr w:rsidR="00D36DE4" w:rsidRPr="006A09A1" w14:paraId="75FB63AF" w14:textId="77777777" w:rsidTr="004F29F3">
        <w:trPr>
          <w:trHeight w:val="907"/>
        </w:trPr>
        <w:tc>
          <w:tcPr>
            <w:tcW w:w="7560" w:type="dxa"/>
            <w:vAlign w:val="center"/>
          </w:tcPr>
          <w:p w14:paraId="33749E21" w14:textId="77777777" w:rsidR="00D36DE4" w:rsidRPr="006A09A1" w:rsidRDefault="00000000" w:rsidP="002023DB">
            <w:pPr>
              <w:pStyle w:val="06BodyMaintext"/>
              <w:ind w:firstLine="480"/>
            </w:pPr>
            <m:oMathPara>
              <m:oMath>
                <m:sSubSup>
                  <m:sSubSupPr>
                    <m:ctrlPr>
                      <w:rPr>
                        <w:rFonts w:ascii="Cambria Math" w:hAnsi="Cambria Math"/>
                      </w:rPr>
                    </m:ctrlPr>
                  </m:sSubSupPr>
                  <m:e>
                    <m:r>
                      <w:rPr>
                        <w:rFonts w:ascii="Cambria Math" w:hAnsi="Cambria Math"/>
                      </w:rPr>
                      <m:t>P</m:t>
                    </m:r>
                  </m:e>
                  <m:sub>
                    <m:r>
                      <w:rPr>
                        <w:rFonts w:ascii="Cambria Math" w:hAnsi="Cambria Math"/>
                      </w:rPr>
                      <m:t>p</m:t>
                    </m:r>
                    <m:sSub>
                      <m:sSubPr>
                        <m:ctrlPr>
                          <w:rPr>
                            <w:rFonts w:ascii="Cambria Math" w:hAnsi="Cambria Math"/>
                          </w:rPr>
                        </m:ctrlPr>
                      </m:sSubPr>
                      <m:e>
                        <m:r>
                          <w:rPr>
                            <w:rFonts w:ascii="Cambria Math" w:hAnsi="Cambria Math"/>
                          </w:rPr>
                          <m:t>v</m:t>
                        </m:r>
                      </m:e>
                      <m:sub>
                        <m:r>
                          <w:rPr>
                            <w:rFonts w:ascii="Cambria Math" w:hAnsi="Cambria Math"/>
                          </w:rPr>
                          <m:t>toload</m:t>
                        </m:r>
                      </m:sub>
                    </m:sSub>
                  </m:sub>
                  <m:sup>
                    <m:r>
                      <w:rPr>
                        <w:rFonts w:ascii="Cambria Math" w:hAnsi="Cambria Math"/>
                      </w:rPr>
                      <m:t>k</m:t>
                    </m:r>
                  </m:sup>
                </m:sSubSup>
                <m:r>
                  <m:rPr>
                    <m:sty m:val="p"/>
                  </m:rPr>
                  <w:rPr>
                    <w:rFonts w:ascii="Cambria Math" w:hAnsi="Cambria Math"/>
                  </w:rPr>
                  <m:t>+</m:t>
                </m:r>
                <m:sSub>
                  <m:sSubPr>
                    <m:ctrlPr>
                      <w:rPr>
                        <w:rFonts w:ascii="Cambria Math" w:hAnsi="Cambria Math"/>
                      </w:rPr>
                    </m:ctrlPr>
                  </m:sSubPr>
                  <m:e>
                    <m:r>
                      <w:rPr>
                        <w:rFonts w:ascii="Cambria Math" w:hAnsi="Cambria Math"/>
                      </w:rPr>
                      <m:t>η</m:t>
                    </m:r>
                  </m:e>
                  <m:sub>
                    <m:r>
                      <w:rPr>
                        <w:rFonts w:ascii="Cambria Math" w:hAnsi="Cambria Math"/>
                      </w:rPr>
                      <m:t>d</m:t>
                    </m:r>
                  </m:sub>
                </m:sSub>
                <m:sSubSup>
                  <m:sSubSupPr>
                    <m:ctrlPr>
                      <w:rPr>
                        <w:rFonts w:ascii="Cambria Math" w:hAnsi="Cambria Math"/>
                      </w:rPr>
                    </m:ctrlPr>
                  </m:sSubSupPr>
                  <m:e>
                    <m:r>
                      <w:rPr>
                        <w:rFonts w:ascii="Cambria Math" w:hAnsi="Cambria Math"/>
                      </w:rPr>
                      <m:t>P</m:t>
                    </m:r>
                  </m:e>
                  <m:sub>
                    <m:r>
                      <w:rPr>
                        <w:rFonts w:ascii="Cambria Math" w:hAnsi="Cambria Math"/>
                      </w:rPr>
                      <m:t>dis</m:t>
                    </m:r>
                  </m:sub>
                  <m:sup>
                    <m:r>
                      <w:rPr>
                        <w:rFonts w:ascii="Cambria Math" w:hAnsi="Cambria Math"/>
                      </w:rPr>
                      <m:t>k</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P</m:t>
                    </m:r>
                  </m:e>
                  <m:sub>
                    <m:r>
                      <w:rPr>
                        <w:rFonts w:ascii="Cambria Math" w:hAnsi="Cambria Math"/>
                      </w:rPr>
                      <m:t>grid</m:t>
                    </m:r>
                  </m:sub>
                  <m:sup>
                    <m:r>
                      <w:rPr>
                        <w:rFonts w:ascii="Cambria Math" w:hAnsi="Cambria Math"/>
                      </w:rPr>
                      <m:t>k</m:t>
                    </m:r>
                  </m:sup>
                </m:sSubSup>
                <m:r>
                  <m:rPr>
                    <m:sty m:val="p"/>
                  </m:rPr>
                  <w:rPr>
                    <w:rFonts w:ascii="Cambria Math" w:hAnsi="Cambria Math"/>
                  </w:rPr>
                  <m:t xml:space="preserve">= </m:t>
                </m:r>
                <m:d>
                  <m:dPr>
                    <m:ctrlPr>
                      <w:rPr>
                        <w:rFonts w:ascii="Cambria Math" w:hAnsi="Cambria Math"/>
                      </w:rPr>
                    </m:ctrlPr>
                  </m:dPr>
                  <m:e>
                    <m:nary>
                      <m:naryPr>
                        <m:chr m:val="∑"/>
                        <m:ctrlPr>
                          <w:rPr>
                            <w:rFonts w:ascii="Cambria Math" w:hAnsi="Cambria Math"/>
                          </w:rPr>
                        </m:ctrlPr>
                      </m:naryPr>
                      <m:sub>
                        <m:r>
                          <w:rPr>
                            <w:rFonts w:ascii="Cambria Math" w:hAnsi="Cambria Math"/>
                          </w:rPr>
                          <m:t>i</m:t>
                        </m:r>
                        <m:r>
                          <m:rPr>
                            <m:sty m:val="p"/>
                          </m:rPr>
                          <w:rPr>
                            <w:rFonts w:ascii="Cambria Math" w:hAnsi="Cambria Math"/>
                          </w:rPr>
                          <m:t>=1</m:t>
                        </m:r>
                      </m:sub>
                      <m:sup>
                        <m:sSub>
                          <m:sSubPr>
                            <m:ctrlPr>
                              <w:rPr>
                                <w:rFonts w:ascii="Cambria Math" w:hAnsi="Cambria Math"/>
                              </w:rPr>
                            </m:ctrlPr>
                          </m:sSubPr>
                          <m:e>
                            <m:r>
                              <w:rPr>
                                <w:rFonts w:ascii="Cambria Math" w:hAnsi="Cambria Math"/>
                              </w:rPr>
                              <m:t>N</m:t>
                            </m:r>
                          </m:e>
                          <m:sub>
                            <m:r>
                              <w:rPr>
                                <w:rFonts w:ascii="Cambria Math" w:hAnsi="Cambria Math"/>
                              </w:rPr>
                              <m:t>nt</m:t>
                            </m:r>
                          </m:sub>
                        </m:sSub>
                      </m:sup>
                      <m:e>
                        <m:r>
                          <m:rPr>
                            <m:sty m:val="p"/>
                          </m:rPr>
                          <w:rPr>
                            <w:rFonts w:ascii="Cambria Math" w:hAnsi="Cambria Math"/>
                          </w:rPr>
                          <m:t xml:space="preserve"> </m:t>
                        </m:r>
                      </m:e>
                    </m:nary>
                    <m:nary>
                      <m:naryPr>
                        <m:chr m:val="∑"/>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nt</m:t>
                        </m:r>
                      </m:sup>
                      <m:e>
                        <m:d>
                          <m:dPr>
                            <m:ctrlPr>
                              <w:rPr>
                                <w:rFonts w:ascii="Cambria Math" w:hAnsi="Cambria Math"/>
                              </w:rPr>
                            </m:ctrlPr>
                          </m:dPr>
                          <m:e>
                            <m:sSubSup>
                              <m:sSubSupPr>
                                <m:ctrlPr>
                                  <w:rPr>
                                    <w:rFonts w:ascii="Cambria Math" w:hAnsi="Cambria Math"/>
                                  </w:rPr>
                                </m:ctrlPr>
                              </m:sSubSupPr>
                              <m:e>
                                <m:r>
                                  <w:rPr>
                                    <w:rFonts w:ascii="Cambria Math" w:hAnsi="Cambria Math"/>
                                  </w:rPr>
                                  <m:t>x</m:t>
                                </m:r>
                              </m:e>
                              <m:sub>
                                <m:r>
                                  <w:rPr>
                                    <w:rFonts w:ascii="Cambria Math" w:hAnsi="Cambria Math"/>
                                  </w:rPr>
                                  <m:t>ij</m:t>
                                </m:r>
                              </m:sub>
                              <m:sup>
                                <m:r>
                                  <w:rPr>
                                    <w:rFonts w:ascii="Cambria Math" w:hAnsi="Cambria Math"/>
                                  </w:rPr>
                                  <m:t>k</m:t>
                                </m:r>
                              </m:sup>
                            </m:sSubSup>
                            <m:sSub>
                              <m:sSubPr>
                                <m:ctrlPr>
                                  <w:rPr>
                                    <w:rFonts w:ascii="Cambria Math" w:hAnsi="Cambria Math"/>
                                  </w:rPr>
                                </m:ctrlPr>
                              </m:sSubPr>
                              <m:e>
                                <m:r>
                                  <w:rPr>
                                    <w:rFonts w:ascii="Cambria Math" w:hAnsi="Cambria Math"/>
                                  </w:rPr>
                                  <m:t>P</m:t>
                                </m:r>
                              </m:e>
                              <m:sub>
                                <m:r>
                                  <w:rPr>
                                    <w:rFonts w:ascii="Cambria Math" w:hAnsi="Cambria Math"/>
                                  </w:rPr>
                                  <m:t>ij</m:t>
                                </m:r>
                              </m:sub>
                            </m:sSub>
                          </m:e>
                        </m:d>
                      </m:e>
                    </m:nary>
                    <m:r>
                      <m:rPr>
                        <m:sty m:val="p"/>
                      </m:rP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wh</m:t>
                        </m:r>
                      </m:sub>
                      <m:sup>
                        <m:r>
                          <w:rPr>
                            <w:rFonts w:ascii="Cambria Math" w:hAnsi="Cambria Math"/>
                          </w:rPr>
                          <m:t>k</m:t>
                        </m:r>
                      </m:sup>
                    </m:sSubSup>
                    <m:sSub>
                      <m:sSubPr>
                        <m:ctrlPr>
                          <w:rPr>
                            <w:rFonts w:ascii="Cambria Math" w:hAnsi="Cambria Math"/>
                          </w:rPr>
                        </m:ctrlPr>
                      </m:sSubPr>
                      <m:e>
                        <m:r>
                          <w:rPr>
                            <w:rFonts w:ascii="Cambria Math" w:hAnsi="Cambria Math"/>
                          </w:rPr>
                          <m:t>P</m:t>
                        </m:r>
                      </m:e>
                      <m:sub>
                        <m:r>
                          <w:rPr>
                            <w:rFonts w:ascii="Cambria Math" w:hAnsi="Cambria Math"/>
                          </w:rPr>
                          <m:t>wh</m:t>
                        </m:r>
                      </m:sub>
                    </m:sSub>
                    <m:r>
                      <m:rPr>
                        <m:sty m:val="p"/>
                      </m:rP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hvac</m:t>
                        </m:r>
                      </m:sub>
                      <m:sup>
                        <m:r>
                          <w:rPr>
                            <w:rFonts w:ascii="Cambria Math" w:hAnsi="Cambria Math"/>
                          </w:rPr>
                          <m:t>k</m:t>
                        </m:r>
                      </m:sup>
                    </m:sSubSup>
                    <m:sSub>
                      <m:sSubPr>
                        <m:ctrlPr>
                          <w:rPr>
                            <w:rFonts w:ascii="Cambria Math" w:hAnsi="Cambria Math"/>
                          </w:rPr>
                        </m:ctrlPr>
                      </m:sSubPr>
                      <m:e>
                        <m:sSup>
                          <m:sSupPr>
                            <m:ctrlPr>
                              <w:rPr>
                                <w:rFonts w:ascii="Cambria Math" w:hAnsi="Cambria Math"/>
                              </w:rPr>
                            </m:ctrlPr>
                          </m:sSupPr>
                          <m:e>
                            <m:r>
                              <w:rPr>
                                <w:rFonts w:ascii="Cambria Math" w:hAnsi="Cambria Math"/>
                              </w:rPr>
                              <m:t>P</m:t>
                            </m:r>
                          </m:e>
                          <m:sup>
                            <m:r>
                              <w:rPr>
                                <w:rFonts w:ascii="Cambria Math" w:hAnsi="Cambria Math"/>
                              </w:rPr>
                              <m:t>k</m:t>
                            </m:r>
                          </m:sup>
                        </m:sSup>
                      </m:e>
                      <m:sub>
                        <m:r>
                          <w:rPr>
                            <w:rFonts w:ascii="Cambria Math" w:hAnsi="Cambria Math"/>
                          </w:rPr>
                          <m:t>hvac</m:t>
                        </m:r>
                      </m:sub>
                    </m:sSub>
                  </m:e>
                </m:d>
                <m:r>
                  <m:rPr>
                    <m:sty m:val="p"/>
                  </m:rPr>
                  <w:rPr>
                    <w:rFonts w:ascii="Cambria Math" w:hAnsi="Cambria Math"/>
                  </w:rPr>
                  <m:t>∀</m:t>
                </m:r>
                <m:r>
                  <w:rPr>
                    <w:rFonts w:ascii="Cambria Math" w:hAnsi="Cambria Math"/>
                  </w:rPr>
                  <m:t>k</m:t>
                </m:r>
              </m:oMath>
            </m:oMathPara>
          </w:p>
        </w:tc>
        <w:tc>
          <w:tcPr>
            <w:tcW w:w="1440" w:type="dxa"/>
            <w:vAlign w:val="center"/>
          </w:tcPr>
          <w:p w14:paraId="1BE331D4" w14:textId="4790E833" w:rsidR="00D36DE4" w:rsidRPr="006A09A1" w:rsidRDefault="00D36DE4" w:rsidP="002023DB">
            <w:pPr>
              <w:pStyle w:val="BodyTextIndent"/>
              <w:ind w:left="480" w:firstLine="0"/>
              <w:jc w:val="center"/>
              <w:rPr>
                <w:szCs w:val="24"/>
              </w:rPr>
            </w:pPr>
            <w:bookmarkStart w:id="393" w:name="_Ref101145169"/>
            <w:r w:rsidRPr="006A09A1">
              <w:rPr>
                <w:szCs w:val="24"/>
              </w:rPr>
              <w:t>(</w:t>
            </w:r>
            <w:r w:rsidRPr="006A09A1">
              <w:rPr>
                <w:szCs w:val="24"/>
              </w:rPr>
              <w:fldChar w:fldCharType="begin"/>
            </w:r>
            <w:r w:rsidRPr="006A09A1">
              <w:rPr>
                <w:szCs w:val="24"/>
              </w:rPr>
              <w:instrText>SEQ Equation \* ARABIC</w:instrText>
            </w:r>
            <w:r w:rsidRPr="006A09A1">
              <w:rPr>
                <w:szCs w:val="24"/>
              </w:rPr>
              <w:fldChar w:fldCharType="separate"/>
            </w:r>
            <w:r w:rsidR="000E1725">
              <w:rPr>
                <w:noProof/>
                <w:szCs w:val="24"/>
              </w:rPr>
              <w:t>56</w:t>
            </w:r>
            <w:r w:rsidRPr="006A09A1">
              <w:rPr>
                <w:szCs w:val="24"/>
              </w:rPr>
              <w:fldChar w:fldCharType="end"/>
            </w:r>
            <w:r w:rsidRPr="006A09A1">
              <w:rPr>
                <w:szCs w:val="24"/>
              </w:rPr>
              <w:t>)</w:t>
            </w:r>
            <w:bookmarkEnd w:id="393"/>
          </w:p>
        </w:tc>
      </w:tr>
      <w:tr w:rsidR="00D36DE4" w:rsidRPr="006A09A1" w14:paraId="525F28A5" w14:textId="77777777" w:rsidTr="004F29F3">
        <w:trPr>
          <w:trHeight w:val="716"/>
        </w:trPr>
        <w:tc>
          <w:tcPr>
            <w:tcW w:w="7560" w:type="dxa"/>
            <w:vAlign w:val="center"/>
          </w:tcPr>
          <w:p w14:paraId="482C3054" w14:textId="77777777" w:rsidR="00D36DE4" w:rsidRPr="006A09A1" w:rsidRDefault="00000000" w:rsidP="002023DB">
            <w:pPr>
              <w:pStyle w:val="BodyTextIndent"/>
              <w:ind w:left="480"/>
              <w:jc w:val="center"/>
              <w:rPr>
                <w:rFonts w:ascii="Calibri" w:hAnsi="Calibri"/>
                <w:szCs w:val="24"/>
              </w:rPr>
            </w:pPr>
            <m:oMath>
              <m:sSubSup>
                <m:sSubSupPr>
                  <m:ctrlPr>
                    <w:rPr>
                      <w:rFonts w:ascii="Cambria Math" w:hAnsi="Cambria Math"/>
                      <w:i/>
                      <w:szCs w:val="24"/>
                    </w:rPr>
                  </m:ctrlPr>
                </m:sSubSupPr>
                <m:e>
                  <m:r>
                    <w:rPr>
                      <w:rFonts w:ascii="Cambria Math" w:hAnsi="Cambria Math"/>
                      <w:szCs w:val="24"/>
                    </w:rPr>
                    <m:t>E</m:t>
                  </m:r>
                </m:e>
                <m:sub>
                  <m:r>
                    <w:rPr>
                      <w:rFonts w:ascii="Cambria Math" w:hAnsi="Cambria Math"/>
                      <w:szCs w:val="24"/>
                    </w:rPr>
                    <m:t>b</m:t>
                  </m:r>
                </m:sub>
                <m:sup>
                  <m:r>
                    <w:rPr>
                      <w:rFonts w:ascii="Cambria Math" w:hAnsi="Cambria Math"/>
                      <w:szCs w:val="24"/>
                    </w:rPr>
                    <m:t>k</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E</m:t>
                  </m:r>
                </m:e>
                <m:sub>
                  <m:r>
                    <w:rPr>
                      <w:rFonts w:ascii="Cambria Math" w:hAnsi="Cambria Math"/>
                      <w:szCs w:val="24"/>
                    </w:rPr>
                    <m:t>b</m:t>
                  </m:r>
                </m:sub>
                <m:sup>
                  <m:r>
                    <w:rPr>
                      <w:rFonts w:ascii="Cambria Math" w:hAnsi="Cambria Math"/>
                      <w:szCs w:val="24"/>
                    </w:rPr>
                    <m:t>k-1</m:t>
                  </m:r>
                </m:sup>
              </m:sSubSup>
              <m:r>
                <w:rPr>
                  <w:rFonts w:ascii="Cambria Math" w:hAnsi="Cambria Math"/>
                  <w:szCs w:val="24"/>
                </w:rPr>
                <m:t>=</m:t>
              </m:r>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P</m:t>
                      </m:r>
                    </m:e>
                    <m:sub>
                      <m:r>
                        <w:rPr>
                          <w:rFonts w:ascii="Cambria Math" w:hAnsi="Cambria Math"/>
                          <w:szCs w:val="24"/>
                        </w:rPr>
                        <m:t>charge</m:t>
                      </m:r>
                    </m:sub>
                    <m:sup>
                      <m:r>
                        <w:rPr>
                          <w:rFonts w:ascii="Cambria Math" w:hAnsi="Cambria Math"/>
                          <w:szCs w:val="24"/>
                        </w:rPr>
                        <m:t>k</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P</m:t>
                      </m:r>
                    </m:e>
                    <m:sub>
                      <m:r>
                        <w:rPr>
                          <w:rFonts w:ascii="Cambria Math" w:hAnsi="Cambria Math"/>
                          <w:szCs w:val="24"/>
                        </w:rPr>
                        <m:t>dis</m:t>
                      </m:r>
                    </m:sub>
                    <m:sup>
                      <m:r>
                        <w:rPr>
                          <w:rFonts w:ascii="Cambria Math" w:hAnsi="Cambria Math"/>
                          <w:szCs w:val="24"/>
                        </w:rPr>
                        <m:t>k</m:t>
                      </m:r>
                    </m:sup>
                  </m:sSubSup>
                </m:e>
              </m:d>
              <m:r>
                <m:rPr>
                  <m:sty m:val="p"/>
                </m:rPr>
                <w:rPr>
                  <w:rFonts w:ascii="Cambria Math" w:hAnsi="Cambria Math" w:hint="eastAsia"/>
                  <w:szCs w:val="24"/>
                </w:rPr>
                <m:t>Δ</m:t>
              </m:r>
              <m:r>
                <w:rPr>
                  <w:rFonts w:ascii="Cambria Math" w:hAnsi="Cambria Math"/>
                  <w:szCs w:val="24"/>
                </w:rPr>
                <m:t>t</m:t>
              </m:r>
            </m:oMath>
            <w:r w:rsidR="00D36DE4" w:rsidRPr="006A09A1">
              <w:rPr>
                <w:rFonts w:ascii="Calibri" w:hAnsi="Calibri" w:hint="eastAsia"/>
                <w:szCs w:val="24"/>
              </w:rPr>
              <w:t xml:space="preserve"> </w:t>
            </w:r>
            <w:r w:rsidR="00D36DE4" w:rsidRPr="006A09A1">
              <w:rPr>
                <w:rFonts w:ascii="Calibri" w:hAnsi="Calibri"/>
                <w:szCs w:val="24"/>
              </w:rPr>
              <w:t xml:space="preserve"> </w:t>
            </w:r>
            <m:oMath>
              <m:r>
                <w:rPr>
                  <w:rFonts w:ascii="Cambria Math" w:hAnsi="Cambria Math"/>
                  <w:szCs w:val="24"/>
                </w:rPr>
                <m:t xml:space="preserve"> </m:t>
              </m:r>
              <m:r>
                <m:rPr>
                  <m:sty m:val="p"/>
                </m:rPr>
                <w:rPr>
                  <w:rFonts w:ascii="Cambria Math" w:hAnsi="Cambria Math"/>
                  <w:szCs w:val="24"/>
                </w:rPr>
                <m:t>∀</m:t>
              </m:r>
              <m:r>
                <w:rPr>
                  <w:rFonts w:ascii="Cambria Math" w:hAnsi="Cambria Math"/>
                  <w:szCs w:val="24"/>
                </w:rPr>
                <m:t>k = 2,3,</m:t>
              </m:r>
              <m:r>
                <m:rPr>
                  <m:sty m:val="p"/>
                </m:rPr>
                <w:rPr>
                  <w:rFonts w:ascii="Cambria Math" w:hAnsi="Cambria Math" w:hint="eastAsia"/>
                  <w:szCs w:val="24"/>
                </w:rPr>
                <m:t>…</m:t>
              </m:r>
              <m:r>
                <w:rPr>
                  <w:rFonts w:ascii="Cambria Math" w:hAnsi="Cambria Math"/>
                  <w:szCs w:val="24"/>
                </w:rPr>
                <m:t>m</m:t>
              </m:r>
            </m:oMath>
          </w:p>
        </w:tc>
        <w:tc>
          <w:tcPr>
            <w:tcW w:w="1440" w:type="dxa"/>
            <w:vAlign w:val="center"/>
          </w:tcPr>
          <w:p w14:paraId="6246D4D0" w14:textId="43D97DAF" w:rsidR="00D36DE4" w:rsidRPr="006A09A1" w:rsidRDefault="00D36DE4" w:rsidP="002023DB">
            <w:pPr>
              <w:pStyle w:val="BodyTextIndent"/>
              <w:ind w:left="480" w:firstLine="0"/>
              <w:jc w:val="center"/>
              <w:rPr>
                <w:szCs w:val="24"/>
              </w:rPr>
            </w:pPr>
            <w:bookmarkStart w:id="394" w:name="_Ref101145187"/>
            <w:r w:rsidRPr="006A09A1">
              <w:rPr>
                <w:szCs w:val="24"/>
              </w:rPr>
              <w:t>(</w:t>
            </w:r>
            <w:r w:rsidRPr="006A09A1">
              <w:rPr>
                <w:szCs w:val="24"/>
              </w:rPr>
              <w:fldChar w:fldCharType="begin"/>
            </w:r>
            <w:r w:rsidRPr="006A09A1">
              <w:rPr>
                <w:szCs w:val="24"/>
              </w:rPr>
              <w:instrText>SEQ Equation \* ARABIC</w:instrText>
            </w:r>
            <w:r w:rsidRPr="006A09A1">
              <w:rPr>
                <w:szCs w:val="24"/>
              </w:rPr>
              <w:fldChar w:fldCharType="separate"/>
            </w:r>
            <w:r w:rsidR="000E1725">
              <w:rPr>
                <w:noProof/>
                <w:szCs w:val="24"/>
              </w:rPr>
              <w:t>57</w:t>
            </w:r>
            <w:r w:rsidRPr="006A09A1">
              <w:rPr>
                <w:szCs w:val="24"/>
              </w:rPr>
              <w:fldChar w:fldCharType="end"/>
            </w:r>
            <w:r w:rsidRPr="006A09A1">
              <w:rPr>
                <w:szCs w:val="24"/>
              </w:rPr>
              <w:t>)</w:t>
            </w:r>
            <w:bookmarkEnd w:id="394"/>
          </w:p>
        </w:tc>
      </w:tr>
      <w:tr w:rsidR="00D36DE4" w:rsidRPr="006A09A1" w14:paraId="2494872B" w14:textId="77777777" w:rsidTr="004F29F3">
        <w:trPr>
          <w:trHeight w:val="728"/>
        </w:trPr>
        <w:tc>
          <w:tcPr>
            <w:tcW w:w="7560" w:type="dxa"/>
            <w:vAlign w:val="center"/>
          </w:tcPr>
          <w:p w14:paraId="27A7302A" w14:textId="77777777" w:rsidR="00D36DE4" w:rsidRPr="006A09A1" w:rsidRDefault="00000000" w:rsidP="002023DB">
            <w:pPr>
              <w:pStyle w:val="BodyTextIndent"/>
              <w:ind w:left="480"/>
              <w:jc w:val="center"/>
              <w:rPr>
                <w:rFonts w:ascii="Calibri" w:hAnsi="Calibri"/>
                <w:szCs w:val="24"/>
              </w:rPr>
            </w:pPr>
            <m:oMathPara>
              <m:oMath>
                <m:sSubSup>
                  <m:sSubSupPr>
                    <m:ctrlPr>
                      <w:rPr>
                        <w:rFonts w:ascii="Cambria Math" w:hAnsi="Cambria Math"/>
                        <w:i/>
                        <w:szCs w:val="24"/>
                      </w:rPr>
                    </m:ctrlPr>
                  </m:sSubSupPr>
                  <m:e>
                    <m:r>
                      <w:rPr>
                        <w:rFonts w:ascii="Cambria Math" w:hAnsi="Cambria Math"/>
                        <w:szCs w:val="24"/>
                      </w:rPr>
                      <m:t>P</m:t>
                    </m:r>
                  </m:e>
                  <m:sub>
                    <m:r>
                      <w:rPr>
                        <w:rFonts w:ascii="Cambria Math" w:hAnsi="Cambria Math"/>
                        <w:szCs w:val="24"/>
                      </w:rPr>
                      <m:t>charge</m:t>
                    </m:r>
                  </m:sub>
                  <m:sup>
                    <m:r>
                      <w:rPr>
                        <w:rFonts w:ascii="Cambria Math" w:hAnsi="Cambria Math"/>
                        <w:szCs w:val="24"/>
                      </w:rPr>
                      <m:t>k</m:t>
                    </m:r>
                  </m:sup>
                </m:sSubSup>
                <m:r>
                  <m:rPr>
                    <m:lit/>
                  </m:rPr>
                  <w:rPr>
                    <w:rFonts w:ascii="Cambria Math" w:hAnsi="Cambria Math"/>
                    <w:szCs w:val="24"/>
                  </w:rPr>
                  <m:t>/</m:t>
                </m:r>
                <m:sSub>
                  <m:sSubPr>
                    <m:ctrlPr>
                      <w:rPr>
                        <w:rFonts w:ascii="Cambria Math" w:hAnsi="Cambria Math"/>
                        <w:i/>
                        <w:szCs w:val="24"/>
                      </w:rPr>
                    </m:ctrlPr>
                  </m:sSubPr>
                  <m:e>
                    <m:r>
                      <m:rPr>
                        <m:sty m:val="p"/>
                      </m:rPr>
                      <w:rPr>
                        <w:rFonts w:ascii="Cambria Math" w:hAnsi="Cambria Math"/>
                        <w:szCs w:val="24"/>
                      </w:rPr>
                      <m:t>η</m:t>
                    </m:r>
                  </m:e>
                  <m:sub>
                    <m:r>
                      <w:rPr>
                        <w:rFonts w:ascii="Cambria Math" w:hAnsi="Cambria Math"/>
                        <w:szCs w:val="24"/>
                      </w:rPr>
                      <m:t>c</m:t>
                    </m:r>
                  </m:sub>
                </m:sSub>
                <m:r>
                  <w:rPr>
                    <w:rFonts w:ascii="Cambria Math" w:hAnsi="Cambria Math"/>
                    <w:szCs w:val="24"/>
                  </w:rPr>
                  <m:t>+</m:t>
                </m:r>
                <m:sSubSup>
                  <m:sSubSupPr>
                    <m:ctrlPr>
                      <w:rPr>
                        <w:rFonts w:ascii="Cambria Math" w:hAnsi="Cambria Math"/>
                        <w:i/>
                        <w:szCs w:val="24"/>
                      </w:rPr>
                    </m:ctrlPr>
                  </m:sSubSupPr>
                  <m:e>
                    <m:r>
                      <w:rPr>
                        <w:rFonts w:ascii="Cambria Math" w:hAnsi="Cambria Math"/>
                        <w:szCs w:val="24"/>
                      </w:rPr>
                      <m:t>P</m:t>
                    </m:r>
                  </m:e>
                  <m:sub>
                    <m:r>
                      <w:rPr>
                        <w:rFonts w:ascii="Cambria Math" w:hAnsi="Cambria Math"/>
                        <w:szCs w:val="24"/>
                      </w:rPr>
                      <m:t>p</m:t>
                    </m:r>
                    <m:sSub>
                      <m:sSubPr>
                        <m:ctrlPr>
                          <w:rPr>
                            <w:rFonts w:ascii="Cambria Math" w:hAnsi="Cambria Math"/>
                            <w:i/>
                            <w:szCs w:val="24"/>
                          </w:rPr>
                        </m:ctrlPr>
                      </m:sSubPr>
                      <m:e>
                        <m:r>
                          <w:rPr>
                            <w:rFonts w:ascii="Cambria Math" w:hAnsi="Cambria Math"/>
                            <w:szCs w:val="24"/>
                          </w:rPr>
                          <m:t>v</m:t>
                        </m:r>
                      </m:e>
                      <m:sub>
                        <m:r>
                          <w:rPr>
                            <w:rFonts w:ascii="Cambria Math" w:hAnsi="Cambria Math"/>
                            <w:szCs w:val="24"/>
                          </w:rPr>
                          <m:t>toload</m:t>
                        </m:r>
                      </m:sub>
                    </m:sSub>
                  </m:sub>
                  <m:sup>
                    <m:r>
                      <w:rPr>
                        <w:rFonts w:ascii="Cambria Math" w:hAnsi="Cambria Math"/>
                        <w:szCs w:val="24"/>
                      </w:rPr>
                      <m:t>k</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P</m:t>
                    </m:r>
                  </m:e>
                  <m:sub>
                    <m:r>
                      <w:rPr>
                        <w:rFonts w:ascii="Cambria Math" w:hAnsi="Cambria Math"/>
                        <w:szCs w:val="24"/>
                      </w:rPr>
                      <m:t>pv</m:t>
                    </m:r>
                  </m:sub>
                  <m:sup>
                    <m:r>
                      <w:rPr>
                        <w:rFonts w:ascii="Cambria Math" w:hAnsi="Cambria Math"/>
                        <w:szCs w:val="24"/>
                      </w:rPr>
                      <m:t>k</m:t>
                    </m:r>
                  </m:sup>
                </m:sSubSup>
                <m:r>
                  <m:rPr>
                    <m:sty m:val="p"/>
                  </m:rPr>
                  <w:rPr>
                    <w:rFonts w:ascii="Cambria Math" w:hAnsi="Cambria Math"/>
                    <w:szCs w:val="24"/>
                  </w:rPr>
                  <m:t xml:space="preserve">   ∀</m:t>
                </m:r>
                <m:r>
                  <w:rPr>
                    <w:rFonts w:ascii="Cambria Math" w:hAnsi="Cambria Math"/>
                    <w:szCs w:val="24"/>
                  </w:rPr>
                  <m:t>k</m:t>
                </m:r>
              </m:oMath>
            </m:oMathPara>
          </w:p>
        </w:tc>
        <w:tc>
          <w:tcPr>
            <w:tcW w:w="1440" w:type="dxa"/>
            <w:vAlign w:val="center"/>
          </w:tcPr>
          <w:p w14:paraId="53EF7627" w14:textId="427D94FC" w:rsidR="00D36DE4" w:rsidRPr="006A09A1" w:rsidRDefault="00D36DE4" w:rsidP="002023DB">
            <w:pPr>
              <w:pStyle w:val="BodyTextIndent"/>
              <w:ind w:left="480" w:firstLine="0"/>
              <w:jc w:val="center"/>
              <w:rPr>
                <w:szCs w:val="24"/>
              </w:rPr>
            </w:pPr>
            <w:bookmarkStart w:id="395" w:name="_Ref101145268"/>
            <w:r w:rsidRPr="006A09A1">
              <w:rPr>
                <w:szCs w:val="24"/>
              </w:rPr>
              <w:t>(</w:t>
            </w:r>
            <w:r w:rsidRPr="006A09A1">
              <w:rPr>
                <w:szCs w:val="24"/>
              </w:rPr>
              <w:fldChar w:fldCharType="begin"/>
            </w:r>
            <w:r w:rsidRPr="006A09A1">
              <w:rPr>
                <w:szCs w:val="24"/>
              </w:rPr>
              <w:instrText>SEQ Equation \* ARABIC</w:instrText>
            </w:r>
            <w:r w:rsidRPr="006A09A1">
              <w:rPr>
                <w:szCs w:val="24"/>
              </w:rPr>
              <w:fldChar w:fldCharType="separate"/>
            </w:r>
            <w:r w:rsidR="000E1725">
              <w:rPr>
                <w:noProof/>
                <w:szCs w:val="24"/>
              </w:rPr>
              <w:t>58</w:t>
            </w:r>
            <w:r w:rsidRPr="006A09A1">
              <w:rPr>
                <w:szCs w:val="24"/>
              </w:rPr>
              <w:fldChar w:fldCharType="end"/>
            </w:r>
            <w:r w:rsidRPr="006A09A1">
              <w:rPr>
                <w:szCs w:val="24"/>
              </w:rPr>
              <w:t>)</w:t>
            </w:r>
            <w:bookmarkEnd w:id="395"/>
          </w:p>
        </w:tc>
      </w:tr>
      <w:tr w:rsidR="00D36DE4" w:rsidRPr="006A09A1" w14:paraId="620EA3C9" w14:textId="77777777" w:rsidTr="004F29F3">
        <w:trPr>
          <w:trHeight w:val="1030"/>
        </w:trPr>
        <w:tc>
          <w:tcPr>
            <w:tcW w:w="7560" w:type="dxa"/>
            <w:vAlign w:val="center"/>
          </w:tcPr>
          <w:p w14:paraId="71123DA8" w14:textId="77777777" w:rsidR="00D36DE4" w:rsidRPr="006A09A1" w:rsidRDefault="00000000" w:rsidP="002023DB">
            <w:pPr>
              <w:pStyle w:val="BodyTextIndent"/>
              <w:ind w:left="480"/>
              <w:jc w:val="center"/>
              <w:rPr>
                <w:rFonts w:ascii="Calibri" w:hAnsi="Calibri"/>
                <w:szCs w:val="24"/>
              </w:rPr>
            </w:pPr>
            <m:oMathPara>
              <m:oMath>
                <m:sSub>
                  <m:sSubPr>
                    <m:ctrlPr>
                      <w:rPr>
                        <w:rFonts w:ascii="Cambria Math" w:hAnsi="Cambria Math"/>
                        <w:i/>
                        <w:iCs/>
                        <w:szCs w:val="24"/>
                      </w:rPr>
                    </m:ctrlPr>
                  </m:sSubPr>
                  <m:e>
                    <m:r>
                      <w:rPr>
                        <w:rFonts w:ascii="Cambria Math" w:hAnsi="Cambria Math"/>
                        <w:szCs w:val="24"/>
                      </w:rPr>
                      <m:t>SOC</m:t>
                    </m:r>
                  </m:e>
                  <m:sub>
                    <m:r>
                      <w:rPr>
                        <w:rFonts w:ascii="Cambria Math" w:hAnsi="Cambria Math"/>
                        <w:szCs w:val="24"/>
                      </w:rPr>
                      <m:t>min</m:t>
                    </m:r>
                  </m:sub>
                </m:sSub>
                <m:r>
                  <w:rPr>
                    <w:rFonts w:ascii="Cambria Math" w:hAnsi="Cambria Math"/>
                    <w:szCs w:val="24"/>
                  </w:rPr>
                  <m:t>≤</m:t>
                </m:r>
                <m:sSub>
                  <m:sSubPr>
                    <m:ctrlPr>
                      <w:rPr>
                        <w:rFonts w:ascii="Cambria Math" w:hAnsi="Cambria Math"/>
                        <w:i/>
                        <w:iCs/>
                        <w:szCs w:val="24"/>
                      </w:rPr>
                    </m:ctrlPr>
                  </m:sSubPr>
                  <m:e>
                    <m:f>
                      <m:fPr>
                        <m:ctrlPr>
                          <w:rPr>
                            <w:rFonts w:ascii="Cambria Math" w:hAnsi="Cambria Math"/>
                            <w:i/>
                            <w:iCs/>
                            <w:szCs w:val="24"/>
                          </w:rPr>
                        </m:ctrlPr>
                      </m:fPr>
                      <m:num>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b</m:t>
                            </m:r>
                          </m:sub>
                          <m:sup>
                            <m:r>
                              <w:rPr>
                                <w:rFonts w:ascii="Cambria Math" w:hAnsi="Cambria Math"/>
                                <w:szCs w:val="24"/>
                              </w:rPr>
                              <m:t>k</m:t>
                            </m:r>
                          </m:sup>
                        </m:sSubSup>
                      </m:num>
                      <m:den>
                        <m:sSub>
                          <m:sSubPr>
                            <m:ctrlPr>
                              <w:rPr>
                                <w:rFonts w:ascii="Cambria Math" w:hAnsi="Cambria Math"/>
                                <w:i/>
                                <w:iCs/>
                                <w:szCs w:val="24"/>
                              </w:rPr>
                            </m:ctrlPr>
                          </m:sSubPr>
                          <m:e>
                            <m:r>
                              <w:rPr>
                                <w:rFonts w:ascii="Cambria Math" w:hAnsi="Cambria Math"/>
                                <w:szCs w:val="24"/>
                              </w:rPr>
                              <m:t>C</m:t>
                            </m:r>
                          </m:e>
                          <m:sub>
                            <m:r>
                              <w:rPr>
                                <w:rFonts w:ascii="Cambria Math" w:hAnsi="Cambria Math"/>
                                <w:szCs w:val="24"/>
                              </w:rPr>
                              <m:t>b</m:t>
                            </m:r>
                          </m:sub>
                        </m:sSub>
                      </m:den>
                    </m:f>
                  </m:e>
                  <m:sub>
                    <m:r>
                      <w:rPr>
                        <w:rFonts w:ascii="Cambria Math" w:hAnsi="Cambria Math"/>
                        <w:szCs w:val="24"/>
                      </w:rPr>
                      <m:t> </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SOC</m:t>
                    </m:r>
                  </m:e>
                  <m:sub>
                    <m:r>
                      <w:rPr>
                        <w:rFonts w:ascii="Cambria Math" w:hAnsi="Cambria Math"/>
                        <w:szCs w:val="24"/>
                      </w:rPr>
                      <m:t>max</m:t>
                    </m:r>
                  </m:sub>
                </m:sSub>
                <m:r>
                  <w:rPr>
                    <w:rFonts w:ascii="Cambria Math" w:hAnsi="Cambria Math"/>
                    <w:szCs w:val="24"/>
                  </w:rPr>
                  <m:t> </m:t>
                </m:r>
                <m:r>
                  <m:rPr>
                    <m:sty m:val="p"/>
                  </m:rPr>
                  <w:rPr>
                    <w:rFonts w:ascii="Cambria Math" w:hAnsi="Cambria Math"/>
                    <w:szCs w:val="24"/>
                  </w:rPr>
                  <m:t>∀</m:t>
                </m:r>
                <m:r>
                  <w:rPr>
                    <w:rFonts w:ascii="Cambria Math" w:hAnsi="Cambria Math"/>
                    <w:szCs w:val="24"/>
                  </w:rPr>
                  <m:t>k</m:t>
                </m:r>
              </m:oMath>
            </m:oMathPara>
          </w:p>
        </w:tc>
        <w:tc>
          <w:tcPr>
            <w:tcW w:w="1440" w:type="dxa"/>
            <w:vAlign w:val="center"/>
          </w:tcPr>
          <w:p w14:paraId="63D44958" w14:textId="00B7F4E0" w:rsidR="00D36DE4" w:rsidRPr="006A09A1" w:rsidRDefault="00D36DE4" w:rsidP="002023DB">
            <w:pPr>
              <w:pStyle w:val="BodyTextIndent"/>
              <w:ind w:left="480" w:firstLine="0"/>
              <w:jc w:val="center"/>
              <w:rPr>
                <w:szCs w:val="24"/>
              </w:rPr>
            </w:pPr>
            <w:bookmarkStart w:id="396" w:name="_Ref101145308"/>
            <w:r w:rsidRPr="006A09A1">
              <w:rPr>
                <w:szCs w:val="24"/>
              </w:rPr>
              <w:t>(</w:t>
            </w:r>
            <w:r w:rsidRPr="006A09A1">
              <w:rPr>
                <w:szCs w:val="24"/>
              </w:rPr>
              <w:fldChar w:fldCharType="begin"/>
            </w:r>
            <w:r w:rsidRPr="006A09A1">
              <w:rPr>
                <w:szCs w:val="24"/>
              </w:rPr>
              <w:instrText>SEQ Equation \* ARABIC</w:instrText>
            </w:r>
            <w:r w:rsidRPr="006A09A1">
              <w:rPr>
                <w:szCs w:val="24"/>
              </w:rPr>
              <w:fldChar w:fldCharType="separate"/>
            </w:r>
            <w:r w:rsidR="000E1725">
              <w:rPr>
                <w:noProof/>
                <w:szCs w:val="24"/>
              </w:rPr>
              <w:t>59</w:t>
            </w:r>
            <w:r w:rsidRPr="006A09A1">
              <w:rPr>
                <w:szCs w:val="24"/>
              </w:rPr>
              <w:fldChar w:fldCharType="end"/>
            </w:r>
            <w:r w:rsidRPr="006A09A1">
              <w:rPr>
                <w:szCs w:val="24"/>
              </w:rPr>
              <w:t>)</w:t>
            </w:r>
            <w:bookmarkEnd w:id="396"/>
          </w:p>
        </w:tc>
      </w:tr>
      <w:tr w:rsidR="00D36DE4" w:rsidRPr="006A09A1" w14:paraId="241C766B" w14:textId="77777777" w:rsidTr="004F29F3">
        <w:trPr>
          <w:trHeight w:val="728"/>
        </w:trPr>
        <w:tc>
          <w:tcPr>
            <w:tcW w:w="7560" w:type="dxa"/>
            <w:vAlign w:val="center"/>
          </w:tcPr>
          <w:p w14:paraId="66AE48A8" w14:textId="77777777" w:rsidR="00D36DE4" w:rsidRPr="006A09A1" w:rsidRDefault="00D36DE4" w:rsidP="002023DB">
            <w:pPr>
              <w:pStyle w:val="BodyTextIndent"/>
              <w:ind w:left="480"/>
              <w:jc w:val="center"/>
              <w:rPr>
                <w:rFonts w:ascii="Calibri" w:hAnsi="Calibri"/>
                <w:szCs w:val="24"/>
              </w:rPr>
            </w:pPr>
            <m:oMathPara>
              <m:oMath>
                <m:r>
                  <w:rPr>
                    <w:rFonts w:ascii="Cambria Math" w:hAnsi="Cambria Math"/>
                    <w:szCs w:val="24"/>
                  </w:rPr>
                  <m:t>0</m:t>
                </m:r>
                <m:r>
                  <m:rPr>
                    <m:sty m:val="p"/>
                  </m:rPr>
                  <w:rPr>
                    <w:rFonts w:ascii="Cambria Math" w:hAnsi="Cambria Math" w:hint="eastAsia"/>
                    <w:szCs w:val="24"/>
                  </w:rPr>
                  <m:t>≤</m:t>
                </m:r>
                <m:sSubSup>
                  <m:sSubSupPr>
                    <m:ctrlPr>
                      <w:rPr>
                        <w:rFonts w:ascii="Cambria Math" w:hAnsi="Cambria Math"/>
                        <w:szCs w:val="24"/>
                      </w:rPr>
                    </m:ctrlPr>
                  </m:sSubSupPr>
                  <m:e>
                    <m:r>
                      <w:rPr>
                        <w:rFonts w:ascii="Cambria Math" w:hAnsi="Cambria Math"/>
                        <w:szCs w:val="24"/>
                      </w:rPr>
                      <m:t>P</m:t>
                    </m:r>
                    <m:ctrlPr>
                      <w:rPr>
                        <w:rFonts w:ascii="Cambria Math" w:hAnsi="Cambria Math"/>
                        <w:i/>
                        <w:szCs w:val="24"/>
                      </w:rPr>
                    </m:ctrlPr>
                  </m:e>
                  <m:sub>
                    <m:r>
                      <w:rPr>
                        <w:rFonts w:ascii="Cambria Math" w:hAnsi="Cambria Math"/>
                        <w:szCs w:val="24"/>
                      </w:rPr>
                      <m:t>charge</m:t>
                    </m:r>
                    <m:ctrlPr>
                      <w:rPr>
                        <w:rFonts w:ascii="Cambria Math" w:hAnsi="Cambria Math"/>
                        <w:i/>
                        <w:szCs w:val="24"/>
                      </w:rPr>
                    </m:ctrlPr>
                  </m:sub>
                  <m:sup>
                    <m:r>
                      <m:rPr>
                        <m:sty m:val="p"/>
                      </m:rPr>
                      <w:rPr>
                        <w:rFonts w:ascii="Cambria Math" w:hAnsi="Cambria Math"/>
                        <w:szCs w:val="24"/>
                      </w:rPr>
                      <m:t>k</m:t>
                    </m:r>
                  </m:sup>
                </m:sSubSup>
                <m:r>
                  <m:rPr>
                    <m:sty m:val="p"/>
                  </m:rPr>
                  <w:rPr>
                    <w:rFonts w:ascii="Cambria Math" w:hAnsi="Cambria Math" w:hint="eastAsia"/>
                    <w:szCs w:val="24"/>
                  </w:rPr>
                  <m:t>≤</m:t>
                </m:r>
                <m:sSub>
                  <m:sSubPr>
                    <m:ctrlPr>
                      <w:rPr>
                        <w:rFonts w:ascii="Cambria Math" w:hAnsi="Cambria Math"/>
                        <w:i/>
                        <w:szCs w:val="24"/>
                      </w:rPr>
                    </m:ctrlPr>
                  </m:sSubPr>
                  <m:e>
                    <m:r>
                      <w:rPr>
                        <w:rFonts w:ascii="Cambria Math" w:hAnsi="Cambria Math"/>
                        <w:szCs w:val="24"/>
                      </w:rPr>
                      <m:t>L</m:t>
                    </m:r>
                  </m:e>
                  <m:sub>
                    <m:r>
                      <w:rPr>
                        <w:rFonts w:ascii="Cambria Math" w:hAnsi="Cambria Math"/>
                        <w:szCs w:val="24"/>
                      </w:rPr>
                      <m:t>c</m:t>
                    </m:r>
                  </m:sub>
                </m:sSub>
                <m:sSup>
                  <m:sSupPr>
                    <m:ctrlPr>
                      <w:rPr>
                        <w:rFonts w:ascii="Cambria Math" w:hAnsi="Cambria Math"/>
                        <w:i/>
                        <w:szCs w:val="24"/>
                      </w:rPr>
                    </m:ctrlPr>
                  </m:sSupPr>
                  <m:e>
                    <m:r>
                      <w:rPr>
                        <w:rFonts w:ascii="Cambria Math" w:hAnsi="Cambria Math"/>
                        <w:szCs w:val="24"/>
                      </w:rPr>
                      <m:t>C</m:t>
                    </m:r>
                  </m:e>
                  <m:sup>
                    <m:r>
                      <w:rPr>
                        <w:rFonts w:ascii="Cambria Math" w:hAnsi="Cambria Math"/>
                        <w:szCs w:val="24"/>
                      </w:rPr>
                      <m:t>k</m:t>
                    </m:r>
                  </m:sup>
                </m:sSup>
                <m:r>
                  <w:rPr>
                    <w:rFonts w:ascii="Cambria Math" w:hAnsi="Cambria Math"/>
                    <w:szCs w:val="24"/>
                  </w:rPr>
                  <m:t xml:space="preserve"> </m:t>
                </m:r>
                <m:r>
                  <m:rPr>
                    <m:sty m:val="p"/>
                  </m:rPr>
                  <w:rPr>
                    <w:rFonts w:ascii="Cambria Math" w:hAnsi="Cambria Math"/>
                    <w:szCs w:val="24"/>
                  </w:rPr>
                  <m:t>∀</m:t>
                </m:r>
                <m:r>
                  <w:rPr>
                    <w:rFonts w:ascii="Cambria Math" w:hAnsi="Cambria Math"/>
                    <w:szCs w:val="24"/>
                  </w:rPr>
                  <m:t>k</m:t>
                </m:r>
              </m:oMath>
            </m:oMathPara>
          </w:p>
        </w:tc>
        <w:tc>
          <w:tcPr>
            <w:tcW w:w="1440" w:type="dxa"/>
            <w:vAlign w:val="center"/>
          </w:tcPr>
          <w:p w14:paraId="472651C9" w14:textId="0EC08429" w:rsidR="00D36DE4" w:rsidRPr="006A09A1" w:rsidRDefault="00D36DE4" w:rsidP="002023DB">
            <w:pPr>
              <w:pStyle w:val="BodyTextIndent"/>
              <w:ind w:left="480" w:firstLine="0"/>
              <w:jc w:val="center"/>
              <w:rPr>
                <w:szCs w:val="24"/>
              </w:rPr>
            </w:pPr>
            <w:bookmarkStart w:id="397" w:name="_Ref101145453"/>
            <w:r w:rsidRPr="006A09A1">
              <w:rPr>
                <w:szCs w:val="24"/>
              </w:rPr>
              <w:t>(</w:t>
            </w:r>
            <w:r w:rsidRPr="006A09A1">
              <w:rPr>
                <w:szCs w:val="24"/>
              </w:rPr>
              <w:fldChar w:fldCharType="begin"/>
            </w:r>
            <w:r w:rsidRPr="006A09A1">
              <w:rPr>
                <w:szCs w:val="24"/>
              </w:rPr>
              <w:instrText>SEQ Equation \* ARABIC</w:instrText>
            </w:r>
            <w:r w:rsidRPr="006A09A1">
              <w:rPr>
                <w:szCs w:val="24"/>
              </w:rPr>
              <w:fldChar w:fldCharType="separate"/>
            </w:r>
            <w:r w:rsidR="000E1725">
              <w:rPr>
                <w:noProof/>
                <w:szCs w:val="24"/>
              </w:rPr>
              <w:t>60</w:t>
            </w:r>
            <w:r w:rsidRPr="006A09A1">
              <w:rPr>
                <w:szCs w:val="24"/>
              </w:rPr>
              <w:fldChar w:fldCharType="end"/>
            </w:r>
            <w:r w:rsidRPr="006A09A1">
              <w:rPr>
                <w:szCs w:val="24"/>
              </w:rPr>
              <w:t>)</w:t>
            </w:r>
            <w:bookmarkEnd w:id="397"/>
          </w:p>
        </w:tc>
      </w:tr>
      <w:tr w:rsidR="00D36DE4" w:rsidRPr="006A09A1" w14:paraId="578455DB" w14:textId="77777777" w:rsidTr="004F29F3">
        <w:trPr>
          <w:trHeight w:val="716"/>
        </w:trPr>
        <w:tc>
          <w:tcPr>
            <w:tcW w:w="7560" w:type="dxa"/>
            <w:vAlign w:val="center"/>
          </w:tcPr>
          <w:p w14:paraId="72F7BE03" w14:textId="77777777" w:rsidR="00D36DE4" w:rsidRPr="006A09A1" w:rsidRDefault="00000000" w:rsidP="002023DB">
            <w:pPr>
              <w:pStyle w:val="BodyTextIndent"/>
              <w:ind w:left="480"/>
              <w:jc w:val="center"/>
              <w:rPr>
                <w:szCs w:val="24"/>
              </w:rPr>
            </w:pPr>
            <m:oMathPara>
              <m:oMath>
                <m:sSubSup>
                  <m:sSubSupPr>
                    <m:ctrlPr>
                      <w:rPr>
                        <w:rFonts w:ascii="Cambria Math" w:hAnsi="Cambria Math"/>
                        <w:szCs w:val="24"/>
                      </w:rPr>
                    </m:ctrlPr>
                  </m:sSubSupPr>
                  <m:e>
                    <m:r>
                      <w:rPr>
                        <w:rFonts w:ascii="Cambria Math" w:hAnsi="Cambria Math"/>
                        <w:szCs w:val="24"/>
                      </w:rPr>
                      <m:t xml:space="preserve"> 0</m:t>
                    </m:r>
                    <m:r>
                      <m:rPr>
                        <m:sty m:val="p"/>
                      </m:rPr>
                      <w:rPr>
                        <w:rFonts w:ascii="Cambria Math" w:hAnsi="Cambria Math" w:hint="eastAsia"/>
                        <w:szCs w:val="24"/>
                      </w:rPr>
                      <m:t>≤</m:t>
                    </m:r>
                    <m:r>
                      <w:rPr>
                        <w:rFonts w:ascii="Cambria Math" w:hAnsi="Cambria Math"/>
                        <w:szCs w:val="24"/>
                      </w:rPr>
                      <m:t>P</m:t>
                    </m:r>
                    <m:ctrlPr>
                      <w:rPr>
                        <w:rFonts w:ascii="Cambria Math" w:hAnsi="Cambria Math"/>
                        <w:i/>
                        <w:szCs w:val="24"/>
                      </w:rPr>
                    </m:ctrlPr>
                  </m:e>
                  <m:sub>
                    <m:r>
                      <w:rPr>
                        <w:rFonts w:ascii="Cambria Math" w:hAnsi="Cambria Math"/>
                        <w:szCs w:val="24"/>
                      </w:rPr>
                      <m:t>dis</m:t>
                    </m:r>
                    <m:ctrlPr>
                      <w:rPr>
                        <w:rFonts w:ascii="Cambria Math" w:hAnsi="Cambria Math"/>
                        <w:i/>
                        <w:szCs w:val="24"/>
                      </w:rPr>
                    </m:ctrlPr>
                  </m:sub>
                  <m:sup>
                    <m:r>
                      <m:rPr>
                        <m:sty m:val="p"/>
                      </m:rPr>
                      <w:rPr>
                        <w:rFonts w:ascii="Cambria Math" w:hAnsi="Cambria Math"/>
                        <w:szCs w:val="24"/>
                      </w:rPr>
                      <m:t>k</m:t>
                    </m:r>
                  </m:sup>
                </m:sSubSup>
                <m:r>
                  <m:rPr>
                    <m:sty m:val="p"/>
                  </m:rPr>
                  <w:rPr>
                    <w:rFonts w:ascii="Cambria Math" w:hAnsi="Cambria Math" w:hint="eastAsia"/>
                    <w:szCs w:val="24"/>
                  </w:rPr>
                  <m:t>≤</m:t>
                </m:r>
                <m:sSub>
                  <m:sSubPr>
                    <m:ctrlPr>
                      <w:rPr>
                        <w:rFonts w:ascii="Cambria Math" w:hAnsi="Cambria Math"/>
                        <w:i/>
                        <w:szCs w:val="24"/>
                      </w:rPr>
                    </m:ctrlPr>
                  </m:sSubPr>
                  <m:e>
                    <m:r>
                      <w:rPr>
                        <w:rFonts w:ascii="Cambria Math" w:hAnsi="Cambria Math"/>
                        <w:szCs w:val="24"/>
                      </w:rPr>
                      <m:t>L</m:t>
                    </m:r>
                  </m:e>
                  <m:sub>
                    <m:r>
                      <w:rPr>
                        <w:rFonts w:ascii="Cambria Math" w:hAnsi="Cambria Math"/>
                        <w:szCs w:val="24"/>
                      </w:rPr>
                      <m:t>d</m:t>
                    </m:r>
                  </m:sub>
                </m:sSub>
                <m:sSub>
                  <m:sSubPr>
                    <m:ctrlPr>
                      <w:rPr>
                        <w:rFonts w:ascii="Cambria Math" w:hAnsi="Cambria Math"/>
                        <w:i/>
                        <w:szCs w:val="24"/>
                      </w:rPr>
                    </m:ctrlPr>
                  </m:sSubPr>
                  <m:e>
                    <m:sSup>
                      <m:sSupPr>
                        <m:ctrlPr>
                          <w:rPr>
                            <w:rFonts w:ascii="Cambria Math" w:hAnsi="Cambria Math"/>
                            <w:i/>
                            <w:szCs w:val="24"/>
                          </w:rPr>
                        </m:ctrlPr>
                      </m:sSupPr>
                      <m:e>
                        <m:r>
                          <w:rPr>
                            <w:rFonts w:ascii="Cambria Math" w:hAnsi="Cambria Math"/>
                            <w:szCs w:val="24"/>
                          </w:rPr>
                          <m:t>D</m:t>
                        </m:r>
                      </m:e>
                      <m:sup>
                        <m:r>
                          <w:rPr>
                            <w:rFonts w:ascii="Cambria Math" w:hAnsi="Cambria Math"/>
                            <w:szCs w:val="24"/>
                          </w:rPr>
                          <m:t>k</m:t>
                        </m:r>
                      </m:sup>
                    </m:sSup>
                  </m:e>
                  <m:sub>
                    <m:r>
                      <w:rPr>
                        <w:rFonts w:ascii="Cambria Math" w:hAnsi="Cambria Math"/>
                        <w:szCs w:val="24"/>
                      </w:rPr>
                      <m:t xml:space="preserve"> </m:t>
                    </m:r>
                  </m:sub>
                </m:sSub>
                <m:r>
                  <w:rPr>
                    <w:rFonts w:ascii="Cambria Math" w:hAnsi="Cambria Math"/>
                    <w:szCs w:val="24"/>
                  </w:rPr>
                  <m:t xml:space="preserve"> </m:t>
                </m:r>
                <m:r>
                  <m:rPr>
                    <m:sty m:val="p"/>
                  </m:rPr>
                  <w:rPr>
                    <w:rFonts w:ascii="Cambria Math" w:hAnsi="Cambria Math"/>
                    <w:szCs w:val="24"/>
                  </w:rPr>
                  <m:t>∀</m:t>
                </m:r>
                <m:r>
                  <w:rPr>
                    <w:rFonts w:ascii="Cambria Math" w:hAnsi="Cambria Math"/>
                    <w:szCs w:val="24"/>
                  </w:rPr>
                  <m:t>k</m:t>
                </m:r>
              </m:oMath>
            </m:oMathPara>
          </w:p>
        </w:tc>
        <w:tc>
          <w:tcPr>
            <w:tcW w:w="1440" w:type="dxa"/>
            <w:vAlign w:val="center"/>
          </w:tcPr>
          <w:p w14:paraId="25415C72" w14:textId="30D7B082" w:rsidR="00D36DE4" w:rsidRPr="006A09A1" w:rsidRDefault="00D36DE4" w:rsidP="002023DB">
            <w:pPr>
              <w:pStyle w:val="BodyTextIndent"/>
              <w:ind w:left="480" w:firstLine="0"/>
              <w:jc w:val="center"/>
              <w:rPr>
                <w:szCs w:val="24"/>
              </w:rPr>
            </w:pPr>
            <w:bookmarkStart w:id="398" w:name="_Ref101145463"/>
            <w:r w:rsidRPr="006A09A1">
              <w:rPr>
                <w:szCs w:val="24"/>
              </w:rPr>
              <w:t>(</w:t>
            </w:r>
            <w:r w:rsidRPr="006A09A1">
              <w:rPr>
                <w:szCs w:val="24"/>
              </w:rPr>
              <w:fldChar w:fldCharType="begin"/>
            </w:r>
            <w:r w:rsidRPr="006A09A1">
              <w:rPr>
                <w:szCs w:val="24"/>
              </w:rPr>
              <w:instrText>SEQ Equation \* ARABIC</w:instrText>
            </w:r>
            <w:r w:rsidRPr="006A09A1">
              <w:rPr>
                <w:szCs w:val="24"/>
              </w:rPr>
              <w:fldChar w:fldCharType="separate"/>
            </w:r>
            <w:r w:rsidR="000E1725">
              <w:rPr>
                <w:noProof/>
                <w:szCs w:val="24"/>
              </w:rPr>
              <w:t>61</w:t>
            </w:r>
            <w:r w:rsidRPr="006A09A1">
              <w:rPr>
                <w:szCs w:val="24"/>
              </w:rPr>
              <w:fldChar w:fldCharType="end"/>
            </w:r>
            <w:r w:rsidRPr="006A09A1">
              <w:rPr>
                <w:szCs w:val="24"/>
              </w:rPr>
              <w:t>)</w:t>
            </w:r>
            <w:bookmarkEnd w:id="398"/>
          </w:p>
        </w:tc>
      </w:tr>
      <w:tr w:rsidR="00D36DE4" w:rsidRPr="006A09A1" w14:paraId="482A3D45" w14:textId="77777777" w:rsidTr="004F29F3">
        <w:trPr>
          <w:trHeight w:val="728"/>
        </w:trPr>
        <w:tc>
          <w:tcPr>
            <w:tcW w:w="7560" w:type="dxa"/>
            <w:vAlign w:val="center"/>
          </w:tcPr>
          <w:p w14:paraId="0ADEA79A" w14:textId="77777777" w:rsidR="00D36DE4" w:rsidRPr="006A09A1" w:rsidRDefault="00000000" w:rsidP="002023DB">
            <w:pPr>
              <w:pStyle w:val="BodyTextIndent"/>
              <w:ind w:left="480"/>
              <w:jc w:val="center"/>
              <w:rPr>
                <w:rFonts w:ascii="Calibri" w:hAnsi="Calibri"/>
                <w:szCs w:val="24"/>
              </w:rPr>
            </w:pPr>
            <m:oMathPara>
              <m:oMath>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b</m:t>
                    </m:r>
                  </m:sub>
                  <m:sup>
                    <m:r>
                      <w:rPr>
                        <w:rFonts w:ascii="Cambria Math" w:hAnsi="Cambria Math"/>
                        <w:szCs w:val="24"/>
                      </w:rPr>
                      <m:t>0</m:t>
                    </m:r>
                  </m:sup>
                </m:sSubSup>
                <m:r>
                  <w:rPr>
                    <w:rFonts w:ascii="Cambria Math" w:hAnsi="Cambria Math"/>
                    <w:szCs w:val="24"/>
                  </w:rPr>
                  <m:t>=</m:t>
                </m:r>
                <m:sSub>
                  <m:sSubPr>
                    <m:ctrlPr>
                      <w:rPr>
                        <w:rFonts w:ascii="Cambria Math" w:hAnsi="Cambria Math"/>
                        <w:i/>
                        <w:iCs/>
                        <w:szCs w:val="24"/>
                      </w:rPr>
                    </m:ctrlPr>
                  </m:sSubPr>
                  <m:e>
                    <m:r>
                      <w:rPr>
                        <w:rFonts w:ascii="Cambria Math" w:hAnsi="Cambria Math"/>
                        <w:szCs w:val="24"/>
                      </w:rPr>
                      <m:t>SOC</m:t>
                    </m:r>
                  </m:e>
                  <m:sub>
                    <m:r>
                      <w:rPr>
                        <w:rFonts w:ascii="Cambria Math" w:hAnsi="Cambria Math"/>
                        <w:szCs w:val="24"/>
                      </w:rPr>
                      <m:t>min</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C</m:t>
                    </m:r>
                  </m:e>
                  <m:sub>
                    <m:r>
                      <w:rPr>
                        <w:rFonts w:ascii="Cambria Math" w:hAnsi="Cambria Math"/>
                        <w:szCs w:val="24"/>
                      </w:rPr>
                      <m:t>b</m:t>
                    </m:r>
                  </m:sub>
                </m:sSub>
              </m:oMath>
            </m:oMathPara>
          </w:p>
        </w:tc>
        <w:tc>
          <w:tcPr>
            <w:tcW w:w="1440" w:type="dxa"/>
            <w:vAlign w:val="center"/>
          </w:tcPr>
          <w:p w14:paraId="1AD067C9" w14:textId="0343750C" w:rsidR="00D36DE4" w:rsidRPr="006A09A1" w:rsidRDefault="00D36DE4" w:rsidP="002023DB">
            <w:pPr>
              <w:pStyle w:val="BodyTextIndent"/>
              <w:ind w:left="480" w:firstLine="0"/>
              <w:jc w:val="center"/>
              <w:rPr>
                <w:szCs w:val="24"/>
              </w:rPr>
            </w:pPr>
            <w:bookmarkStart w:id="399" w:name="_Ref101145215"/>
            <w:r w:rsidRPr="006A09A1">
              <w:rPr>
                <w:szCs w:val="24"/>
              </w:rPr>
              <w:t>(</w:t>
            </w:r>
            <w:r w:rsidRPr="006A09A1">
              <w:rPr>
                <w:szCs w:val="24"/>
              </w:rPr>
              <w:fldChar w:fldCharType="begin"/>
            </w:r>
            <w:r w:rsidRPr="006A09A1">
              <w:rPr>
                <w:szCs w:val="24"/>
              </w:rPr>
              <w:instrText>SEQ Equation \* ARABIC</w:instrText>
            </w:r>
            <w:r w:rsidRPr="006A09A1">
              <w:rPr>
                <w:szCs w:val="24"/>
              </w:rPr>
              <w:fldChar w:fldCharType="separate"/>
            </w:r>
            <w:r w:rsidR="000E1725">
              <w:rPr>
                <w:noProof/>
                <w:szCs w:val="24"/>
              </w:rPr>
              <w:t>62</w:t>
            </w:r>
            <w:r w:rsidRPr="006A09A1">
              <w:rPr>
                <w:szCs w:val="24"/>
              </w:rPr>
              <w:fldChar w:fldCharType="end"/>
            </w:r>
            <w:r w:rsidRPr="006A09A1">
              <w:rPr>
                <w:szCs w:val="24"/>
              </w:rPr>
              <w:t>)</w:t>
            </w:r>
            <w:bookmarkEnd w:id="399"/>
          </w:p>
        </w:tc>
      </w:tr>
      <w:tr w:rsidR="00D36DE4" w:rsidRPr="006A09A1" w14:paraId="58D3B679" w14:textId="77777777" w:rsidTr="004F29F3">
        <w:trPr>
          <w:trHeight w:val="716"/>
        </w:trPr>
        <w:tc>
          <w:tcPr>
            <w:tcW w:w="7560" w:type="dxa"/>
            <w:vAlign w:val="center"/>
          </w:tcPr>
          <w:p w14:paraId="177D6333" w14:textId="77777777" w:rsidR="00D36DE4" w:rsidRPr="006A09A1" w:rsidRDefault="00D36DE4" w:rsidP="002023DB">
            <w:pPr>
              <w:pStyle w:val="BodyTextIndent"/>
              <w:ind w:left="480"/>
              <w:jc w:val="center"/>
              <w:rPr>
                <w:rFonts w:ascii="Calibri" w:hAnsi="Calibri"/>
                <w:szCs w:val="24"/>
              </w:rPr>
            </w:pPr>
            <m:oMathPara>
              <m:oMath>
                <m:r>
                  <w:rPr>
                    <w:rFonts w:ascii="Cambria Math" w:hAnsi="Cambria Math"/>
                    <w:szCs w:val="24"/>
                  </w:rPr>
                  <m:t>0 ≤</m:t>
                </m:r>
                <m:sSubSup>
                  <m:sSubSupPr>
                    <m:ctrlPr>
                      <w:rPr>
                        <w:rFonts w:ascii="Cambria Math" w:hAnsi="Cambria Math"/>
                        <w:i/>
                        <w:szCs w:val="24"/>
                      </w:rPr>
                    </m:ctrlPr>
                  </m:sSubSupPr>
                  <m:e>
                    <m:r>
                      <w:rPr>
                        <w:rFonts w:ascii="Cambria Math" w:hAnsi="Cambria Math"/>
                        <w:szCs w:val="24"/>
                      </w:rPr>
                      <m:t>P</m:t>
                    </m:r>
                  </m:e>
                  <m:sub>
                    <m:r>
                      <w:rPr>
                        <w:rFonts w:ascii="Cambria Math" w:hAnsi="Cambria Math"/>
                        <w:szCs w:val="24"/>
                      </w:rPr>
                      <m:t>pv</m:t>
                    </m:r>
                  </m:sub>
                  <m:sup>
                    <m:r>
                      <w:rPr>
                        <w:rFonts w:ascii="Cambria Math" w:hAnsi="Cambria Math"/>
                        <w:szCs w:val="24"/>
                      </w:rPr>
                      <m:t>k</m:t>
                    </m:r>
                  </m:sup>
                </m:sSubSup>
                <m:r>
                  <m:rPr>
                    <m:sty m:val="p"/>
                  </m:rPr>
                  <w:rPr>
                    <w:rFonts w:ascii="Cambria Math" w:hAnsi="Cambria Math" w:hint="eastAsia"/>
                    <w:szCs w:val="24"/>
                  </w:rPr>
                  <m:t>≤</m:t>
                </m:r>
                <m:sSubSup>
                  <m:sSubSupPr>
                    <m:ctrlPr>
                      <w:rPr>
                        <w:rFonts w:ascii="Cambria Math" w:hAnsi="Cambria Math"/>
                        <w:i/>
                        <w:szCs w:val="24"/>
                      </w:rPr>
                    </m:ctrlPr>
                  </m:sSubSupPr>
                  <m:e>
                    <m:r>
                      <w:rPr>
                        <w:rFonts w:ascii="Cambria Math" w:hAnsi="Cambria Math"/>
                        <w:szCs w:val="24"/>
                      </w:rPr>
                      <m:t>P</m:t>
                    </m:r>
                    <m:ctrlPr>
                      <w:rPr>
                        <w:rFonts w:ascii="Cambria Math" w:hAnsi="Cambria Math"/>
                        <w:szCs w:val="24"/>
                      </w:rPr>
                    </m:ctrlPr>
                  </m:e>
                  <m:sub>
                    <m:r>
                      <w:rPr>
                        <w:rFonts w:ascii="Cambria Math" w:hAnsi="Cambria Math"/>
                        <w:szCs w:val="24"/>
                      </w:rPr>
                      <m:t>max</m:t>
                    </m:r>
                  </m:sub>
                  <m:sup>
                    <m:r>
                      <w:rPr>
                        <w:rFonts w:ascii="Cambria Math" w:hAnsi="Cambria Math"/>
                        <w:szCs w:val="24"/>
                      </w:rPr>
                      <m:t>k</m:t>
                    </m:r>
                  </m:sup>
                </m:sSubSup>
                <m:r>
                  <m:rPr>
                    <m:sty m:val="p"/>
                  </m:rPr>
                  <w:rPr>
                    <w:rFonts w:ascii="Cambria Math" w:hAnsi="Cambria Math"/>
                    <w:szCs w:val="24"/>
                  </w:rPr>
                  <m:t>∀</m:t>
                </m:r>
                <m:r>
                  <w:rPr>
                    <w:rFonts w:ascii="Cambria Math" w:hAnsi="Cambria Math"/>
                    <w:szCs w:val="24"/>
                  </w:rPr>
                  <m:t>k</m:t>
                </m:r>
              </m:oMath>
            </m:oMathPara>
          </w:p>
        </w:tc>
        <w:tc>
          <w:tcPr>
            <w:tcW w:w="1440" w:type="dxa"/>
            <w:vAlign w:val="center"/>
          </w:tcPr>
          <w:p w14:paraId="40535AEB" w14:textId="728E262B" w:rsidR="00D36DE4" w:rsidRPr="006A09A1" w:rsidRDefault="00D36DE4" w:rsidP="002023DB">
            <w:pPr>
              <w:pStyle w:val="BodyTextIndent"/>
              <w:ind w:left="480" w:firstLine="0"/>
              <w:jc w:val="center"/>
              <w:rPr>
                <w:szCs w:val="24"/>
              </w:rPr>
            </w:pPr>
            <w:bookmarkStart w:id="400" w:name="_Ref101145293"/>
            <w:r w:rsidRPr="006A09A1">
              <w:rPr>
                <w:szCs w:val="24"/>
              </w:rPr>
              <w:t>(</w:t>
            </w:r>
            <w:r w:rsidRPr="006A09A1">
              <w:rPr>
                <w:szCs w:val="24"/>
              </w:rPr>
              <w:fldChar w:fldCharType="begin"/>
            </w:r>
            <w:r w:rsidRPr="006A09A1">
              <w:rPr>
                <w:szCs w:val="24"/>
              </w:rPr>
              <w:instrText>SEQ Equation \* ARABIC</w:instrText>
            </w:r>
            <w:r w:rsidRPr="006A09A1">
              <w:rPr>
                <w:szCs w:val="24"/>
              </w:rPr>
              <w:fldChar w:fldCharType="separate"/>
            </w:r>
            <w:r w:rsidR="000E1725">
              <w:rPr>
                <w:noProof/>
                <w:szCs w:val="24"/>
              </w:rPr>
              <w:t>63</w:t>
            </w:r>
            <w:r w:rsidRPr="006A09A1">
              <w:rPr>
                <w:szCs w:val="24"/>
              </w:rPr>
              <w:fldChar w:fldCharType="end"/>
            </w:r>
            <w:r w:rsidRPr="006A09A1">
              <w:rPr>
                <w:szCs w:val="24"/>
              </w:rPr>
              <w:t>)</w:t>
            </w:r>
            <w:bookmarkEnd w:id="400"/>
          </w:p>
        </w:tc>
      </w:tr>
      <w:tr w:rsidR="00D36DE4" w:rsidRPr="006A09A1" w14:paraId="3FA6F92F" w14:textId="77777777" w:rsidTr="004F29F3">
        <w:trPr>
          <w:trHeight w:val="728"/>
        </w:trPr>
        <w:tc>
          <w:tcPr>
            <w:tcW w:w="7560" w:type="dxa"/>
            <w:vAlign w:val="center"/>
          </w:tcPr>
          <w:p w14:paraId="4D0C1646" w14:textId="77777777" w:rsidR="00D36DE4" w:rsidRPr="006A09A1" w:rsidRDefault="00000000" w:rsidP="002023DB">
            <w:pPr>
              <w:pStyle w:val="BodyTextIndent"/>
              <w:ind w:left="480"/>
              <w:jc w:val="center"/>
              <w:rPr>
                <w:rFonts w:ascii="Calibri" w:hAnsi="Calibri"/>
                <w:szCs w:val="24"/>
              </w:rPr>
            </w:pPr>
            <m:oMathPara>
              <m:oMath>
                <m:sSup>
                  <m:sSupPr>
                    <m:ctrlPr>
                      <w:rPr>
                        <w:rFonts w:ascii="Cambria Math" w:hAnsi="Cambria Math"/>
                        <w:i/>
                        <w:szCs w:val="24"/>
                      </w:rPr>
                    </m:ctrlPr>
                  </m:sSupPr>
                  <m:e>
                    <m:r>
                      <w:rPr>
                        <w:rFonts w:ascii="Cambria Math" w:hAnsi="Cambria Math"/>
                        <w:szCs w:val="24"/>
                      </w:rPr>
                      <m:t>C</m:t>
                    </m:r>
                  </m:e>
                  <m:sup>
                    <m:r>
                      <w:rPr>
                        <w:rFonts w:ascii="Cambria Math" w:hAnsi="Cambria Math"/>
                        <w:szCs w:val="24"/>
                      </w:rPr>
                      <m:t>k</m:t>
                    </m:r>
                  </m:sup>
                </m:sSup>
                <m:r>
                  <w:rPr>
                    <w:rFonts w:ascii="Cambria Math" w:hAnsi="Cambria Math"/>
                    <w:szCs w:val="24"/>
                  </w:rPr>
                  <m:t xml:space="preserve"> + </m:t>
                </m:r>
                <m:sSup>
                  <m:sSupPr>
                    <m:ctrlPr>
                      <w:rPr>
                        <w:rFonts w:ascii="Cambria Math" w:hAnsi="Cambria Math"/>
                        <w:i/>
                        <w:szCs w:val="24"/>
                      </w:rPr>
                    </m:ctrlPr>
                  </m:sSupPr>
                  <m:e>
                    <m:r>
                      <w:rPr>
                        <w:rFonts w:ascii="Cambria Math" w:hAnsi="Cambria Math"/>
                        <w:szCs w:val="24"/>
                      </w:rPr>
                      <m:t>D</m:t>
                    </m:r>
                  </m:e>
                  <m:sup>
                    <m:r>
                      <w:rPr>
                        <w:rFonts w:ascii="Cambria Math" w:hAnsi="Cambria Math"/>
                        <w:szCs w:val="24"/>
                      </w:rPr>
                      <m:t>k</m:t>
                    </m:r>
                  </m:sup>
                </m:sSup>
                <m:r>
                  <w:rPr>
                    <w:rFonts w:ascii="Cambria Math" w:hAnsi="Cambria Math"/>
                    <w:szCs w:val="24"/>
                  </w:rPr>
                  <m:t xml:space="preserve"> </m:t>
                </m:r>
                <m:r>
                  <m:rPr>
                    <m:sty m:val="p"/>
                  </m:rPr>
                  <w:rPr>
                    <w:rFonts w:ascii="Cambria Math" w:hAnsi="Cambria Math" w:hint="eastAsia"/>
                    <w:szCs w:val="24"/>
                  </w:rPr>
                  <m:t>≤</m:t>
                </m:r>
                <m:r>
                  <w:rPr>
                    <w:rFonts w:ascii="Cambria Math" w:hAnsi="Cambria Math"/>
                    <w:szCs w:val="24"/>
                  </w:rPr>
                  <m:t xml:space="preserve">1 </m:t>
                </m:r>
                <m:r>
                  <m:rPr>
                    <m:sty m:val="p"/>
                  </m:rPr>
                  <w:rPr>
                    <w:rFonts w:ascii="Cambria Math" w:hAnsi="Cambria Math"/>
                    <w:szCs w:val="24"/>
                  </w:rPr>
                  <m:t>∀</m:t>
                </m:r>
                <m:r>
                  <w:rPr>
                    <w:rFonts w:ascii="Cambria Math" w:hAnsi="Cambria Math"/>
                    <w:szCs w:val="24"/>
                  </w:rPr>
                  <m:t>k</m:t>
                </m:r>
              </m:oMath>
            </m:oMathPara>
          </w:p>
        </w:tc>
        <w:tc>
          <w:tcPr>
            <w:tcW w:w="1440" w:type="dxa"/>
            <w:vAlign w:val="center"/>
          </w:tcPr>
          <w:p w14:paraId="63BF5EDC" w14:textId="7D5DB588" w:rsidR="00D36DE4" w:rsidRPr="006A09A1" w:rsidRDefault="00D36DE4" w:rsidP="002023DB">
            <w:pPr>
              <w:pStyle w:val="BodyTextIndent"/>
              <w:ind w:left="480" w:firstLine="0"/>
              <w:jc w:val="center"/>
              <w:rPr>
                <w:szCs w:val="24"/>
              </w:rPr>
            </w:pPr>
            <w:bookmarkStart w:id="401" w:name="_Ref101145485"/>
            <w:r w:rsidRPr="006A09A1">
              <w:rPr>
                <w:szCs w:val="24"/>
              </w:rPr>
              <w:t>(</w:t>
            </w:r>
            <w:r w:rsidRPr="006A09A1">
              <w:rPr>
                <w:szCs w:val="24"/>
              </w:rPr>
              <w:fldChar w:fldCharType="begin"/>
            </w:r>
            <w:r w:rsidRPr="006A09A1">
              <w:rPr>
                <w:szCs w:val="24"/>
              </w:rPr>
              <w:instrText>SEQ Equation \* ARABIC</w:instrText>
            </w:r>
            <w:r w:rsidRPr="006A09A1">
              <w:rPr>
                <w:szCs w:val="24"/>
              </w:rPr>
              <w:fldChar w:fldCharType="separate"/>
            </w:r>
            <w:r w:rsidR="000E1725">
              <w:rPr>
                <w:noProof/>
                <w:szCs w:val="24"/>
              </w:rPr>
              <w:t>64</w:t>
            </w:r>
            <w:r w:rsidRPr="006A09A1">
              <w:rPr>
                <w:szCs w:val="24"/>
              </w:rPr>
              <w:fldChar w:fldCharType="end"/>
            </w:r>
            <w:r w:rsidRPr="006A09A1">
              <w:rPr>
                <w:szCs w:val="24"/>
              </w:rPr>
              <w:t>)</w:t>
            </w:r>
            <w:bookmarkEnd w:id="401"/>
          </w:p>
        </w:tc>
      </w:tr>
      <w:tr w:rsidR="00D36DE4" w:rsidRPr="006A09A1" w14:paraId="1E635E44" w14:textId="77777777" w:rsidTr="004F29F3">
        <w:trPr>
          <w:trHeight w:val="716"/>
        </w:trPr>
        <w:tc>
          <w:tcPr>
            <w:tcW w:w="7560" w:type="dxa"/>
            <w:vAlign w:val="center"/>
          </w:tcPr>
          <w:p w14:paraId="03B2630F" w14:textId="77777777" w:rsidR="00D36DE4" w:rsidRPr="006A09A1" w:rsidRDefault="00000000" w:rsidP="002023DB">
            <w:pPr>
              <w:pStyle w:val="BodyTextIndent"/>
              <w:ind w:left="480"/>
              <w:jc w:val="center"/>
              <w:rPr>
                <w:rFonts w:ascii="Calibri" w:hAnsi="Calibri"/>
                <w:szCs w:val="24"/>
              </w:rPr>
            </w:pPr>
            <m:oMathPara>
              <m:oMath>
                <m:sSup>
                  <m:sSupPr>
                    <m:ctrlPr>
                      <w:rPr>
                        <w:rFonts w:ascii="Cambria Math" w:hAnsi="Cambria Math"/>
                        <w:i/>
                        <w:szCs w:val="24"/>
                      </w:rPr>
                    </m:ctrlPr>
                  </m:sSupPr>
                  <m:e>
                    <m:r>
                      <w:rPr>
                        <w:rFonts w:ascii="Cambria Math" w:hAnsi="Cambria Math"/>
                        <w:szCs w:val="24"/>
                      </w:rPr>
                      <m:t>C</m:t>
                    </m:r>
                  </m:e>
                  <m:sup>
                    <m:r>
                      <w:rPr>
                        <w:rFonts w:ascii="Cambria Math" w:hAnsi="Cambria Math"/>
                        <w:szCs w:val="24"/>
                      </w:rPr>
                      <m:t>k</m:t>
                    </m:r>
                  </m:sup>
                </m:sSup>
                <m:r>
                  <w:rPr>
                    <w:rFonts w:ascii="Cambria Math" w:hAnsi="Cambria Math"/>
                    <w:szCs w:val="24"/>
                  </w:rPr>
                  <m:t>,</m:t>
                </m:r>
                <m:sSup>
                  <m:sSupPr>
                    <m:ctrlPr>
                      <w:rPr>
                        <w:rFonts w:ascii="Cambria Math" w:hAnsi="Cambria Math"/>
                        <w:i/>
                        <w:szCs w:val="24"/>
                      </w:rPr>
                    </m:ctrlPr>
                  </m:sSupPr>
                  <m:e>
                    <m:r>
                      <w:rPr>
                        <w:rFonts w:ascii="Cambria Math" w:hAnsi="Cambria Math"/>
                        <w:szCs w:val="24"/>
                      </w:rPr>
                      <m:t>D</m:t>
                    </m:r>
                  </m:e>
                  <m:sup>
                    <m:r>
                      <w:rPr>
                        <w:rFonts w:ascii="Cambria Math" w:hAnsi="Cambria Math"/>
                        <w:szCs w:val="24"/>
                      </w:rPr>
                      <m:t>k</m:t>
                    </m:r>
                  </m:sup>
                </m:sSup>
                <m:r>
                  <m:rPr>
                    <m:sty m:val="p"/>
                  </m:rPr>
                  <w:rPr>
                    <w:rFonts w:ascii="Cambria Math" w:hAnsi="Cambria Math" w:hint="eastAsia"/>
                    <w:szCs w:val="24"/>
                  </w:rPr>
                  <m:t>∈</m:t>
                </m:r>
                <m:r>
                  <m:rPr>
                    <m:lit/>
                  </m:rPr>
                  <w:rPr>
                    <w:rFonts w:ascii="Cambria Math" w:hAnsi="Cambria Math"/>
                    <w:szCs w:val="24"/>
                  </w:rPr>
                  <m:t>{</m:t>
                </m:r>
                <m:r>
                  <w:rPr>
                    <w:rFonts w:ascii="Cambria Math" w:hAnsi="Cambria Math"/>
                    <w:szCs w:val="24"/>
                  </w:rPr>
                  <m:t>0,1</m:t>
                </m:r>
                <m:r>
                  <m:rPr>
                    <m:lit/>
                  </m:rPr>
                  <w:rPr>
                    <w:rFonts w:ascii="Cambria Math" w:hAnsi="Cambria Math"/>
                    <w:szCs w:val="24"/>
                  </w:rPr>
                  <m:t>}</m:t>
                </m:r>
                <m:r>
                  <m:rPr>
                    <m:sty m:val="p"/>
                  </m:rPr>
                  <w:rPr>
                    <w:rFonts w:ascii="Cambria Math" w:hAnsi="Cambria Math"/>
                    <w:szCs w:val="24"/>
                  </w:rPr>
                  <m:t>∀</m:t>
                </m:r>
                <m:r>
                  <w:rPr>
                    <w:rFonts w:ascii="Cambria Math" w:hAnsi="Cambria Math"/>
                    <w:szCs w:val="24"/>
                  </w:rPr>
                  <m:t>k</m:t>
                </m:r>
              </m:oMath>
            </m:oMathPara>
          </w:p>
        </w:tc>
        <w:tc>
          <w:tcPr>
            <w:tcW w:w="1440" w:type="dxa"/>
            <w:vAlign w:val="center"/>
          </w:tcPr>
          <w:p w14:paraId="6D8EE7E6" w14:textId="30ABCB23" w:rsidR="00D36DE4" w:rsidRPr="006A09A1" w:rsidRDefault="00D36DE4" w:rsidP="002023DB">
            <w:pPr>
              <w:pStyle w:val="BodyTextIndent"/>
              <w:ind w:left="480" w:firstLine="0"/>
              <w:jc w:val="center"/>
              <w:rPr>
                <w:szCs w:val="24"/>
              </w:rPr>
            </w:pPr>
            <w:bookmarkStart w:id="402" w:name="_Ref101213390"/>
            <w:r w:rsidRPr="006A09A1">
              <w:rPr>
                <w:szCs w:val="24"/>
              </w:rPr>
              <w:t>(</w:t>
            </w:r>
            <w:r w:rsidRPr="006A09A1">
              <w:rPr>
                <w:szCs w:val="24"/>
              </w:rPr>
              <w:fldChar w:fldCharType="begin"/>
            </w:r>
            <w:r w:rsidRPr="006A09A1">
              <w:rPr>
                <w:szCs w:val="24"/>
              </w:rPr>
              <w:instrText xml:space="preserve"> SEQ Equation \* ARABIC </w:instrText>
            </w:r>
            <w:r w:rsidRPr="006A09A1">
              <w:rPr>
                <w:szCs w:val="24"/>
              </w:rPr>
              <w:fldChar w:fldCharType="separate"/>
            </w:r>
            <w:r w:rsidR="000E1725">
              <w:rPr>
                <w:noProof/>
                <w:szCs w:val="24"/>
              </w:rPr>
              <w:t>65</w:t>
            </w:r>
            <w:r w:rsidRPr="006A09A1">
              <w:rPr>
                <w:noProof/>
                <w:szCs w:val="24"/>
              </w:rPr>
              <w:fldChar w:fldCharType="end"/>
            </w:r>
            <w:r w:rsidRPr="006A09A1">
              <w:rPr>
                <w:szCs w:val="24"/>
              </w:rPr>
              <w:t>)</w:t>
            </w:r>
            <w:bookmarkEnd w:id="402"/>
          </w:p>
        </w:tc>
      </w:tr>
    </w:tbl>
    <w:p w14:paraId="652405FB" w14:textId="18E8A6C3" w:rsidR="00D36DE4" w:rsidRDefault="00D36DE4" w:rsidP="00D36DE4">
      <w:r w:rsidRPr="006A09A1">
        <w:rPr>
          <w:szCs w:val="24"/>
        </w:rPr>
        <w:t xml:space="preserve">In this model, </w:t>
      </w:r>
      <w:r>
        <w:rPr>
          <w:szCs w:val="24"/>
        </w:rPr>
        <w:t>the objective function is</w:t>
      </w:r>
      <w:r w:rsidRPr="006A09A1">
        <w:rPr>
          <w:szCs w:val="24"/>
        </w:rPr>
        <w:t xml:space="preserve"> minimiz</w:t>
      </w:r>
      <w:r>
        <w:rPr>
          <w:szCs w:val="24"/>
        </w:rPr>
        <w:t>ing</w:t>
      </w:r>
      <w:r w:rsidRPr="006A09A1">
        <w:rPr>
          <w:szCs w:val="24"/>
        </w:rPr>
        <w:t xml:space="preserve"> the electricity cost (Constraint </w:t>
      </w:r>
      <w:r w:rsidRPr="006A09A1">
        <w:rPr>
          <w:szCs w:val="24"/>
        </w:rPr>
        <w:fldChar w:fldCharType="begin"/>
      </w:r>
      <w:r w:rsidRPr="006A09A1">
        <w:rPr>
          <w:szCs w:val="24"/>
        </w:rPr>
        <w:instrText xml:space="preserve"> REF _Ref100728457 \h  \* MERGEFORMAT </w:instrText>
      </w:r>
      <w:r w:rsidRPr="006A09A1">
        <w:rPr>
          <w:szCs w:val="24"/>
        </w:rPr>
      </w:r>
      <w:r w:rsidRPr="006A09A1">
        <w:rPr>
          <w:szCs w:val="24"/>
        </w:rPr>
        <w:fldChar w:fldCharType="separate"/>
      </w:r>
      <w:r w:rsidR="000E1725" w:rsidRPr="006A09A1">
        <w:rPr>
          <w:szCs w:val="24"/>
        </w:rPr>
        <w:t>(</w:t>
      </w:r>
      <w:r w:rsidR="000E1725">
        <w:rPr>
          <w:noProof/>
          <w:szCs w:val="24"/>
        </w:rPr>
        <w:t>55</w:t>
      </w:r>
      <w:r w:rsidR="000E1725" w:rsidRPr="006A09A1">
        <w:rPr>
          <w:szCs w:val="24"/>
        </w:rPr>
        <w:t>)</w:t>
      </w:r>
      <w:r w:rsidRPr="006A09A1">
        <w:rPr>
          <w:szCs w:val="24"/>
        </w:rPr>
        <w:fldChar w:fldCharType="end"/>
      </w:r>
      <w:r w:rsidRPr="006A09A1">
        <w:rPr>
          <w:szCs w:val="24"/>
        </w:rPr>
        <w:t>)</w:t>
      </w:r>
      <w:r w:rsidRPr="006A09A1">
        <w:rPr>
          <w:rFonts w:hint="eastAsia"/>
          <w:szCs w:val="24"/>
        </w:rPr>
        <w:t>,</w:t>
      </w:r>
      <w:r w:rsidRPr="006A09A1">
        <w:rPr>
          <w:szCs w:val="24"/>
        </w:rPr>
        <w:t xml:space="preserve"> which is determined by the utility rate per time step and the energy drawn from the grid. Constraint </w:t>
      </w:r>
      <w:r w:rsidRPr="006A09A1">
        <w:rPr>
          <w:szCs w:val="24"/>
        </w:rPr>
        <w:fldChar w:fldCharType="begin"/>
      </w:r>
      <w:r w:rsidRPr="006A09A1">
        <w:rPr>
          <w:szCs w:val="24"/>
        </w:rPr>
        <w:instrText xml:space="preserve"> REF _Ref101145169 \h  \* MERGEFORMAT </w:instrText>
      </w:r>
      <w:r w:rsidRPr="006A09A1">
        <w:rPr>
          <w:szCs w:val="24"/>
        </w:rPr>
      </w:r>
      <w:r w:rsidRPr="006A09A1">
        <w:rPr>
          <w:szCs w:val="24"/>
        </w:rPr>
        <w:fldChar w:fldCharType="separate"/>
      </w:r>
      <w:r w:rsidR="000E1725" w:rsidRPr="006A09A1">
        <w:rPr>
          <w:szCs w:val="24"/>
        </w:rPr>
        <w:t>(</w:t>
      </w:r>
      <w:r w:rsidR="000E1725">
        <w:rPr>
          <w:noProof/>
          <w:szCs w:val="24"/>
        </w:rPr>
        <w:t>56</w:t>
      </w:r>
      <w:r w:rsidR="000E1725" w:rsidRPr="006A09A1">
        <w:rPr>
          <w:szCs w:val="24"/>
        </w:rPr>
        <w:t>)</w:t>
      </w:r>
      <w:r w:rsidRPr="006A09A1">
        <w:rPr>
          <w:szCs w:val="24"/>
        </w:rPr>
        <w:fldChar w:fldCharType="end"/>
      </w:r>
      <w:r w:rsidRPr="006A09A1">
        <w:rPr>
          <w:szCs w:val="24"/>
        </w:rPr>
        <w:t xml:space="preserve"> refers to the balance of the power flow of the smart home, where the energy comes from PV, battery and the grid. Constraint </w:t>
      </w:r>
      <w:r w:rsidRPr="006A09A1">
        <w:rPr>
          <w:szCs w:val="24"/>
        </w:rPr>
        <w:fldChar w:fldCharType="begin"/>
      </w:r>
      <w:r w:rsidRPr="006A09A1">
        <w:rPr>
          <w:szCs w:val="24"/>
        </w:rPr>
        <w:instrText xml:space="preserve"> REF _Ref101145187 \h  \* MERGEFORMAT </w:instrText>
      </w:r>
      <w:r w:rsidRPr="006A09A1">
        <w:rPr>
          <w:szCs w:val="24"/>
        </w:rPr>
      </w:r>
      <w:r w:rsidRPr="006A09A1">
        <w:rPr>
          <w:szCs w:val="24"/>
        </w:rPr>
        <w:fldChar w:fldCharType="separate"/>
      </w:r>
      <w:r w:rsidR="000E1725" w:rsidRPr="006A09A1">
        <w:rPr>
          <w:szCs w:val="24"/>
        </w:rPr>
        <w:t>(</w:t>
      </w:r>
      <w:r w:rsidR="000E1725">
        <w:rPr>
          <w:noProof/>
          <w:szCs w:val="24"/>
        </w:rPr>
        <w:t>57</w:t>
      </w:r>
      <w:r w:rsidR="000E1725" w:rsidRPr="006A09A1">
        <w:rPr>
          <w:szCs w:val="24"/>
        </w:rPr>
        <w:t>)</w:t>
      </w:r>
      <w:r w:rsidRPr="006A09A1">
        <w:rPr>
          <w:szCs w:val="24"/>
        </w:rPr>
        <w:fldChar w:fldCharType="end"/>
      </w:r>
      <w:r w:rsidRPr="006A09A1">
        <w:rPr>
          <w:szCs w:val="24"/>
        </w:rPr>
        <w:t xml:space="preserve"> represents the energy balance inside the battery, where </w:t>
      </w:r>
      <m:oMath>
        <m:sSubSup>
          <m:sSubSupPr>
            <m:ctrlPr>
              <w:rPr>
                <w:rFonts w:ascii="Cambria Math" w:hAnsi="Cambria Math"/>
                <w:i/>
                <w:szCs w:val="24"/>
              </w:rPr>
            </m:ctrlPr>
          </m:sSubSupPr>
          <m:e>
            <m:r>
              <w:rPr>
                <w:rFonts w:ascii="Cambria Math" w:hAnsi="Cambria Math"/>
                <w:szCs w:val="24"/>
              </w:rPr>
              <m:t>E</m:t>
            </m:r>
          </m:e>
          <m:sub>
            <m:r>
              <w:rPr>
                <w:rFonts w:ascii="Cambria Math" w:hAnsi="Cambria Math"/>
                <w:szCs w:val="24"/>
              </w:rPr>
              <m:t>b</m:t>
            </m:r>
          </m:sub>
          <m:sup>
            <m:r>
              <w:rPr>
                <w:rFonts w:ascii="Cambria Math" w:hAnsi="Cambria Math"/>
                <w:szCs w:val="24"/>
              </w:rPr>
              <m:t>k</m:t>
            </m:r>
          </m:sup>
        </m:sSubSup>
      </m:oMath>
      <w:r w:rsidRPr="006A09A1">
        <w:rPr>
          <w:rFonts w:hint="eastAsia"/>
          <w:szCs w:val="24"/>
        </w:rPr>
        <w:t xml:space="preserve"> </w:t>
      </w:r>
      <w:r w:rsidRPr="006A09A1">
        <w:rPr>
          <w:szCs w:val="24"/>
        </w:rPr>
        <w:t xml:space="preserve">is the amount of energy left in the battery at the end of time slot </w:t>
      </w:r>
      <m:oMath>
        <m:r>
          <w:rPr>
            <w:rFonts w:ascii="Cambria Math" w:hAnsi="Cambria Math"/>
            <w:szCs w:val="24"/>
          </w:rPr>
          <m:t>k</m:t>
        </m:r>
      </m:oMath>
      <w:r w:rsidRPr="006A09A1">
        <w:rPr>
          <w:rFonts w:hint="eastAsia"/>
          <w:szCs w:val="24"/>
        </w:rPr>
        <w:t xml:space="preserve"> </w:t>
      </w:r>
      <w:r w:rsidRPr="006A09A1">
        <w:rPr>
          <w:szCs w:val="24"/>
        </w:rPr>
        <w:t xml:space="preserve">and </w:t>
      </w:r>
      <m:oMath>
        <m:r>
          <m:rPr>
            <m:sty m:val="p"/>
          </m:rPr>
          <w:rPr>
            <w:rFonts w:ascii="Cambria Math" w:hAnsi="Cambria Math" w:hint="eastAsia"/>
            <w:szCs w:val="24"/>
          </w:rPr>
          <m:t>Δ</m:t>
        </m:r>
        <m:r>
          <w:rPr>
            <w:rFonts w:ascii="Cambria Math" w:hAnsi="Cambria Math"/>
            <w:szCs w:val="24"/>
          </w:rPr>
          <m:t xml:space="preserve">t </m:t>
        </m:r>
      </m:oMath>
      <w:r w:rsidRPr="006A09A1">
        <w:rPr>
          <w:rFonts w:hint="eastAsia"/>
          <w:szCs w:val="24"/>
        </w:rPr>
        <w:t>i</w:t>
      </w:r>
      <w:r w:rsidRPr="006A09A1">
        <w:rPr>
          <w:szCs w:val="24"/>
        </w:rPr>
        <w:t xml:space="preserve">s the time interval for each time step, and </w:t>
      </w:r>
      <m:oMath>
        <m:sSubSup>
          <m:sSubSupPr>
            <m:ctrlPr>
              <w:rPr>
                <w:rFonts w:ascii="Cambria Math" w:hAnsi="Cambria Math"/>
                <w:i/>
                <w:szCs w:val="24"/>
              </w:rPr>
            </m:ctrlPr>
          </m:sSubSupPr>
          <m:e>
            <m:r>
              <w:rPr>
                <w:rFonts w:ascii="Cambria Math" w:hAnsi="Cambria Math"/>
                <w:szCs w:val="24"/>
              </w:rPr>
              <m:t>P</m:t>
            </m:r>
          </m:e>
          <m:sub>
            <m:r>
              <w:rPr>
                <w:rFonts w:ascii="Cambria Math" w:hAnsi="Cambria Math"/>
                <w:szCs w:val="24"/>
              </w:rPr>
              <m:t>charge</m:t>
            </m:r>
          </m:sub>
          <m:sup>
            <m:r>
              <w:rPr>
                <w:rFonts w:ascii="Cambria Math" w:hAnsi="Cambria Math"/>
                <w:szCs w:val="24"/>
              </w:rPr>
              <m:t>k</m:t>
            </m:r>
          </m:sup>
        </m:sSubSup>
      </m:oMath>
      <w:r w:rsidRPr="006A09A1">
        <w:rPr>
          <w:rFonts w:hint="eastAsia"/>
          <w:szCs w:val="24"/>
        </w:rPr>
        <w:t xml:space="preserve"> </w:t>
      </w:r>
      <w:r w:rsidRPr="006A09A1">
        <w:rPr>
          <w:szCs w:val="24"/>
        </w:rPr>
        <w:t xml:space="preserve">is the PV panel’s power which stores to the battery. Note that </w:t>
      </w:r>
      <w:r>
        <w:rPr>
          <w:szCs w:val="24"/>
        </w:rPr>
        <w:t>it might be harmful to the battery start with zero energy at the beginning of</w:t>
      </w:r>
      <w:r w:rsidRPr="006A09A1">
        <w:rPr>
          <w:szCs w:val="24"/>
        </w:rPr>
        <w:t xml:space="preserve"> the day</w:t>
      </w:r>
      <w:r>
        <w:rPr>
          <w:szCs w:val="24"/>
        </w:rPr>
        <w:t xml:space="preserve">, therefore, we assumed that the initial state of the battery is not empty </w:t>
      </w:r>
      <w:r w:rsidRPr="006A09A1">
        <w:rPr>
          <w:szCs w:val="24"/>
        </w:rPr>
        <w:t xml:space="preserve">(Constraint </w:t>
      </w:r>
      <w:r w:rsidRPr="006A09A1">
        <w:rPr>
          <w:szCs w:val="24"/>
        </w:rPr>
        <w:fldChar w:fldCharType="begin"/>
      </w:r>
      <w:r w:rsidRPr="006A09A1">
        <w:rPr>
          <w:szCs w:val="24"/>
        </w:rPr>
        <w:instrText xml:space="preserve"> REF _Ref101145215 \h  \* MERGEFORMAT </w:instrText>
      </w:r>
      <w:r w:rsidRPr="006A09A1">
        <w:rPr>
          <w:szCs w:val="24"/>
        </w:rPr>
      </w:r>
      <w:r w:rsidRPr="006A09A1">
        <w:rPr>
          <w:szCs w:val="24"/>
        </w:rPr>
        <w:fldChar w:fldCharType="separate"/>
      </w:r>
      <w:r w:rsidR="000E1725" w:rsidRPr="006A09A1">
        <w:rPr>
          <w:szCs w:val="24"/>
        </w:rPr>
        <w:t>(</w:t>
      </w:r>
      <w:r w:rsidR="000E1725">
        <w:rPr>
          <w:noProof/>
          <w:szCs w:val="24"/>
        </w:rPr>
        <w:t>62</w:t>
      </w:r>
      <w:r w:rsidR="000E1725" w:rsidRPr="006A09A1">
        <w:rPr>
          <w:szCs w:val="24"/>
        </w:rPr>
        <w:t>)</w:t>
      </w:r>
      <w:r w:rsidRPr="006A09A1">
        <w:rPr>
          <w:szCs w:val="24"/>
        </w:rPr>
        <w:fldChar w:fldCharType="end"/>
      </w:r>
      <w:r w:rsidRPr="006A09A1">
        <w:rPr>
          <w:szCs w:val="24"/>
        </w:rPr>
        <w:t xml:space="preserve">). Constraint </w:t>
      </w:r>
      <w:r w:rsidRPr="006A09A1">
        <w:rPr>
          <w:szCs w:val="24"/>
        </w:rPr>
        <w:fldChar w:fldCharType="begin"/>
      </w:r>
      <w:r w:rsidRPr="006A09A1">
        <w:rPr>
          <w:szCs w:val="24"/>
        </w:rPr>
        <w:instrText xml:space="preserve"> REF _Ref101145268 \h  \* MERGEFORMAT </w:instrText>
      </w:r>
      <w:r w:rsidRPr="006A09A1">
        <w:rPr>
          <w:szCs w:val="24"/>
        </w:rPr>
      </w:r>
      <w:r w:rsidRPr="006A09A1">
        <w:rPr>
          <w:szCs w:val="24"/>
        </w:rPr>
        <w:fldChar w:fldCharType="separate"/>
      </w:r>
      <w:r w:rsidR="000E1725" w:rsidRPr="006A09A1">
        <w:rPr>
          <w:szCs w:val="24"/>
        </w:rPr>
        <w:t>(</w:t>
      </w:r>
      <w:r w:rsidR="000E1725">
        <w:rPr>
          <w:noProof/>
          <w:szCs w:val="24"/>
        </w:rPr>
        <w:t>58</w:t>
      </w:r>
      <w:r w:rsidR="000E1725" w:rsidRPr="006A09A1">
        <w:rPr>
          <w:szCs w:val="24"/>
        </w:rPr>
        <w:t>)</w:t>
      </w:r>
      <w:r w:rsidRPr="006A09A1">
        <w:rPr>
          <w:szCs w:val="24"/>
        </w:rPr>
        <w:fldChar w:fldCharType="end"/>
      </w:r>
      <w:r w:rsidRPr="006A09A1">
        <w:rPr>
          <w:szCs w:val="24"/>
        </w:rPr>
        <w:t xml:space="preserve"> indicates the total power flow from PV eventually go </w:t>
      </w:r>
      <w:r>
        <w:rPr>
          <w:szCs w:val="24"/>
        </w:rPr>
        <w:t>in</w:t>
      </w:r>
      <w:r w:rsidRPr="006A09A1">
        <w:rPr>
          <w:szCs w:val="24"/>
        </w:rPr>
        <w:t xml:space="preserve"> two </w:t>
      </w:r>
      <w:r>
        <w:t xml:space="preserve">directions: one part of the power goes to the house load; another part goes to the battery system. Besides, the total power flow from the PV panel to the battery and the appliances should not exceed the estimated maximum amount of PV generation, which is limited in Constraint </w:t>
      </w:r>
      <w:r>
        <w:fldChar w:fldCharType="begin"/>
      </w:r>
      <w:r>
        <w:instrText xml:space="preserve"> REF _Ref101145293 \h  \* MERGEFORMAT </w:instrText>
      </w:r>
      <w:r>
        <w:fldChar w:fldCharType="separate"/>
      </w:r>
      <w:r w:rsidR="000E1725" w:rsidRPr="000E1725">
        <w:t>(</w:t>
      </w:r>
      <w:r w:rsidR="000E1725" w:rsidRPr="000E1725">
        <w:rPr>
          <w:noProof/>
        </w:rPr>
        <w:t>63</w:t>
      </w:r>
      <w:r w:rsidR="000E1725" w:rsidRPr="000E1725">
        <w:t>)</w:t>
      </w:r>
      <w:r>
        <w:fldChar w:fldCharType="end"/>
      </w:r>
      <w:r>
        <w:t xml:space="preserve">. Constraint </w:t>
      </w:r>
      <w:r>
        <w:fldChar w:fldCharType="begin"/>
      </w:r>
      <w:r>
        <w:instrText xml:space="preserve"> REF _Ref101145308 \h  \* MERGEFORMAT </w:instrText>
      </w:r>
      <w:r>
        <w:fldChar w:fldCharType="separate"/>
      </w:r>
      <w:r w:rsidR="000E1725" w:rsidRPr="000E1725">
        <w:t>(</w:t>
      </w:r>
      <w:r w:rsidR="000E1725" w:rsidRPr="000E1725">
        <w:rPr>
          <w:noProof/>
        </w:rPr>
        <w:t>59</w:t>
      </w:r>
      <w:r w:rsidR="000E1725" w:rsidRPr="000E1725">
        <w:t>)</w:t>
      </w:r>
      <w:r>
        <w:fldChar w:fldCharType="end"/>
      </w:r>
      <w:r>
        <w:t xml:space="preserve"> restricted the state of charge of the battery should be in a certain range, which helps extend the battery life cycle. The battery (dis-)charge typically has a maximum power flow and continuous power flow, </w:t>
      </w:r>
      <w:r w:rsidRPr="0004605B">
        <w:t xml:space="preserve">with the maximum power flow typically being a high value that lasts only 3 to 10 seconds. </w:t>
      </w:r>
      <w:r>
        <w:t xml:space="preserve">Thus, in Constraint </w:t>
      </w:r>
      <w:r>
        <w:fldChar w:fldCharType="begin"/>
      </w:r>
      <w:r>
        <w:instrText xml:space="preserve"> REF _Ref101145453 \h  \* MERGEFORMAT </w:instrText>
      </w:r>
      <w:r>
        <w:fldChar w:fldCharType="separate"/>
      </w:r>
      <w:r w:rsidR="000E1725" w:rsidRPr="000E1725">
        <w:t>(</w:t>
      </w:r>
      <w:r w:rsidR="000E1725" w:rsidRPr="000E1725">
        <w:rPr>
          <w:noProof/>
        </w:rPr>
        <w:t>60</w:t>
      </w:r>
      <w:r w:rsidR="000E1725" w:rsidRPr="000E1725">
        <w:t>)</w:t>
      </w:r>
      <w:r>
        <w:fldChar w:fldCharType="end"/>
      </w:r>
      <w:r>
        <w:t xml:space="preserve"> and </w:t>
      </w:r>
      <w:r>
        <w:fldChar w:fldCharType="begin"/>
      </w:r>
      <w:r>
        <w:instrText xml:space="preserve"> REF _Ref101145463 \h  \* MERGEFORMAT </w:instrText>
      </w:r>
      <w:r>
        <w:fldChar w:fldCharType="separate"/>
      </w:r>
      <w:r w:rsidR="000E1725" w:rsidRPr="000E1725">
        <w:t>(</w:t>
      </w:r>
      <w:r w:rsidR="000E1725" w:rsidRPr="000E1725">
        <w:rPr>
          <w:noProof/>
        </w:rPr>
        <w:t>61</w:t>
      </w:r>
      <w:r w:rsidR="000E1725" w:rsidRPr="000E1725">
        <w:t>)</w:t>
      </w:r>
      <w:r>
        <w:fldChar w:fldCharType="end"/>
      </w:r>
      <w:r>
        <w:t xml:space="preserve">, </w:t>
      </w:r>
      <m:oMath>
        <m:sSub>
          <m:sSubPr>
            <m:ctrlPr>
              <w:rPr>
                <w:rFonts w:ascii="Cambria Math" w:hAnsi="Cambria Math"/>
                <w:i/>
              </w:rPr>
            </m:ctrlPr>
          </m:sSubPr>
          <m:e>
            <m:r>
              <w:rPr>
                <w:rFonts w:ascii="Cambria Math" w:hAnsi="Cambria Math"/>
              </w:rPr>
              <m:t>L</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d</m:t>
            </m:r>
          </m:sub>
        </m:sSub>
      </m:oMath>
      <w:r>
        <w:rPr>
          <w:rFonts w:hint="eastAsia"/>
        </w:rPr>
        <w:t xml:space="preserve"> </w:t>
      </w:r>
      <w:r>
        <w:t xml:space="preserve">indicates the continuous power flow within the time step </w:t>
      </w:r>
      <m:oMath>
        <m:r>
          <w:rPr>
            <w:rFonts w:ascii="Cambria Math" w:hAnsi="Cambria Math"/>
          </w:rPr>
          <m:t>k</m:t>
        </m:r>
      </m:oMath>
      <w:r>
        <w:rPr>
          <w:rFonts w:hint="eastAsia"/>
        </w:rPr>
        <w:t>.</w:t>
      </w:r>
      <w:r>
        <w:t xml:space="preserve"> Finally, two binaries </w:t>
      </w:r>
      <m:oMath>
        <m:sSub>
          <m:sSubPr>
            <m:ctrlPr>
              <w:rPr>
                <w:rFonts w:ascii="Cambria Math" w:hAnsi="Cambria Math"/>
                <w:i/>
              </w:rPr>
            </m:ctrlPr>
          </m:sSubPr>
          <m:e>
            <m:sSup>
              <m:sSupPr>
                <m:ctrlPr>
                  <w:rPr>
                    <w:rFonts w:ascii="Cambria Math" w:hAnsi="Cambria Math"/>
                    <w:i/>
                  </w:rPr>
                </m:ctrlPr>
              </m:sSupPr>
              <m:e>
                <m:r>
                  <w:rPr>
                    <w:rFonts w:ascii="Cambria Math" w:hAnsi="Cambria Math"/>
                  </w:rPr>
                  <m:t>C</m:t>
                </m:r>
              </m:e>
              <m:sup>
                <m:r>
                  <w:rPr>
                    <w:rFonts w:ascii="Cambria Math" w:hAnsi="Cambria Math"/>
                  </w:rPr>
                  <m:t>k</m:t>
                </m:r>
              </m:sup>
            </m:sSup>
          </m:e>
          <m:sub>
            <m:r>
              <w:rPr>
                <w:rFonts w:ascii="Cambria Math" w:hAnsi="Cambria Math"/>
              </w:rPr>
              <m:t xml:space="preserve"> </m:t>
            </m:r>
          </m:sub>
        </m:sSub>
        <m:r>
          <w:rPr>
            <w:rFonts w:ascii="Cambria Math" w:hAnsi="Cambria Math"/>
          </w:rPr>
          <m:t>,</m:t>
        </m:r>
        <m:sSub>
          <m:sSubPr>
            <m:ctrlPr>
              <w:rPr>
                <w:rFonts w:ascii="Cambria Math" w:hAnsi="Cambria Math"/>
                <w:i/>
              </w:rPr>
            </m:ctrlPr>
          </m:sSubPr>
          <m:e>
            <m:sSup>
              <m:sSupPr>
                <m:ctrlPr>
                  <w:rPr>
                    <w:rFonts w:ascii="Cambria Math" w:hAnsi="Cambria Math"/>
                    <w:i/>
                  </w:rPr>
                </m:ctrlPr>
              </m:sSupPr>
              <m:e>
                <m:r>
                  <w:rPr>
                    <w:rFonts w:ascii="Cambria Math" w:hAnsi="Cambria Math"/>
                  </w:rPr>
                  <m:t>D</m:t>
                </m:r>
              </m:e>
              <m:sup>
                <m:r>
                  <w:rPr>
                    <w:rFonts w:ascii="Cambria Math" w:hAnsi="Cambria Math"/>
                  </w:rPr>
                  <m:t>k</m:t>
                </m:r>
              </m:sup>
            </m:sSup>
          </m:e>
          <m:sub>
            <m:r>
              <w:rPr>
                <w:rFonts w:ascii="Cambria Math" w:hAnsi="Cambria Math"/>
              </w:rPr>
              <m:t xml:space="preserve"> </m:t>
            </m:r>
          </m:sub>
        </m:sSub>
      </m:oMath>
      <w:r>
        <w:t xml:space="preserve">are introduced to prevent the charging and discharging process happening simultaneously (Constraint </w:t>
      </w:r>
      <w:r>
        <w:fldChar w:fldCharType="begin"/>
      </w:r>
      <w:r>
        <w:instrText xml:space="preserve"> REF _Ref101145485 \h  \* MERGEFORMAT </w:instrText>
      </w:r>
      <w:r>
        <w:fldChar w:fldCharType="separate"/>
      </w:r>
      <w:r w:rsidR="000E1725" w:rsidRPr="000E1725">
        <w:t>(</w:t>
      </w:r>
      <w:r w:rsidR="000E1725" w:rsidRPr="000E1725">
        <w:rPr>
          <w:noProof/>
        </w:rPr>
        <w:t>64</w:t>
      </w:r>
      <w:r w:rsidR="000E1725" w:rsidRPr="000E1725">
        <w:t>)</w:t>
      </w:r>
      <w:r>
        <w:fldChar w:fldCharType="end"/>
      </w:r>
      <w:r>
        <w:t xml:space="preserve">, Constraint </w:t>
      </w:r>
      <w:r>
        <w:fldChar w:fldCharType="begin"/>
      </w:r>
      <w:r>
        <w:instrText xml:space="preserve"> REF _Ref101213390 \h  \* MERGEFORMAT </w:instrText>
      </w:r>
      <w:r>
        <w:fldChar w:fldCharType="separate"/>
      </w:r>
      <w:r w:rsidR="000E1725" w:rsidRPr="000E1725">
        <w:t>(</w:t>
      </w:r>
      <w:r w:rsidR="000E1725" w:rsidRPr="000E1725">
        <w:rPr>
          <w:noProof/>
        </w:rPr>
        <w:t>65</w:t>
      </w:r>
      <w:r w:rsidR="000E1725" w:rsidRPr="000E1725">
        <w:t>)</w:t>
      </w:r>
      <w:r>
        <w:fldChar w:fldCharType="end"/>
      </w:r>
      <w:r>
        <w:t xml:space="preserve">). </w:t>
      </w:r>
    </w:p>
    <w:p w14:paraId="32065FA0" w14:textId="77777777" w:rsidR="00D36DE4" w:rsidRDefault="00D36DE4" w:rsidP="00D36DE4">
      <w:pPr>
        <w:pStyle w:val="Heading3"/>
      </w:pPr>
      <w:bookmarkStart w:id="403" w:name="_Ref138095439"/>
      <w:bookmarkStart w:id="404" w:name="_Toc141991738"/>
      <w:r>
        <w:lastRenderedPageBreak/>
        <w:t>Occupancy behavior and user preference model</w:t>
      </w:r>
      <w:bookmarkEnd w:id="403"/>
      <w:bookmarkEnd w:id="404"/>
    </w:p>
    <w:p w14:paraId="398F571D" w14:textId="601DC0DF" w:rsidR="00D36DE4" w:rsidRDefault="00D36DE4" w:rsidP="00D36DE4">
      <w:r w:rsidRPr="00D01750">
        <w:t xml:space="preserve">Residential buildings serve as </w:t>
      </w:r>
      <w:r>
        <w:t>habitats</w:t>
      </w:r>
      <w:r w:rsidRPr="00D01750">
        <w:t xml:space="preserve"> for </w:t>
      </w:r>
      <w:r>
        <w:t>homeowners</w:t>
      </w:r>
      <w:r w:rsidRPr="00D01750">
        <w:t>, providing comfort, safety, and the backdrop for daily life. Their primary function isn't just to provide physical shelter, but rather to facilitate an environment conducive to human wellbeing and satisfaction.</w:t>
      </w:r>
      <w:r>
        <w:t xml:space="preserve"> Besides, as mentioned </w:t>
      </w:r>
      <w:r w:rsidRPr="00A0357D">
        <w:t xml:space="preserve">in </w:t>
      </w:r>
      <w:r w:rsidRPr="00977743">
        <w:t>Chapter</w:t>
      </w:r>
      <w:r w:rsidR="00A0357D" w:rsidRPr="00977743">
        <w:t xml:space="preserve"> </w:t>
      </w:r>
      <w:r w:rsidR="00A0357D" w:rsidRPr="00977743">
        <w:fldChar w:fldCharType="begin"/>
      </w:r>
      <w:r w:rsidR="00A0357D" w:rsidRPr="00977743">
        <w:instrText xml:space="preserve"> REF _Ref139494364 \n \h </w:instrText>
      </w:r>
      <w:r w:rsidR="00A0357D">
        <w:instrText xml:space="preserve"> \* MERGEFORMAT </w:instrText>
      </w:r>
      <w:r w:rsidR="00A0357D" w:rsidRPr="00977743">
        <w:fldChar w:fldCharType="separate"/>
      </w:r>
      <w:r w:rsidR="000E1725">
        <w:t>1</w:t>
      </w:r>
      <w:r w:rsidR="00A0357D" w:rsidRPr="00977743">
        <w:fldChar w:fldCharType="end"/>
      </w:r>
      <w:r w:rsidRPr="00A0357D">
        <w:t>, many</w:t>
      </w:r>
      <w:r>
        <w:t xml:space="preserve"> researchers indicated that user might have intended to maintain their appliance usage routine even if they enrolled in DR programs.</w:t>
      </w:r>
      <w:r w:rsidRPr="00D01750">
        <w:t xml:space="preserve"> In this context, the human element becomes </w:t>
      </w:r>
      <w:r>
        <w:t>an important factor</w:t>
      </w:r>
      <w:r w:rsidRPr="00D01750">
        <w:t xml:space="preserve"> </w:t>
      </w:r>
      <w:r>
        <w:t>in the research of</w:t>
      </w:r>
      <w:r w:rsidRPr="00D01750">
        <w:t xml:space="preserve"> smart home energy management. </w:t>
      </w:r>
      <w:r>
        <w:t>In this study</w:t>
      </w:r>
      <w:r w:rsidRPr="00D01750">
        <w:t>, the proposed models and management strategies can be designed to be not just technically efficient, but also practically adaptable and respectful of the users' routines and lifestyles.</w:t>
      </w:r>
    </w:p>
    <w:p w14:paraId="4B0DD325" w14:textId="77777777" w:rsidR="00D36DE4" w:rsidRDefault="00D36DE4" w:rsidP="00D36DE4">
      <w:pPr>
        <w:pStyle w:val="Heading4"/>
      </w:pPr>
      <w:bookmarkStart w:id="405" w:name="_Toc141991739"/>
      <w:r>
        <w:t>User time preference on appliance usage</w:t>
      </w:r>
      <w:bookmarkEnd w:id="405"/>
    </w:p>
    <w:p w14:paraId="6C6A0396" w14:textId="00EDBDC3" w:rsidR="00D36DE4" w:rsidRDefault="00D36DE4" w:rsidP="00D36DE4">
      <w:r>
        <w:t xml:space="preserve">In this research, the American Time Use Survey (ATUS) is used to build a user preference appliance usage model. The ATUS is a high-quality dataset, which focuses on recording homeowners' time allocation across daily activities, collected annually by the U.S. Bureau of Labor Statistics </w:t>
      </w:r>
      <w:r>
        <w:fldChar w:fldCharType="begin"/>
      </w:r>
      <w:r w:rsidR="0082416B">
        <w:instrText xml:space="preserve"> ADDIN ZOTERO_ITEM CSL_CITATION {"citationID":"y1mp0EDP","properties":{"formattedCitation":"[138]","plainCitation":"[138]","noteIndex":0},"citationItems":[{"id":1939,"uris":["http://zotero.org/users/5659608/items/MWR3627L"],"itemData":{"id":1939,"type":"w</w:instrText>
      </w:r>
      <w:r w:rsidR="0082416B">
        <w:rPr>
          <w:rFonts w:hint="eastAsia"/>
        </w:rPr>
        <w:instrText xml:space="preserve">ebpage","abstract":"American Time Use Survey </w:instrText>
      </w:r>
      <w:r w:rsidR="0082416B">
        <w:rPr>
          <w:rFonts w:hint="eastAsia"/>
        </w:rPr>
        <w:instrText>—</w:instrText>
      </w:r>
      <w:r w:rsidR="0082416B">
        <w:rPr>
          <w:rFonts w:hint="eastAsia"/>
        </w:rPr>
        <w:instrText xml:space="preserve"> ATUS 2003</w:instrText>
      </w:r>
      <w:r w:rsidR="0082416B">
        <w:rPr>
          <w:rFonts w:hint="eastAsia"/>
        </w:rPr>
        <w:instrText>–</w:instrText>
      </w:r>
      <w:r w:rsidR="0082416B">
        <w:rPr>
          <w:rFonts w:hint="eastAsia"/>
        </w:rPr>
        <w:instrText>2021 Multi</w:instrText>
      </w:r>
      <w:r w:rsidR="0082416B">
        <w:rPr>
          <w:rFonts w:hint="eastAsia"/>
        </w:rPr>
        <w:instrText>‐</w:instrText>
      </w:r>
      <w:r w:rsidR="0082416B">
        <w:rPr>
          <w:rFonts w:hint="eastAsia"/>
        </w:rPr>
        <w:instrText>Year Microdata Files","language":"en","title":"American Time Use Survey</w:instrText>
      </w:r>
      <w:r w:rsidR="0082416B">
        <w:rPr>
          <w:rFonts w:hint="eastAsia"/>
        </w:rPr>
        <w:instrText>—</w:instrText>
      </w:r>
      <w:r w:rsidR="0082416B">
        <w:rPr>
          <w:rFonts w:hint="eastAsia"/>
        </w:rPr>
        <w:instrText>ATUS 2003</w:instrText>
      </w:r>
      <w:r w:rsidR="0082416B">
        <w:rPr>
          <w:rFonts w:hint="eastAsia"/>
        </w:rPr>
        <w:instrText>‐</w:instrText>
      </w:r>
      <w:r w:rsidR="0082416B">
        <w:rPr>
          <w:rFonts w:hint="eastAsia"/>
        </w:rPr>
        <w:instrText>2021 Multi</w:instrText>
      </w:r>
      <w:r w:rsidR="0082416B">
        <w:rPr>
          <w:rFonts w:hint="eastAsia"/>
        </w:rPr>
        <w:instrText>‐</w:instrText>
      </w:r>
      <w:r w:rsidR="0082416B">
        <w:rPr>
          <w:rFonts w:hint="eastAsia"/>
        </w:rPr>
        <w:instrText>Year Microdata Files : U.S. Bureau of Labor Statistics","title-short":"American Time Use Survey</w:instrText>
      </w:r>
      <w:r w:rsidR="0082416B">
        <w:rPr>
          <w:rFonts w:hint="eastAsia"/>
        </w:rPr>
        <w:instrText>—</w:instrText>
      </w:r>
      <w:r w:rsidR="0082416B">
        <w:rPr>
          <w:rFonts w:hint="eastAsia"/>
        </w:rPr>
        <w:instrText>ATUS 2003</w:instrText>
      </w:r>
      <w:r w:rsidR="0082416B">
        <w:rPr>
          <w:rFonts w:hint="eastAsia"/>
        </w:rPr>
        <w:instrText>‐</w:instrText>
      </w:r>
      <w:r w:rsidR="0082416B">
        <w:rPr>
          <w:rFonts w:hint="eastAsia"/>
        </w:rPr>
        <w:instrText>2021 Multi</w:instrText>
      </w:r>
      <w:r w:rsidR="0082416B">
        <w:rPr>
          <w:rFonts w:hint="eastAsia"/>
        </w:rPr>
        <w:instrText>‐</w:instrText>
      </w:r>
      <w:r w:rsidR="0082416B">
        <w:rPr>
          <w:rFonts w:hint="eastAsia"/>
        </w:rPr>
        <w:instrText>Year Microdata Files","URL":"https://www.bls.gov/tus/data/datafiles-0321.htm","accessed":{"date-parts":[["2023",6,19]]},"citation-key":"AmericanTimeUse"}}],"schema":"https://github.com/citation-style-language/schema/raw/master/csl-c</w:instrText>
      </w:r>
      <w:r w:rsidR="0082416B">
        <w:instrText xml:space="preserve">itation.json"} </w:instrText>
      </w:r>
      <w:r>
        <w:fldChar w:fldCharType="separate"/>
      </w:r>
      <w:r w:rsidR="0082416B" w:rsidRPr="0082416B">
        <w:t>[138]</w:t>
      </w:r>
      <w:r>
        <w:fldChar w:fldCharType="end"/>
      </w:r>
      <w:r>
        <w:t xml:space="preserve">. </w:t>
      </w:r>
      <w:r>
        <w:fldChar w:fldCharType="begin"/>
      </w:r>
      <w:r>
        <w:instrText xml:space="preserve"> REF _Ref138101250 \h </w:instrText>
      </w:r>
      <w:r>
        <w:fldChar w:fldCharType="separate"/>
      </w:r>
      <w:r w:rsidR="000E1725" w:rsidRPr="006E0373">
        <w:rPr>
          <w:rFonts w:ascii="Times" w:hAnsi="Times"/>
        </w:rPr>
        <w:t xml:space="preserve">Figure </w:t>
      </w:r>
      <w:r w:rsidR="000E1725">
        <w:rPr>
          <w:rFonts w:ascii="Times" w:hAnsi="Times"/>
          <w:noProof/>
        </w:rPr>
        <w:t>5</w:t>
      </w:r>
      <w:r w:rsidR="000E1725">
        <w:rPr>
          <w:rFonts w:ascii="Times" w:hAnsi="Times"/>
        </w:rPr>
        <w:t>.</w:t>
      </w:r>
      <w:r w:rsidR="000E1725">
        <w:rPr>
          <w:rFonts w:ascii="Times" w:hAnsi="Times"/>
          <w:noProof/>
        </w:rPr>
        <w:t>2</w:t>
      </w:r>
      <w:r>
        <w:fldChar w:fldCharType="end"/>
      </w:r>
      <w:r>
        <w:t xml:space="preserve"> demonstrates an example of the ATUS dataset. In this dataset, </w:t>
      </w:r>
      <w:r w:rsidRPr="0018578B">
        <w:t xml:space="preserve">'TUCASEID' </w:t>
      </w:r>
      <w:r>
        <w:t>represents</w:t>
      </w:r>
      <w:r w:rsidRPr="0018578B">
        <w:t xml:space="preserve"> a unique </w:t>
      </w:r>
      <w:r>
        <w:t>ID</w:t>
      </w:r>
      <w:r w:rsidRPr="0018578B">
        <w:t xml:space="preserve"> </w:t>
      </w:r>
      <w:r>
        <w:t>for</w:t>
      </w:r>
      <w:r w:rsidRPr="0018578B">
        <w:t xml:space="preserve"> different households, while 'TUACTIVITY_N' characterizes various activities</w:t>
      </w:r>
      <w:r>
        <w:t xml:space="preserve"> including food preparation and laundry</w:t>
      </w:r>
      <w:r w:rsidRPr="0018578B">
        <w:t xml:space="preserve">. The </w:t>
      </w:r>
      <w:r>
        <w:t>“TUSTARTTIM”</w:t>
      </w:r>
      <w:r w:rsidRPr="0018578B">
        <w:t xml:space="preserve"> and </w:t>
      </w:r>
      <w:r>
        <w:t>“TUSTOPTIM”</w:t>
      </w:r>
      <w:r w:rsidRPr="0018578B">
        <w:t xml:space="preserve"> further </w:t>
      </w:r>
      <w:r>
        <w:t>indicate</w:t>
      </w:r>
      <w:r w:rsidRPr="0018578B">
        <w:t xml:space="preserve"> the </w:t>
      </w:r>
      <w:r>
        <w:t>start and stop time</w:t>
      </w:r>
      <w:r w:rsidRPr="0018578B">
        <w:t xml:space="preserve"> of each activity.</w:t>
      </w:r>
      <w:r>
        <w:t xml:space="preserve"> The ATUS data contains a wealth of information, including the homeowner information and work time. More details can be found in </w:t>
      </w:r>
      <w:r>
        <w:fldChar w:fldCharType="begin"/>
      </w:r>
      <w:r w:rsidR="0082416B">
        <w:instrText xml:space="preserve"> ADDIN ZOTERO_ITEM CSL_CITATION {"citationID":"6mcTnFCf","properties":{"formattedCitation":"[138]","plainCitation":"[138]","noteIndex":0},"citationItems":[{"id":1939,"uris":["http://zotero.org/users/5659608/items/MWR3627L"],"itemData":{"id":1939,"type":"w</w:instrText>
      </w:r>
      <w:r w:rsidR="0082416B">
        <w:rPr>
          <w:rFonts w:hint="eastAsia"/>
        </w:rPr>
        <w:instrText xml:space="preserve">ebpage","abstract":"American Time Use Survey </w:instrText>
      </w:r>
      <w:r w:rsidR="0082416B">
        <w:rPr>
          <w:rFonts w:hint="eastAsia"/>
        </w:rPr>
        <w:instrText>—</w:instrText>
      </w:r>
      <w:r w:rsidR="0082416B">
        <w:rPr>
          <w:rFonts w:hint="eastAsia"/>
        </w:rPr>
        <w:instrText xml:space="preserve"> ATUS 2003</w:instrText>
      </w:r>
      <w:r w:rsidR="0082416B">
        <w:rPr>
          <w:rFonts w:hint="eastAsia"/>
        </w:rPr>
        <w:instrText>–</w:instrText>
      </w:r>
      <w:r w:rsidR="0082416B">
        <w:rPr>
          <w:rFonts w:hint="eastAsia"/>
        </w:rPr>
        <w:instrText>2021 Multi</w:instrText>
      </w:r>
      <w:r w:rsidR="0082416B">
        <w:rPr>
          <w:rFonts w:hint="eastAsia"/>
        </w:rPr>
        <w:instrText>‐</w:instrText>
      </w:r>
      <w:r w:rsidR="0082416B">
        <w:rPr>
          <w:rFonts w:hint="eastAsia"/>
        </w:rPr>
        <w:instrText>Year Microdata Files","language":"en","title":"American Time Use Survey</w:instrText>
      </w:r>
      <w:r w:rsidR="0082416B">
        <w:rPr>
          <w:rFonts w:hint="eastAsia"/>
        </w:rPr>
        <w:instrText>—</w:instrText>
      </w:r>
      <w:r w:rsidR="0082416B">
        <w:rPr>
          <w:rFonts w:hint="eastAsia"/>
        </w:rPr>
        <w:instrText>ATUS 2003</w:instrText>
      </w:r>
      <w:r w:rsidR="0082416B">
        <w:rPr>
          <w:rFonts w:hint="eastAsia"/>
        </w:rPr>
        <w:instrText>‐</w:instrText>
      </w:r>
      <w:r w:rsidR="0082416B">
        <w:rPr>
          <w:rFonts w:hint="eastAsia"/>
        </w:rPr>
        <w:instrText>2021 Multi</w:instrText>
      </w:r>
      <w:r w:rsidR="0082416B">
        <w:rPr>
          <w:rFonts w:hint="eastAsia"/>
        </w:rPr>
        <w:instrText>‐</w:instrText>
      </w:r>
      <w:r w:rsidR="0082416B">
        <w:rPr>
          <w:rFonts w:hint="eastAsia"/>
        </w:rPr>
        <w:instrText>Year Microdata Files : U.S. Bureau of Labor Statistics","title-short":"American Time Use Survey</w:instrText>
      </w:r>
      <w:r w:rsidR="0082416B">
        <w:rPr>
          <w:rFonts w:hint="eastAsia"/>
        </w:rPr>
        <w:instrText>—</w:instrText>
      </w:r>
      <w:r w:rsidR="0082416B">
        <w:rPr>
          <w:rFonts w:hint="eastAsia"/>
        </w:rPr>
        <w:instrText>ATUS 2003</w:instrText>
      </w:r>
      <w:r w:rsidR="0082416B">
        <w:rPr>
          <w:rFonts w:hint="eastAsia"/>
        </w:rPr>
        <w:instrText>‐</w:instrText>
      </w:r>
      <w:r w:rsidR="0082416B">
        <w:rPr>
          <w:rFonts w:hint="eastAsia"/>
        </w:rPr>
        <w:instrText>2021 Multi</w:instrText>
      </w:r>
      <w:r w:rsidR="0082416B">
        <w:rPr>
          <w:rFonts w:hint="eastAsia"/>
        </w:rPr>
        <w:instrText>‐</w:instrText>
      </w:r>
      <w:r w:rsidR="0082416B">
        <w:rPr>
          <w:rFonts w:hint="eastAsia"/>
        </w:rPr>
        <w:instrText>Year Microdata Files","URL":"https://www.bls.gov/tus/data/datafiles-0321.htm","accessed":{"date-parts":[["2023",6,19]]},"citation-key":"AmericanTimeUse"}}],"schema":"https://github.com/citation-style-language/schema/raw/master/csl-c</w:instrText>
      </w:r>
      <w:r w:rsidR="0082416B">
        <w:instrText xml:space="preserve">itation.json"} </w:instrText>
      </w:r>
      <w:r>
        <w:fldChar w:fldCharType="separate"/>
      </w:r>
      <w:r w:rsidR="0082416B" w:rsidRPr="0082416B">
        <w:t>[138]</w:t>
      </w:r>
      <w:r>
        <w:fldChar w:fldCharType="end"/>
      </w:r>
      <w:r>
        <w:t xml:space="preserve">. </w:t>
      </w:r>
    </w:p>
    <w:p w14:paraId="3A1886D5" w14:textId="77777777" w:rsidR="00D36DE4" w:rsidRDefault="00D36DE4" w:rsidP="00D36DE4">
      <w:pPr>
        <w:jc w:val="center"/>
      </w:pPr>
      <w:r w:rsidRPr="00A15C26">
        <w:rPr>
          <w:noProof/>
        </w:rPr>
        <w:lastRenderedPageBreak/>
        <w:drawing>
          <wp:inline distT="0" distB="0" distL="0" distR="0" wp14:anchorId="230D8626" wp14:editId="58E021E4">
            <wp:extent cx="4614203" cy="1883306"/>
            <wp:effectExtent l="0" t="0" r="0" b="0"/>
            <wp:docPr id="604649408" name="Picture 604649408" descr="A picture containing text, screenshot, number,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649408" name="Picture 1" descr="A picture containing text, screenshot, number, font&#10;&#10;Description automatically generated"/>
                    <pic:cNvPicPr/>
                  </pic:nvPicPr>
                  <pic:blipFill>
                    <a:blip r:embed="rId70"/>
                    <a:stretch>
                      <a:fillRect/>
                    </a:stretch>
                  </pic:blipFill>
                  <pic:spPr>
                    <a:xfrm>
                      <a:off x="0" y="0"/>
                      <a:ext cx="4628226" cy="1889030"/>
                    </a:xfrm>
                    <a:prstGeom prst="rect">
                      <a:avLst/>
                    </a:prstGeom>
                  </pic:spPr>
                </pic:pic>
              </a:graphicData>
            </a:graphic>
          </wp:inline>
        </w:drawing>
      </w:r>
    </w:p>
    <w:p w14:paraId="59F95E3D" w14:textId="3333744C" w:rsidR="00D36DE4" w:rsidRPr="006E0373" w:rsidRDefault="00D36DE4" w:rsidP="00D36DE4">
      <w:pPr>
        <w:pStyle w:val="Caption"/>
        <w:jc w:val="center"/>
        <w:rPr>
          <w:rFonts w:ascii="Times" w:hAnsi="Times"/>
        </w:rPr>
      </w:pPr>
      <w:bookmarkStart w:id="406" w:name="_Ref138101250"/>
      <w:bookmarkStart w:id="407" w:name="_Ref138101246"/>
      <w:bookmarkStart w:id="408" w:name="_Toc141349944"/>
      <w:r w:rsidRPr="006E0373">
        <w:rPr>
          <w:rFonts w:ascii="Times" w:hAnsi="Times"/>
        </w:rPr>
        <w:t xml:space="preserve">Figure </w:t>
      </w:r>
      <w:r w:rsidR="005445E0">
        <w:rPr>
          <w:rFonts w:ascii="Times" w:hAnsi="Times"/>
        </w:rPr>
        <w:fldChar w:fldCharType="begin"/>
      </w:r>
      <w:r w:rsidR="005445E0">
        <w:rPr>
          <w:rFonts w:ascii="Times" w:hAnsi="Times"/>
        </w:rPr>
        <w:instrText xml:space="preserve"> STYLEREF 1 \s </w:instrText>
      </w:r>
      <w:r w:rsidR="005445E0">
        <w:rPr>
          <w:rFonts w:ascii="Times" w:hAnsi="Times"/>
        </w:rPr>
        <w:fldChar w:fldCharType="separate"/>
      </w:r>
      <w:r w:rsidR="000E1725">
        <w:rPr>
          <w:rFonts w:ascii="Times" w:hAnsi="Times"/>
          <w:noProof/>
        </w:rPr>
        <w:t>5</w:t>
      </w:r>
      <w:r w:rsidR="005445E0">
        <w:rPr>
          <w:rFonts w:ascii="Times" w:hAnsi="Times"/>
        </w:rPr>
        <w:fldChar w:fldCharType="end"/>
      </w:r>
      <w:r w:rsidR="005445E0">
        <w:rPr>
          <w:rFonts w:ascii="Times" w:hAnsi="Times"/>
        </w:rPr>
        <w:t>.</w:t>
      </w:r>
      <w:r w:rsidR="005445E0">
        <w:rPr>
          <w:rFonts w:ascii="Times" w:hAnsi="Times"/>
        </w:rPr>
        <w:fldChar w:fldCharType="begin"/>
      </w:r>
      <w:r w:rsidR="005445E0">
        <w:rPr>
          <w:rFonts w:ascii="Times" w:hAnsi="Times"/>
        </w:rPr>
        <w:instrText xml:space="preserve"> SEQ Figure \* ARABIC \s 1 </w:instrText>
      </w:r>
      <w:r w:rsidR="005445E0">
        <w:rPr>
          <w:rFonts w:ascii="Times" w:hAnsi="Times"/>
        </w:rPr>
        <w:fldChar w:fldCharType="separate"/>
      </w:r>
      <w:r w:rsidR="000E1725">
        <w:rPr>
          <w:rFonts w:ascii="Times" w:hAnsi="Times"/>
          <w:noProof/>
        </w:rPr>
        <w:t>2</w:t>
      </w:r>
      <w:r w:rsidR="005445E0">
        <w:rPr>
          <w:rFonts w:ascii="Times" w:hAnsi="Times"/>
        </w:rPr>
        <w:fldChar w:fldCharType="end"/>
      </w:r>
      <w:bookmarkEnd w:id="406"/>
      <w:r w:rsidRPr="006E0373">
        <w:rPr>
          <w:rFonts w:ascii="Times" w:hAnsi="Times"/>
        </w:rPr>
        <w:t xml:space="preserve"> An example of ATUS dataset</w:t>
      </w:r>
      <w:bookmarkEnd w:id="407"/>
      <w:r>
        <w:rPr>
          <w:rFonts w:ascii="Times" w:hAnsi="Times"/>
        </w:rPr>
        <w:t>.</w:t>
      </w:r>
      <w:bookmarkEnd w:id="408"/>
    </w:p>
    <w:p w14:paraId="4EA1213A" w14:textId="77777777" w:rsidR="00D36DE4" w:rsidRDefault="00D36DE4" w:rsidP="00D36DE4">
      <w:pPr>
        <w:ind w:firstLine="0"/>
      </w:pPr>
      <w:r>
        <w:tab/>
      </w:r>
      <w:r w:rsidRPr="00870DDB">
        <w:t xml:space="preserve">A substantial amount of data has been </w:t>
      </w:r>
      <w:r>
        <w:t>analyzed</w:t>
      </w:r>
      <w:r w:rsidRPr="00870DDB">
        <w:t xml:space="preserve"> for the purpose of this study, </w:t>
      </w:r>
      <w:r>
        <w:t>including</w:t>
      </w:r>
      <w:r w:rsidRPr="00870DDB">
        <w:t xml:space="preserve"> the activity </w:t>
      </w:r>
      <w:r>
        <w:t xml:space="preserve">time allocation </w:t>
      </w:r>
      <w:r w:rsidRPr="00870DDB">
        <w:t>of 228,455 households</w:t>
      </w:r>
      <w:r>
        <w:t xml:space="preserve"> (</w:t>
      </w:r>
      <w:r w:rsidRPr="00870DDB">
        <w:t>over 4,440,000 records</w:t>
      </w:r>
      <w:r>
        <w:t>)</w:t>
      </w:r>
      <w:r w:rsidRPr="00870DDB">
        <w:t xml:space="preserve">. The </w:t>
      </w:r>
      <w:r>
        <w:t>dataset</w:t>
      </w:r>
      <w:r w:rsidRPr="00870DDB">
        <w:t xml:space="preserve"> spans nearly two decades, </w:t>
      </w:r>
      <w:r>
        <w:t xml:space="preserve">i.e., </w:t>
      </w:r>
      <w:r w:rsidRPr="00870DDB">
        <w:t xml:space="preserve">from 2003 to 2021. </w:t>
      </w:r>
      <w:r>
        <w:t xml:space="preserve">The analysis of a large amount </w:t>
      </w:r>
      <w:r w:rsidRPr="00870DDB">
        <w:t xml:space="preserve">of the ATUS data set allows for a thorough exploration of American </w:t>
      </w:r>
      <w:r>
        <w:t>appliance usage</w:t>
      </w:r>
      <w:r w:rsidRPr="00870DDB">
        <w:t xml:space="preserve"> patterns and contributes to the development of a</w:t>
      </w:r>
      <w:r>
        <w:t xml:space="preserve">n </w:t>
      </w:r>
      <w:r w:rsidRPr="00870DDB">
        <w:t>effective smart home energy management model.</w:t>
      </w:r>
      <w:r>
        <w:t xml:space="preserve"> </w:t>
      </w:r>
    </w:p>
    <w:p w14:paraId="16848A76" w14:textId="653B9D39" w:rsidR="00D36DE4" w:rsidRDefault="00D36DE4" w:rsidP="00D36DE4">
      <w:pPr>
        <w:ind w:firstLine="0"/>
      </w:pPr>
      <w:r>
        <w:tab/>
        <w:t xml:space="preserve">While the ATUS provides a high-quality dataset, additional work has to be done to transfer its information into the useful information can be used in proposed scheduling framework. In this study, a Probability Density Function (PDF) is generated through statical analysis for kitchen cleaning and laundry. To generate the PDF of these activities, </w:t>
      </w:r>
      <w:r w:rsidRPr="005318DF">
        <w:t xml:space="preserve">the 24-hour </w:t>
      </w:r>
      <w:r>
        <w:t>scheduling period</w:t>
      </w:r>
      <w:r w:rsidRPr="005318DF">
        <w:t xml:space="preserve"> was </w:t>
      </w:r>
      <w:r>
        <w:t>divided</w:t>
      </w:r>
      <w:r w:rsidRPr="005318DF">
        <w:t xml:space="preserve"> into 10-minute intervals. The start and stop times of each activity were examined to </w:t>
      </w:r>
      <w:r>
        <w:t>calculate</w:t>
      </w:r>
      <w:r w:rsidRPr="005318DF">
        <w:t xml:space="preserve"> the number of ongoing activities within each interval. As a result,</w:t>
      </w:r>
      <w:r>
        <w:t xml:space="preserve"> PDFs</w:t>
      </w:r>
      <w:r w:rsidRPr="005318DF">
        <w:t xml:space="preserve"> were generated to </w:t>
      </w:r>
      <w:r>
        <w:t>represent</w:t>
      </w:r>
      <w:r w:rsidRPr="005318DF">
        <w:t xml:space="preserve"> the frequency of activity occurrence across the different time slots.</w:t>
      </w:r>
      <w:r>
        <w:t xml:space="preserve"> </w:t>
      </w:r>
      <w:r>
        <w:fldChar w:fldCharType="begin"/>
      </w:r>
      <w:r>
        <w:instrText xml:space="preserve"> REF _Ref138109602 \h </w:instrText>
      </w:r>
      <w:r>
        <w:fldChar w:fldCharType="separate"/>
      </w:r>
      <w:r w:rsidR="000E1725" w:rsidRPr="006E0373">
        <w:t xml:space="preserve">Figure </w:t>
      </w:r>
      <w:r w:rsidR="000E1725">
        <w:rPr>
          <w:noProof/>
        </w:rPr>
        <w:t>5</w:t>
      </w:r>
      <w:r w:rsidR="000E1725">
        <w:t>.</w:t>
      </w:r>
      <w:r w:rsidR="000E1725">
        <w:rPr>
          <w:noProof/>
        </w:rPr>
        <w:t>3</w:t>
      </w:r>
      <w:r>
        <w:fldChar w:fldCharType="end"/>
      </w:r>
      <w:r>
        <w:t xml:space="preserve"> demonstrates generated PDFs for kitchen clean-up and laundry activities. Notices that kitchen cleans up, although it may not precisely equal dishwasher use time, the </w:t>
      </w:r>
      <w:r>
        <w:lastRenderedPageBreak/>
        <w:t xml:space="preserve">approximation is sufficient for this study—estimate a user’s time preference towards using the dishwasher. </w:t>
      </w:r>
    </w:p>
    <w:p w14:paraId="75C082EB" w14:textId="77777777" w:rsidR="00D36DE4" w:rsidRDefault="00D36DE4" w:rsidP="009648F2">
      <w:pPr>
        <w:keepNext/>
        <w:ind w:firstLine="0"/>
        <w:jc w:val="center"/>
      </w:pPr>
      <w:r>
        <w:rPr>
          <w:noProof/>
        </w:rPr>
        <w:drawing>
          <wp:inline distT="0" distB="0" distL="0" distR="0" wp14:anchorId="2981099C" wp14:editId="6B7C8747">
            <wp:extent cx="5527221" cy="1657978"/>
            <wp:effectExtent l="0" t="0" r="0" b="6350"/>
            <wp:docPr id="979588103" name="Picture 979588103" descr="A picture containing pl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588103" name="Picture 2" descr="A picture containing plot, line, diagram&#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600370" cy="1679920"/>
                    </a:xfrm>
                    <a:prstGeom prst="rect">
                      <a:avLst/>
                    </a:prstGeom>
                  </pic:spPr>
                </pic:pic>
              </a:graphicData>
            </a:graphic>
          </wp:inline>
        </w:drawing>
      </w:r>
    </w:p>
    <w:p w14:paraId="756B5818" w14:textId="5875968E" w:rsidR="00D36DE4" w:rsidRDefault="00D36DE4" w:rsidP="009648F2">
      <w:pPr>
        <w:pStyle w:val="13FigureCaption"/>
      </w:pPr>
      <w:bookmarkStart w:id="409" w:name="_Ref138109602"/>
      <w:bookmarkStart w:id="410" w:name="_Toc141349945"/>
      <w:r w:rsidRPr="006E0373">
        <w:t xml:space="preserve">Figure </w:t>
      </w:r>
      <w:fldSimple w:instr=" STYLEREF 1 \s ">
        <w:r w:rsidR="000E1725">
          <w:rPr>
            <w:noProof/>
          </w:rPr>
          <w:t>5</w:t>
        </w:r>
      </w:fldSimple>
      <w:r w:rsidR="005445E0">
        <w:t>.</w:t>
      </w:r>
      <w:fldSimple w:instr=" SEQ Figure \* ARABIC \s 1 ">
        <w:r w:rsidR="000E1725">
          <w:rPr>
            <w:noProof/>
          </w:rPr>
          <w:t>3</w:t>
        </w:r>
      </w:fldSimple>
      <w:bookmarkEnd w:id="409"/>
      <w:r w:rsidRPr="006E0373">
        <w:t xml:space="preserve"> Example of </w:t>
      </w:r>
      <w:r>
        <w:t xml:space="preserve">the </w:t>
      </w:r>
      <w:r w:rsidRPr="006E0373">
        <w:t>probability density function of (a) Kitchen clean up and (b) Laundry.</w:t>
      </w:r>
      <w:bookmarkEnd w:id="410"/>
    </w:p>
    <w:p w14:paraId="321F921F" w14:textId="214993CE" w:rsidR="00D36DE4" w:rsidRPr="006D1656" w:rsidRDefault="00D36DE4" w:rsidP="00D36DE4">
      <w:pPr>
        <w:ind w:firstLine="0"/>
      </w:pPr>
      <w:r>
        <w:tab/>
        <w:t xml:space="preserve">To transfer the PDFs to the user’s time preference, a sliding window is employed. </w:t>
      </w:r>
      <w:r w:rsidRPr="00A42643">
        <w:t>The sliding window scans across the probability density function, capturing the maximum area under the curve within its span.</w:t>
      </w:r>
      <w:r>
        <w:t xml:space="preserve"> The red-shaded areas in</w:t>
      </w:r>
      <w:r w:rsidRPr="00A42643">
        <w:t xml:space="preserve"> </w:t>
      </w:r>
      <w:r>
        <w:fldChar w:fldCharType="begin"/>
      </w:r>
      <w:r>
        <w:instrText xml:space="preserve"> REF _Ref138109602 \h </w:instrText>
      </w:r>
      <w:r>
        <w:fldChar w:fldCharType="separate"/>
      </w:r>
      <w:r w:rsidR="000E1725" w:rsidRPr="006E0373">
        <w:t xml:space="preserve">Figure </w:t>
      </w:r>
      <w:r w:rsidR="000E1725">
        <w:rPr>
          <w:noProof/>
        </w:rPr>
        <w:t>5</w:t>
      </w:r>
      <w:r w:rsidR="000E1725">
        <w:t>.</w:t>
      </w:r>
      <w:r w:rsidR="000E1725">
        <w:rPr>
          <w:noProof/>
        </w:rPr>
        <w:t>3</w:t>
      </w:r>
      <w:r>
        <w:fldChar w:fldCharType="end"/>
      </w:r>
      <w:r>
        <w:t xml:space="preserve"> </w:t>
      </w:r>
      <w:r w:rsidRPr="00A42643">
        <w:t>illustrate scenario</w:t>
      </w:r>
      <w:r>
        <w:t>s</w:t>
      </w:r>
      <w:r w:rsidRPr="00A42643">
        <w:t xml:space="preserve"> where 5-hour window</w:t>
      </w:r>
      <w:r>
        <w:t>s</w:t>
      </w:r>
      <w:r w:rsidRPr="00A42643">
        <w:t xml:space="preserve"> generate the highest area</w:t>
      </w:r>
      <w:r>
        <w:t>s</w:t>
      </w:r>
      <w:r w:rsidRPr="00A42643">
        <w:t xml:space="preserve"> under the curve</w:t>
      </w:r>
      <w:r>
        <w:t xml:space="preserve"> (PDF curves) for kitchen and laundry activities. </w:t>
      </w:r>
      <w:r w:rsidRPr="006E204E">
        <w:t xml:space="preserve">To </w:t>
      </w:r>
      <w:r>
        <w:t>capture the</w:t>
      </w:r>
      <w:r w:rsidRPr="006E204E">
        <w:t xml:space="preserve"> diverse user preferences regarding appliance use</w:t>
      </w:r>
      <w:r>
        <w:t xml:space="preserve"> time</w:t>
      </w:r>
      <w:r w:rsidRPr="006E204E">
        <w:t xml:space="preserve">, sliding windows of various lengths are used, representing a </w:t>
      </w:r>
      <w:r>
        <w:t>range of relaxed to stringent time constraints</w:t>
      </w:r>
      <w:r w:rsidRPr="006E204E">
        <w:t xml:space="preserve">. For example, larger </w:t>
      </w:r>
      <w:r>
        <w:t>windows</w:t>
      </w:r>
      <w:r w:rsidRPr="006E204E">
        <w:t xml:space="preserve"> might signify more relaxed preferences, whereas narrower windows could suggest</w:t>
      </w:r>
      <w:r>
        <w:t xml:space="preserve"> that users might be stricter on appliance use time</w:t>
      </w:r>
      <w:r w:rsidRPr="006E204E">
        <w:t xml:space="preserve">. </w:t>
      </w:r>
    </w:p>
    <w:p w14:paraId="00357D6B" w14:textId="77777777" w:rsidR="00D36DE4" w:rsidRDefault="00D36DE4" w:rsidP="00D36DE4">
      <w:pPr>
        <w:pStyle w:val="Heading4"/>
      </w:pPr>
      <w:bookmarkStart w:id="411" w:name="_Toc141991740"/>
      <w:r>
        <w:t>Water usage profile</w:t>
      </w:r>
      <w:bookmarkEnd w:id="411"/>
    </w:p>
    <w:p w14:paraId="1F19104B" w14:textId="4DF23AAB" w:rsidR="00D36DE4" w:rsidRDefault="00D36DE4" w:rsidP="00D36DE4">
      <w:r>
        <w:t xml:space="preserve">To generate a typical water usage profile, a real-world hot water usage profile from </w:t>
      </w:r>
      <w:r>
        <w:fldChar w:fldCharType="begin"/>
      </w:r>
      <w:r w:rsidR="0082416B">
        <w:instrText xml:space="preserve"> ADDIN ZOTERO_ITEM CSL_CITATION {"citationID":"IHRTm7Er","properties":{"formattedCitation":"[139]","plainCitation":"[139]","noteIndex":0},"citationItems":[{"id":1870,"uris":["http://zotero.org/users/5659608/items/6LYM49K4"],"itemData":{"id":1870,"type":"article-journal","abstract":"Tank-style water heaters provide a critical utility but often waste energy, as low temperatures encourage the formation of harmful bacteria. We develop low-cost hardware to capture training data from a single home’s hot water consumption and present a system capable of proactively anticipating demand while remaining sensitive to health concerns by combining a flow-predictive autoregressive convolutional neural network with a Cognitive Supervisor for minimizing Legionella formation. The predictive performance is evaluated for different receptive fields, and the best-performing model successfully tracks water demand one week into the future, providing robust input for the Supervisor to reform Legionella growth with minimal energy expenditure. First-order estimates find U.S. homeowner savings of $10B in heating costs and 80MMT of CO2 without increased health risks. This system uniquely combines predictive and protective elements to augment new and incumbent water heater installations including those used in low to middle-high income countries, enhancing global impact.","container-title":"Engineering Applications of Artificial Intelligence","DOI":"10.1016/j.engappai.2020.103481","journalAbbreviation":"Engineering Applications of Artificial Intelligence","page":"103481","source":"ResearchGate","title":"Safe energy savings through context-aware hot water demand prediction","volume":"90","author":[{"family":"Siegel","given":"Josh"},{"family":"Das","given":"Aniruddha"},{"family":"Sun","given":"Yongbin"},{"family":"Pratt","given":"Shane"}],"issued":{"date-parts":[["2020",4,1]]},"citation-key":"siegelSafeEnergySavings2020"}}],"schema":"https://github.com/citation-style-language/schema/raw/master/csl-citation.json"} </w:instrText>
      </w:r>
      <w:r>
        <w:fldChar w:fldCharType="separate"/>
      </w:r>
      <w:r w:rsidR="0082416B" w:rsidRPr="0082416B">
        <w:t>[139]</w:t>
      </w:r>
      <w:r>
        <w:fldChar w:fldCharType="end"/>
      </w:r>
      <w:r>
        <w:t xml:space="preserve"> is used. The dataset was collected in a single-family house in 2018 by Raspberry Pi</w:t>
      </w:r>
      <w:r w:rsidRPr="0010342D">
        <w:t xml:space="preserve">. </w:t>
      </w:r>
      <w:r>
        <w:t>Although the data</w:t>
      </w:r>
      <w:r w:rsidRPr="0010342D">
        <w:t xml:space="preserve"> only </w:t>
      </w:r>
      <w:r>
        <w:t>captures</w:t>
      </w:r>
      <w:r w:rsidRPr="0010342D">
        <w:t xml:space="preserve"> the time and hot </w:t>
      </w:r>
      <w:r>
        <w:t>water flow rate</w:t>
      </w:r>
      <w:r w:rsidRPr="0010342D">
        <w:t xml:space="preserve">, </w:t>
      </w:r>
      <w:r>
        <w:t xml:space="preserve">it </w:t>
      </w:r>
      <w:r w:rsidRPr="0010342D">
        <w:t>is</w:t>
      </w:r>
      <w:r>
        <w:t xml:space="preserve"> still</w:t>
      </w:r>
      <w:r w:rsidRPr="0010342D">
        <w:t xml:space="preserve"> extensive. To extract a typical </w:t>
      </w:r>
      <w:r>
        <w:lastRenderedPageBreak/>
        <w:t xml:space="preserve">hot </w:t>
      </w:r>
      <w:r w:rsidRPr="0010342D">
        <w:t>water usage pattern, a data mining approach</w:t>
      </w:r>
      <w:r>
        <w:t>—</w:t>
      </w:r>
      <w:r w:rsidRPr="0010342D">
        <w:t>matrix profiling of data snippets</w:t>
      </w:r>
      <w:r>
        <w:t>—</w:t>
      </w:r>
      <w:r w:rsidRPr="0010342D">
        <w:t xml:space="preserve">is utilized. </w:t>
      </w:r>
      <w:r>
        <w:t>The time series data snippets</w:t>
      </w:r>
      <w:r w:rsidRPr="0010342D">
        <w:t xml:space="preserve"> method has already been </w:t>
      </w:r>
      <w:r>
        <w:t xml:space="preserve">used in a more </w:t>
      </w:r>
      <w:r w:rsidRPr="00A0357D">
        <w:t xml:space="preserve">complicated clustering task in </w:t>
      </w:r>
      <w:r w:rsidRPr="00977743">
        <w:t xml:space="preserve">Chapter </w:t>
      </w:r>
      <w:r w:rsidR="00A0357D" w:rsidRPr="00977743">
        <w:fldChar w:fldCharType="begin"/>
      </w:r>
      <w:r w:rsidR="00A0357D" w:rsidRPr="00977743">
        <w:instrText xml:space="preserve"> REF _Ref139494387 \n \h </w:instrText>
      </w:r>
      <w:r w:rsidR="00A0357D">
        <w:instrText xml:space="preserve"> \* MERGEFORMAT </w:instrText>
      </w:r>
      <w:r w:rsidR="00A0357D" w:rsidRPr="00977743">
        <w:fldChar w:fldCharType="separate"/>
      </w:r>
      <w:r w:rsidR="000E1725">
        <w:t>4</w:t>
      </w:r>
      <w:r w:rsidR="00A0357D" w:rsidRPr="00977743">
        <w:fldChar w:fldCharType="end"/>
      </w:r>
      <w:r w:rsidRPr="00977743">
        <w:t>,</w:t>
      </w:r>
      <w:r w:rsidRPr="00A0357D">
        <w:t xml:space="preserve"> it will not be reiterated here. As shown in </w:t>
      </w:r>
      <w:r w:rsidRPr="00A0357D">
        <w:fldChar w:fldCharType="begin"/>
      </w:r>
      <w:r w:rsidRPr="00A0357D">
        <w:instrText xml:space="preserve"> REF _Ref138112325 \h </w:instrText>
      </w:r>
      <w:r w:rsidR="00A0357D">
        <w:instrText xml:space="preserve"> \* MERGEFORMAT </w:instrText>
      </w:r>
      <w:r w:rsidRPr="00A0357D">
        <w:fldChar w:fldCharType="separate"/>
      </w:r>
      <w:r w:rsidR="000E1725" w:rsidRPr="000E1725">
        <w:rPr>
          <w:rFonts w:ascii="Times" w:hAnsi="Times"/>
        </w:rPr>
        <w:t xml:space="preserve">Figure </w:t>
      </w:r>
      <w:r w:rsidR="000E1725" w:rsidRPr="000E1725">
        <w:rPr>
          <w:rFonts w:ascii="Times" w:hAnsi="Times"/>
          <w:noProof/>
        </w:rPr>
        <w:t>5.4</w:t>
      </w:r>
      <w:r w:rsidRPr="00A0357D">
        <w:fldChar w:fldCharType="end"/>
      </w:r>
      <w:r w:rsidRPr="00A0357D">
        <w:t>, the raw data spans from January to August</w:t>
      </w:r>
      <w:r w:rsidRPr="0010342D">
        <w:t xml:space="preserve">. The focus of this research </w:t>
      </w:r>
      <w:r>
        <w:t>is</w:t>
      </w:r>
      <w:r w:rsidRPr="0010342D">
        <w:t xml:space="preserve"> the cooling season, only data from July and August are included in the calculations.</w:t>
      </w:r>
    </w:p>
    <w:p w14:paraId="1F92DD59" w14:textId="77777777" w:rsidR="00D36DE4" w:rsidRDefault="00D36DE4" w:rsidP="00D36DE4">
      <w:pPr>
        <w:keepNext/>
        <w:jc w:val="center"/>
      </w:pPr>
      <w:r>
        <w:rPr>
          <w:noProof/>
        </w:rPr>
        <w:drawing>
          <wp:inline distT="0" distB="0" distL="0" distR="0" wp14:anchorId="6916F38B" wp14:editId="308A116F">
            <wp:extent cx="4432300" cy="1689100"/>
            <wp:effectExtent l="0" t="0" r="0" b="0"/>
            <wp:docPr id="73438366" name="Picture 73438366" descr="A picture containing line, plot, sketch,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38366" name="Picture 3" descr="A picture containing line, plot, sketch, diagram&#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432300" cy="1689100"/>
                    </a:xfrm>
                    <a:prstGeom prst="rect">
                      <a:avLst/>
                    </a:prstGeom>
                  </pic:spPr>
                </pic:pic>
              </a:graphicData>
            </a:graphic>
          </wp:inline>
        </w:drawing>
      </w:r>
    </w:p>
    <w:p w14:paraId="604267DC" w14:textId="02B94DE8" w:rsidR="00D36DE4" w:rsidRPr="00903A85" w:rsidRDefault="00D36DE4" w:rsidP="009648F2">
      <w:pPr>
        <w:pStyle w:val="13FigureCaption"/>
      </w:pPr>
      <w:bookmarkStart w:id="412" w:name="_Ref138112325"/>
      <w:bookmarkStart w:id="413" w:name="_Toc141349946"/>
      <w:r w:rsidRPr="00903A85">
        <w:t xml:space="preserve">Figure </w:t>
      </w:r>
      <w:fldSimple w:instr=" STYLEREF 1 \s ">
        <w:r w:rsidR="000E1725">
          <w:rPr>
            <w:noProof/>
          </w:rPr>
          <w:t>5</w:t>
        </w:r>
      </w:fldSimple>
      <w:r w:rsidR="005445E0">
        <w:t>.</w:t>
      </w:r>
      <w:fldSimple w:instr=" SEQ Figure \* ARABIC \s 1 ">
        <w:r w:rsidR="000E1725">
          <w:rPr>
            <w:noProof/>
          </w:rPr>
          <w:t>4</w:t>
        </w:r>
      </w:fldSimple>
      <w:bookmarkEnd w:id="412"/>
      <w:r w:rsidRPr="00903A85">
        <w:t xml:space="preserve"> Hot water usage data collected from a </w:t>
      </w:r>
      <w:r>
        <w:t>single-family</w:t>
      </w:r>
      <w:r w:rsidRPr="00903A85">
        <w:t xml:space="preserve"> water heater </w:t>
      </w:r>
      <w:r w:rsidRPr="00903A85">
        <w:fldChar w:fldCharType="begin"/>
      </w:r>
      <w:r w:rsidR="0082416B">
        <w:instrText xml:space="preserve"> ADDIN ZOTERO_ITEM CSL_CITATION {"citationID":"SVIyir3E","properties":{"formattedCitation":"[139]","plainCitation":"[139]","noteIndex":0},"citationItems":[{"id":1870,"uris":["http://zotero.org/users/5659608/items/6LYM49K4"],"itemData":{"id":1870,"type":"article-journal","abstract":"Tank-style water heaters provide a critical utility but often waste energy, as low temperatures encourage the formation of harmful bacteria. We develop low-cost hardware to capture training data from a single home’s hot water consumption and present a system capable of proactively anticipating demand while remaining sensitive to health concerns by combining a flow-predictive autoregressive convolutional neural network with a Cognitive Supervisor for minimizing Legionella formation. The predictive performance is evaluated for different receptive fields, and the best-performing model successfully tracks water demand one week into the future, providing robust input for the Supervisor to reform Legionella growth with minimal energy expenditure. First-order estimates find U.S. homeowner savings of $10B in heating costs and 80MMT of CO2 without increased health risks. This system uniquely combines predictive and protective elements to augment new and incumbent water heater installations including those used in low to middle-high income countries, enhancing global impact.","container-title":"Engineering Applications of Artificial Intelligence","DOI":"10.1016/j.engappai.2020.103481","journalAbbreviation":"Engineering Applications of Artificial Intelligence","page":"103481","source":"ResearchGate","title":"Safe energy savings through context-aware hot water demand prediction","volume":"90","author":[{"family":"Siegel","given":"Josh"},{"family":"Das","given":"Aniruddha"},{"family":"Sun","given":"Yongbin"},{"family":"Pratt","given":"Shane"}],"issued":{"date-parts":[["2020",4,1]]},"citation-key":"siegelSafeEnergySavings2020"}}],"schema":"https://github.com/citation-style-language/schema/raw/master/csl-citation.json"} </w:instrText>
      </w:r>
      <w:r w:rsidRPr="00903A85">
        <w:fldChar w:fldCharType="separate"/>
      </w:r>
      <w:r w:rsidR="0082416B" w:rsidRPr="0082416B">
        <w:rPr>
          <w:rFonts w:cs="Times"/>
        </w:rPr>
        <w:t>[139]</w:t>
      </w:r>
      <w:r w:rsidRPr="00903A85">
        <w:fldChar w:fldCharType="end"/>
      </w:r>
      <w:r w:rsidRPr="00903A85">
        <w:t>.</w:t>
      </w:r>
      <w:bookmarkEnd w:id="413"/>
    </w:p>
    <w:p w14:paraId="6E975C87" w14:textId="77777777" w:rsidR="00D36DE4" w:rsidRDefault="00D36DE4" w:rsidP="00D36DE4">
      <w:pPr>
        <w:pStyle w:val="Heading3"/>
      </w:pPr>
      <w:bookmarkStart w:id="414" w:name="_Ref138439849"/>
      <w:bookmarkStart w:id="415" w:name="_Toc141991741"/>
      <w:r>
        <w:t>User-preferred thermal comfort range</w:t>
      </w:r>
      <w:bookmarkEnd w:id="414"/>
      <w:bookmarkEnd w:id="415"/>
    </w:p>
    <w:p w14:paraId="3FC59FAE" w14:textId="77777777" w:rsidR="00D36DE4" w:rsidRPr="00AD7EB3" w:rsidRDefault="00D36DE4" w:rsidP="00D36DE4">
      <w:r>
        <w:t>To</w:t>
      </w:r>
      <w:r w:rsidRPr="00E91FA2">
        <w:t xml:space="preserve"> quantify thermal comfort and account for temperature changes, the </w:t>
      </w:r>
      <w:r>
        <w:t xml:space="preserve">following </w:t>
      </w:r>
      <w:r w:rsidRPr="00E91FA2">
        <w:t>constraints are used</w:t>
      </w:r>
      <w:r>
        <w:t xml:space="preserve"> when multi-objective optimization is considered</w:t>
      </w:r>
      <w:r w:rsidRPr="00E91FA2">
        <w:t>.</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260"/>
      </w:tblGrid>
      <w:tr w:rsidR="00D36DE4" w:rsidRPr="00EE371D" w14:paraId="5C10E722" w14:textId="77777777" w:rsidTr="004F29F3">
        <w:tc>
          <w:tcPr>
            <w:tcW w:w="7740" w:type="dxa"/>
            <w:vAlign w:val="center"/>
          </w:tcPr>
          <w:p w14:paraId="1B8B9AC6" w14:textId="77777777" w:rsidR="00D36DE4" w:rsidRPr="00E1085E" w:rsidRDefault="00000000" w:rsidP="002023DB">
            <w:pPr>
              <w:rPr>
                <w:szCs w:val="24"/>
              </w:rPr>
            </w:pPr>
            <m:oMathPara>
              <m:oMath>
                <m:sSub>
                  <m:sSubPr>
                    <m:ctrlPr>
                      <w:rPr>
                        <w:rFonts w:ascii="Cambria Math" w:hAnsi="Cambria Math"/>
                        <w:i/>
                        <w:szCs w:val="24"/>
                        <w:vertAlign w:val="subscript"/>
                      </w:rPr>
                    </m:ctrlPr>
                  </m:sSubPr>
                  <m:e>
                    <m:bar>
                      <m:barPr>
                        <m:ctrlPr>
                          <w:rPr>
                            <w:rFonts w:ascii="Cambria Math" w:hAnsi="Cambria Math"/>
                            <w:szCs w:val="24"/>
                            <w:vertAlign w:val="subscript"/>
                          </w:rPr>
                        </m:ctrlPr>
                      </m:barPr>
                      <m:e>
                        <m:r>
                          <w:rPr>
                            <w:rFonts w:ascii="Cambria Math" w:hAnsi="Cambria Math"/>
                            <w:szCs w:val="24"/>
                            <w:vertAlign w:val="subscript"/>
                          </w:rPr>
                          <m:t>T</m:t>
                        </m:r>
                      </m:e>
                    </m:bar>
                  </m:e>
                  <m:sub>
                    <m:r>
                      <w:rPr>
                        <w:rFonts w:ascii="Cambria Math" w:hAnsi="Cambria Math"/>
                        <w:szCs w:val="24"/>
                        <w:vertAlign w:val="subscript"/>
                      </w:rPr>
                      <m:t>hvac</m:t>
                    </m:r>
                  </m:sub>
                </m:sSub>
                <m:r>
                  <w:rPr>
                    <w:rFonts w:ascii="Cambria Math" w:hAnsi="Cambria Math"/>
                    <w:szCs w:val="24"/>
                    <w:vertAlign w:val="subscript"/>
                  </w:rPr>
                  <m:t>-</m:t>
                </m:r>
                <m:sSubSup>
                  <m:sSubSupPr>
                    <m:ctrlPr>
                      <w:rPr>
                        <w:rFonts w:ascii="Cambria Math" w:hAnsi="Cambria Math"/>
                        <w:i/>
                        <w:szCs w:val="24"/>
                        <w:vertAlign w:val="subscript"/>
                      </w:rPr>
                    </m:ctrlPr>
                  </m:sSubSupPr>
                  <m:e>
                    <m:r>
                      <w:rPr>
                        <w:rFonts w:ascii="Cambria Math" w:hAnsi="Cambria Math"/>
                        <w:szCs w:val="24"/>
                        <w:vertAlign w:val="subscript"/>
                      </w:rPr>
                      <m:t>T</m:t>
                    </m:r>
                  </m:e>
                  <m:sub>
                    <m:r>
                      <w:rPr>
                        <w:rFonts w:ascii="Cambria Math" w:hAnsi="Cambria Math"/>
                        <w:szCs w:val="24"/>
                        <w:vertAlign w:val="subscript"/>
                      </w:rPr>
                      <m:t>in</m:t>
                    </m:r>
                  </m:sub>
                  <m:sup>
                    <m:r>
                      <w:rPr>
                        <w:rFonts w:ascii="Cambria Math" w:hAnsi="Cambria Math"/>
                        <w:szCs w:val="24"/>
                        <w:vertAlign w:val="subscript"/>
                      </w:rPr>
                      <m:t>k</m:t>
                    </m:r>
                  </m:sup>
                </m:sSubSup>
                <m:r>
                  <m:rPr>
                    <m:sty m:val="p"/>
                  </m:rPr>
                  <w:rPr>
                    <w:rFonts w:ascii="Cambria Math" w:hAnsi="Cambria Math" w:hint="eastAsia"/>
                    <w:szCs w:val="24"/>
                    <w:vertAlign w:val="subscript"/>
                  </w:rPr>
                  <m:t>≤</m:t>
                </m:r>
                <m:r>
                  <w:rPr>
                    <w:rFonts w:ascii="Cambria Math" w:hAnsi="Cambria Math"/>
                    <w:szCs w:val="24"/>
                    <w:vertAlign w:val="subscript"/>
                  </w:rPr>
                  <m:t>-</m:t>
                </m:r>
                <m:sSub>
                  <m:sSubPr>
                    <m:ctrlPr>
                      <w:rPr>
                        <w:rFonts w:ascii="Cambria Math" w:hAnsi="Cambria Math"/>
                        <w:i/>
                        <w:szCs w:val="24"/>
                        <w:vertAlign w:val="subscript"/>
                      </w:rPr>
                    </m:ctrlPr>
                  </m:sSubPr>
                  <m:e>
                    <m:r>
                      <w:rPr>
                        <w:rFonts w:ascii="Cambria Math" w:hAnsi="Cambria Math"/>
                        <w:szCs w:val="24"/>
                        <w:vertAlign w:val="subscript"/>
                      </w:rPr>
                      <m:t>M</m:t>
                    </m:r>
                  </m:e>
                  <m:sub>
                    <m:r>
                      <w:rPr>
                        <w:rFonts w:ascii="Cambria Math" w:hAnsi="Cambria Math"/>
                        <w:szCs w:val="24"/>
                        <w:vertAlign w:val="subscript"/>
                      </w:rPr>
                      <m:t>1</m:t>
                    </m:r>
                  </m:sub>
                </m:sSub>
                <m:sSubSup>
                  <m:sSubSupPr>
                    <m:ctrlPr>
                      <w:rPr>
                        <w:rFonts w:ascii="Cambria Math" w:hAnsi="Cambria Math"/>
                        <w:i/>
                        <w:szCs w:val="24"/>
                        <w:vertAlign w:val="subscript"/>
                      </w:rPr>
                    </m:ctrlPr>
                  </m:sSubSupPr>
                  <m:e>
                    <m:r>
                      <w:rPr>
                        <w:rFonts w:ascii="Cambria Math" w:hAnsi="Cambria Math"/>
                        <w:szCs w:val="24"/>
                        <w:vertAlign w:val="subscript"/>
                      </w:rPr>
                      <m:t>z</m:t>
                    </m:r>
                  </m:e>
                  <m:sub>
                    <m:r>
                      <w:rPr>
                        <w:rFonts w:ascii="Cambria Math" w:hAnsi="Cambria Math"/>
                        <w:szCs w:val="24"/>
                        <w:vertAlign w:val="subscript"/>
                      </w:rPr>
                      <m:t>1</m:t>
                    </m:r>
                  </m:sub>
                  <m:sup>
                    <m:r>
                      <w:rPr>
                        <w:rFonts w:ascii="Cambria Math" w:hAnsi="Cambria Math"/>
                        <w:szCs w:val="24"/>
                        <w:vertAlign w:val="subscript"/>
                      </w:rPr>
                      <m:t>k</m:t>
                    </m:r>
                  </m:sup>
                </m:sSubSup>
                <m:r>
                  <m:rPr>
                    <m:sty m:val="p"/>
                  </m:rPr>
                  <w:rPr>
                    <w:rFonts w:ascii="Cambria Math" w:hAnsi="Cambria Math"/>
                    <w:szCs w:val="24"/>
                    <w:vertAlign w:val="subscript"/>
                  </w:rPr>
                  <m:t xml:space="preserve">   ∀</m:t>
                </m:r>
                <m:r>
                  <w:rPr>
                    <w:rFonts w:ascii="Cambria Math" w:hAnsi="Cambria Math"/>
                    <w:szCs w:val="24"/>
                    <w:vertAlign w:val="subscript"/>
                  </w:rPr>
                  <m:t>k,</m:t>
                </m:r>
              </m:oMath>
            </m:oMathPara>
          </w:p>
        </w:tc>
        <w:tc>
          <w:tcPr>
            <w:tcW w:w="1260" w:type="dxa"/>
            <w:vAlign w:val="center"/>
          </w:tcPr>
          <w:p w14:paraId="55BD591F" w14:textId="7ABDACDA" w:rsidR="00D36DE4" w:rsidRPr="00E1085E" w:rsidRDefault="00D36DE4" w:rsidP="002023DB">
            <w:pPr>
              <w:rPr>
                <w:szCs w:val="24"/>
              </w:rPr>
            </w:pPr>
            <w:bookmarkStart w:id="416" w:name="_Ref123116301"/>
            <w:r w:rsidRPr="00E1085E">
              <w:rPr>
                <w:rFonts w:hint="eastAsia"/>
                <w:szCs w:val="24"/>
              </w:rPr>
              <w:t>(</w:t>
            </w:r>
            <w:r w:rsidRPr="00E1085E">
              <w:rPr>
                <w:szCs w:val="24"/>
              </w:rPr>
              <w:fldChar w:fldCharType="begin"/>
            </w:r>
            <w:r w:rsidRPr="00E1085E">
              <w:rPr>
                <w:szCs w:val="24"/>
              </w:rPr>
              <w:instrText xml:space="preserve"> </w:instrText>
            </w:r>
            <w:r w:rsidRPr="00E1085E">
              <w:rPr>
                <w:rFonts w:hint="eastAsia"/>
                <w:szCs w:val="24"/>
              </w:rPr>
              <w:instrText>SEQ equation \* ARABIC</w:instrText>
            </w:r>
            <w:r w:rsidRPr="00E1085E">
              <w:rPr>
                <w:szCs w:val="24"/>
              </w:rPr>
              <w:instrText xml:space="preserve"> </w:instrText>
            </w:r>
            <w:r w:rsidRPr="00E1085E">
              <w:rPr>
                <w:szCs w:val="24"/>
              </w:rPr>
              <w:fldChar w:fldCharType="separate"/>
            </w:r>
            <w:r w:rsidR="000E1725">
              <w:rPr>
                <w:noProof/>
                <w:szCs w:val="24"/>
              </w:rPr>
              <w:t>66</w:t>
            </w:r>
            <w:r w:rsidRPr="00E1085E">
              <w:rPr>
                <w:szCs w:val="24"/>
              </w:rPr>
              <w:fldChar w:fldCharType="end"/>
            </w:r>
            <w:bookmarkEnd w:id="416"/>
            <w:r w:rsidRPr="00E1085E">
              <w:rPr>
                <w:szCs w:val="24"/>
              </w:rPr>
              <w:t>)</w:t>
            </w:r>
          </w:p>
        </w:tc>
      </w:tr>
      <w:tr w:rsidR="00D36DE4" w:rsidRPr="00EE371D" w14:paraId="175B439D" w14:textId="77777777" w:rsidTr="004F29F3">
        <w:tc>
          <w:tcPr>
            <w:tcW w:w="7740" w:type="dxa"/>
            <w:vAlign w:val="center"/>
          </w:tcPr>
          <w:p w14:paraId="0F7FDA46" w14:textId="77777777" w:rsidR="00D36DE4" w:rsidRPr="00E1085E" w:rsidRDefault="00D36DE4" w:rsidP="002023DB">
            <w:pPr>
              <w:rPr>
                <w:szCs w:val="24"/>
              </w:rPr>
            </w:pPr>
            <m:oMathPara>
              <m:oMath>
                <m:r>
                  <w:rPr>
                    <w:rFonts w:ascii="Cambria Math" w:hAnsi="Cambria Math"/>
                    <w:szCs w:val="24"/>
                    <w:vertAlign w:val="subscript"/>
                  </w:rPr>
                  <m:t>-</m:t>
                </m:r>
                <m:sSub>
                  <m:sSubPr>
                    <m:ctrlPr>
                      <w:rPr>
                        <w:rFonts w:ascii="Cambria Math" w:hAnsi="Cambria Math"/>
                        <w:i/>
                        <w:szCs w:val="24"/>
                        <w:vertAlign w:val="subscript"/>
                      </w:rPr>
                    </m:ctrlPr>
                  </m:sSubPr>
                  <m:e>
                    <m:bar>
                      <m:barPr>
                        <m:pos m:val="top"/>
                        <m:ctrlPr>
                          <w:rPr>
                            <w:rFonts w:ascii="Cambria Math" w:hAnsi="Cambria Math"/>
                            <w:szCs w:val="24"/>
                            <w:vertAlign w:val="subscript"/>
                          </w:rPr>
                        </m:ctrlPr>
                      </m:barPr>
                      <m:e>
                        <m:r>
                          <w:rPr>
                            <w:rFonts w:ascii="Cambria Math" w:hAnsi="Cambria Math"/>
                            <w:szCs w:val="24"/>
                            <w:vertAlign w:val="subscript"/>
                          </w:rPr>
                          <m:t>T</m:t>
                        </m:r>
                      </m:e>
                    </m:bar>
                  </m:e>
                  <m:sub>
                    <m:r>
                      <w:rPr>
                        <w:rFonts w:ascii="Cambria Math" w:hAnsi="Cambria Math"/>
                        <w:szCs w:val="24"/>
                        <w:vertAlign w:val="subscript"/>
                      </w:rPr>
                      <m:t>hvac</m:t>
                    </m:r>
                  </m:sub>
                </m:sSub>
                <m:r>
                  <w:rPr>
                    <w:rFonts w:ascii="Cambria Math" w:hAnsi="Cambria Math"/>
                    <w:szCs w:val="24"/>
                    <w:vertAlign w:val="subscript"/>
                  </w:rPr>
                  <m:t>+</m:t>
                </m:r>
                <m:sSubSup>
                  <m:sSubSupPr>
                    <m:ctrlPr>
                      <w:rPr>
                        <w:rFonts w:ascii="Cambria Math" w:hAnsi="Cambria Math"/>
                        <w:i/>
                        <w:szCs w:val="24"/>
                        <w:vertAlign w:val="subscript"/>
                      </w:rPr>
                    </m:ctrlPr>
                  </m:sSubSupPr>
                  <m:e>
                    <m:r>
                      <w:rPr>
                        <w:rFonts w:ascii="Cambria Math" w:hAnsi="Cambria Math"/>
                        <w:szCs w:val="24"/>
                        <w:vertAlign w:val="subscript"/>
                      </w:rPr>
                      <m:t>T</m:t>
                    </m:r>
                  </m:e>
                  <m:sub>
                    <m:r>
                      <w:rPr>
                        <w:rFonts w:ascii="Cambria Math" w:hAnsi="Cambria Math"/>
                        <w:szCs w:val="24"/>
                        <w:vertAlign w:val="subscript"/>
                      </w:rPr>
                      <m:t>in</m:t>
                    </m:r>
                  </m:sub>
                  <m:sup>
                    <m:r>
                      <w:rPr>
                        <w:rFonts w:ascii="Cambria Math" w:hAnsi="Cambria Math"/>
                        <w:szCs w:val="24"/>
                        <w:vertAlign w:val="subscript"/>
                      </w:rPr>
                      <m:t>k</m:t>
                    </m:r>
                  </m:sup>
                </m:sSubSup>
                <m:r>
                  <m:rPr>
                    <m:sty m:val="p"/>
                  </m:rPr>
                  <w:rPr>
                    <w:rFonts w:ascii="Cambria Math" w:hAnsi="Cambria Math" w:hint="eastAsia"/>
                    <w:szCs w:val="24"/>
                    <w:vertAlign w:val="subscript"/>
                  </w:rPr>
                  <m:t>≤</m:t>
                </m:r>
                <m:r>
                  <w:rPr>
                    <w:rFonts w:ascii="Cambria Math" w:hAnsi="Cambria Math"/>
                    <w:szCs w:val="24"/>
                    <w:vertAlign w:val="subscript"/>
                  </w:rPr>
                  <m:t>-</m:t>
                </m:r>
                <m:sSub>
                  <m:sSubPr>
                    <m:ctrlPr>
                      <w:rPr>
                        <w:rFonts w:ascii="Cambria Math" w:hAnsi="Cambria Math"/>
                        <w:i/>
                        <w:szCs w:val="24"/>
                        <w:vertAlign w:val="subscript"/>
                      </w:rPr>
                    </m:ctrlPr>
                  </m:sSubPr>
                  <m:e>
                    <m:r>
                      <w:rPr>
                        <w:rFonts w:ascii="Cambria Math" w:hAnsi="Cambria Math"/>
                        <w:szCs w:val="24"/>
                        <w:vertAlign w:val="subscript"/>
                      </w:rPr>
                      <m:t>M</m:t>
                    </m:r>
                  </m:e>
                  <m:sub>
                    <m:r>
                      <w:rPr>
                        <w:rFonts w:ascii="Cambria Math" w:hAnsi="Cambria Math"/>
                        <w:szCs w:val="24"/>
                        <w:vertAlign w:val="subscript"/>
                      </w:rPr>
                      <m:t>2</m:t>
                    </m:r>
                  </m:sub>
                </m:sSub>
                <m:sSubSup>
                  <m:sSubSupPr>
                    <m:ctrlPr>
                      <w:rPr>
                        <w:rFonts w:ascii="Cambria Math" w:hAnsi="Cambria Math"/>
                        <w:i/>
                        <w:szCs w:val="24"/>
                        <w:vertAlign w:val="subscript"/>
                      </w:rPr>
                    </m:ctrlPr>
                  </m:sSubSupPr>
                  <m:e>
                    <m:r>
                      <w:rPr>
                        <w:rFonts w:ascii="Cambria Math" w:hAnsi="Cambria Math"/>
                        <w:szCs w:val="24"/>
                        <w:vertAlign w:val="subscript"/>
                      </w:rPr>
                      <m:t>z</m:t>
                    </m:r>
                  </m:e>
                  <m:sub>
                    <m:r>
                      <w:rPr>
                        <w:rFonts w:ascii="Cambria Math" w:hAnsi="Cambria Math"/>
                        <w:szCs w:val="24"/>
                        <w:vertAlign w:val="subscript"/>
                      </w:rPr>
                      <m:t>2</m:t>
                    </m:r>
                  </m:sub>
                  <m:sup>
                    <m:r>
                      <w:rPr>
                        <w:rFonts w:ascii="Cambria Math" w:hAnsi="Cambria Math"/>
                        <w:szCs w:val="24"/>
                        <w:vertAlign w:val="subscript"/>
                      </w:rPr>
                      <m:t>k</m:t>
                    </m:r>
                  </m:sup>
                </m:sSubSup>
                <m:r>
                  <m:rPr>
                    <m:sty m:val="p"/>
                  </m:rPr>
                  <w:rPr>
                    <w:rFonts w:ascii="Cambria Math" w:hAnsi="Cambria Math"/>
                    <w:szCs w:val="24"/>
                    <w:vertAlign w:val="subscript"/>
                  </w:rPr>
                  <m:t xml:space="preserve">   ∀</m:t>
                </m:r>
                <m:r>
                  <w:rPr>
                    <w:rFonts w:ascii="Cambria Math" w:hAnsi="Cambria Math"/>
                    <w:szCs w:val="24"/>
                    <w:vertAlign w:val="subscript"/>
                  </w:rPr>
                  <m:t>k,</m:t>
                </m:r>
              </m:oMath>
            </m:oMathPara>
          </w:p>
        </w:tc>
        <w:tc>
          <w:tcPr>
            <w:tcW w:w="1260" w:type="dxa"/>
            <w:vAlign w:val="center"/>
          </w:tcPr>
          <w:p w14:paraId="36E55784" w14:textId="014D394E" w:rsidR="00D36DE4" w:rsidRPr="00E1085E" w:rsidRDefault="00D36DE4" w:rsidP="002023DB">
            <w:pPr>
              <w:rPr>
                <w:szCs w:val="24"/>
              </w:rPr>
            </w:pPr>
            <w:bookmarkStart w:id="417" w:name="_Ref123116303"/>
            <w:r w:rsidRPr="00E1085E">
              <w:rPr>
                <w:rFonts w:hint="eastAsia"/>
                <w:szCs w:val="24"/>
              </w:rPr>
              <w:t>(</w:t>
            </w:r>
            <w:r w:rsidRPr="00E1085E">
              <w:rPr>
                <w:szCs w:val="24"/>
              </w:rPr>
              <w:fldChar w:fldCharType="begin"/>
            </w:r>
            <w:r w:rsidRPr="00E1085E">
              <w:rPr>
                <w:szCs w:val="24"/>
              </w:rPr>
              <w:instrText xml:space="preserve"> </w:instrText>
            </w:r>
            <w:r w:rsidRPr="00E1085E">
              <w:rPr>
                <w:rFonts w:hint="eastAsia"/>
                <w:szCs w:val="24"/>
              </w:rPr>
              <w:instrText>SEQ equation \* ARABIC</w:instrText>
            </w:r>
            <w:r w:rsidRPr="00E1085E">
              <w:rPr>
                <w:szCs w:val="24"/>
              </w:rPr>
              <w:instrText xml:space="preserve"> </w:instrText>
            </w:r>
            <w:r w:rsidRPr="00E1085E">
              <w:rPr>
                <w:szCs w:val="24"/>
              </w:rPr>
              <w:fldChar w:fldCharType="separate"/>
            </w:r>
            <w:r w:rsidR="000E1725">
              <w:rPr>
                <w:noProof/>
                <w:szCs w:val="24"/>
              </w:rPr>
              <w:t>67</w:t>
            </w:r>
            <w:r w:rsidRPr="00E1085E">
              <w:rPr>
                <w:szCs w:val="24"/>
              </w:rPr>
              <w:fldChar w:fldCharType="end"/>
            </w:r>
            <w:bookmarkEnd w:id="417"/>
            <w:r w:rsidRPr="00E1085E">
              <w:rPr>
                <w:szCs w:val="24"/>
              </w:rPr>
              <w:t>)</w:t>
            </w:r>
          </w:p>
        </w:tc>
      </w:tr>
      <w:tr w:rsidR="00D36DE4" w:rsidRPr="00EE371D" w14:paraId="5DE58604" w14:textId="77777777" w:rsidTr="004F29F3">
        <w:tc>
          <w:tcPr>
            <w:tcW w:w="7740" w:type="dxa"/>
            <w:vAlign w:val="center"/>
          </w:tcPr>
          <w:p w14:paraId="233D9DA7" w14:textId="77777777" w:rsidR="00D36DE4" w:rsidRPr="00E1085E" w:rsidRDefault="00000000" w:rsidP="002023DB">
            <w:pPr>
              <w:rPr>
                <w:szCs w:val="24"/>
              </w:rPr>
            </w:pPr>
            <m:oMathPara>
              <m:oMath>
                <m:sSubSup>
                  <m:sSubSupPr>
                    <m:ctrlPr>
                      <w:rPr>
                        <w:rFonts w:ascii="Cambria Math" w:hAnsi="Cambria Math"/>
                        <w:i/>
                        <w:szCs w:val="24"/>
                        <w:vertAlign w:val="subscript"/>
                      </w:rPr>
                    </m:ctrlPr>
                  </m:sSubSupPr>
                  <m:e>
                    <m:r>
                      <w:rPr>
                        <w:rFonts w:ascii="Cambria Math" w:hAnsi="Cambria Math"/>
                        <w:szCs w:val="24"/>
                        <w:vertAlign w:val="subscript"/>
                      </w:rPr>
                      <m:t>z</m:t>
                    </m:r>
                  </m:e>
                  <m:sub>
                    <m:r>
                      <w:rPr>
                        <w:rFonts w:ascii="Cambria Math" w:hAnsi="Cambria Math"/>
                        <w:szCs w:val="24"/>
                        <w:vertAlign w:val="subscript"/>
                      </w:rPr>
                      <m:t>1</m:t>
                    </m:r>
                  </m:sub>
                  <m:sup>
                    <m:r>
                      <w:rPr>
                        <w:rFonts w:ascii="Cambria Math" w:hAnsi="Cambria Math"/>
                        <w:szCs w:val="24"/>
                        <w:vertAlign w:val="subscript"/>
                      </w:rPr>
                      <m:t>k</m:t>
                    </m:r>
                  </m:sup>
                </m:sSubSup>
                <m:r>
                  <w:rPr>
                    <w:rFonts w:ascii="Cambria Math" w:hAnsi="Cambria Math"/>
                    <w:szCs w:val="24"/>
                    <w:vertAlign w:val="subscript"/>
                  </w:rPr>
                  <m:t>,</m:t>
                </m:r>
                <m:sSubSup>
                  <m:sSubSupPr>
                    <m:ctrlPr>
                      <w:rPr>
                        <w:rFonts w:ascii="Cambria Math" w:hAnsi="Cambria Math"/>
                        <w:i/>
                        <w:szCs w:val="24"/>
                        <w:vertAlign w:val="subscript"/>
                      </w:rPr>
                    </m:ctrlPr>
                  </m:sSubSupPr>
                  <m:e>
                    <m:r>
                      <w:rPr>
                        <w:rFonts w:ascii="Cambria Math" w:hAnsi="Cambria Math"/>
                        <w:szCs w:val="24"/>
                        <w:vertAlign w:val="subscript"/>
                      </w:rPr>
                      <m:t>z</m:t>
                    </m:r>
                  </m:e>
                  <m:sub>
                    <m:r>
                      <w:rPr>
                        <w:rFonts w:ascii="Cambria Math" w:hAnsi="Cambria Math"/>
                        <w:szCs w:val="24"/>
                        <w:vertAlign w:val="subscript"/>
                      </w:rPr>
                      <m:t>2</m:t>
                    </m:r>
                  </m:sub>
                  <m:sup>
                    <m:r>
                      <w:rPr>
                        <w:rFonts w:ascii="Cambria Math" w:hAnsi="Cambria Math"/>
                        <w:szCs w:val="24"/>
                        <w:vertAlign w:val="subscript"/>
                      </w:rPr>
                      <m:t>k</m:t>
                    </m:r>
                  </m:sup>
                </m:sSubSup>
                <m:r>
                  <m:rPr>
                    <m:sty m:val="p"/>
                  </m:rPr>
                  <w:rPr>
                    <w:rFonts w:ascii="Cambria Math" w:hAnsi="Cambria Math" w:hint="eastAsia"/>
                    <w:szCs w:val="24"/>
                    <w:vertAlign w:val="subscript"/>
                  </w:rPr>
                  <m:t>∈</m:t>
                </m:r>
                <m:r>
                  <m:rPr>
                    <m:lit/>
                  </m:rPr>
                  <w:rPr>
                    <w:rFonts w:ascii="Cambria Math" w:hAnsi="Cambria Math"/>
                    <w:szCs w:val="24"/>
                    <w:vertAlign w:val="subscript"/>
                  </w:rPr>
                  <m:t>{</m:t>
                </m:r>
                <m:r>
                  <w:rPr>
                    <w:rFonts w:ascii="Cambria Math" w:hAnsi="Cambria Math"/>
                    <w:szCs w:val="24"/>
                    <w:vertAlign w:val="subscript"/>
                  </w:rPr>
                  <m:t>0,1</m:t>
                </m:r>
                <m:r>
                  <m:rPr>
                    <m:lit/>
                  </m:rPr>
                  <w:rPr>
                    <w:rFonts w:ascii="Cambria Math" w:hAnsi="Cambria Math"/>
                    <w:szCs w:val="24"/>
                    <w:vertAlign w:val="subscript"/>
                  </w:rPr>
                  <m:t>}</m:t>
                </m:r>
                <m:r>
                  <m:rPr>
                    <m:sty m:val="p"/>
                  </m:rPr>
                  <w:rPr>
                    <w:rFonts w:ascii="Cambria Math" w:hAnsi="Cambria Math"/>
                    <w:szCs w:val="24"/>
                    <w:vertAlign w:val="subscript"/>
                  </w:rPr>
                  <m:t xml:space="preserve">   ∀</m:t>
                </m:r>
                <m:r>
                  <w:rPr>
                    <w:rFonts w:ascii="Cambria Math" w:hAnsi="Cambria Math"/>
                    <w:szCs w:val="24"/>
                    <w:vertAlign w:val="subscript"/>
                  </w:rPr>
                  <m:t>k,</m:t>
                </m:r>
              </m:oMath>
            </m:oMathPara>
          </w:p>
        </w:tc>
        <w:tc>
          <w:tcPr>
            <w:tcW w:w="1260" w:type="dxa"/>
            <w:vAlign w:val="center"/>
          </w:tcPr>
          <w:p w14:paraId="0DD5CB50" w14:textId="5E62449E" w:rsidR="00D36DE4" w:rsidRPr="00E1085E" w:rsidRDefault="00D36DE4" w:rsidP="002023DB">
            <w:pPr>
              <w:rPr>
                <w:szCs w:val="24"/>
              </w:rPr>
            </w:pPr>
            <w:r w:rsidRPr="00E1085E">
              <w:rPr>
                <w:rFonts w:hint="eastAsia"/>
                <w:szCs w:val="24"/>
              </w:rPr>
              <w:t>(</w:t>
            </w:r>
            <w:r w:rsidRPr="00E1085E">
              <w:rPr>
                <w:szCs w:val="24"/>
              </w:rPr>
              <w:fldChar w:fldCharType="begin"/>
            </w:r>
            <w:r w:rsidRPr="00E1085E">
              <w:rPr>
                <w:szCs w:val="24"/>
              </w:rPr>
              <w:instrText xml:space="preserve"> </w:instrText>
            </w:r>
            <w:r w:rsidRPr="00E1085E">
              <w:rPr>
                <w:rFonts w:hint="eastAsia"/>
                <w:szCs w:val="24"/>
              </w:rPr>
              <w:instrText>SEQ equation \* ARABIC</w:instrText>
            </w:r>
            <w:r w:rsidRPr="00E1085E">
              <w:rPr>
                <w:szCs w:val="24"/>
              </w:rPr>
              <w:instrText xml:space="preserve"> </w:instrText>
            </w:r>
            <w:r w:rsidRPr="00E1085E">
              <w:rPr>
                <w:szCs w:val="24"/>
              </w:rPr>
              <w:fldChar w:fldCharType="separate"/>
            </w:r>
            <w:r w:rsidR="000E1725">
              <w:rPr>
                <w:noProof/>
                <w:szCs w:val="24"/>
              </w:rPr>
              <w:t>68</w:t>
            </w:r>
            <w:r w:rsidRPr="00E1085E">
              <w:rPr>
                <w:szCs w:val="24"/>
              </w:rPr>
              <w:fldChar w:fldCharType="end"/>
            </w:r>
            <w:r w:rsidRPr="00E1085E">
              <w:rPr>
                <w:szCs w:val="24"/>
              </w:rPr>
              <w:t>)</w:t>
            </w:r>
          </w:p>
        </w:tc>
      </w:tr>
    </w:tbl>
    <w:p w14:paraId="49532C02" w14:textId="2F6ED764" w:rsidR="00D36DE4" w:rsidRPr="002D62DA" w:rsidRDefault="00D36DE4" w:rsidP="00D36DE4">
      <w:r>
        <w:t>where</w:t>
      </w:r>
      <m:oMath>
        <m:sSub>
          <m:sSubPr>
            <m:ctrlPr>
              <w:rPr>
                <w:rFonts w:ascii="Cambria Math" w:hAnsi="Cambria Math"/>
                <w:i/>
                <w:vertAlign w:val="subscript"/>
              </w:rPr>
            </m:ctrlPr>
          </m:sSubPr>
          <m:e>
            <m:r>
              <w:rPr>
                <w:rFonts w:ascii="Cambria Math" w:hAnsi="Cambria Math"/>
              </w:rPr>
              <m:t xml:space="preserve"> M</m:t>
            </m:r>
            <m:ctrlPr>
              <w:rPr>
                <w:rFonts w:ascii="Cambria Math" w:hAnsi="Cambria Math"/>
                <w:i/>
              </w:rPr>
            </m:ctrlPr>
          </m:e>
          <m:sub>
            <m:r>
              <w:rPr>
                <w:rFonts w:ascii="Cambria Math" w:hAnsi="Cambria Math"/>
                <w:vertAlign w:val="subscript"/>
              </w:rPr>
              <m:t>1</m:t>
            </m:r>
          </m:sub>
        </m:sSub>
        <m:r>
          <w:rPr>
            <w:rFonts w:ascii="Cambria Math" w:hAnsi="Cambria Math"/>
          </w:rPr>
          <m:t xml:space="preserve"> </m:t>
        </m:r>
        <m:sSub>
          <m:sSubPr>
            <m:ctrlPr>
              <w:rPr>
                <w:rFonts w:ascii="Cambria Math" w:hAnsi="Cambria Math"/>
                <w:i/>
              </w:rPr>
            </m:ctrlPr>
          </m:sSubPr>
          <m:e>
            <m:r>
              <w:rPr>
                <w:rFonts w:ascii="Cambria Math" w:hAnsi="Cambria Math"/>
              </w:rPr>
              <m:t>( M</m:t>
            </m:r>
          </m:e>
          <m:sub>
            <m:r>
              <w:rPr>
                <w:rFonts w:ascii="Cambria Math" w:hAnsi="Cambria Math"/>
              </w:rPr>
              <m:t>2</m:t>
            </m:r>
          </m:sub>
        </m:sSub>
        <m:r>
          <w:rPr>
            <w:rFonts w:ascii="Cambria Math" w:hAnsi="Cambria Math"/>
          </w:rPr>
          <m:t>)</m:t>
        </m:r>
      </m:oMath>
      <w:r>
        <w:rPr>
          <w:rFonts w:hint="eastAsia"/>
        </w:rPr>
        <w:t xml:space="preserve"> </w:t>
      </w:r>
      <w:r>
        <w:rPr>
          <w:spacing w:val="-3"/>
        </w:rPr>
        <w:t xml:space="preserve">is a </w:t>
      </w:r>
      <w:r>
        <w:t>constant number that indicates the distance between the acceptable lower (upper) temperature bound</w:t>
      </w:r>
      <w:r>
        <w:rPr>
          <w:spacing w:val="-7"/>
        </w:rPr>
        <w:t xml:space="preserve"> </w:t>
      </w:r>
      <w:r>
        <w:t>and</w:t>
      </w:r>
      <w:r>
        <w:rPr>
          <w:spacing w:val="-6"/>
        </w:rPr>
        <w:t xml:space="preserve"> </w:t>
      </w:r>
      <w:r>
        <w:t>the</w:t>
      </w:r>
      <w:r>
        <w:rPr>
          <w:spacing w:val="-6"/>
        </w:rPr>
        <w:t xml:space="preserve"> </w:t>
      </w:r>
      <w:r>
        <w:t>preferred</w:t>
      </w:r>
      <w:r>
        <w:rPr>
          <w:spacing w:val="-6"/>
        </w:rPr>
        <w:t xml:space="preserve"> </w:t>
      </w:r>
      <w:r>
        <w:t>lower (upper)</w:t>
      </w:r>
      <w:r>
        <w:rPr>
          <w:spacing w:val="-6"/>
        </w:rPr>
        <w:t xml:space="preserve"> </w:t>
      </w:r>
      <w:r>
        <w:t>temperature</w:t>
      </w:r>
      <w:r>
        <w:rPr>
          <w:spacing w:val="-7"/>
        </w:rPr>
        <w:t xml:space="preserve"> </w:t>
      </w:r>
      <w:r>
        <w:t xml:space="preserve">bound; </w:t>
      </w:r>
      <m:oMath>
        <m:sSubSup>
          <m:sSubSupPr>
            <m:ctrlPr>
              <w:rPr>
                <w:rFonts w:ascii="Cambria Math" w:hAnsi="Cambria Math"/>
                <w:i/>
                <w:spacing w:val="-2"/>
              </w:rPr>
            </m:ctrlPr>
          </m:sSubSupPr>
          <m:e>
            <m:r>
              <w:rPr>
                <w:rFonts w:ascii="Cambria Math" w:hAnsi="Cambria Math"/>
                <w:spacing w:val="-2"/>
              </w:rPr>
              <m:t>z</m:t>
            </m:r>
          </m:e>
          <m:sub>
            <m:r>
              <w:rPr>
                <w:rFonts w:ascii="Cambria Math" w:hAnsi="Cambria Math"/>
                <w:spacing w:val="-2"/>
              </w:rPr>
              <m:t>1</m:t>
            </m:r>
          </m:sub>
          <m:sup>
            <m:r>
              <w:rPr>
                <w:rFonts w:ascii="Cambria Math" w:hAnsi="Cambria Math"/>
                <w:spacing w:val="-2"/>
              </w:rPr>
              <m:t>k</m:t>
            </m:r>
          </m:sup>
        </m:sSubSup>
      </m:oMath>
      <w:r>
        <w:rPr>
          <w:rFonts w:ascii="Arial"/>
          <w:i/>
          <w:spacing w:val="6"/>
        </w:rPr>
        <w:t xml:space="preserve"> </w:t>
      </w:r>
      <w:r>
        <w:t>and</w:t>
      </w:r>
      <w:r>
        <w:rPr>
          <w:spacing w:val="-2"/>
        </w:rPr>
        <w:t xml:space="preserve"> </w:t>
      </w:r>
      <m:oMath>
        <m:sSubSup>
          <m:sSubSupPr>
            <m:ctrlPr>
              <w:rPr>
                <w:rFonts w:ascii="Cambria Math" w:hAnsi="Cambria Math"/>
                <w:i/>
                <w:spacing w:val="-2"/>
              </w:rPr>
            </m:ctrlPr>
          </m:sSubSupPr>
          <m:e>
            <m:r>
              <w:rPr>
                <w:rFonts w:ascii="Cambria Math" w:hAnsi="Cambria Math"/>
                <w:spacing w:val="-2"/>
              </w:rPr>
              <m:t>z</m:t>
            </m:r>
          </m:e>
          <m:sub>
            <m:r>
              <w:rPr>
                <w:rFonts w:ascii="Cambria Math" w:hAnsi="Cambria Math"/>
                <w:spacing w:val="-2"/>
              </w:rPr>
              <m:t>2</m:t>
            </m:r>
          </m:sub>
          <m:sup>
            <m:r>
              <w:rPr>
                <w:rFonts w:ascii="Cambria Math" w:hAnsi="Cambria Math"/>
                <w:spacing w:val="-2"/>
              </w:rPr>
              <m:t>k</m:t>
            </m:r>
          </m:sup>
        </m:sSubSup>
      </m:oMath>
      <w:r>
        <w:rPr>
          <w:rFonts w:hint="eastAsia"/>
          <w:spacing w:val="-2"/>
        </w:rPr>
        <w:t xml:space="preserve"> </w:t>
      </w:r>
      <w:r>
        <w:t>are</w:t>
      </w:r>
      <w:r>
        <w:rPr>
          <w:spacing w:val="-7"/>
        </w:rPr>
        <w:t xml:space="preserve"> </w:t>
      </w:r>
      <w:r>
        <w:rPr>
          <w:spacing w:val="-3"/>
        </w:rPr>
        <w:t>two</w:t>
      </w:r>
      <w:r>
        <w:rPr>
          <w:spacing w:val="-5"/>
        </w:rPr>
        <w:t xml:space="preserve"> </w:t>
      </w:r>
      <w:r>
        <w:t>sets</w:t>
      </w:r>
      <w:r>
        <w:rPr>
          <w:spacing w:val="-7"/>
        </w:rPr>
        <w:t xml:space="preserve"> </w:t>
      </w:r>
      <w:r>
        <w:t>of</w:t>
      </w:r>
      <w:r>
        <w:rPr>
          <w:spacing w:val="-5"/>
        </w:rPr>
        <w:t xml:space="preserve"> </w:t>
      </w:r>
      <w:r>
        <w:t>binary</w:t>
      </w:r>
      <w:r>
        <w:rPr>
          <w:spacing w:val="-7"/>
        </w:rPr>
        <w:t xml:space="preserve"> </w:t>
      </w:r>
      <w:r>
        <w:t>decision</w:t>
      </w:r>
      <w:r>
        <w:rPr>
          <w:spacing w:val="-6"/>
        </w:rPr>
        <w:t xml:space="preserve"> </w:t>
      </w:r>
      <w:r>
        <w:t>variables</w:t>
      </w:r>
      <w:r>
        <w:rPr>
          <w:spacing w:val="-6"/>
        </w:rPr>
        <w:t xml:space="preserve"> </w:t>
      </w:r>
      <w:r>
        <w:t>to</w:t>
      </w:r>
      <w:r>
        <w:rPr>
          <w:spacing w:val="-21"/>
        </w:rPr>
        <w:t xml:space="preserve"> </w:t>
      </w:r>
      <w:r>
        <w:t>distinguish</w:t>
      </w:r>
      <w:r>
        <w:rPr>
          <w:spacing w:val="-21"/>
        </w:rPr>
        <w:t xml:space="preserve"> </w:t>
      </w:r>
      <w:r>
        <w:t>between</w:t>
      </w:r>
      <w:r>
        <w:rPr>
          <w:spacing w:val="-21"/>
        </w:rPr>
        <w:t xml:space="preserve"> </w:t>
      </w:r>
      <w:r>
        <w:t>preferred</w:t>
      </w:r>
      <w:r>
        <w:rPr>
          <w:spacing w:val="-21"/>
        </w:rPr>
        <w:t xml:space="preserve"> </w:t>
      </w:r>
      <w:r>
        <w:t>and</w:t>
      </w:r>
      <w:r>
        <w:rPr>
          <w:spacing w:val="-21"/>
        </w:rPr>
        <w:t xml:space="preserve"> </w:t>
      </w:r>
      <w:r>
        <w:t>acceptable</w:t>
      </w:r>
      <w:r>
        <w:rPr>
          <w:spacing w:val="-21"/>
        </w:rPr>
        <w:t xml:space="preserve"> </w:t>
      </w:r>
      <w:r>
        <w:lastRenderedPageBreak/>
        <w:t>temperature</w:t>
      </w:r>
      <w:r>
        <w:rPr>
          <w:spacing w:val="-21"/>
        </w:rPr>
        <w:t xml:space="preserve"> </w:t>
      </w:r>
      <w:r>
        <w:t>ranges.</w:t>
      </w:r>
      <w:r>
        <w:rPr>
          <w:spacing w:val="-5"/>
        </w:rPr>
        <w:t xml:space="preserve"> </w:t>
      </w:r>
      <w:r>
        <w:rPr>
          <w:spacing w:val="-9"/>
        </w:rPr>
        <w:t>To</w:t>
      </w:r>
      <w:r>
        <w:rPr>
          <w:spacing w:val="-21"/>
        </w:rPr>
        <w:t xml:space="preserve"> </w:t>
      </w:r>
      <w:r>
        <w:t>better</w:t>
      </w:r>
      <w:r>
        <w:rPr>
          <w:spacing w:val="-21"/>
        </w:rPr>
        <w:t xml:space="preserve"> </w:t>
      </w:r>
      <w:r>
        <w:t>understand</w:t>
      </w:r>
      <w:r>
        <w:rPr>
          <w:spacing w:val="-21"/>
        </w:rPr>
        <w:t xml:space="preserve"> </w:t>
      </w:r>
      <w:r>
        <w:rPr>
          <w:spacing w:val="-3"/>
        </w:rPr>
        <w:t>how</w:t>
      </w:r>
      <w:r>
        <w:rPr>
          <w:spacing w:val="-18"/>
        </w:rPr>
        <w:t xml:space="preserve"> </w:t>
      </w:r>
      <m:oMath>
        <m:sSubSup>
          <m:sSubSupPr>
            <m:ctrlPr>
              <w:rPr>
                <w:rFonts w:ascii="Cambria Math" w:hAnsi="Cambria Math"/>
                <w:i/>
                <w:spacing w:val="-2"/>
              </w:rPr>
            </m:ctrlPr>
          </m:sSubSupPr>
          <m:e>
            <m:r>
              <w:rPr>
                <w:rFonts w:ascii="Cambria Math" w:hAnsi="Cambria Math"/>
                <w:spacing w:val="-2"/>
              </w:rPr>
              <m:t>z</m:t>
            </m:r>
          </m:e>
          <m:sub>
            <m:r>
              <w:rPr>
                <w:rFonts w:ascii="Cambria Math" w:hAnsi="Cambria Math"/>
                <w:spacing w:val="-2"/>
              </w:rPr>
              <m:t>1</m:t>
            </m:r>
          </m:sub>
          <m:sup>
            <m:r>
              <w:rPr>
                <w:rFonts w:ascii="Cambria Math" w:hAnsi="Cambria Math"/>
                <w:spacing w:val="-2"/>
              </w:rPr>
              <m:t>k</m:t>
            </m:r>
          </m:sup>
        </m:sSubSup>
      </m:oMath>
      <w:r>
        <w:t>and</w:t>
      </w:r>
      <w:r>
        <w:rPr>
          <w:spacing w:val="-18"/>
        </w:rPr>
        <w:t xml:space="preserve"> </w:t>
      </w:r>
      <m:oMath>
        <m:sSubSup>
          <m:sSubSupPr>
            <m:ctrlPr>
              <w:rPr>
                <w:rFonts w:ascii="Cambria Math" w:hAnsi="Cambria Math"/>
                <w:i/>
                <w:spacing w:val="-2"/>
              </w:rPr>
            </m:ctrlPr>
          </m:sSubSupPr>
          <m:e>
            <m:r>
              <w:rPr>
                <w:rFonts w:ascii="Cambria Math" w:hAnsi="Cambria Math"/>
                <w:spacing w:val="-2"/>
              </w:rPr>
              <m:t>z</m:t>
            </m:r>
          </m:e>
          <m:sub>
            <m:r>
              <w:rPr>
                <w:rFonts w:ascii="Cambria Math" w:hAnsi="Cambria Math"/>
                <w:spacing w:val="-2"/>
              </w:rPr>
              <m:t>2</m:t>
            </m:r>
          </m:sub>
          <m:sup>
            <m:r>
              <w:rPr>
                <w:rFonts w:ascii="Cambria Math" w:hAnsi="Cambria Math"/>
                <w:spacing w:val="-2"/>
              </w:rPr>
              <m:t>k</m:t>
            </m:r>
          </m:sup>
        </m:sSubSup>
      </m:oMath>
      <w:r>
        <w:rPr>
          <w:spacing w:val="-15"/>
        </w:rPr>
        <w:t xml:space="preserve"> </w:t>
      </w:r>
      <w:r>
        <w:t>work,</w:t>
      </w:r>
      <w:r>
        <w:rPr>
          <w:spacing w:val="-20"/>
        </w:rPr>
        <w:t xml:space="preserve"> </w:t>
      </w:r>
      <w:r>
        <w:t>the concept</w:t>
      </w:r>
      <w:r>
        <w:rPr>
          <w:spacing w:val="-7"/>
        </w:rPr>
        <w:t xml:space="preserve"> </w:t>
      </w:r>
      <w:r>
        <w:t>of</w:t>
      </w:r>
      <w:r>
        <w:rPr>
          <w:spacing w:val="-6"/>
        </w:rPr>
        <w:t xml:space="preserve"> </w:t>
      </w:r>
      <w:r>
        <w:rPr>
          <w:i/>
          <w:spacing w:val="-3"/>
        </w:rPr>
        <w:t xml:space="preserve">reward </w:t>
      </w:r>
      <m:oMath>
        <m:sSubSup>
          <m:sSubSupPr>
            <m:ctrlPr>
              <w:rPr>
                <w:rFonts w:ascii="Cambria Math" w:hAnsi="Cambria Math"/>
                <w:i/>
              </w:rPr>
            </m:ctrlPr>
          </m:sSubSupPr>
          <m:e>
            <m:r>
              <w:rPr>
                <w:rFonts w:ascii="Cambria Math" w:hAnsi="Cambria Math"/>
              </w:rPr>
              <m:t>z</m:t>
            </m:r>
          </m:e>
          <m:sub>
            <m:r>
              <w:rPr>
                <w:rFonts w:ascii="Cambria Math" w:hAnsi="Cambria Math"/>
              </w:rPr>
              <m:t>1</m:t>
            </m:r>
          </m:sub>
          <m:sup>
            <m:r>
              <w:rPr>
                <w:rFonts w:ascii="Cambria Math" w:hAnsi="Cambria Math"/>
              </w:rPr>
              <m:t>k</m:t>
            </m:r>
          </m:sup>
        </m:sSubSup>
        <m:r>
          <w:rPr>
            <w:rFonts w:ascii="Cambria Math" w:hAnsi="Cambria Math"/>
          </w:rPr>
          <m:t>+</m:t>
        </m:r>
        <m:sSubSup>
          <m:sSubSupPr>
            <m:ctrlPr>
              <w:rPr>
                <w:rFonts w:ascii="Cambria Math" w:hAnsi="Cambria Math"/>
                <w:i/>
              </w:rPr>
            </m:ctrlPr>
          </m:sSubSupPr>
          <m:e>
            <m:r>
              <w:rPr>
                <w:rFonts w:ascii="Cambria Math" w:hAnsi="Cambria Math"/>
              </w:rPr>
              <m:t>z</m:t>
            </m:r>
          </m:e>
          <m:sub>
            <m:r>
              <w:rPr>
                <w:rFonts w:ascii="Cambria Math" w:hAnsi="Cambria Math"/>
              </w:rPr>
              <m:t>2</m:t>
            </m:r>
          </m:sub>
          <m:sup>
            <m:r>
              <w:rPr>
                <w:rFonts w:ascii="Cambria Math" w:hAnsi="Cambria Math"/>
              </w:rPr>
              <m:t>k</m:t>
            </m:r>
          </m:sup>
        </m:sSubSup>
      </m:oMath>
      <w:r w:rsidRPr="00B15717">
        <w:rPr>
          <w:iCs/>
          <w:spacing w:val="-3"/>
        </w:rPr>
        <w:t xml:space="preserve"> </w:t>
      </w:r>
      <w:r>
        <w:t>is considered.</w:t>
      </w:r>
      <w:r>
        <w:rPr>
          <w:spacing w:val="-7"/>
        </w:rPr>
        <w:t xml:space="preserve"> </w:t>
      </w:r>
      <w:r>
        <w:t>Three</w:t>
      </w:r>
      <w:r>
        <w:rPr>
          <w:spacing w:val="-6"/>
        </w:rPr>
        <w:t xml:space="preserve"> </w:t>
      </w:r>
      <w:r>
        <w:t>examples</w:t>
      </w:r>
      <w:r>
        <w:rPr>
          <w:spacing w:val="-7"/>
        </w:rPr>
        <w:t xml:space="preserve"> with different rewards </w:t>
      </w:r>
      <w:r>
        <w:t>are shown in</w:t>
      </w:r>
      <w:r>
        <w:rPr>
          <w:spacing w:val="-6"/>
        </w:rPr>
        <w:t xml:space="preserve"> </w:t>
      </w:r>
      <w:r w:rsidRPr="008A67D5">
        <w:fldChar w:fldCharType="begin"/>
      </w:r>
      <w:r w:rsidRPr="008A67D5">
        <w:rPr>
          <w:spacing w:val="-6"/>
        </w:rPr>
        <w:instrText xml:space="preserve"> REF _Ref123066137 \h </w:instrText>
      </w:r>
      <w:r>
        <w:instrText xml:space="preserve"> \* MERGEFORMAT </w:instrText>
      </w:r>
      <w:r w:rsidRPr="008A67D5">
        <w:fldChar w:fldCharType="separate"/>
      </w:r>
      <w:r w:rsidR="000E1725" w:rsidRPr="008D1625">
        <w:t xml:space="preserve">Figure </w:t>
      </w:r>
      <w:r w:rsidR="000E1725">
        <w:rPr>
          <w:noProof/>
        </w:rPr>
        <w:t>5.5</w:t>
      </w:r>
      <w:r w:rsidRPr="008A67D5">
        <w:fldChar w:fldCharType="end"/>
      </w:r>
      <w:r>
        <w:t>, where the x-axis</w:t>
      </w:r>
      <w:r>
        <w:rPr>
          <w:spacing w:val="-12"/>
        </w:rPr>
        <w:t xml:space="preserve"> </w:t>
      </w:r>
      <w:r>
        <w:t>represents</w:t>
      </w:r>
      <w:r>
        <w:rPr>
          <w:spacing w:val="-11"/>
        </w:rPr>
        <w:t xml:space="preserve"> </w:t>
      </w:r>
      <w:r>
        <w:t>different</w:t>
      </w:r>
      <w:r>
        <w:rPr>
          <w:spacing w:val="-12"/>
        </w:rPr>
        <w:t xml:space="preserve"> </w:t>
      </w:r>
      <w:r>
        <w:t>time</w:t>
      </w:r>
      <w:r>
        <w:rPr>
          <w:spacing w:val="-11"/>
        </w:rPr>
        <w:t xml:space="preserve"> </w:t>
      </w:r>
      <w:r>
        <w:t>slot,</w:t>
      </w:r>
      <w:r>
        <w:rPr>
          <w:spacing w:val="-11"/>
        </w:rPr>
        <w:t xml:space="preserve"> </w:t>
      </w:r>
      <w:r>
        <w:t>and</w:t>
      </w:r>
      <w:r>
        <w:rPr>
          <w:spacing w:val="-12"/>
        </w:rPr>
        <w:t xml:space="preserve"> </w:t>
      </w:r>
      <w:r>
        <w:t>the</w:t>
      </w:r>
      <w:r>
        <w:rPr>
          <w:spacing w:val="-11"/>
        </w:rPr>
        <w:t xml:space="preserve"> </w:t>
      </w:r>
      <w:r>
        <w:t>y-axis</w:t>
      </w:r>
      <w:r>
        <w:rPr>
          <w:spacing w:val="-11"/>
        </w:rPr>
        <w:t xml:space="preserve"> </w:t>
      </w:r>
      <w:r>
        <w:t>is</w:t>
      </w:r>
      <w:r>
        <w:rPr>
          <w:spacing w:val="-12"/>
        </w:rPr>
        <w:t xml:space="preserve"> </w:t>
      </w:r>
      <w:r>
        <w:t>the</w:t>
      </w:r>
      <w:r>
        <w:rPr>
          <w:spacing w:val="-11"/>
        </w:rPr>
        <w:t xml:space="preserve"> </w:t>
      </w:r>
      <w:r>
        <w:t>indoor</w:t>
      </w:r>
      <w:r>
        <w:rPr>
          <w:spacing w:val="-11"/>
        </w:rPr>
        <w:t xml:space="preserve"> </w:t>
      </w:r>
      <w:r>
        <w:t>air</w:t>
      </w:r>
      <w:r>
        <w:rPr>
          <w:spacing w:val="-12"/>
        </w:rPr>
        <w:t xml:space="preserve"> </w:t>
      </w:r>
      <w:r>
        <w:t>temperature.</w:t>
      </w:r>
      <w:r>
        <w:rPr>
          <w:spacing w:val="6"/>
        </w:rPr>
        <w:t xml:space="preserve"> </w:t>
      </w:r>
      <w:r w:rsidRPr="00647F40">
        <w:rPr>
          <w:spacing w:val="6"/>
        </w:rPr>
        <w:t>As illustrated in the figure,</w:t>
      </w:r>
      <w:r>
        <w:rPr>
          <w:spacing w:val="6"/>
        </w:rPr>
        <w:t xml:space="preserve"> </w:t>
      </w:r>
      <m:oMath>
        <m:sSubSup>
          <m:sSubSupPr>
            <m:ctrlPr>
              <w:rPr>
                <w:rFonts w:ascii="Cambria Math" w:hAnsi="Cambria Math"/>
                <w:i/>
                <w:spacing w:val="6"/>
              </w:rPr>
            </m:ctrlPr>
          </m:sSubSupPr>
          <m:e>
            <m:r>
              <w:rPr>
                <w:rFonts w:ascii="Cambria Math" w:hAnsi="Cambria Math" w:hint="eastAsia"/>
                <w:spacing w:val="6"/>
              </w:rPr>
              <m:t>z</m:t>
            </m:r>
            <m:ctrlPr>
              <w:rPr>
                <w:rFonts w:ascii="Cambria Math" w:hAnsi="Cambria Math" w:hint="eastAsia"/>
                <w:i/>
                <w:spacing w:val="6"/>
              </w:rPr>
            </m:ctrlPr>
          </m:e>
          <m:sub>
            <m:r>
              <w:rPr>
                <w:rFonts w:ascii="Cambria Math" w:hAnsi="Cambria Math"/>
                <w:spacing w:val="6"/>
              </w:rPr>
              <m:t>1</m:t>
            </m:r>
          </m:sub>
          <m:sup>
            <m:r>
              <w:rPr>
                <w:rFonts w:ascii="Cambria Math" w:hAnsi="Cambria Math"/>
                <w:spacing w:val="6"/>
              </w:rPr>
              <m:t>k</m:t>
            </m:r>
          </m:sup>
        </m:sSubSup>
      </m:oMath>
      <w:r w:rsidRPr="00647F40">
        <w:rPr>
          <w:spacing w:val="6"/>
        </w:rPr>
        <w:t xml:space="preserve"> and </w:t>
      </w:r>
      <m:oMath>
        <m:sSubSup>
          <m:sSubSupPr>
            <m:ctrlPr>
              <w:rPr>
                <w:rFonts w:ascii="Cambria Math" w:hAnsi="Cambria Math"/>
                <w:i/>
                <w:spacing w:val="6"/>
              </w:rPr>
            </m:ctrlPr>
          </m:sSubSupPr>
          <m:e>
            <m:r>
              <w:rPr>
                <w:rFonts w:ascii="Cambria Math" w:hAnsi="Cambria Math"/>
                <w:spacing w:val="6"/>
              </w:rPr>
              <m:t>z</m:t>
            </m:r>
          </m:e>
          <m:sub>
            <m:r>
              <w:rPr>
                <w:rFonts w:ascii="Cambria Math" w:hAnsi="Cambria Math"/>
                <w:spacing w:val="6"/>
              </w:rPr>
              <m:t>2</m:t>
            </m:r>
          </m:sub>
          <m:sup>
            <m:r>
              <w:rPr>
                <w:rFonts w:ascii="Cambria Math" w:hAnsi="Cambria Math"/>
                <w:spacing w:val="6"/>
              </w:rPr>
              <m:t>k</m:t>
            </m:r>
          </m:sup>
        </m:sSubSup>
      </m:oMath>
      <w:r>
        <w:rPr>
          <w:rFonts w:hint="eastAsia"/>
          <w:spacing w:val="6"/>
        </w:rPr>
        <w:t xml:space="preserve"> </w:t>
      </w:r>
      <w:r w:rsidRPr="00647F40">
        <w:rPr>
          <w:spacing w:val="6"/>
        </w:rPr>
        <w:t>will change their values based on where the indoor air temperature drops over the different temperature ranges of time slot</w:t>
      </w:r>
      <w:r>
        <w:rPr>
          <w:spacing w:val="6"/>
        </w:rPr>
        <w:t xml:space="preserve"> </w:t>
      </w:r>
      <w:r>
        <w:rPr>
          <w:spacing w:val="6"/>
          <w:vertAlign w:val="subscript"/>
        </w:rPr>
        <w:softHyphen/>
      </w:r>
      <m:oMath>
        <m:r>
          <w:rPr>
            <w:rFonts w:ascii="Cambria Math" w:hAnsi="Cambria Math"/>
            <w:spacing w:val="6"/>
            <w:vertAlign w:val="subscript"/>
          </w:rPr>
          <m:t>k</m:t>
        </m:r>
      </m:oMath>
      <w:r w:rsidRPr="00647F40">
        <w:rPr>
          <w:spacing w:val="6"/>
        </w:rPr>
        <w:t xml:space="preserve">. </w:t>
      </w:r>
      <w:r>
        <w:t>If the indoor</w:t>
      </w:r>
      <w:r>
        <w:rPr>
          <w:spacing w:val="-16"/>
        </w:rPr>
        <w:t xml:space="preserve"> </w:t>
      </w:r>
      <w:r>
        <w:t>air</w:t>
      </w:r>
      <w:r>
        <w:rPr>
          <w:spacing w:val="-16"/>
        </w:rPr>
        <w:t xml:space="preserve"> </w:t>
      </w:r>
      <w:r>
        <w:t>temperature</w:t>
      </w:r>
      <w:r>
        <w:rPr>
          <w:spacing w:val="-15"/>
        </w:rPr>
        <w:t xml:space="preserve"> </w:t>
      </w:r>
      <w:r>
        <w:t>is</w:t>
      </w:r>
      <w:r>
        <w:rPr>
          <w:spacing w:val="-16"/>
        </w:rPr>
        <w:t xml:space="preserve"> </w:t>
      </w:r>
      <w:r>
        <w:t>between</w:t>
      </w:r>
      <w:r>
        <w:rPr>
          <w:spacing w:val="-20"/>
        </w:rPr>
        <w:t xml:space="preserve"> </w:t>
      </w:r>
      <m:oMath>
        <m:sSub>
          <m:sSubPr>
            <m:ctrlPr>
              <w:rPr>
                <w:rFonts w:ascii="Cambria Math" w:hAnsi="Cambria Math"/>
                <w:i/>
                <w:spacing w:val="-20"/>
              </w:rPr>
            </m:ctrlPr>
          </m:sSubPr>
          <m:e>
            <m:bar>
              <m:barPr>
                <m:ctrlPr>
                  <w:rPr>
                    <w:rFonts w:ascii="Cambria Math" w:hAnsi="Cambria Math"/>
                    <w:spacing w:val="-20"/>
                  </w:rPr>
                </m:ctrlPr>
              </m:barPr>
              <m:e>
                <m:r>
                  <w:rPr>
                    <w:rFonts w:ascii="Cambria Math" w:hAnsi="Cambria Math"/>
                    <w:spacing w:val="-20"/>
                  </w:rPr>
                  <m:t>T</m:t>
                </m:r>
              </m:e>
            </m:bar>
          </m:e>
          <m:sub>
            <m:r>
              <w:rPr>
                <w:rFonts w:ascii="Cambria Math" w:hAnsi="Cambria Math"/>
                <w:spacing w:val="-20"/>
              </w:rPr>
              <m:t>hvac</m:t>
            </m:r>
          </m:sub>
        </m:sSub>
      </m:oMath>
      <w:r>
        <w:rPr>
          <w:rFonts w:hint="eastAsia"/>
          <w:spacing w:val="-20"/>
        </w:rPr>
        <w:t xml:space="preserve"> </w:t>
      </w:r>
      <w:r>
        <w:t xml:space="preserve">and </w:t>
      </w:r>
      <w:r>
        <w:rPr>
          <w:spacing w:val="-20"/>
        </w:rPr>
        <w:t xml:space="preserve"> </w:t>
      </w:r>
      <m:oMath>
        <m:sSub>
          <m:sSubPr>
            <m:ctrlPr>
              <w:rPr>
                <w:rFonts w:ascii="Cambria Math" w:hAnsi="Cambria Math"/>
                <w:i/>
                <w:spacing w:val="-20"/>
              </w:rPr>
            </m:ctrlPr>
          </m:sSubPr>
          <m:e>
            <m:bar>
              <m:barPr>
                <m:ctrlPr>
                  <w:rPr>
                    <w:rFonts w:ascii="Cambria Math" w:hAnsi="Cambria Math"/>
                    <w:spacing w:val="-20"/>
                  </w:rPr>
                </m:ctrlPr>
              </m:barPr>
              <m:e>
                <m:r>
                  <w:rPr>
                    <w:rFonts w:ascii="Cambria Math" w:hAnsi="Cambria Math"/>
                    <w:spacing w:val="-20"/>
                  </w:rPr>
                  <m:t>T</m:t>
                </m:r>
              </m:e>
            </m:bar>
          </m:e>
          <m:sub>
            <m:r>
              <w:rPr>
                <w:rFonts w:ascii="Cambria Math" w:hAnsi="Cambria Math"/>
                <w:spacing w:val="-20"/>
              </w:rPr>
              <m:t>hvac</m:t>
            </m:r>
          </m:sub>
        </m:sSub>
        <m:r>
          <w:rPr>
            <w:rFonts w:ascii="Cambria Math" w:hAnsi="Cambria Math"/>
            <w:spacing w:val="-20"/>
          </w:rPr>
          <m:t>+</m:t>
        </m:r>
        <m:sSub>
          <m:sSubPr>
            <m:ctrlPr>
              <w:rPr>
                <w:rFonts w:ascii="Cambria Math" w:hAnsi="Cambria Math"/>
                <w:i/>
                <w:spacing w:val="-20"/>
              </w:rPr>
            </m:ctrlPr>
          </m:sSubPr>
          <m:e>
            <m:r>
              <w:rPr>
                <w:rFonts w:ascii="Cambria Math" w:hAnsi="Cambria Math"/>
                <w:spacing w:val="-20"/>
              </w:rPr>
              <m:t>M</m:t>
            </m:r>
          </m:e>
          <m:sub>
            <m:r>
              <w:rPr>
                <w:rFonts w:ascii="Cambria Math" w:hAnsi="Cambria Math"/>
                <w:spacing w:val="-20"/>
              </w:rPr>
              <m:t>1</m:t>
            </m:r>
          </m:sub>
        </m:sSub>
        <m:r>
          <w:rPr>
            <w:rFonts w:ascii="Cambria Math" w:hAnsi="Cambria Math"/>
            <w:spacing w:val="-20"/>
          </w:rPr>
          <m:t>,</m:t>
        </m:r>
      </m:oMath>
      <w:r>
        <w:rPr>
          <w:spacing w:val="-15"/>
        </w:rPr>
        <w:t xml:space="preserve"> </w:t>
      </w:r>
      <w:r>
        <w:t>but</w:t>
      </w:r>
      <w:r>
        <w:rPr>
          <w:spacing w:val="-16"/>
        </w:rPr>
        <w:t xml:space="preserve"> </w:t>
      </w:r>
      <w:r>
        <w:t>not</w:t>
      </w:r>
      <w:r>
        <w:rPr>
          <w:spacing w:val="-16"/>
        </w:rPr>
        <w:t xml:space="preserve"> </w:t>
      </w:r>
      <w:r>
        <w:t>within</w:t>
      </w:r>
      <w:r>
        <w:rPr>
          <w:spacing w:val="-15"/>
        </w:rPr>
        <w:t xml:space="preserve"> </w:t>
      </w:r>
      <w:r>
        <w:t>the</w:t>
      </w:r>
      <w:r>
        <w:rPr>
          <w:spacing w:val="-16"/>
        </w:rPr>
        <w:t xml:space="preserve"> </w:t>
      </w:r>
      <w:r>
        <w:t>preferred</w:t>
      </w:r>
      <w:r>
        <w:rPr>
          <w:spacing w:val="-15"/>
        </w:rPr>
        <w:t xml:space="preserve"> </w:t>
      </w:r>
      <w:r>
        <w:t>range,</w:t>
      </w:r>
      <w:r>
        <w:rPr>
          <w:spacing w:val="-16"/>
        </w:rPr>
        <w:t xml:space="preserve"> </w:t>
      </w:r>
      <w:r>
        <w:t>the</w:t>
      </w:r>
      <w:r>
        <w:rPr>
          <w:spacing w:val="-15"/>
        </w:rPr>
        <w:t xml:space="preserve"> </w:t>
      </w:r>
      <w:r>
        <w:t>agent</w:t>
      </w:r>
      <w:r>
        <w:rPr>
          <w:spacing w:val="-16"/>
        </w:rPr>
        <w:t xml:space="preserve"> </w:t>
      </w:r>
      <w:r>
        <w:t>will</w:t>
      </w:r>
      <w:r>
        <w:rPr>
          <w:spacing w:val="-16"/>
        </w:rPr>
        <w:t xml:space="preserve"> </w:t>
      </w:r>
      <w:r>
        <w:t>get</w:t>
      </w:r>
      <w:r>
        <w:rPr>
          <w:spacing w:val="-15"/>
        </w:rPr>
        <w:t xml:space="preserve"> a </w:t>
      </w:r>
      <w:r>
        <w:t>normal</w:t>
      </w:r>
      <w:r>
        <w:rPr>
          <w:spacing w:val="-16"/>
        </w:rPr>
        <w:t xml:space="preserve"> </w:t>
      </w:r>
      <w:r>
        <w:t>reward,</w:t>
      </w:r>
      <w:r>
        <w:rPr>
          <w:spacing w:val="-15"/>
        </w:rPr>
        <w:t xml:space="preserve"> </w:t>
      </w:r>
      <w:r>
        <w:t>i.e.,</w:t>
      </w:r>
      <w:r>
        <w:rPr>
          <w:rFonts w:hint="eastAsia"/>
        </w:rPr>
        <w:t xml:space="preserve"> </w:t>
      </w:r>
      <m:oMath>
        <m:sSubSup>
          <m:sSubSupPr>
            <m:ctrlPr>
              <w:rPr>
                <w:rFonts w:ascii="Cambria Math" w:hAnsi="Cambria Math"/>
                <w:i/>
              </w:rPr>
            </m:ctrlPr>
          </m:sSubSupPr>
          <m:e>
            <m:r>
              <w:rPr>
                <w:rFonts w:ascii="Cambria Math" w:hAnsi="Cambria Math"/>
              </w:rPr>
              <m:t>z</m:t>
            </m:r>
          </m:e>
          <m:sub>
            <m:r>
              <w:rPr>
                <w:rFonts w:ascii="Cambria Math" w:hAnsi="Cambria Math"/>
              </w:rPr>
              <m:t>1</m:t>
            </m:r>
          </m:sub>
          <m:sup>
            <m:r>
              <w:rPr>
                <w:rFonts w:ascii="Cambria Math" w:hAnsi="Cambria Math"/>
              </w:rPr>
              <m:t>k</m:t>
            </m:r>
          </m:sup>
        </m:sSubSup>
        <m:r>
          <w:rPr>
            <w:rFonts w:ascii="Cambria Math" w:hAnsi="Cambria Math"/>
          </w:rPr>
          <m:t>=0,</m:t>
        </m:r>
        <m:sSubSup>
          <m:sSubSupPr>
            <m:ctrlPr>
              <w:rPr>
                <w:rFonts w:ascii="Cambria Math" w:hAnsi="Cambria Math"/>
                <w:i/>
              </w:rPr>
            </m:ctrlPr>
          </m:sSubSupPr>
          <m:e>
            <m:r>
              <w:rPr>
                <w:rFonts w:ascii="Cambria Math" w:hAnsi="Cambria Math"/>
              </w:rPr>
              <m:t>z</m:t>
            </m:r>
          </m:e>
          <m:sub>
            <m:r>
              <w:rPr>
                <w:rFonts w:ascii="Cambria Math" w:hAnsi="Cambria Math"/>
              </w:rPr>
              <m:t>2</m:t>
            </m:r>
          </m:sub>
          <m:sup>
            <m:r>
              <w:rPr>
                <w:rFonts w:ascii="Cambria Math" w:hAnsi="Cambria Math"/>
              </w:rPr>
              <m:t>k</m:t>
            </m:r>
          </m:sup>
        </m:sSubSup>
        <m:r>
          <w:rPr>
            <w:rFonts w:ascii="Cambria Math" w:hAnsi="Cambria Math"/>
          </w:rPr>
          <m:t>=1</m:t>
        </m:r>
      </m:oMath>
      <w:r>
        <w:t xml:space="preserve"> in this scenario, as shown in Example 1. </w:t>
      </w:r>
      <w:r w:rsidRPr="00FF427D">
        <w:t xml:space="preserve">Similarly, if indoor air temperature is between </w:t>
      </w:r>
      <m:oMath>
        <m:sSub>
          <m:sSubPr>
            <m:ctrlPr>
              <w:rPr>
                <w:rFonts w:ascii="Cambria Math" w:hAnsi="Cambria Math"/>
                <w:i/>
              </w:rPr>
            </m:ctrlPr>
          </m:sSubPr>
          <m:e>
            <m:bar>
              <m:barPr>
                <m:pos m:val="top"/>
                <m:ctrlPr>
                  <w:rPr>
                    <w:rFonts w:ascii="Cambria Math" w:hAnsi="Cambria Math"/>
                  </w:rPr>
                </m:ctrlPr>
              </m:barPr>
              <m:e>
                <m:r>
                  <w:rPr>
                    <w:rFonts w:ascii="Cambria Math" w:hAnsi="Cambria Math"/>
                  </w:rPr>
                  <m:t>T</m:t>
                </m:r>
              </m:e>
            </m:bar>
            <m:ctrlPr>
              <w:rPr>
                <w:rFonts w:ascii="Cambria Math" w:hAnsi="Cambria Math"/>
              </w:rPr>
            </m:ctrlPr>
          </m:e>
          <m:sub>
            <m:r>
              <m:rPr>
                <m:nor/>
              </m:rPr>
              <w:rPr>
                <w:rFonts w:ascii="Cambria Math" w:hAnsi="Cambria Math"/>
              </w:rPr>
              <m:t>hvac</m:t>
            </m:r>
          </m:sub>
        </m:sSub>
      </m:oMath>
      <w:r w:rsidRPr="00FF427D">
        <w:t xml:space="preserve"> and </w:t>
      </w:r>
      <m:oMath>
        <m:sSub>
          <m:sSubPr>
            <m:ctrlPr>
              <w:rPr>
                <w:rFonts w:ascii="Cambria Math" w:hAnsi="Cambria Math"/>
                <w:i/>
              </w:rPr>
            </m:ctrlPr>
          </m:sSubPr>
          <m:e>
            <m:bar>
              <m:barPr>
                <m:pos m:val="top"/>
                <m:ctrlPr>
                  <w:rPr>
                    <w:rFonts w:ascii="Cambria Math" w:hAnsi="Cambria Math"/>
                  </w:rPr>
                </m:ctrlPr>
              </m:barPr>
              <m:e>
                <m:r>
                  <w:rPr>
                    <w:rFonts w:ascii="Cambria Math" w:hAnsi="Cambria Math"/>
                  </w:rPr>
                  <m:t>T</m:t>
                </m:r>
              </m:e>
            </m:bar>
            <m:ctrlPr>
              <w:rPr>
                <w:rFonts w:ascii="Cambria Math" w:hAnsi="Cambria Math"/>
              </w:rPr>
            </m:ctrlPr>
          </m:e>
          <m:sub>
            <m:r>
              <m:rPr>
                <m:nor/>
              </m:rPr>
              <w:rPr>
                <w:rFonts w:ascii="Cambria Math" w:hAnsi="Cambria Math"/>
              </w:rPr>
              <m:t>hvac</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2</m:t>
            </m:r>
          </m:sub>
        </m:sSub>
      </m:oMath>
      <w:r w:rsidRPr="00FF427D">
        <w:t xml:space="preserve">, the reward is still the same, and </w:t>
      </w:r>
      <m:oMath>
        <m:sSubSup>
          <m:sSubSupPr>
            <m:ctrlPr>
              <w:rPr>
                <w:rFonts w:ascii="Cambria Math" w:hAnsi="Cambria Math"/>
                <w:i/>
              </w:rPr>
            </m:ctrlPr>
          </m:sSubSupPr>
          <m:e>
            <m:r>
              <w:rPr>
                <w:rFonts w:ascii="Cambria Math" w:hAnsi="Cambria Math"/>
              </w:rPr>
              <m:t>z</m:t>
            </m:r>
          </m:e>
          <m:sub>
            <m:r>
              <w:rPr>
                <w:rFonts w:ascii="Cambria Math" w:hAnsi="Cambria Math"/>
              </w:rPr>
              <m:t>1</m:t>
            </m:r>
          </m:sub>
          <m:sup>
            <m:r>
              <w:rPr>
                <w:rFonts w:ascii="Cambria Math" w:hAnsi="Cambria Math"/>
              </w:rPr>
              <m:t>k</m:t>
            </m:r>
          </m:sup>
        </m:sSubSup>
        <m:r>
          <w:rPr>
            <w:rFonts w:ascii="Cambria Math" w:hAnsi="Cambria Math"/>
          </w:rPr>
          <m:t>=1,</m:t>
        </m:r>
        <m:sSubSup>
          <m:sSubSupPr>
            <m:ctrlPr>
              <w:rPr>
                <w:rFonts w:ascii="Cambria Math" w:hAnsi="Cambria Math"/>
                <w:i/>
              </w:rPr>
            </m:ctrlPr>
          </m:sSubSupPr>
          <m:e>
            <m:r>
              <w:rPr>
                <w:rFonts w:ascii="Cambria Math" w:hAnsi="Cambria Math"/>
              </w:rPr>
              <m:t>z</m:t>
            </m:r>
          </m:e>
          <m:sub>
            <m:r>
              <w:rPr>
                <w:rFonts w:ascii="Cambria Math" w:hAnsi="Cambria Math"/>
              </w:rPr>
              <m:t>2</m:t>
            </m:r>
          </m:sub>
          <m:sup>
            <m:r>
              <w:rPr>
                <w:rFonts w:ascii="Cambria Math" w:hAnsi="Cambria Math"/>
              </w:rPr>
              <m:t>k</m:t>
            </m:r>
          </m:sup>
        </m:sSubSup>
        <m:r>
          <w:rPr>
            <w:rFonts w:ascii="Cambria Math" w:hAnsi="Cambria Math"/>
          </w:rPr>
          <m:t>=0</m:t>
        </m:r>
        <m:r>
          <m:rPr>
            <m:sty m:val="p"/>
          </m:rPr>
          <w:rPr>
            <w:rFonts w:ascii="Cambria Math" w:hAnsi="Cambria Math"/>
          </w:rPr>
          <m:t xml:space="preserve"> </m:t>
        </m:r>
      </m:oMath>
      <w:r w:rsidRPr="00FF427D">
        <w:t xml:space="preserve"> as shown in </w:t>
      </w:r>
      <w:r>
        <w:t>E</w:t>
      </w:r>
      <w:r w:rsidRPr="00FF427D">
        <w:t xml:space="preserve">xample 2. Once the temperature falls within the preferred range, the agent gets the highest reward, i.e., </w:t>
      </w:r>
      <m:oMath>
        <m:sSubSup>
          <m:sSubSupPr>
            <m:ctrlPr>
              <w:rPr>
                <w:rFonts w:ascii="Cambria Math" w:hAnsi="Cambria Math"/>
                <w:i/>
              </w:rPr>
            </m:ctrlPr>
          </m:sSubSupPr>
          <m:e>
            <m:r>
              <w:rPr>
                <w:rFonts w:ascii="Cambria Math" w:hAnsi="Cambria Math"/>
              </w:rPr>
              <m:t>z</m:t>
            </m:r>
          </m:e>
          <m:sub>
            <m:r>
              <w:rPr>
                <w:rFonts w:ascii="Cambria Math" w:hAnsi="Cambria Math"/>
              </w:rPr>
              <m:t>1</m:t>
            </m:r>
          </m:sub>
          <m:sup>
            <m:r>
              <w:rPr>
                <w:rFonts w:ascii="Cambria Math" w:hAnsi="Cambria Math"/>
              </w:rPr>
              <m:t>k</m:t>
            </m:r>
          </m:sup>
        </m:sSubSup>
        <m:r>
          <w:rPr>
            <w:rFonts w:ascii="Cambria Math" w:hAnsi="Cambria Math"/>
          </w:rPr>
          <m:t>+</m:t>
        </m:r>
        <m:sSubSup>
          <m:sSubSupPr>
            <m:ctrlPr>
              <w:rPr>
                <w:rFonts w:ascii="Cambria Math" w:hAnsi="Cambria Math"/>
                <w:i/>
              </w:rPr>
            </m:ctrlPr>
          </m:sSubSupPr>
          <m:e>
            <m:r>
              <w:rPr>
                <w:rFonts w:ascii="Cambria Math" w:hAnsi="Cambria Math"/>
              </w:rPr>
              <m:t>z</m:t>
            </m:r>
          </m:e>
          <m:sub>
            <m:r>
              <w:rPr>
                <w:rFonts w:ascii="Cambria Math" w:hAnsi="Cambria Math"/>
              </w:rPr>
              <m:t>2</m:t>
            </m:r>
          </m:sub>
          <m:sup>
            <m:r>
              <w:rPr>
                <w:rFonts w:ascii="Cambria Math" w:hAnsi="Cambria Math"/>
              </w:rPr>
              <m:t>k</m:t>
            </m:r>
          </m:sup>
        </m:sSubSup>
        <m:r>
          <w:rPr>
            <w:rFonts w:ascii="Cambria Math" w:hAnsi="Cambria Math"/>
          </w:rPr>
          <m:t>=2</m:t>
        </m:r>
      </m:oMath>
      <w:r w:rsidRPr="00FF427D">
        <w:t>, as shown in Example 3</w:t>
      </w:r>
      <w:r w:rsidRPr="006A09A1">
        <w:t>. In this study, it is assumed that both the acceptable and preferred lower and upper temperature bounds are given (i.e.,</w:t>
      </w:r>
      <w:r w:rsidRPr="006A09A1">
        <w:rPr>
          <w:rFonts w:ascii="Cambria Math" w:hAnsi="Cambria Math"/>
          <w:sz w:val="20"/>
          <w:szCs w:val="20"/>
          <w:vertAlign w:val="subscript"/>
        </w:rPr>
        <w:t xml:space="preserve"> </w:t>
      </w:r>
      <m:oMath>
        <m:sSub>
          <m:sSubPr>
            <m:ctrlPr>
              <w:rPr>
                <w:rFonts w:ascii="Cambria Math" w:hAnsi="Cambria Math"/>
                <w:sz w:val="20"/>
                <w:szCs w:val="20"/>
                <w:vertAlign w:val="subscript"/>
              </w:rPr>
            </m:ctrlPr>
          </m:sSubPr>
          <m:e>
            <m:bar>
              <m:barPr>
                <m:ctrlPr>
                  <w:rPr>
                    <w:rFonts w:ascii="Cambria Math" w:hAnsi="Cambria Math"/>
                    <w:sz w:val="20"/>
                    <w:szCs w:val="20"/>
                    <w:vertAlign w:val="subscript"/>
                  </w:rPr>
                </m:ctrlPr>
              </m:barPr>
              <m:e>
                <m:r>
                  <w:rPr>
                    <w:rFonts w:ascii="Cambria Math" w:hAnsi="Cambria Math"/>
                    <w:sz w:val="20"/>
                    <w:szCs w:val="20"/>
                    <w:vertAlign w:val="subscript"/>
                  </w:rPr>
                  <m:t>T</m:t>
                </m:r>
              </m:e>
            </m:bar>
          </m:e>
          <m:sub>
            <m:r>
              <m:rPr>
                <m:sty m:val="p"/>
              </m:rPr>
              <w:rPr>
                <w:rFonts w:ascii="Cambria Math" w:hAnsi="Cambria Math"/>
                <w:sz w:val="20"/>
                <w:szCs w:val="20"/>
                <w:vertAlign w:val="subscript"/>
              </w:rPr>
              <m:t>hvac</m:t>
            </m:r>
          </m:sub>
        </m:sSub>
      </m:oMath>
      <w:r w:rsidRPr="006A09A1">
        <w:rPr>
          <w:sz w:val="20"/>
          <w:szCs w:val="20"/>
          <w:vertAlign w:val="subscript"/>
        </w:rPr>
        <w:t xml:space="preserve"> </w:t>
      </w:r>
      <w:r w:rsidRPr="006A09A1">
        <w:t xml:space="preserve">, </w:t>
      </w:r>
      <m:oMath>
        <m:sSub>
          <m:sSubPr>
            <m:ctrlPr>
              <w:rPr>
                <w:rFonts w:ascii="Cambria Math" w:hAnsi="Cambria Math"/>
                <w:i/>
                <w:sz w:val="20"/>
                <w:szCs w:val="20"/>
                <w:vertAlign w:val="subscript"/>
              </w:rPr>
            </m:ctrlPr>
          </m:sSubPr>
          <m:e>
            <m:bar>
              <m:barPr>
                <m:pos m:val="top"/>
                <m:ctrlPr>
                  <w:rPr>
                    <w:rFonts w:ascii="Cambria Math" w:hAnsi="Cambria Math"/>
                    <w:sz w:val="20"/>
                    <w:szCs w:val="20"/>
                    <w:vertAlign w:val="subscript"/>
                  </w:rPr>
                </m:ctrlPr>
              </m:barPr>
              <m:e>
                <m:r>
                  <w:rPr>
                    <w:rFonts w:ascii="Cambria Math" w:hAnsi="Cambria Math"/>
                    <w:sz w:val="20"/>
                    <w:szCs w:val="20"/>
                    <w:vertAlign w:val="subscript"/>
                  </w:rPr>
                  <m:t>T</m:t>
                </m:r>
              </m:e>
            </m:bar>
            <m:ctrlPr>
              <w:rPr>
                <w:rFonts w:ascii="Cambria Math" w:hAnsi="Cambria Math"/>
                <w:sz w:val="20"/>
                <w:szCs w:val="20"/>
                <w:vertAlign w:val="subscript"/>
              </w:rPr>
            </m:ctrlPr>
          </m:e>
          <m:sub>
            <m:r>
              <w:rPr>
                <w:rFonts w:ascii="Cambria Math" w:hAnsi="Cambria Math"/>
                <w:sz w:val="20"/>
                <w:szCs w:val="20"/>
                <w:vertAlign w:val="subscript"/>
              </w:rPr>
              <m:t>hvac</m:t>
            </m:r>
          </m:sub>
        </m:sSub>
      </m:oMath>
      <w:r w:rsidRPr="006A09A1">
        <w:t xml:space="preserve">, </w:t>
      </w:r>
      <m:oMath>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hAnsi="Cambria Math"/>
          </w:rPr>
          <m:t>,</m:t>
        </m:r>
      </m:oMath>
      <w:r w:rsidRPr="006A09A1">
        <w:t xml:space="preserve"> and </w:t>
      </w:r>
      <m:oMath>
        <m:sSub>
          <m:sSubPr>
            <m:ctrlPr>
              <w:rPr>
                <w:rFonts w:ascii="Cambria Math" w:hAnsi="Cambria Math"/>
                <w:i/>
              </w:rPr>
            </m:ctrlPr>
          </m:sSubPr>
          <m:e>
            <m:r>
              <w:rPr>
                <w:rFonts w:ascii="Cambria Math" w:hAnsi="Cambria Math"/>
              </w:rPr>
              <m:t>M</m:t>
            </m:r>
          </m:e>
          <m:sub>
            <m:r>
              <w:rPr>
                <w:rFonts w:ascii="Cambria Math" w:hAnsi="Cambria Math"/>
              </w:rPr>
              <m:t>2</m:t>
            </m:r>
          </m:sub>
        </m:sSub>
      </m:oMath>
      <w:r w:rsidRPr="006A09A1">
        <w:t xml:space="preserve"> are given).</w:t>
      </w:r>
    </w:p>
    <w:p w14:paraId="16CC196D" w14:textId="77777777" w:rsidR="00D36DE4" w:rsidRPr="008A67D5" w:rsidRDefault="00D36DE4" w:rsidP="00D36DE4">
      <w:pPr>
        <w:jc w:val="center"/>
        <w:rPr>
          <w:highlight w:val="yellow"/>
        </w:rPr>
      </w:pPr>
      <w:r>
        <w:rPr>
          <w:noProof/>
        </w:rPr>
        <w:drawing>
          <wp:inline distT="0" distB="0" distL="0" distR="0" wp14:anchorId="3BCBA56B" wp14:editId="0E95C866">
            <wp:extent cx="5219136" cy="3003452"/>
            <wp:effectExtent l="0" t="0" r="635" b="0"/>
            <wp:docPr id="2013666932" name="Picture 2013666932"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6932" name="Picture 2013666932" descr="A picture containing text, screenshot, line, diagram&#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232995" cy="3011427"/>
                    </a:xfrm>
                    <a:prstGeom prst="rect">
                      <a:avLst/>
                    </a:prstGeom>
                  </pic:spPr>
                </pic:pic>
              </a:graphicData>
            </a:graphic>
          </wp:inline>
        </w:drawing>
      </w:r>
    </w:p>
    <w:p w14:paraId="2EF83620" w14:textId="09EBD947" w:rsidR="00D36DE4" w:rsidRDefault="00D36DE4" w:rsidP="00D36DE4">
      <w:pPr>
        <w:jc w:val="center"/>
      </w:pPr>
      <w:bookmarkStart w:id="418" w:name="_Ref123066137"/>
      <w:bookmarkStart w:id="419" w:name="_Toc141349947"/>
      <w:r w:rsidRPr="008D1625">
        <w:lastRenderedPageBreak/>
        <w:t xml:space="preserve">Figure </w:t>
      </w:r>
      <w:fldSimple w:instr=" STYLEREF 1 \s ">
        <w:r w:rsidR="000E1725">
          <w:rPr>
            <w:noProof/>
          </w:rPr>
          <w:t>5</w:t>
        </w:r>
      </w:fldSimple>
      <w:r w:rsidR="005445E0">
        <w:t>.</w:t>
      </w:r>
      <w:fldSimple w:instr=" SEQ Figure \* ARABIC \s 1 ">
        <w:r w:rsidR="000E1725">
          <w:rPr>
            <w:noProof/>
          </w:rPr>
          <w:t>5</w:t>
        </w:r>
      </w:fldSimple>
      <w:bookmarkEnd w:id="418"/>
      <w:r w:rsidRPr="008D1625">
        <w:t xml:space="preserve"> Comfort reward examples.</w:t>
      </w:r>
      <w:bookmarkEnd w:id="419"/>
    </w:p>
    <w:p w14:paraId="03414711" w14:textId="7F777640" w:rsidR="00D36DE4" w:rsidRPr="00F95A23" w:rsidRDefault="00D36DE4" w:rsidP="00D36DE4">
      <w:r w:rsidRPr="00F95A23">
        <w:t>The first</w:t>
      </w:r>
      <w:r>
        <w:t xml:space="preserve"> objective considered in this study</w:t>
      </w:r>
      <w:r w:rsidRPr="00F95A23">
        <w:t xml:space="preserve"> is the cost of electricity, and the second is thermal comfort. The electricity cost is inclusive of all non-thermal appliance operating costs </w:t>
      </w:r>
      <m:oMath>
        <m:nary>
          <m:naryPr>
            <m:chr m:val="∑"/>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m</m:t>
            </m:r>
          </m:sup>
          <m:e>
            <m:sSup>
              <m:sSupPr>
                <m:ctrlPr>
                  <w:rPr>
                    <w:rFonts w:ascii="Cambria Math" w:hAnsi="Cambria Math"/>
                  </w:rPr>
                </m:ctrlPr>
              </m:sSupPr>
              <m:e>
                <m:r>
                  <w:rPr>
                    <w:rFonts w:ascii="Cambria Math" w:hAnsi="Cambria Math"/>
                  </w:rPr>
                  <m:t>c</m:t>
                </m:r>
              </m:e>
              <m:sup>
                <m:r>
                  <w:rPr>
                    <w:rFonts w:ascii="Cambria Math" w:hAnsi="Cambria Math"/>
                  </w:rPr>
                  <m:t>k</m:t>
                </m:r>
              </m:sup>
            </m:sSup>
            <m:d>
              <m:dPr>
                <m:ctrlPr>
                  <w:rPr>
                    <w:rFonts w:ascii="Cambria Math" w:hAnsi="Cambria Math"/>
                  </w:rPr>
                </m:ctrlPr>
              </m:dPr>
              <m:e>
                <m:nary>
                  <m:naryPr>
                    <m:chr m:val="∑"/>
                    <m:ctrlPr>
                      <w:rPr>
                        <w:rFonts w:ascii="Cambria Math" w:hAnsi="Cambria Math"/>
                      </w:rPr>
                    </m:ctrlPr>
                  </m:naryPr>
                  <m:sub>
                    <m:r>
                      <w:rPr>
                        <w:rFonts w:ascii="Cambria Math" w:hAnsi="Cambria Math"/>
                      </w:rPr>
                      <m:t>i</m:t>
                    </m:r>
                    <m:r>
                      <m:rPr>
                        <m:sty m:val="p"/>
                      </m:rPr>
                      <w:rPr>
                        <w:rFonts w:ascii="Cambria Math" w:hAnsi="Cambria Math"/>
                      </w:rPr>
                      <m:t>=1</m:t>
                    </m:r>
                  </m:sub>
                  <m:sup>
                    <m:sSub>
                      <m:sSubPr>
                        <m:ctrlPr>
                          <w:rPr>
                            <w:rFonts w:ascii="Cambria Math" w:hAnsi="Cambria Math"/>
                          </w:rPr>
                        </m:ctrlPr>
                      </m:sSubPr>
                      <m:e>
                        <m:r>
                          <w:rPr>
                            <w:rFonts w:ascii="Cambria Math" w:hAnsi="Cambria Math"/>
                          </w:rPr>
                          <m:t>N</m:t>
                        </m:r>
                      </m:e>
                      <m:sub>
                        <m:r>
                          <w:rPr>
                            <w:rFonts w:ascii="Cambria Math" w:hAnsi="Cambria Math"/>
                          </w:rPr>
                          <m:t>nt</m:t>
                        </m:r>
                      </m:sub>
                    </m:sSub>
                  </m:sup>
                  <m:e>
                    <m:nary>
                      <m:naryPr>
                        <m:chr m:val="∑"/>
                        <m:ctrlPr>
                          <w:rPr>
                            <w:rFonts w:ascii="Cambria Math" w:hAnsi="Cambria Math"/>
                          </w:rPr>
                        </m:ctrlPr>
                      </m:naryPr>
                      <m:sub>
                        <m:r>
                          <w:rPr>
                            <w:rFonts w:ascii="Cambria Math" w:hAnsi="Cambria Math"/>
                          </w:rPr>
                          <m:t>j</m:t>
                        </m:r>
                        <m:r>
                          <m:rPr>
                            <m:sty m:val="p"/>
                          </m:rPr>
                          <w:rPr>
                            <w:rFonts w:ascii="Cambria Math" w:hAnsi="Cambria Math"/>
                          </w:rPr>
                          <m:t>=1</m:t>
                        </m:r>
                      </m:sub>
                      <m:sup>
                        <m:sSub>
                          <m:sSubPr>
                            <m:ctrlPr>
                              <w:rPr>
                                <w:rFonts w:ascii="Cambria Math" w:hAnsi="Cambria Math"/>
                              </w:rPr>
                            </m:ctrlPr>
                          </m:sSubPr>
                          <m:e>
                            <m:r>
                              <w:rPr>
                                <w:rFonts w:ascii="Cambria Math" w:hAnsi="Cambria Math"/>
                              </w:rPr>
                              <m:t>n</m:t>
                            </m:r>
                          </m:e>
                          <m:sub>
                            <m:r>
                              <w:rPr>
                                <w:rFonts w:ascii="Cambria Math" w:hAnsi="Cambria Math"/>
                              </w:rPr>
                              <m:t>i</m:t>
                            </m:r>
                          </m:sub>
                        </m:sSub>
                      </m:sup>
                      <m:e>
                        <m:sSubSup>
                          <m:sSubSupPr>
                            <m:ctrlPr>
                              <w:rPr>
                                <w:rFonts w:ascii="Cambria Math" w:hAnsi="Cambria Math"/>
                              </w:rPr>
                            </m:ctrlPr>
                          </m:sSubSupPr>
                          <m:e>
                            <m:r>
                              <w:rPr>
                                <w:rFonts w:ascii="Cambria Math" w:hAnsi="Cambria Math"/>
                              </w:rPr>
                              <m:t>x</m:t>
                            </m:r>
                          </m:e>
                          <m:sub>
                            <m:r>
                              <w:rPr>
                                <w:rFonts w:ascii="Cambria Math" w:hAnsi="Cambria Math"/>
                              </w:rPr>
                              <m:t>ij</m:t>
                            </m:r>
                          </m:sub>
                          <m:sup>
                            <m:r>
                              <w:rPr>
                                <w:rFonts w:ascii="Cambria Math" w:hAnsi="Cambria Math"/>
                              </w:rPr>
                              <m:t>k</m:t>
                            </m:r>
                          </m:sup>
                        </m:sSubSup>
                        <m:sSubSup>
                          <m:sSubSupPr>
                            <m:ctrlPr>
                              <w:rPr>
                                <w:rFonts w:ascii="Cambria Math" w:hAnsi="Cambria Math"/>
                              </w:rPr>
                            </m:ctrlPr>
                          </m:sSubSupPr>
                          <m:e>
                            <m:r>
                              <w:rPr>
                                <w:rFonts w:ascii="Cambria Math" w:hAnsi="Cambria Math"/>
                              </w:rPr>
                              <m:t>P</m:t>
                            </m:r>
                          </m:e>
                          <m:sub>
                            <m:r>
                              <w:rPr>
                                <w:rFonts w:ascii="Cambria Math" w:hAnsi="Cambria Math"/>
                              </w:rPr>
                              <m:t>ij</m:t>
                            </m:r>
                          </m:sub>
                          <m:sup>
                            <m:r>
                              <w:rPr>
                                <w:rFonts w:ascii="Cambria Math" w:hAnsi="Cambria Math"/>
                              </w:rPr>
                              <m:t>k</m:t>
                            </m:r>
                          </m:sup>
                        </m:sSubSup>
                      </m:e>
                    </m:nary>
                  </m:e>
                </m:nary>
              </m:e>
            </m:d>
          </m:e>
        </m:nary>
      </m:oMath>
      <w:r w:rsidRPr="00F95A23">
        <w:t>, the water heater costs</w:t>
      </w:r>
      <w:r>
        <w:t xml:space="preserve"> </w:t>
      </w:r>
      <m:oMath>
        <m:nary>
          <m:naryPr>
            <m:chr m:val="∑"/>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m</m:t>
            </m:r>
          </m:sup>
          <m:e>
            <m:sSub>
              <m:sSubPr>
                <m:ctrlPr>
                  <w:rPr>
                    <w:rFonts w:ascii="Cambria Math" w:hAnsi="Cambria Math"/>
                  </w:rPr>
                </m:ctrlPr>
              </m:sSubPr>
              <m:e>
                <m:r>
                  <w:rPr>
                    <w:rFonts w:ascii="Cambria Math" w:hAnsi="Cambria Math"/>
                  </w:rPr>
                  <m:t>u</m:t>
                </m:r>
              </m:e>
              <m:sub>
                <m:r>
                  <w:rPr>
                    <w:rFonts w:ascii="Cambria Math" w:hAnsi="Cambria Math"/>
                  </w:rPr>
                  <m:t>wh</m:t>
                </m:r>
              </m:sub>
            </m:sSub>
          </m:e>
        </m:nary>
        <m:sSub>
          <m:sSubPr>
            <m:ctrlPr>
              <w:rPr>
                <w:rFonts w:ascii="Cambria Math" w:hAnsi="Cambria Math"/>
              </w:rPr>
            </m:ctrlPr>
          </m:sSubPr>
          <m:e>
            <m:r>
              <w:rPr>
                <w:rFonts w:ascii="Cambria Math" w:hAnsi="Cambria Math"/>
              </w:rPr>
              <m:t>P</m:t>
            </m:r>
          </m:e>
          <m:sub>
            <m:r>
              <w:rPr>
                <w:rFonts w:ascii="Cambria Math" w:hAnsi="Cambria Math"/>
              </w:rPr>
              <m:t>wh</m:t>
            </m:r>
          </m:sub>
        </m:sSub>
      </m:oMath>
      <w:r w:rsidRPr="00F95A23">
        <w:t>, and the HVAC system costs</w:t>
      </w:r>
      <w:r>
        <w:t xml:space="preserve"> </w:t>
      </w:r>
      <m:oMath>
        <m:nary>
          <m:naryPr>
            <m:chr m:val="∑"/>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m</m:t>
            </m:r>
          </m:sup>
          <m:e>
            <m:sSub>
              <m:sSubPr>
                <m:ctrlPr>
                  <w:rPr>
                    <w:rFonts w:ascii="Cambria Math" w:hAnsi="Cambria Math"/>
                  </w:rPr>
                </m:ctrlPr>
              </m:sSubPr>
              <m:e>
                <m:r>
                  <w:rPr>
                    <w:rFonts w:ascii="Cambria Math" w:hAnsi="Cambria Math"/>
                  </w:rPr>
                  <m:t>u</m:t>
                </m:r>
              </m:e>
              <m:sub>
                <m:r>
                  <w:rPr>
                    <w:rFonts w:ascii="Cambria Math" w:hAnsi="Cambria Math"/>
                  </w:rPr>
                  <m:t>hvac</m:t>
                </m:r>
              </m:sub>
            </m:sSub>
          </m:e>
        </m:nary>
        <m:sSub>
          <m:sSubPr>
            <m:ctrlPr>
              <w:rPr>
                <w:rFonts w:ascii="Cambria Math" w:hAnsi="Cambria Math"/>
              </w:rPr>
            </m:ctrlPr>
          </m:sSubPr>
          <m:e>
            <m:r>
              <w:rPr>
                <w:rFonts w:ascii="Cambria Math" w:hAnsi="Cambria Math"/>
              </w:rPr>
              <m:t>P</m:t>
            </m:r>
          </m:e>
          <m:sub>
            <m:r>
              <w:rPr>
                <w:rFonts w:ascii="Cambria Math" w:hAnsi="Cambria Math"/>
              </w:rPr>
              <m:t>hvac</m:t>
            </m:r>
          </m:sub>
        </m:sSub>
      </m:oMath>
      <w:r w:rsidRPr="00F95A23">
        <w:t>.</w:t>
      </w:r>
    </w:p>
    <w:p w14:paraId="7A4FF7B1" w14:textId="77777777" w:rsidR="00D36DE4" w:rsidRPr="00901943" w:rsidRDefault="00D36DE4" w:rsidP="00D36DE4">
      <w:r w:rsidRPr="00901943">
        <w:t xml:space="preserve">Besides the electricity cost, we want to maximize the total comfort index </w:t>
      </w:r>
      <m:oMath>
        <m:nary>
          <m:naryPr>
            <m:chr m:val="∑"/>
            <m:ctrlPr>
              <w:rPr>
                <w:rFonts w:ascii="Cambria Math" w:hAnsi="Cambria Math"/>
              </w:rPr>
            </m:ctrlPr>
          </m:naryPr>
          <m:sub>
            <m:r>
              <w:rPr>
                <w:rFonts w:ascii="Cambria Math" w:hAnsi="Cambria Math"/>
              </w:rPr>
              <m:t>k=1</m:t>
            </m:r>
            <m:ctrlPr>
              <w:rPr>
                <w:rFonts w:ascii="Cambria Math" w:hAnsi="Cambria Math"/>
                <w:i/>
              </w:rPr>
            </m:ctrlPr>
          </m:sub>
          <m:sup>
            <m:r>
              <w:rPr>
                <w:rFonts w:ascii="Cambria Math" w:hAnsi="Cambria Math"/>
              </w:rPr>
              <m:t>m</m:t>
            </m:r>
            <m:ctrlPr>
              <w:rPr>
                <w:rFonts w:ascii="Cambria Math" w:hAnsi="Cambria Math"/>
                <w:i/>
              </w:rPr>
            </m:ctrlPr>
          </m:sup>
          <m:e>
            <m:sSubSup>
              <m:sSubSupPr>
                <m:ctrlPr>
                  <w:rPr>
                    <w:rFonts w:ascii="Cambria Math" w:hAnsi="Cambria Math"/>
                    <w:i/>
                  </w:rPr>
                </m:ctrlPr>
              </m:sSubSupPr>
              <m:e>
                <m:r>
                  <w:rPr>
                    <w:rFonts w:ascii="Cambria Math" w:hAnsi="Cambria Math"/>
                  </w:rPr>
                  <m:t>z</m:t>
                </m:r>
              </m:e>
              <m:sub>
                <m:r>
                  <w:rPr>
                    <w:rFonts w:ascii="Cambria Math" w:hAnsi="Cambria Math"/>
                  </w:rPr>
                  <m:t>1</m:t>
                </m:r>
              </m:sub>
              <m:sup>
                <m:r>
                  <w:rPr>
                    <w:rFonts w:ascii="Cambria Math" w:hAnsi="Cambria Math"/>
                  </w:rPr>
                  <m:t>k</m:t>
                </m:r>
              </m:sup>
            </m:sSubSup>
            <m:ctrlPr>
              <w:rPr>
                <w:rFonts w:ascii="Cambria Math" w:hAnsi="Cambria Math"/>
                <w:i/>
              </w:rPr>
            </m:ctrlPr>
          </m:e>
        </m:nary>
        <m:r>
          <w:rPr>
            <w:rFonts w:ascii="Cambria Math" w:hAnsi="Cambria Math"/>
          </w:rPr>
          <m:t>+</m:t>
        </m:r>
        <m:sSubSup>
          <m:sSubSupPr>
            <m:ctrlPr>
              <w:rPr>
                <w:rFonts w:ascii="Cambria Math" w:hAnsi="Cambria Math"/>
                <w:i/>
              </w:rPr>
            </m:ctrlPr>
          </m:sSubSupPr>
          <m:e>
            <m:r>
              <w:rPr>
                <w:rFonts w:ascii="Cambria Math" w:hAnsi="Cambria Math"/>
              </w:rPr>
              <m:t>z</m:t>
            </m:r>
          </m:e>
          <m:sub>
            <m:r>
              <w:rPr>
                <w:rFonts w:ascii="Cambria Math" w:hAnsi="Cambria Math"/>
              </w:rPr>
              <m:t>2</m:t>
            </m:r>
          </m:sub>
          <m:sup>
            <m:r>
              <w:rPr>
                <w:rFonts w:ascii="Cambria Math" w:hAnsi="Cambria Math"/>
              </w:rPr>
              <m:t>k</m:t>
            </m:r>
          </m:sup>
        </m:sSubSup>
      </m:oMath>
      <w:r w:rsidRPr="00901943">
        <w:t xml:space="preserve">. The total comfort index ranges between </w:t>
      </w:r>
      <m:oMath>
        <m:r>
          <w:rPr>
            <w:rFonts w:ascii="Cambria Math" w:hAnsi="Cambria Math"/>
          </w:rPr>
          <m:t>m</m:t>
        </m:r>
      </m:oMath>
      <w:r w:rsidRPr="00901943">
        <w:t xml:space="preserve"> and </w:t>
      </w:r>
      <m:oMath>
        <m:r>
          <w:rPr>
            <w:rFonts w:ascii="Cambria Math" w:hAnsi="Cambria Math"/>
          </w:rPr>
          <m:t>2m</m:t>
        </m:r>
      </m:oMath>
      <w:r w:rsidRPr="00901943">
        <w:t xml:space="preserve"> since the total number of time slots is</w:t>
      </w:r>
      <w:r w:rsidRPr="00901943">
        <w:rPr>
          <w:rFonts w:hint="eastAsia"/>
        </w:rPr>
        <w:t xml:space="preserve"> </w:t>
      </w:r>
      <m:oMath>
        <m:r>
          <w:rPr>
            <w:rFonts w:ascii="Cambria Math" w:hAnsi="Cambria Math"/>
          </w:rPr>
          <m:t>m</m:t>
        </m:r>
      </m:oMath>
      <w:r w:rsidRPr="00901943">
        <w:t xml:space="preserve">. For example, the optimization agent will earn </w:t>
      </w:r>
      <m:oMath>
        <m:r>
          <w:rPr>
            <w:rFonts w:ascii="Cambria Math" w:hAnsi="Cambria Math"/>
          </w:rPr>
          <m:t>m</m:t>
        </m:r>
      </m:oMath>
      <w:r w:rsidRPr="00901943">
        <w:t xml:space="preserve"> points if all temperatures exceed the preferred temperature range, or it may earn</w:t>
      </w:r>
      <w:r w:rsidRPr="00901943">
        <w:rPr>
          <w:rFonts w:hint="eastAsia"/>
        </w:rPr>
        <w:t xml:space="preserve"> </w:t>
      </w:r>
      <m:oMath>
        <m:r>
          <w:rPr>
            <w:rFonts w:ascii="Cambria Math" w:hAnsi="Cambria Math"/>
          </w:rPr>
          <m:t>2m</m:t>
        </m:r>
      </m:oMath>
      <w:r w:rsidRPr="00901943">
        <w:t xml:space="preserve"> points if all temperatures remain within the preferred temperature range. Maximizing this objective function can be interpreted as maximizing thermal comfort or maximizing the reward that the agent can obtain over the scheduling period. Moreover, cost and comfort objectives are measured and quantified in different scales. In this study, the goal programming technique is sued for resolving the uneven weight problem.</w:t>
      </w:r>
    </w:p>
    <w:p w14:paraId="68DE3B0F" w14:textId="77777777" w:rsidR="00D36DE4" w:rsidRPr="00901943" w:rsidRDefault="00D36DE4" w:rsidP="00D36DE4">
      <w:r w:rsidRPr="00901943">
        <w:t xml:space="preserve">In goal programming, two pairs of deviation variables </w:t>
      </w:r>
      <m:oMath>
        <m:sSub>
          <m:sSubPr>
            <m:ctrlPr>
              <w:rPr>
                <w:rFonts w:ascii="Cambria Math" w:hAnsi="Cambria Math"/>
                <w:i/>
              </w:rPr>
            </m:ctrlPr>
          </m:sSubPr>
          <m:e>
            <m:r>
              <w:rPr>
                <w:rFonts w:ascii="Cambria Math" w:hAnsi="Cambria Math"/>
              </w:rPr>
              <m:t>d</m:t>
            </m:r>
          </m:e>
          <m:sub>
            <m:r>
              <w:rPr>
                <w:rFonts w:ascii="Cambria Math" w:hAnsi="Cambria Math"/>
              </w:rPr>
              <m:t>1</m:t>
            </m:r>
          </m:sub>
        </m:sSub>
      </m:oMath>
      <w:r w:rsidRPr="00901943">
        <w:t xml:space="preserve"> and </w:t>
      </w:r>
      <m:oMath>
        <m:sSub>
          <m:sSubPr>
            <m:ctrlPr>
              <w:rPr>
                <w:rFonts w:ascii="Cambria Math" w:hAnsi="Cambria Math"/>
                <w:i/>
              </w:rPr>
            </m:ctrlPr>
          </m:sSubPr>
          <m:e>
            <m:r>
              <w:rPr>
                <w:rFonts w:ascii="Cambria Math" w:hAnsi="Cambria Math"/>
              </w:rPr>
              <m:t>d</m:t>
            </m:r>
          </m:e>
          <m:sub>
            <m:r>
              <w:rPr>
                <w:rFonts w:ascii="Cambria Math" w:hAnsi="Cambria Math"/>
              </w:rPr>
              <m:t>2</m:t>
            </m:r>
          </m:sub>
        </m:sSub>
      </m:oMath>
      <w:r w:rsidRPr="00901943">
        <w:t xml:space="preserve"> are introduced. Instead of using either cost or comfort as objective function, with goal programming, the objective function becomes: </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gridCol w:w="1170"/>
      </w:tblGrid>
      <w:tr w:rsidR="00D36DE4" w:rsidRPr="00901943" w14:paraId="31D2561E" w14:textId="77777777" w:rsidTr="003B538A">
        <w:trPr>
          <w:trHeight w:val="559"/>
        </w:trPr>
        <w:tc>
          <w:tcPr>
            <w:tcW w:w="7830" w:type="dxa"/>
            <w:vAlign w:val="center"/>
          </w:tcPr>
          <w:p w14:paraId="308CA5A9" w14:textId="77777777" w:rsidR="00D36DE4" w:rsidRPr="00E1085E" w:rsidRDefault="00000000" w:rsidP="002023DB">
            <w:pPr>
              <w:rPr>
                <w:szCs w:val="24"/>
              </w:rPr>
            </w:pPr>
            <m:oMathPara>
              <m:oMath>
                <m:func>
                  <m:funcPr>
                    <m:ctrlPr>
                      <w:rPr>
                        <w:rFonts w:ascii="Cambria Math" w:hAnsi="Cambria Math"/>
                        <w:szCs w:val="24"/>
                      </w:rPr>
                    </m:ctrlPr>
                  </m:funcPr>
                  <m:fName>
                    <m:r>
                      <m:rPr>
                        <m:sty m:val="p"/>
                      </m:rPr>
                      <w:rPr>
                        <w:rFonts w:ascii="Cambria Math" w:hAnsi="Cambria Math"/>
                        <w:szCs w:val="24"/>
                      </w:rPr>
                      <m:t>min</m:t>
                    </m:r>
                    <m:ctrlPr>
                      <w:rPr>
                        <w:rFonts w:ascii="Cambria Math" w:hAnsi="Cambria Math"/>
                        <w:i/>
                        <w:szCs w:val="24"/>
                      </w:rPr>
                    </m:ctrlPr>
                  </m:fName>
                  <m:e>
                    <m:r>
                      <w:rPr>
                        <w:rFonts w:ascii="Cambria Math" w:hAnsi="Cambria Math"/>
                        <w:szCs w:val="24"/>
                      </w:rPr>
                      <m:t>z</m:t>
                    </m:r>
                  </m:e>
                </m:func>
                <m:r>
                  <w:rPr>
                    <w:rFonts w:ascii="Cambria Math" w:hAnsi="Cambria Math"/>
                    <w:szCs w:val="24"/>
                  </w:rPr>
                  <m:t>=</m:t>
                </m:r>
                <m:nary>
                  <m:naryPr>
                    <m:chr m:val="∑"/>
                    <m:ctrlPr>
                      <w:rPr>
                        <w:rFonts w:ascii="Cambria Math" w:hAnsi="Cambria Math"/>
                        <w:szCs w:val="24"/>
                      </w:rPr>
                    </m:ctrlPr>
                  </m:naryPr>
                  <m:sub>
                    <m:r>
                      <w:rPr>
                        <w:rFonts w:ascii="Cambria Math" w:hAnsi="Cambria Math"/>
                        <w:szCs w:val="24"/>
                      </w:rPr>
                      <m:t>i=1</m:t>
                    </m:r>
                    <m:ctrlPr>
                      <w:rPr>
                        <w:rFonts w:ascii="Cambria Math" w:hAnsi="Cambria Math"/>
                        <w:i/>
                        <w:szCs w:val="24"/>
                      </w:rPr>
                    </m:ctrlPr>
                  </m:sub>
                  <m:sup>
                    <m:r>
                      <w:rPr>
                        <w:rFonts w:ascii="Cambria Math" w:hAnsi="Cambria Math"/>
                        <w:szCs w:val="24"/>
                      </w:rPr>
                      <m:t>2</m:t>
                    </m:r>
                    <m:ctrlPr>
                      <w:rPr>
                        <w:rFonts w:ascii="Cambria Math" w:hAnsi="Cambria Math"/>
                        <w:i/>
                        <w:szCs w:val="24"/>
                      </w:rPr>
                    </m:ctrlPr>
                  </m:sup>
                  <m:e>
                    <m:sSub>
                      <m:sSubPr>
                        <m:ctrlPr>
                          <w:rPr>
                            <w:rFonts w:ascii="Cambria Math" w:hAnsi="Cambria Math"/>
                            <w:i/>
                            <w:szCs w:val="24"/>
                          </w:rPr>
                        </m:ctrlPr>
                      </m:sSubPr>
                      <m:e>
                        <m:r>
                          <w:rPr>
                            <w:rFonts w:ascii="Cambria Math" w:hAnsi="Cambria Math"/>
                            <w:szCs w:val="24"/>
                          </w:rPr>
                          <m:t>w</m:t>
                        </m:r>
                      </m:e>
                      <m:sub>
                        <m:r>
                          <w:rPr>
                            <w:rFonts w:ascii="Cambria Math" w:hAnsi="Cambria Math"/>
                            <w:szCs w:val="24"/>
                          </w:rPr>
                          <m:t>i</m:t>
                        </m:r>
                      </m:sub>
                    </m:sSub>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i</m:t>
                            </m:r>
                          </m:sub>
                          <m:sup>
                            <m:r>
                              <w:rPr>
                                <w:rFonts w:ascii="Cambria Math" w:hAnsi="Cambria Math"/>
                                <w:szCs w:val="24"/>
                              </w:rPr>
                              <m:t>+</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i</m:t>
                            </m:r>
                          </m:sub>
                          <m:sup>
                            <m:r>
                              <w:rPr>
                                <w:rFonts w:ascii="Cambria Math" w:hAnsi="Cambria Math"/>
                                <w:szCs w:val="24"/>
                              </w:rPr>
                              <m:t>-</m:t>
                            </m:r>
                          </m:sup>
                        </m:sSubSup>
                      </m:e>
                    </m:d>
                    <m:ctrlPr>
                      <w:rPr>
                        <w:rFonts w:ascii="Cambria Math" w:hAnsi="Cambria Math"/>
                        <w:i/>
                        <w:szCs w:val="24"/>
                      </w:rPr>
                    </m:ctrlPr>
                  </m:e>
                </m:nary>
                <m:r>
                  <w:rPr>
                    <w:rFonts w:ascii="Cambria Math" w:hAnsi="Cambria Math"/>
                    <w:szCs w:val="24"/>
                  </w:rPr>
                  <m:t>,</m:t>
                </m:r>
              </m:oMath>
            </m:oMathPara>
          </w:p>
        </w:tc>
        <w:tc>
          <w:tcPr>
            <w:tcW w:w="1170" w:type="dxa"/>
            <w:vAlign w:val="center"/>
          </w:tcPr>
          <w:p w14:paraId="1EBC1DDC" w14:textId="6602A75C" w:rsidR="00D36DE4" w:rsidRPr="00901943" w:rsidRDefault="00D36DE4" w:rsidP="002023DB">
            <w:pPr>
              <w:rPr>
                <w:szCs w:val="24"/>
              </w:rPr>
            </w:pPr>
            <w:bookmarkStart w:id="420" w:name="_Ref135903001"/>
            <w:r w:rsidRPr="00901943">
              <w:rPr>
                <w:szCs w:val="24"/>
              </w:rPr>
              <w:t>(</w:t>
            </w:r>
            <w:r w:rsidRPr="00901943">
              <w:rPr>
                <w:szCs w:val="24"/>
              </w:rPr>
              <w:fldChar w:fldCharType="begin"/>
            </w:r>
            <w:r w:rsidRPr="00901943">
              <w:rPr>
                <w:szCs w:val="24"/>
              </w:rPr>
              <w:instrText xml:space="preserve"> SEQ equation \* ARABIC </w:instrText>
            </w:r>
            <w:r w:rsidRPr="00901943">
              <w:rPr>
                <w:szCs w:val="24"/>
              </w:rPr>
              <w:fldChar w:fldCharType="separate"/>
            </w:r>
            <w:r w:rsidR="000E1725">
              <w:rPr>
                <w:noProof/>
                <w:szCs w:val="24"/>
              </w:rPr>
              <w:t>69</w:t>
            </w:r>
            <w:r w:rsidRPr="00901943">
              <w:rPr>
                <w:szCs w:val="24"/>
              </w:rPr>
              <w:fldChar w:fldCharType="end"/>
            </w:r>
            <w:r w:rsidRPr="00901943">
              <w:rPr>
                <w:szCs w:val="24"/>
              </w:rPr>
              <w:t>)</w:t>
            </w:r>
            <w:bookmarkEnd w:id="420"/>
          </w:p>
        </w:tc>
      </w:tr>
    </w:tbl>
    <w:p w14:paraId="6D3E8487" w14:textId="77777777" w:rsidR="00D36DE4" w:rsidRPr="00901943" w:rsidRDefault="00D36DE4" w:rsidP="00D36DE4">
      <w:r w:rsidRPr="00901943">
        <w:t xml:space="preserve">where </w:t>
      </w:r>
      <m:oMath>
        <m:sSub>
          <m:sSubPr>
            <m:ctrlPr>
              <w:rPr>
                <w:rFonts w:ascii="Cambria Math" w:hAnsi="Cambria Math"/>
                <w:i/>
              </w:rPr>
            </m:ctrlPr>
          </m:sSubPr>
          <m:e>
            <m:r>
              <w:rPr>
                <w:rFonts w:ascii="Cambria Math" w:hAnsi="Cambria Math"/>
              </w:rPr>
              <m:t>w</m:t>
            </m:r>
          </m:e>
          <m:sub>
            <m:r>
              <w:rPr>
                <w:rFonts w:ascii="Cambria Math" w:hAnsi="Cambria Math"/>
              </w:rPr>
              <m:t>1</m:t>
            </m:r>
          </m:sub>
        </m:sSub>
      </m:oMath>
      <w:r w:rsidRPr="00901943">
        <w:t xml:space="preserve"> and </w:t>
      </w:r>
      <m:oMath>
        <m:sSub>
          <m:sSubPr>
            <m:ctrlPr>
              <w:rPr>
                <w:rFonts w:ascii="Cambria Math" w:hAnsi="Cambria Math"/>
                <w:i/>
              </w:rPr>
            </m:ctrlPr>
          </m:sSubPr>
          <m:e>
            <m:r>
              <w:rPr>
                <w:rFonts w:ascii="Cambria Math" w:hAnsi="Cambria Math"/>
              </w:rPr>
              <m:t>w</m:t>
            </m:r>
          </m:e>
          <m:sub>
            <m:r>
              <w:rPr>
                <w:rFonts w:ascii="Cambria Math" w:hAnsi="Cambria Math"/>
              </w:rPr>
              <m:t>2</m:t>
            </m:r>
          </m:sub>
        </m:sSub>
      </m:oMath>
      <w:r w:rsidRPr="00901943">
        <w:t xml:space="preserve"> are the weights </w:t>
      </w:r>
      <w:r>
        <w:t>corresponding</w:t>
      </w:r>
      <w:r w:rsidRPr="00901943">
        <w:t xml:space="preserve"> with electricity cost and thermal </w:t>
      </w:r>
      <w:r w:rsidRPr="00901943">
        <w:lastRenderedPageBreak/>
        <w:t xml:space="preserve">comfort, respectively. To strike a balance between cost and comfort, we add the following constraints </w:t>
      </w:r>
      <w:r>
        <w:t>to</w:t>
      </w:r>
      <w:r w:rsidRPr="00901943">
        <w:t xml:space="preserve"> the optimization problem: </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gridCol w:w="1170"/>
      </w:tblGrid>
      <w:tr w:rsidR="00D36DE4" w:rsidRPr="00901943" w14:paraId="568393E4" w14:textId="77777777" w:rsidTr="003B538A">
        <w:trPr>
          <w:trHeight w:val="559"/>
        </w:trPr>
        <w:tc>
          <w:tcPr>
            <w:tcW w:w="7830" w:type="dxa"/>
            <w:vAlign w:val="center"/>
          </w:tcPr>
          <w:p w14:paraId="126F21C3" w14:textId="77777777" w:rsidR="00D36DE4" w:rsidRPr="00E1085E" w:rsidRDefault="00000000" w:rsidP="002023DB">
            <w:pPr>
              <w:rPr>
                <w:szCs w:val="24"/>
              </w:rPr>
            </w:pPr>
            <m:oMathPara>
              <m:oMath>
                <m:nary>
                  <m:naryPr>
                    <m:chr m:val="∑"/>
                    <m:ctrlPr>
                      <w:rPr>
                        <w:rFonts w:ascii="Cambria Math" w:hAnsi="Cambria Math"/>
                        <w:szCs w:val="24"/>
                      </w:rPr>
                    </m:ctrlPr>
                  </m:naryPr>
                  <m:sub>
                    <m:r>
                      <w:rPr>
                        <w:rFonts w:ascii="Cambria Math" w:hAnsi="Cambria Math"/>
                        <w:szCs w:val="24"/>
                      </w:rPr>
                      <m:t>i=1</m:t>
                    </m:r>
                    <m:ctrlPr>
                      <w:rPr>
                        <w:rFonts w:ascii="Cambria Math" w:hAnsi="Cambria Math"/>
                        <w:i/>
                        <w:szCs w:val="24"/>
                      </w:rPr>
                    </m:ctrlPr>
                  </m:sub>
                  <m:sup>
                    <m:r>
                      <w:rPr>
                        <w:rFonts w:ascii="Cambria Math" w:hAnsi="Cambria Math"/>
                        <w:szCs w:val="24"/>
                      </w:rPr>
                      <m:t>2</m:t>
                    </m:r>
                    <m:ctrlPr>
                      <w:rPr>
                        <w:rFonts w:ascii="Cambria Math" w:hAnsi="Cambria Math"/>
                        <w:i/>
                        <w:szCs w:val="24"/>
                      </w:rPr>
                    </m:ctrlPr>
                  </m:sup>
                  <m:e>
                    <m:sSub>
                      <m:sSubPr>
                        <m:ctrlPr>
                          <w:rPr>
                            <w:rFonts w:ascii="Cambria Math" w:hAnsi="Cambria Math"/>
                            <w:i/>
                            <w:szCs w:val="24"/>
                          </w:rPr>
                        </m:ctrlPr>
                      </m:sSubPr>
                      <m:e>
                        <m:r>
                          <w:rPr>
                            <w:rFonts w:ascii="Cambria Math" w:hAnsi="Cambria Math"/>
                            <w:szCs w:val="24"/>
                          </w:rPr>
                          <m:t>w</m:t>
                        </m:r>
                      </m:e>
                      <m:sub>
                        <m:r>
                          <w:rPr>
                            <w:rFonts w:ascii="Cambria Math" w:hAnsi="Cambria Math"/>
                            <w:szCs w:val="24"/>
                          </w:rPr>
                          <m:t>i</m:t>
                        </m:r>
                      </m:sub>
                    </m:sSub>
                    <m:ctrlPr>
                      <w:rPr>
                        <w:rFonts w:ascii="Cambria Math" w:hAnsi="Cambria Math"/>
                        <w:i/>
                        <w:szCs w:val="24"/>
                      </w:rPr>
                    </m:ctrlPr>
                  </m:e>
                </m:nary>
                <m:r>
                  <w:rPr>
                    <w:rFonts w:ascii="Cambria Math" w:hAnsi="Cambria Math"/>
                    <w:szCs w:val="24"/>
                  </w:rPr>
                  <m:t>=1,</m:t>
                </m:r>
              </m:oMath>
            </m:oMathPara>
          </w:p>
        </w:tc>
        <w:tc>
          <w:tcPr>
            <w:tcW w:w="1170" w:type="dxa"/>
            <w:vAlign w:val="center"/>
          </w:tcPr>
          <w:p w14:paraId="4C6EECE9" w14:textId="7787EA4B" w:rsidR="00D36DE4" w:rsidRPr="00E1085E" w:rsidRDefault="00D36DE4" w:rsidP="002023DB">
            <w:pPr>
              <w:rPr>
                <w:szCs w:val="24"/>
              </w:rPr>
            </w:pPr>
            <w:bookmarkStart w:id="421" w:name="_Ref135902845"/>
            <w:r w:rsidRPr="00E1085E">
              <w:rPr>
                <w:szCs w:val="24"/>
              </w:rPr>
              <w:t>(</w:t>
            </w:r>
            <w:r w:rsidRPr="00E1085E">
              <w:rPr>
                <w:szCs w:val="24"/>
              </w:rPr>
              <w:fldChar w:fldCharType="begin"/>
            </w:r>
            <w:r w:rsidRPr="00E1085E">
              <w:rPr>
                <w:szCs w:val="24"/>
              </w:rPr>
              <w:instrText xml:space="preserve"> SEQ equation \* ARABIC </w:instrText>
            </w:r>
            <w:r w:rsidRPr="00E1085E">
              <w:rPr>
                <w:szCs w:val="24"/>
              </w:rPr>
              <w:fldChar w:fldCharType="separate"/>
            </w:r>
            <w:r w:rsidR="000E1725">
              <w:rPr>
                <w:noProof/>
                <w:szCs w:val="24"/>
              </w:rPr>
              <w:t>70</w:t>
            </w:r>
            <w:r w:rsidRPr="00E1085E">
              <w:rPr>
                <w:szCs w:val="24"/>
              </w:rPr>
              <w:fldChar w:fldCharType="end"/>
            </w:r>
            <w:r w:rsidRPr="00E1085E">
              <w:rPr>
                <w:szCs w:val="24"/>
              </w:rPr>
              <w:t>)</w:t>
            </w:r>
            <w:bookmarkEnd w:id="421"/>
          </w:p>
        </w:tc>
      </w:tr>
      <w:tr w:rsidR="00D36DE4" w:rsidRPr="00901943" w14:paraId="4F88C28A" w14:textId="77777777" w:rsidTr="003B538A">
        <w:trPr>
          <w:trHeight w:val="559"/>
        </w:trPr>
        <w:tc>
          <w:tcPr>
            <w:tcW w:w="7830" w:type="dxa"/>
            <w:vAlign w:val="center"/>
          </w:tcPr>
          <w:p w14:paraId="10CD653A" w14:textId="77777777" w:rsidR="00D36DE4" w:rsidRPr="00E1085E" w:rsidRDefault="00000000" w:rsidP="002023DB">
            <w:pPr>
              <w:rPr>
                <w:szCs w:val="24"/>
              </w:rPr>
            </w:pPr>
            <m:oMathPara>
              <m:oMath>
                <m:f>
                  <m:fPr>
                    <m:ctrlPr>
                      <w:rPr>
                        <w:rFonts w:ascii="Cambria Math" w:hAnsi="Cambria Math"/>
                        <w:szCs w:val="24"/>
                      </w:rPr>
                    </m:ctrlPr>
                  </m:fPr>
                  <m:num>
                    <m:sSub>
                      <m:sSubPr>
                        <m:ctrlPr>
                          <w:rPr>
                            <w:rFonts w:ascii="Cambria Math" w:hAnsi="Cambria Math"/>
                            <w:szCs w:val="24"/>
                          </w:rPr>
                        </m:ctrlPr>
                      </m:sSubPr>
                      <m:e>
                        <m:r>
                          <w:rPr>
                            <w:rFonts w:ascii="Cambria Math" w:hAnsi="Cambria Math"/>
                            <w:szCs w:val="24"/>
                          </w:rPr>
                          <m:t>f</m:t>
                        </m:r>
                      </m:e>
                      <m:sub>
                        <m:r>
                          <m:rPr>
                            <m:sty m:val="p"/>
                          </m:rPr>
                          <w:rPr>
                            <w:rFonts w:ascii="Cambria Math" w:hAnsi="Cambria Math"/>
                            <w:szCs w:val="24"/>
                          </w:rPr>
                          <m:t>cost</m:t>
                        </m:r>
                      </m:sub>
                    </m:sSub>
                    <m:ctrlPr>
                      <w:rPr>
                        <w:rFonts w:ascii="Cambria Math" w:hAnsi="Cambria Math"/>
                        <w:i/>
                        <w:szCs w:val="24"/>
                      </w:rPr>
                    </m:ctrlPr>
                  </m:num>
                  <m:den>
                    <m:r>
                      <m:rPr>
                        <m:nor/>
                      </m:rPr>
                      <w:rPr>
                        <w:rFonts w:ascii="Cambria Math" w:hAnsi="Cambria Math"/>
                        <w:szCs w:val="24"/>
                      </w:rPr>
                      <m:t>target cost</m:t>
                    </m:r>
                    <m:ctrlPr>
                      <w:rPr>
                        <w:rFonts w:ascii="Cambria Math" w:hAnsi="Cambria Math"/>
                        <w:i/>
                        <w:szCs w:val="24"/>
                      </w:rPr>
                    </m:ctrlPr>
                  </m:den>
                </m:f>
                <m:r>
                  <w:rPr>
                    <w:rFonts w:ascii="Cambria Math" w:hAnsi="Cambria Math"/>
                    <w:szCs w:val="24"/>
                  </w:rPr>
                  <m:t>-</m:t>
                </m:r>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1</m:t>
                    </m:r>
                  </m:sub>
                  <m:sup>
                    <m:r>
                      <w:rPr>
                        <w:rFonts w:ascii="Cambria Math" w:hAnsi="Cambria Math"/>
                        <w:szCs w:val="24"/>
                      </w:rPr>
                      <m:t>+</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1</m:t>
                    </m:r>
                  </m:sub>
                  <m:sup>
                    <m:r>
                      <w:rPr>
                        <w:rFonts w:ascii="Cambria Math" w:hAnsi="Cambria Math"/>
                        <w:szCs w:val="24"/>
                      </w:rPr>
                      <m:t>-</m:t>
                    </m:r>
                  </m:sup>
                </m:sSubSup>
                <m:r>
                  <w:rPr>
                    <w:rFonts w:ascii="Cambria Math" w:hAnsi="Cambria Math"/>
                    <w:szCs w:val="24"/>
                  </w:rPr>
                  <m:t>=1,</m:t>
                </m:r>
              </m:oMath>
            </m:oMathPara>
          </w:p>
        </w:tc>
        <w:tc>
          <w:tcPr>
            <w:tcW w:w="1170" w:type="dxa"/>
            <w:vAlign w:val="center"/>
          </w:tcPr>
          <w:p w14:paraId="32B11BEB" w14:textId="208585F4" w:rsidR="00D36DE4" w:rsidRPr="00E1085E" w:rsidRDefault="00D36DE4" w:rsidP="002023DB">
            <w:pPr>
              <w:rPr>
                <w:szCs w:val="24"/>
              </w:rPr>
            </w:pPr>
            <w:r w:rsidRPr="00E1085E">
              <w:rPr>
                <w:szCs w:val="24"/>
              </w:rPr>
              <w:t>(</w:t>
            </w:r>
            <w:r w:rsidRPr="00E1085E">
              <w:rPr>
                <w:szCs w:val="24"/>
              </w:rPr>
              <w:fldChar w:fldCharType="begin"/>
            </w:r>
            <w:r w:rsidRPr="00E1085E">
              <w:rPr>
                <w:szCs w:val="24"/>
              </w:rPr>
              <w:instrText xml:space="preserve"> SEQ equation \* ARABIC </w:instrText>
            </w:r>
            <w:r w:rsidRPr="00E1085E">
              <w:rPr>
                <w:szCs w:val="24"/>
              </w:rPr>
              <w:fldChar w:fldCharType="separate"/>
            </w:r>
            <w:r w:rsidR="000E1725">
              <w:rPr>
                <w:noProof/>
                <w:szCs w:val="24"/>
              </w:rPr>
              <w:t>71</w:t>
            </w:r>
            <w:r w:rsidRPr="00E1085E">
              <w:rPr>
                <w:szCs w:val="24"/>
              </w:rPr>
              <w:fldChar w:fldCharType="end"/>
            </w:r>
            <w:r w:rsidRPr="00E1085E">
              <w:rPr>
                <w:szCs w:val="24"/>
              </w:rPr>
              <w:t>)</w:t>
            </w:r>
          </w:p>
        </w:tc>
      </w:tr>
      <w:tr w:rsidR="00D36DE4" w:rsidRPr="00901943" w14:paraId="0D79BC5D" w14:textId="77777777" w:rsidTr="003B538A">
        <w:trPr>
          <w:trHeight w:val="559"/>
        </w:trPr>
        <w:tc>
          <w:tcPr>
            <w:tcW w:w="7830" w:type="dxa"/>
            <w:vAlign w:val="center"/>
          </w:tcPr>
          <w:p w14:paraId="4C9BFC80" w14:textId="77777777" w:rsidR="00D36DE4" w:rsidRPr="00E1085E" w:rsidRDefault="00000000" w:rsidP="002023DB">
            <w:pPr>
              <w:rPr>
                <w:szCs w:val="24"/>
              </w:rPr>
            </w:pPr>
            <m:oMathPara>
              <m:oMath>
                <m:f>
                  <m:fPr>
                    <m:ctrlPr>
                      <w:rPr>
                        <w:rFonts w:ascii="Cambria Math" w:hAnsi="Cambria Math"/>
                        <w:szCs w:val="24"/>
                      </w:rPr>
                    </m:ctrlPr>
                  </m:fPr>
                  <m:num>
                    <m:sSub>
                      <m:sSubPr>
                        <m:ctrlPr>
                          <w:rPr>
                            <w:rFonts w:ascii="Cambria Math" w:hAnsi="Cambria Math"/>
                            <w:i/>
                            <w:szCs w:val="24"/>
                          </w:rPr>
                        </m:ctrlPr>
                      </m:sSubPr>
                      <m:e>
                        <m:r>
                          <w:rPr>
                            <w:rFonts w:ascii="Cambria Math" w:hAnsi="Cambria Math"/>
                            <w:szCs w:val="24"/>
                          </w:rPr>
                          <m:t>f</m:t>
                        </m:r>
                      </m:e>
                      <m:sub>
                        <m:r>
                          <m:rPr>
                            <m:sty m:val="p"/>
                          </m:rPr>
                          <w:rPr>
                            <w:rFonts w:ascii="Cambria Math" w:hAnsi="Cambria Math"/>
                            <w:szCs w:val="24"/>
                          </w:rPr>
                          <m:t>comfort</m:t>
                        </m:r>
                      </m:sub>
                    </m:sSub>
                    <m:ctrlPr>
                      <w:rPr>
                        <w:rFonts w:ascii="Cambria Math" w:hAnsi="Cambria Math"/>
                        <w:i/>
                        <w:szCs w:val="24"/>
                      </w:rPr>
                    </m:ctrlPr>
                  </m:num>
                  <m:den>
                    <m:r>
                      <m:rPr>
                        <m:nor/>
                      </m:rPr>
                      <w:rPr>
                        <w:rFonts w:ascii="Cambria Math" w:hAnsi="Cambria Math"/>
                        <w:szCs w:val="24"/>
                      </w:rPr>
                      <m:t>target comfort</m:t>
                    </m:r>
                    <m:ctrlPr>
                      <w:rPr>
                        <w:rFonts w:ascii="Cambria Math" w:hAnsi="Cambria Math"/>
                        <w:i/>
                        <w:szCs w:val="24"/>
                      </w:rPr>
                    </m:ctrlPr>
                  </m:den>
                </m:f>
                <m:r>
                  <w:rPr>
                    <w:rFonts w:ascii="Cambria Math" w:hAnsi="Cambria Math"/>
                    <w:szCs w:val="24"/>
                  </w:rPr>
                  <m:t>-</m:t>
                </m:r>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2</m:t>
                    </m:r>
                  </m:sub>
                  <m:sup>
                    <m:r>
                      <w:rPr>
                        <w:rFonts w:ascii="Cambria Math" w:hAnsi="Cambria Math"/>
                        <w:szCs w:val="24"/>
                      </w:rPr>
                      <m:t>+</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2</m:t>
                    </m:r>
                  </m:sub>
                  <m:sup>
                    <m:r>
                      <w:rPr>
                        <w:rFonts w:ascii="Cambria Math" w:hAnsi="Cambria Math"/>
                        <w:szCs w:val="24"/>
                      </w:rPr>
                      <m:t>-</m:t>
                    </m:r>
                  </m:sup>
                </m:sSubSup>
                <m:r>
                  <w:rPr>
                    <w:rFonts w:ascii="Cambria Math" w:hAnsi="Cambria Math"/>
                    <w:szCs w:val="24"/>
                  </w:rPr>
                  <m:t>=1,</m:t>
                </m:r>
              </m:oMath>
            </m:oMathPara>
          </w:p>
        </w:tc>
        <w:tc>
          <w:tcPr>
            <w:tcW w:w="1170" w:type="dxa"/>
            <w:vAlign w:val="center"/>
          </w:tcPr>
          <w:p w14:paraId="1732A893" w14:textId="4454DC7C" w:rsidR="00D36DE4" w:rsidRPr="00E1085E" w:rsidRDefault="00D36DE4" w:rsidP="002023DB">
            <w:pPr>
              <w:rPr>
                <w:szCs w:val="24"/>
              </w:rPr>
            </w:pPr>
            <w:bookmarkStart w:id="422" w:name="_Ref135902917"/>
            <w:r w:rsidRPr="00E1085E">
              <w:rPr>
                <w:szCs w:val="24"/>
              </w:rPr>
              <w:t>(</w:t>
            </w:r>
            <w:r w:rsidRPr="00E1085E">
              <w:rPr>
                <w:szCs w:val="24"/>
              </w:rPr>
              <w:fldChar w:fldCharType="begin"/>
            </w:r>
            <w:r w:rsidRPr="00E1085E">
              <w:rPr>
                <w:szCs w:val="24"/>
              </w:rPr>
              <w:instrText xml:space="preserve"> SEQ equation \* ARABIC </w:instrText>
            </w:r>
            <w:r w:rsidRPr="00E1085E">
              <w:rPr>
                <w:szCs w:val="24"/>
              </w:rPr>
              <w:fldChar w:fldCharType="separate"/>
            </w:r>
            <w:r w:rsidR="000E1725">
              <w:rPr>
                <w:noProof/>
                <w:szCs w:val="24"/>
              </w:rPr>
              <w:t>72</w:t>
            </w:r>
            <w:r w:rsidRPr="00E1085E">
              <w:rPr>
                <w:szCs w:val="24"/>
              </w:rPr>
              <w:fldChar w:fldCharType="end"/>
            </w:r>
            <w:r w:rsidRPr="00E1085E">
              <w:rPr>
                <w:szCs w:val="24"/>
              </w:rPr>
              <w:t>)</w:t>
            </w:r>
            <w:bookmarkEnd w:id="422"/>
          </w:p>
        </w:tc>
      </w:tr>
      <w:tr w:rsidR="00D36DE4" w:rsidRPr="00901943" w14:paraId="4651905B" w14:textId="77777777" w:rsidTr="003B538A">
        <w:trPr>
          <w:trHeight w:val="559"/>
        </w:trPr>
        <w:tc>
          <w:tcPr>
            <w:tcW w:w="7830" w:type="dxa"/>
            <w:vAlign w:val="center"/>
          </w:tcPr>
          <w:p w14:paraId="123BEEAA" w14:textId="77777777" w:rsidR="00D36DE4" w:rsidRPr="00E1085E" w:rsidRDefault="00000000" w:rsidP="002023DB">
            <w:pPr>
              <w:rPr>
                <w:szCs w:val="24"/>
              </w:rPr>
            </w:pPr>
            <m:oMathPara>
              <m:oMath>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i</m:t>
                    </m:r>
                  </m:sub>
                  <m:sup>
                    <m:r>
                      <w:rPr>
                        <w:rFonts w:ascii="Cambria Math" w:hAnsi="Cambria Math"/>
                        <w:szCs w:val="24"/>
                      </w:rPr>
                      <m:t>+</m:t>
                    </m:r>
                  </m:sup>
                </m:sSubSup>
                <m:r>
                  <m:rPr>
                    <m:sty m:val="p"/>
                  </m:rPr>
                  <w:rPr>
                    <w:rFonts w:ascii="Cambria Math" w:hAnsi="Cambria Math" w:hint="eastAsia"/>
                    <w:szCs w:val="24"/>
                  </w:rPr>
                  <m:t>×</m:t>
                </m:r>
                <m:sSubSup>
                  <m:sSubSupPr>
                    <m:ctrlPr>
                      <w:rPr>
                        <w:rFonts w:ascii="Cambria Math" w:hAnsi="Cambria Math"/>
                        <w:i/>
                        <w:szCs w:val="24"/>
                      </w:rPr>
                    </m:ctrlPr>
                  </m:sSubSupPr>
                  <m:e>
                    <m:r>
                      <w:rPr>
                        <w:rFonts w:ascii="Cambria Math" w:hAnsi="Cambria Math"/>
                        <w:szCs w:val="24"/>
                      </w:rPr>
                      <m:t>d</m:t>
                    </m:r>
                    <m:ctrlPr>
                      <w:rPr>
                        <w:rFonts w:ascii="Cambria Math" w:hAnsi="Cambria Math"/>
                        <w:szCs w:val="24"/>
                      </w:rPr>
                    </m:ctrlPr>
                  </m:e>
                  <m:sub>
                    <m:r>
                      <w:rPr>
                        <w:rFonts w:ascii="Cambria Math" w:hAnsi="Cambria Math"/>
                        <w:szCs w:val="24"/>
                      </w:rPr>
                      <m:t>i</m:t>
                    </m:r>
                  </m:sub>
                  <m:sup>
                    <m:r>
                      <w:rPr>
                        <w:rFonts w:ascii="Cambria Math" w:hAnsi="Cambria Math"/>
                        <w:szCs w:val="24"/>
                      </w:rPr>
                      <m:t>-</m:t>
                    </m:r>
                  </m:sup>
                </m:sSubSup>
                <m:r>
                  <w:rPr>
                    <w:rFonts w:ascii="Cambria Math" w:hAnsi="Cambria Math"/>
                    <w:szCs w:val="24"/>
                  </w:rPr>
                  <m:t>=0    </m:t>
                </m:r>
                <m:r>
                  <m:rPr>
                    <m:sty m:val="p"/>
                  </m:rPr>
                  <w:rPr>
                    <w:rFonts w:ascii="Cambria Math" w:hAnsi="Cambria Math"/>
                    <w:szCs w:val="24"/>
                  </w:rPr>
                  <m:t>∀</m:t>
                </m:r>
                <m:r>
                  <w:rPr>
                    <w:rFonts w:ascii="Cambria Math" w:hAnsi="Cambria Math"/>
                    <w:szCs w:val="24"/>
                  </w:rPr>
                  <m:t>i,</m:t>
                </m:r>
              </m:oMath>
            </m:oMathPara>
          </w:p>
        </w:tc>
        <w:tc>
          <w:tcPr>
            <w:tcW w:w="1170" w:type="dxa"/>
            <w:vAlign w:val="center"/>
          </w:tcPr>
          <w:p w14:paraId="203FB00C" w14:textId="12DEA999" w:rsidR="00D36DE4" w:rsidRPr="00E1085E" w:rsidRDefault="00D36DE4" w:rsidP="002023DB">
            <w:pPr>
              <w:rPr>
                <w:szCs w:val="24"/>
              </w:rPr>
            </w:pPr>
            <w:bookmarkStart w:id="423" w:name="_Ref135902964"/>
            <w:r w:rsidRPr="00E1085E">
              <w:rPr>
                <w:szCs w:val="24"/>
              </w:rPr>
              <w:t>(</w:t>
            </w:r>
            <w:r w:rsidRPr="00E1085E">
              <w:rPr>
                <w:szCs w:val="24"/>
              </w:rPr>
              <w:fldChar w:fldCharType="begin"/>
            </w:r>
            <w:r w:rsidRPr="00E1085E">
              <w:rPr>
                <w:szCs w:val="24"/>
              </w:rPr>
              <w:instrText xml:space="preserve"> SEQ equation \* ARABIC </w:instrText>
            </w:r>
            <w:r w:rsidRPr="00E1085E">
              <w:rPr>
                <w:szCs w:val="24"/>
              </w:rPr>
              <w:fldChar w:fldCharType="separate"/>
            </w:r>
            <w:r w:rsidR="000E1725">
              <w:rPr>
                <w:noProof/>
                <w:szCs w:val="24"/>
              </w:rPr>
              <w:t>73</w:t>
            </w:r>
            <w:r w:rsidRPr="00E1085E">
              <w:rPr>
                <w:szCs w:val="24"/>
              </w:rPr>
              <w:fldChar w:fldCharType="end"/>
            </w:r>
            <w:r w:rsidRPr="00E1085E">
              <w:rPr>
                <w:szCs w:val="24"/>
              </w:rPr>
              <w:t>)</w:t>
            </w:r>
            <w:bookmarkEnd w:id="423"/>
          </w:p>
        </w:tc>
      </w:tr>
      <w:tr w:rsidR="00D36DE4" w:rsidRPr="00901943" w14:paraId="21E592C8" w14:textId="77777777" w:rsidTr="003B538A">
        <w:trPr>
          <w:trHeight w:val="559"/>
        </w:trPr>
        <w:tc>
          <w:tcPr>
            <w:tcW w:w="7830" w:type="dxa"/>
            <w:vAlign w:val="center"/>
          </w:tcPr>
          <w:p w14:paraId="421BBE49" w14:textId="77777777" w:rsidR="00D36DE4" w:rsidRPr="00E1085E" w:rsidRDefault="00000000" w:rsidP="002023DB">
            <w:pPr>
              <w:rPr>
                <w:szCs w:val="24"/>
              </w:rPr>
            </w:pPr>
            <m:oMathPara>
              <m:oMath>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i</m:t>
                    </m:r>
                  </m:sub>
                  <m:sup>
                    <m:r>
                      <w:rPr>
                        <w:rFonts w:ascii="Cambria Math" w:hAnsi="Cambria Math"/>
                        <w:szCs w:val="24"/>
                      </w:rPr>
                      <m:t>+</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i</m:t>
                    </m:r>
                  </m:sub>
                  <m:sup>
                    <m:r>
                      <w:rPr>
                        <w:rFonts w:ascii="Cambria Math" w:hAnsi="Cambria Math"/>
                        <w:szCs w:val="24"/>
                      </w:rPr>
                      <m:t>-</m:t>
                    </m:r>
                  </m:sup>
                </m:sSubSup>
                <m:r>
                  <m:rPr>
                    <m:sty m:val="p"/>
                  </m:rPr>
                  <w:rPr>
                    <w:rFonts w:ascii="Cambria Math" w:hAnsi="Cambria Math" w:hint="eastAsia"/>
                    <w:szCs w:val="24"/>
                  </w:rPr>
                  <m:t>≥</m:t>
                </m:r>
                <m:r>
                  <w:rPr>
                    <w:rFonts w:ascii="Cambria Math" w:hAnsi="Cambria Math"/>
                    <w:szCs w:val="24"/>
                  </w:rPr>
                  <m:t>0</m:t>
                </m:r>
                <m:r>
                  <m:rPr>
                    <m:sty m:val="p"/>
                  </m:rPr>
                  <w:rPr>
                    <w:rFonts w:ascii="Cambria Math" w:hAnsi="Cambria Math"/>
                    <w:szCs w:val="24"/>
                  </w:rPr>
                  <m:t xml:space="preserve">   ∀</m:t>
                </m:r>
                <m:r>
                  <w:rPr>
                    <w:rFonts w:ascii="Cambria Math" w:hAnsi="Cambria Math"/>
                    <w:szCs w:val="24"/>
                  </w:rPr>
                  <m:t>i.</m:t>
                </m:r>
              </m:oMath>
            </m:oMathPara>
          </w:p>
        </w:tc>
        <w:tc>
          <w:tcPr>
            <w:tcW w:w="1170" w:type="dxa"/>
            <w:vAlign w:val="center"/>
          </w:tcPr>
          <w:p w14:paraId="3D5FDE72" w14:textId="4037F504" w:rsidR="00D36DE4" w:rsidRPr="00E1085E" w:rsidRDefault="00D36DE4" w:rsidP="002023DB">
            <w:pPr>
              <w:rPr>
                <w:szCs w:val="24"/>
              </w:rPr>
            </w:pPr>
            <w:bookmarkStart w:id="424" w:name="_Ref135902967"/>
            <w:r w:rsidRPr="00E1085E">
              <w:rPr>
                <w:szCs w:val="24"/>
              </w:rPr>
              <w:t>(</w:t>
            </w:r>
            <w:r w:rsidRPr="00E1085E">
              <w:rPr>
                <w:szCs w:val="24"/>
              </w:rPr>
              <w:fldChar w:fldCharType="begin"/>
            </w:r>
            <w:r w:rsidRPr="00E1085E">
              <w:rPr>
                <w:szCs w:val="24"/>
              </w:rPr>
              <w:instrText xml:space="preserve"> SEQ equation \* ARABIC </w:instrText>
            </w:r>
            <w:r w:rsidRPr="00E1085E">
              <w:rPr>
                <w:szCs w:val="24"/>
              </w:rPr>
              <w:fldChar w:fldCharType="separate"/>
            </w:r>
            <w:r w:rsidR="000E1725">
              <w:rPr>
                <w:noProof/>
                <w:szCs w:val="24"/>
              </w:rPr>
              <w:t>74</w:t>
            </w:r>
            <w:r w:rsidRPr="00E1085E">
              <w:rPr>
                <w:szCs w:val="24"/>
              </w:rPr>
              <w:fldChar w:fldCharType="end"/>
            </w:r>
            <w:r w:rsidRPr="00E1085E">
              <w:rPr>
                <w:szCs w:val="24"/>
              </w:rPr>
              <w:t>)</w:t>
            </w:r>
            <w:bookmarkEnd w:id="424"/>
          </w:p>
        </w:tc>
      </w:tr>
    </w:tbl>
    <w:p w14:paraId="7F3CD48D" w14:textId="136AF65A" w:rsidR="00D36DE4" w:rsidRPr="001D2DFA" w:rsidRDefault="00D36DE4" w:rsidP="00D36DE4">
      <w:pPr>
        <w:rPr>
          <w:lang w:eastAsia="en-GB"/>
        </w:rPr>
      </w:pPr>
      <w:r w:rsidRPr="00901943">
        <w:t xml:space="preserve">To ensure effective control over the weights of each objective, constraint </w:t>
      </w:r>
      <w:r w:rsidRPr="00901943">
        <w:fldChar w:fldCharType="begin"/>
      </w:r>
      <w:r w:rsidRPr="00901943">
        <w:instrText xml:space="preserve"> REF _Ref135902845 \h  \* MERGEFORMAT </w:instrText>
      </w:r>
      <w:r w:rsidRPr="00901943">
        <w:fldChar w:fldCharType="separate"/>
      </w:r>
      <w:r w:rsidR="000E1725" w:rsidRPr="000E1725">
        <w:t>(</w:t>
      </w:r>
      <w:r w:rsidR="000E1725" w:rsidRPr="000E1725">
        <w:rPr>
          <w:noProof/>
        </w:rPr>
        <w:t>70</w:t>
      </w:r>
      <w:r w:rsidR="000E1725" w:rsidRPr="000E1725">
        <w:t>)</w:t>
      </w:r>
      <w:r w:rsidRPr="00901943">
        <w:fldChar w:fldCharType="end"/>
      </w:r>
      <w:r w:rsidRPr="00901943">
        <w:t xml:space="preserve"> regulates the sum of weights to be 1. To make sure that the distance between the objective on cost (comfort) and the target cost (target comfort) is normalized, constraint (18) (constraint </w:t>
      </w:r>
      <w:r w:rsidRPr="00901943">
        <w:fldChar w:fldCharType="begin"/>
      </w:r>
      <w:r w:rsidRPr="00901943">
        <w:instrText xml:space="preserve"> REF _Ref135902917 \h  \* MERGEFORMAT </w:instrText>
      </w:r>
      <w:r w:rsidRPr="00901943">
        <w:fldChar w:fldCharType="separate"/>
      </w:r>
      <w:r w:rsidR="000E1725" w:rsidRPr="000E1725">
        <w:t>(</w:t>
      </w:r>
      <w:r w:rsidR="000E1725" w:rsidRPr="000E1725">
        <w:rPr>
          <w:noProof/>
        </w:rPr>
        <w:t>72</w:t>
      </w:r>
      <w:r w:rsidR="000E1725" w:rsidRPr="000E1725">
        <w:t>)</w:t>
      </w:r>
      <w:r w:rsidRPr="00901943">
        <w:fldChar w:fldCharType="end"/>
      </w:r>
      <w:r w:rsidRPr="00901943">
        <w:t xml:space="preserve">) is included. The target cost (target comfort) is the objective by solving the </w:t>
      </w:r>
      <w:r>
        <w:t>single-objective</w:t>
      </w:r>
      <w:r w:rsidRPr="00901943">
        <w:t xml:space="preserve"> optimization problem. Finally, </w:t>
      </w:r>
      <w:r>
        <w:t>constraints</w:t>
      </w:r>
      <w:r w:rsidRPr="00901943">
        <w:t xml:space="preserve"> </w:t>
      </w:r>
      <w:r w:rsidRPr="00901943">
        <w:fldChar w:fldCharType="begin"/>
      </w:r>
      <w:r w:rsidRPr="00901943">
        <w:instrText xml:space="preserve"> REF _Ref135902964 \h  \* MERGEFORMAT </w:instrText>
      </w:r>
      <w:r w:rsidRPr="00901943">
        <w:fldChar w:fldCharType="separate"/>
      </w:r>
      <w:r w:rsidR="000E1725" w:rsidRPr="000E1725">
        <w:t>(</w:t>
      </w:r>
      <w:r w:rsidR="000E1725" w:rsidRPr="000E1725">
        <w:rPr>
          <w:noProof/>
        </w:rPr>
        <w:t>73</w:t>
      </w:r>
      <w:r w:rsidR="000E1725" w:rsidRPr="000E1725">
        <w:t>)</w:t>
      </w:r>
      <w:r w:rsidRPr="00901943">
        <w:fldChar w:fldCharType="end"/>
      </w:r>
      <w:r w:rsidRPr="00901943">
        <w:t xml:space="preserve"> and </w:t>
      </w:r>
      <w:r w:rsidRPr="00901943">
        <w:fldChar w:fldCharType="begin"/>
      </w:r>
      <w:r w:rsidRPr="00901943">
        <w:instrText xml:space="preserve"> REF _Ref135902967 \h  \* MERGEFORMAT </w:instrText>
      </w:r>
      <w:r w:rsidRPr="00901943">
        <w:fldChar w:fldCharType="separate"/>
      </w:r>
      <w:r w:rsidR="000E1725" w:rsidRPr="000E1725">
        <w:t>(</w:t>
      </w:r>
      <w:r w:rsidR="000E1725" w:rsidRPr="000E1725">
        <w:rPr>
          <w:noProof/>
        </w:rPr>
        <w:t>74</w:t>
      </w:r>
      <w:r w:rsidR="000E1725" w:rsidRPr="000E1725">
        <w:t>)</w:t>
      </w:r>
      <w:r w:rsidRPr="00901943">
        <w:fldChar w:fldCharType="end"/>
      </w:r>
      <w:r w:rsidRPr="00901943">
        <w:t xml:space="preserve"> indicate that </w:t>
      </w:r>
      <m:oMath>
        <m:sSup>
          <m:sSupPr>
            <m:ctrlPr>
              <w:rPr>
                <w:rFonts w:ascii="Cambria Math" w:hAnsi="Cambria Math"/>
                <w:i/>
              </w:rPr>
            </m:ctrlPr>
          </m:sSupPr>
          <m:e>
            <m:r>
              <w:rPr>
                <w:rFonts w:ascii="Cambria Math" w:hAnsi="Cambria Math"/>
              </w:rPr>
              <m:t>d</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m:t>
            </m:r>
          </m:sup>
        </m:sSup>
        <m:r>
          <w:rPr>
            <w:rFonts w:ascii="Cambria Math" w:hAnsi="Cambria Math"/>
          </w:rPr>
          <m:t>)</m:t>
        </m:r>
      </m:oMath>
      <w:r w:rsidRPr="00901943" w:rsidDel="00703E57">
        <w:t xml:space="preserve"> </w:t>
      </w:r>
      <w:r w:rsidRPr="00901943">
        <w:t>will be zero if the other one is non-negative.</w:t>
      </w:r>
      <w:r w:rsidRPr="00901943" w:rsidDel="00703E57">
        <w:t xml:space="preserve"> </w:t>
      </w:r>
      <w:r w:rsidRPr="00901943">
        <w:t xml:space="preserve">By combining </w:t>
      </w:r>
      <w:r w:rsidRPr="00901943">
        <w:fldChar w:fldCharType="begin"/>
      </w:r>
      <w:r w:rsidRPr="00901943">
        <w:instrText xml:space="preserve"> REF _Ref135903001 \h  \* MERGEFORMAT </w:instrText>
      </w:r>
      <w:r w:rsidRPr="00901943">
        <w:fldChar w:fldCharType="separate"/>
      </w:r>
      <w:r w:rsidR="000E1725" w:rsidRPr="000E1725">
        <w:t>(</w:t>
      </w:r>
      <w:r w:rsidR="000E1725" w:rsidRPr="000E1725">
        <w:rPr>
          <w:noProof/>
        </w:rPr>
        <w:t>69</w:t>
      </w:r>
      <w:r w:rsidR="000E1725" w:rsidRPr="000E1725">
        <w:t>)</w:t>
      </w:r>
      <w:r w:rsidRPr="00901943">
        <w:fldChar w:fldCharType="end"/>
      </w:r>
      <w:r w:rsidRPr="00901943">
        <w:t>–</w:t>
      </w:r>
      <w:r w:rsidRPr="00901943">
        <w:fldChar w:fldCharType="begin"/>
      </w:r>
      <w:r w:rsidRPr="00901943">
        <w:instrText xml:space="preserve"> REF _Ref135902967 \h  \* MERGEFORMAT </w:instrText>
      </w:r>
      <w:r w:rsidRPr="00901943">
        <w:fldChar w:fldCharType="separate"/>
      </w:r>
      <w:r w:rsidR="000E1725" w:rsidRPr="000E1725">
        <w:t>(</w:t>
      </w:r>
      <w:r w:rsidR="000E1725" w:rsidRPr="000E1725">
        <w:rPr>
          <w:noProof/>
        </w:rPr>
        <w:t>74</w:t>
      </w:r>
      <w:r w:rsidR="000E1725" w:rsidRPr="000E1725">
        <w:t>)</w:t>
      </w:r>
      <w:r w:rsidRPr="00901943">
        <w:fldChar w:fldCharType="end"/>
      </w:r>
      <w:r w:rsidRPr="00901943">
        <w:t xml:space="preserve">, the weights in the objective function represent the user’s </w:t>
      </w:r>
      <w:r>
        <w:t>intention</w:t>
      </w:r>
      <w:r w:rsidRPr="00901943">
        <w:t xml:space="preserve"> on cost and comfort because the two objectives are normalized and </w:t>
      </w:r>
      <w:r>
        <w:t xml:space="preserve">the </w:t>
      </w:r>
      <w:r w:rsidRPr="00901943">
        <w:t>sum of weights is constrained.</w:t>
      </w:r>
      <w:r>
        <w:t xml:space="preserve"> </w:t>
      </w:r>
    </w:p>
    <w:p w14:paraId="5BB31384" w14:textId="77777777" w:rsidR="00D36DE4" w:rsidRPr="0049232A" w:rsidRDefault="00D36DE4" w:rsidP="00D36DE4">
      <w:pPr>
        <w:pStyle w:val="Heading2"/>
      </w:pPr>
      <w:bookmarkStart w:id="425" w:name="_Toc141991742"/>
      <w:r>
        <w:t>Case Study</w:t>
      </w:r>
      <w:bookmarkEnd w:id="425"/>
      <w:r>
        <w:t xml:space="preserve"> </w:t>
      </w:r>
    </w:p>
    <w:p w14:paraId="0000972F" w14:textId="1783BD55" w:rsidR="00D36DE4" w:rsidRDefault="00D36DE4" w:rsidP="00D36DE4">
      <w:r w:rsidRPr="008368C6">
        <w:t xml:space="preserve">This section provides information and specification </w:t>
      </w:r>
      <w:r>
        <w:t>for</w:t>
      </w:r>
      <w:r w:rsidRPr="008368C6">
        <w:t xml:space="preserve"> the simulation study. In the simulation, </w:t>
      </w:r>
      <w:r>
        <w:t xml:space="preserve">the </w:t>
      </w:r>
      <w:r w:rsidRPr="008368C6">
        <w:t>schedul</w:t>
      </w:r>
      <w:r>
        <w:t xml:space="preserve">ing period of </w:t>
      </w:r>
      <w:r w:rsidRPr="008368C6">
        <w:t xml:space="preserve">each appliance </w:t>
      </w:r>
      <w:r>
        <w:t>is 24 hours</w:t>
      </w:r>
      <w:r w:rsidRPr="008368C6">
        <w:t xml:space="preserve"> </w:t>
      </w:r>
      <w:r w:rsidRPr="00B02ACC">
        <w:rPr>
          <w:rFonts w:ascii="Times" w:hAnsi="Times"/>
        </w:rPr>
        <w:t xml:space="preserve">with a 10-minute time interval. Hence, if </w:t>
      </w:r>
      <m:oMath>
        <m:r>
          <w:rPr>
            <w:rFonts w:ascii="Cambria Math" w:hAnsi="Cambria Math"/>
          </w:rPr>
          <m:t>k</m:t>
        </m:r>
        <m:r>
          <m:rPr>
            <m:sty m:val="p"/>
          </m:rPr>
          <w:rPr>
            <w:rFonts w:ascii="Cambria Math" w:hAnsi="Cambria Math"/>
          </w:rPr>
          <m:t>∈</m:t>
        </m:r>
        <m:r>
          <w:rPr>
            <w:rFonts w:ascii="Cambria Math" w:hAnsi="Cambria Math"/>
          </w:rPr>
          <m:t>K</m:t>
        </m:r>
        <m:r>
          <m:rPr>
            <m:sty m:val="p"/>
          </m:rPr>
          <w:rPr>
            <w:rFonts w:ascii="Cambria Math" w:hAnsi="Cambria Math"/>
          </w:rPr>
          <m:t xml:space="preserve"> = </m:t>
        </m:r>
        <m:r>
          <m:rPr>
            <m:lit/>
            <m:sty m:val="p"/>
          </m:rPr>
          <w:rPr>
            <w:rFonts w:ascii="Cambria Math" w:hAnsi="Cambria Math"/>
          </w:rPr>
          <m:t>{</m:t>
        </m:r>
        <m:r>
          <m:rPr>
            <m:sty m:val="p"/>
          </m:rPr>
          <w:rPr>
            <w:rFonts w:ascii="Cambria Math" w:hAnsi="Cambria Math"/>
          </w:rPr>
          <m:t xml:space="preserve">1, 2, . . . </m:t>
        </m:r>
        <m:r>
          <w:rPr>
            <w:rFonts w:ascii="Cambria Math" w:hAnsi="Cambria Math"/>
          </w:rPr>
          <m:t>m</m:t>
        </m:r>
        <m:r>
          <m:rPr>
            <m:lit/>
            <m:sty m:val="p"/>
          </m:rPr>
          <w:rPr>
            <w:rFonts w:ascii="Cambria Math" w:hAnsi="Cambria Math"/>
          </w:rPr>
          <m:t>}</m:t>
        </m:r>
      </m:oMath>
      <w:r w:rsidRPr="00B02ACC">
        <w:rPr>
          <w:rFonts w:ascii="Times" w:hAnsi="Times"/>
        </w:rPr>
        <w:t xml:space="preserve"> denotes each time slot of </w:t>
      </w:r>
      <w:r>
        <w:rPr>
          <w:rFonts w:ascii="Times" w:hAnsi="Times"/>
        </w:rPr>
        <w:t xml:space="preserve">the </w:t>
      </w:r>
      <w:r w:rsidRPr="00B02ACC">
        <w:rPr>
          <w:rFonts w:ascii="Times" w:hAnsi="Times"/>
        </w:rPr>
        <w:t xml:space="preserve">scheduling period, then </w:t>
      </w:r>
      <m:oMath>
        <m:r>
          <w:rPr>
            <w:rFonts w:ascii="Cambria Math" w:hAnsi="Cambria Math"/>
          </w:rPr>
          <m:t>m</m:t>
        </m:r>
        <m:r>
          <m:rPr>
            <m:sty m:val="p"/>
          </m:rPr>
          <w:rPr>
            <w:rFonts w:ascii="Cambria Math" w:hAnsi="Cambria Math"/>
          </w:rPr>
          <m:t xml:space="preserve"> =</m:t>
        </m:r>
        <m:r>
          <m:rPr>
            <m:sty m:val="p"/>
          </m:rPr>
          <w:rPr>
            <w:rFonts w:ascii="Cambria Math" w:hAnsi="Cambria Math"/>
          </w:rPr>
          <w:lastRenderedPageBreak/>
          <m:t xml:space="preserve"> 144</m:t>
        </m:r>
      </m:oMath>
      <w:r w:rsidRPr="00B02ACC">
        <w:rPr>
          <w:rFonts w:ascii="Times" w:hAnsi="Times"/>
        </w:rPr>
        <w:t>. Three non-thermal appliances, namely a clothes washer, a clothes dryer, and a dishwasher, and two thermal appliances, an HVAC system</w:t>
      </w:r>
      <w:r>
        <w:rPr>
          <w:rFonts w:ascii="Times" w:hAnsi="Times"/>
        </w:rPr>
        <w:t xml:space="preserve">, </w:t>
      </w:r>
      <w:r w:rsidRPr="00B02ACC">
        <w:rPr>
          <w:rFonts w:ascii="Times" w:hAnsi="Times"/>
        </w:rPr>
        <w:t>an electric water heater,</w:t>
      </w:r>
      <w:r>
        <w:rPr>
          <w:rFonts w:ascii="Times" w:hAnsi="Times"/>
        </w:rPr>
        <w:t xml:space="preserve"> a PV panel, and a home battery</w:t>
      </w:r>
      <w:r w:rsidRPr="00B02ACC">
        <w:rPr>
          <w:rFonts w:ascii="Times" w:hAnsi="Times"/>
        </w:rPr>
        <w:t xml:space="preserve"> are considered in the test problem.</w:t>
      </w:r>
      <w:r w:rsidRPr="008368C6">
        <w:t xml:space="preserve"> The water heater and the HVAC system have behaviors that are determined by the governing equations </w:t>
      </w:r>
      <w:r w:rsidRPr="00403C74">
        <w:t xml:space="preserve">discussed in </w:t>
      </w:r>
      <w:r w:rsidRPr="00977743">
        <w:t>Chapter</w:t>
      </w:r>
      <w:r w:rsidR="00403C74" w:rsidRPr="00977743">
        <w:t xml:space="preserve"> </w:t>
      </w:r>
      <w:r w:rsidR="00403C74" w:rsidRPr="00977743">
        <w:fldChar w:fldCharType="begin"/>
      </w:r>
      <w:r w:rsidR="00403C74" w:rsidRPr="00977743">
        <w:instrText xml:space="preserve"> REF _Ref139416841 \n \h </w:instrText>
      </w:r>
      <w:r w:rsidR="00403C74">
        <w:instrText xml:space="preserve"> \* MERGEFORMAT </w:instrText>
      </w:r>
      <w:r w:rsidR="00403C74" w:rsidRPr="00977743">
        <w:fldChar w:fldCharType="separate"/>
      </w:r>
      <w:r w:rsidR="000E1725">
        <w:t>3</w:t>
      </w:r>
      <w:r w:rsidR="00403C74" w:rsidRPr="00977743">
        <w:fldChar w:fldCharType="end"/>
      </w:r>
      <w:r w:rsidRPr="00977743">
        <w:t>.</w:t>
      </w:r>
      <w:r w:rsidRPr="008368C6">
        <w:t xml:space="preserve"> </w:t>
      </w:r>
      <w:r>
        <w:t xml:space="preserve">Since the data collection, parameter identification, and validation results of the HVAC system and water heater system are introduced in the previous chapter, their parameter identification results are not reiterated in this chapter. </w:t>
      </w:r>
    </w:p>
    <w:p w14:paraId="31B48C97" w14:textId="685A3B01" w:rsidR="00D36DE4" w:rsidRPr="00DC6050" w:rsidRDefault="00D36DE4" w:rsidP="00D36DE4">
      <w:r w:rsidRPr="00804690">
        <w:t xml:space="preserve">The specifications for the water heater are adopted from </w:t>
      </w:r>
      <w:r w:rsidRPr="00804690">
        <w:fldChar w:fldCharType="begin"/>
      </w:r>
      <w:r w:rsidR="0082416B">
        <w:instrText xml:space="preserve"> ADDIN ZOTERO_ITEM CSL_CITATION {"citationID":"b0uyqpHt","properties":{"formattedCitation":"[105]","plainCitation":"[105]","noteIndex":0},"citationItems":[{"id":514,"uris":["http://zotero.org/users/5659608/items/XZG22HB3"],"itemData":{"id":514,"type":"paper-conference","container-title":"2012 25th IEEE Canadian Conference on Electrical and Computer Engineering (CCECE)","DOI":"10.1109/CCECE.2012.6334885","event-place":"Montreal, QC","ISBN":"978-1-4673-1433-6","language":"English","note":"Citation Key: shaadParameterIdentificationThermal2012","page":"1–5","publisher":"IEEE","publisher-place":"Montreal, QC","title":"Parameter identification of thermal models for domestic electric water heaters in a direct load control program","author":[{"family":"Shaad","given":"M."},{"family":"Momeni","given":"A."},{"family":"Diduch","given":"C. P."},{"family":"Kaye","given":"M."},{"family":"Chang","given":"L."}],"issued":{"date-parts":[["2012",4]]},"citation-key":"shaadParameterIdentificationThermal2012"}}],"schema":"https://github.com/citation-style-language/schema/raw/master/csl-citation.json"} </w:instrText>
      </w:r>
      <w:r w:rsidRPr="00804690">
        <w:fldChar w:fldCharType="separate"/>
      </w:r>
      <w:r w:rsidR="0082416B" w:rsidRPr="0082416B">
        <w:t>[105]</w:t>
      </w:r>
      <w:r w:rsidRPr="00804690">
        <w:fldChar w:fldCharType="end"/>
      </w:r>
      <w:r w:rsidRPr="00804690">
        <w:t xml:space="preserve"> and listed </w:t>
      </w:r>
      <w:r w:rsidRPr="00804690">
        <w:rPr>
          <w:rFonts w:ascii="Times" w:hAnsi="Times"/>
        </w:rPr>
        <w:t>in</w:t>
      </w:r>
      <w:r w:rsidR="00403C74">
        <w:rPr>
          <w:rFonts w:ascii="Times" w:hAnsi="Times"/>
        </w:rPr>
        <w:t xml:space="preserve"> </w:t>
      </w:r>
      <w:r w:rsidR="00D47C2B">
        <w:rPr>
          <w:rFonts w:ascii="Times" w:hAnsi="Times"/>
        </w:rPr>
        <w:fldChar w:fldCharType="begin"/>
      </w:r>
      <w:r w:rsidR="00D47C2B">
        <w:rPr>
          <w:rFonts w:ascii="Times" w:hAnsi="Times"/>
        </w:rPr>
        <w:instrText xml:space="preserve"> REF _Ref139494030 \h </w:instrText>
      </w:r>
      <w:r w:rsidR="00D47C2B">
        <w:rPr>
          <w:rFonts w:ascii="Times" w:hAnsi="Times"/>
        </w:rPr>
      </w:r>
      <w:r w:rsidR="00D47C2B">
        <w:rPr>
          <w:rFonts w:ascii="Times" w:hAnsi="Times"/>
        </w:rPr>
        <w:fldChar w:fldCharType="separate"/>
      </w:r>
      <w:r w:rsidR="000E1725">
        <w:t xml:space="preserve">Table </w:t>
      </w:r>
      <w:r w:rsidR="000E1725">
        <w:rPr>
          <w:noProof/>
        </w:rPr>
        <w:t>5</w:t>
      </w:r>
      <w:r w:rsidR="000E1725">
        <w:t>.</w:t>
      </w:r>
      <w:r w:rsidR="000E1725">
        <w:rPr>
          <w:noProof/>
        </w:rPr>
        <w:t>1</w:t>
      </w:r>
      <w:r w:rsidR="00D47C2B">
        <w:rPr>
          <w:rFonts w:ascii="Times" w:hAnsi="Times"/>
        </w:rPr>
        <w:fldChar w:fldCharType="end"/>
      </w:r>
      <w:r w:rsidR="00403C74">
        <w:rPr>
          <w:rFonts w:ascii="Times" w:hAnsi="Times"/>
        </w:rPr>
        <w:t>.</w:t>
      </w:r>
      <w:r w:rsidRPr="008368C6">
        <w:t xml:space="preserve"> </w:t>
      </w:r>
      <w:r w:rsidRPr="001C2CC1">
        <w:t>The left-hand side of the table contains information about the water heater's thermal properties, ambient temperature, inlet water temperature, and power consumption</w:t>
      </w:r>
      <w:r>
        <w:t xml:space="preserve">. </w:t>
      </w:r>
      <w:r w:rsidRPr="003D1254">
        <w:t xml:space="preserve">To ensure the homeowner's comfort, we also implement the constraint that the water heater's temperature must remain within a specified range. In this </w:t>
      </w:r>
      <w:r>
        <w:t>case study</w:t>
      </w:r>
      <w:r w:rsidRPr="003D1254">
        <w:t xml:space="preserve">, the water temperature inside the tank must be between </w:t>
      </w:r>
      <m:oMath>
        <m:r>
          <w:rPr>
            <w:rFonts w:ascii="Cambria Math" w:hAnsi="Cambria Math"/>
          </w:rPr>
          <m:t>11</m:t>
        </m:r>
      </m:oMath>
      <w:r>
        <w:t>3</w:t>
      </w:r>
      <m:oMath>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cs="Cambria Math"/>
              </w:rPr>
              <m:t>∘</m:t>
            </m:r>
          </m:sup>
          <m:e>
            <m:r>
              <w:rPr>
                <w:rFonts w:ascii="Cambria Math" w:hAnsi="Cambria Math"/>
              </w:rPr>
              <m:t>F</m:t>
            </m:r>
            <m:ctrlPr>
              <w:rPr>
                <w:rFonts w:ascii="Cambria Math" w:hAnsi="Cambria Math" w:cs="Cambria Math"/>
              </w:rPr>
            </m:ctrlPr>
          </m:e>
        </m:sPre>
        <m:r>
          <w:rPr>
            <w:rFonts w:ascii="Cambria Math" w:hAnsi="Cambria Math"/>
          </w:rPr>
          <m:t xml:space="preserve"> </m:t>
        </m:r>
      </m:oMath>
      <w:r w:rsidRPr="003D1254">
        <w:t xml:space="preserve"> and </w:t>
      </w:r>
      <m:oMath>
        <m:r>
          <w:rPr>
            <w:rFonts w:ascii="Cambria Math" w:hAnsi="Cambria Math"/>
          </w:rPr>
          <m:t>140</m:t>
        </m:r>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cs="Cambria Math"/>
              </w:rPr>
              <m:t>∘</m:t>
            </m:r>
          </m:sup>
          <m:e>
            <m:r>
              <w:rPr>
                <w:rFonts w:ascii="Cambria Math" w:hAnsi="Cambria Math"/>
              </w:rPr>
              <m:t>F</m:t>
            </m:r>
            <m:ctrlPr>
              <w:rPr>
                <w:rFonts w:ascii="Cambria Math" w:hAnsi="Cambria Math" w:cs="Cambria Math"/>
              </w:rPr>
            </m:ctrlPr>
          </m:e>
        </m:sPre>
        <m:r>
          <m:rPr>
            <m:sty m:val="p"/>
          </m:rPr>
          <w:rPr>
            <w:rFonts w:ascii="Cambria Math" w:hAnsi="Cambria Math"/>
          </w:rPr>
          <m:t xml:space="preserve"> </m:t>
        </m:r>
      </m:oMath>
      <w:r w:rsidRPr="003D1254">
        <w:t xml:space="preserve">. For the HVAC system, the temperature is allowed to be float between </w:t>
      </w:r>
      <m:oMath>
        <m:r>
          <w:rPr>
            <w:rFonts w:ascii="Cambria Math" w:hAnsi="Cambria Math"/>
          </w:rPr>
          <m:t>76</m:t>
        </m:r>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cs="Cambria Math"/>
              </w:rPr>
              <m:t>∘</m:t>
            </m:r>
          </m:sup>
          <m:e>
            <m:r>
              <w:rPr>
                <w:rFonts w:ascii="Cambria Math" w:hAnsi="Cambria Math"/>
              </w:rPr>
              <m:t xml:space="preserve">F </m:t>
            </m:r>
            <m:ctrlPr>
              <w:rPr>
                <w:rFonts w:ascii="Cambria Math" w:hAnsi="Cambria Math" w:cs="Cambria Math"/>
              </w:rPr>
            </m:ctrlPr>
          </m:e>
        </m:sPre>
        <m:r>
          <w:rPr>
            <w:rFonts w:ascii="Cambria Math" w:hAnsi="Cambria Math" w:cs="Cambria Math"/>
          </w:rPr>
          <m:t xml:space="preserve">to </m:t>
        </m:r>
        <m:r>
          <w:rPr>
            <w:rFonts w:ascii="Cambria Math" w:hAnsi="Cambria Math"/>
          </w:rPr>
          <m:t>82</m:t>
        </m:r>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cs="Cambria Math"/>
              </w:rPr>
              <m:t>∘</m:t>
            </m:r>
          </m:sup>
          <m:e>
            <m:r>
              <w:rPr>
                <w:rFonts w:ascii="Cambria Math" w:hAnsi="Cambria Math"/>
              </w:rPr>
              <m:t>F</m:t>
            </m:r>
            <m:ctrlPr>
              <w:rPr>
                <w:rFonts w:ascii="Cambria Math" w:hAnsi="Cambria Math" w:cs="Cambria Math"/>
              </w:rPr>
            </m:ctrlPr>
          </m:e>
        </m:sPre>
        <m:r>
          <w:rPr>
            <w:rFonts w:ascii="Cambria Math" w:hAnsi="Cambria Math" w:cs="Cambria Math"/>
          </w:rPr>
          <m:t>.</m:t>
        </m:r>
      </m:oMath>
      <w:r w:rsidRPr="003D1254">
        <w:rPr>
          <w:rFonts w:hint="eastAsia"/>
          <w:color w:val="FF0000"/>
        </w:rPr>
        <w:t xml:space="preserve"> </w:t>
      </w:r>
    </w:p>
    <w:p w14:paraId="76823E44" w14:textId="1236BD15" w:rsidR="00D36DE4" w:rsidRPr="00F00B3C" w:rsidRDefault="00146A55" w:rsidP="00410CB0">
      <w:pPr>
        <w:pStyle w:val="15TableTitle"/>
        <w:rPr>
          <w:lang w:eastAsia="en-US"/>
        </w:rPr>
      </w:pPr>
      <w:r>
        <w:rPr>
          <w:lang w:eastAsia="en-US"/>
        </w:rPr>
        <w:t xml:space="preserve"> </w:t>
      </w:r>
    </w:p>
    <w:p w14:paraId="4C86FDE7" w14:textId="7B28FD85" w:rsidR="00146A55" w:rsidRDefault="00146A55" w:rsidP="00410CB0">
      <w:pPr>
        <w:pStyle w:val="15TableTitle"/>
      </w:pPr>
      <w:bookmarkStart w:id="426" w:name="_Ref139494030"/>
      <w:bookmarkStart w:id="427" w:name="_Toc141343906"/>
      <w:r>
        <w:t xml:space="preserve">Table </w:t>
      </w:r>
      <w:fldSimple w:instr=" STYLEREF 1 \s ">
        <w:r w:rsidR="000E1725">
          <w:rPr>
            <w:noProof/>
          </w:rPr>
          <w:t>5</w:t>
        </w:r>
      </w:fldSimple>
      <w:r>
        <w:t>.</w:t>
      </w:r>
      <w:fldSimple w:instr=" SEQ Table \* ARABIC \s 1 ">
        <w:r w:rsidR="000E1725">
          <w:rPr>
            <w:noProof/>
          </w:rPr>
          <w:t>1</w:t>
        </w:r>
      </w:fldSimple>
      <w:bookmarkEnd w:id="426"/>
      <w:r>
        <w:t xml:space="preserve"> </w:t>
      </w:r>
      <w:r w:rsidRPr="00F00B3C">
        <w:t>Other</w:t>
      </w:r>
      <w:r w:rsidRPr="00F00B3C">
        <w:rPr>
          <w:lang w:eastAsia="en-US"/>
        </w:rPr>
        <w:t xml:space="preserve"> </w:t>
      </w:r>
      <w:r>
        <w:rPr>
          <w:lang w:eastAsia="en-US"/>
        </w:rPr>
        <w:t>a</w:t>
      </w:r>
      <w:r w:rsidRPr="00F00B3C">
        <w:rPr>
          <w:lang w:eastAsia="en-US"/>
        </w:rPr>
        <w:t xml:space="preserve">ppliances </w:t>
      </w:r>
      <w:r>
        <w:rPr>
          <w:lang w:eastAsia="en-US"/>
        </w:rPr>
        <w:t>s</w:t>
      </w:r>
      <w:r w:rsidRPr="00F00B3C">
        <w:rPr>
          <w:lang w:eastAsia="en-US"/>
        </w:rPr>
        <w:t>pecifications</w:t>
      </w:r>
      <w:bookmarkEnd w:id="427"/>
    </w:p>
    <w:tbl>
      <w:tblPr>
        <w:tblStyle w:val="TableGrid"/>
        <w:tblW w:w="0" w:type="auto"/>
        <w:jc w:val="center"/>
        <w:tblBorders>
          <w:top w:val="single" w:sz="18"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425"/>
        <w:gridCol w:w="1027"/>
        <w:gridCol w:w="1090"/>
        <w:gridCol w:w="1457"/>
        <w:gridCol w:w="1474"/>
        <w:gridCol w:w="1447"/>
        <w:gridCol w:w="990"/>
      </w:tblGrid>
      <w:tr w:rsidR="00D36DE4" w:rsidRPr="00F00B3C" w14:paraId="57D7D443" w14:textId="77777777" w:rsidTr="003B538A">
        <w:trPr>
          <w:trHeight w:val="21"/>
          <w:jc w:val="center"/>
        </w:trPr>
        <w:tc>
          <w:tcPr>
            <w:tcW w:w="3542" w:type="dxa"/>
            <w:gridSpan w:val="3"/>
            <w:vAlign w:val="center"/>
          </w:tcPr>
          <w:p w14:paraId="7D9BB448"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b/>
                <w:bCs/>
                <w:i/>
                <w:iCs/>
                <w:sz w:val="20"/>
              </w:rPr>
            </w:pPr>
            <w:r w:rsidRPr="00F00B3C">
              <w:rPr>
                <w:rFonts w:hint="eastAsia"/>
                <w:b/>
                <w:bCs/>
                <w:i/>
                <w:iCs/>
                <w:sz w:val="20"/>
              </w:rPr>
              <w:t>W</w:t>
            </w:r>
            <w:r w:rsidRPr="00F00B3C">
              <w:rPr>
                <w:b/>
                <w:bCs/>
                <w:i/>
                <w:iCs/>
                <w:sz w:val="20"/>
              </w:rPr>
              <w:t>ater Heater Specifications</w:t>
            </w:r>
          </w:p>
        </w:tc>
        <w:tc>
          <w:tcPr>
            <w:tcW w:w="1457" w:type="dxa"/>
            <w:tcBorders>
              <w:bottom w:val="double" w:sz="4" w:space="0" w:color="auto"/>
            </w:tcBorders>
            <w:vAlign w:val="center"/>
          </w:tcPr>
          <w:p w14:paraId="5960187A"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b/>
                <w:bCs/>
                <w:i/>
                <w:iCs/>
                <w:sz w:val="20"/>
              </w:rPr>
            </w:pPr>
            <w:r w:rsidRPr="00F00B3C">
              <w:rPr>
                <w:rFonts w:hint="eastAsia"/>
                <w:b/>
                <w:bCs/>
                <w:i/>
                <w:iCs/>
                <w:sz w:val="18"/>
                <w:szCs w:val="18"/>
              </w:rPr>
              <w:t>T</w:t>
            </w:r>
            <w:r w:rsidRPr="00F00B3C">
              <w:rPr>
                <w:b/>
                <w:bCs/>
                <w:i/>
                <w:iCs/>
                <w:sz w:val="18"/>
                <w:szCs w:val="18"/>
              </w:rPr>
              <w:t>ype</w:t>
            </w:r>
          </w:p>
        </w:tc>
        <w:tc>
          <w:tcPr>
            <w:tcW w:w="1474" w:type="dxa"/>
            <w:tcBorders>
              <w:bottom w:val="double" w:sz="4" w:space="0" w:color="auto"/>
            </w:tcBorders>
            <w:vAlign w:val="center"/>
          </w:tcPr>
          <w:p w14:paraId="5697F6EE"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b/>
                <w:bCs/>
                <w:i/>
                <w:iCs/>
                <w:sz w:val="20"/>
              </w:rPr>
            </w:pPr>
            <w:r w:rsidRPr="00F00B3C">
              <w:rPr>
                <w:rFonts w:hint="eastAsia"/>
                <w:b/>
                <w:bCs/>
                <w:i/>
                <w:iCs/>
                <w:sz w:val="18"/>
                <w:szCs w:val="18"/>
              </w:rPr>
              <w:t>P</w:t>
            </w:r>
            <w:r w:rsidRPr="00F00B3C">
              <w:rPr>
                <w:b/>
                <w:bCs/>
                <w:i/>
                <w:iCs/>
                <w:sz w:val="18"/>
                <w:szCs w:val="18"/>
              </w:rPr>
              <w:t>hase</w:t>
            </w:r>
          </w:p>
        </w:tc>
        <w:tc>
          <w:tcPr>
            <w:tcW w:w="1447" w:type="dxa"/>
            <w:tcBorders>
              <w:bottom w:val="double" w:sz="4" w:space="0" w:color="auto"/>
            </w:tcBorders>
            <w:vAlign w:val="center"/>
          </w:tcPr>
          <w:p w14:paraId="1EE8F6E8"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b/>
                <w:bCs/>
                <w:i/>
                <w:iCs/>
                <w:sz w:val="20"/>
              </w:rPr>
            </w:pPr>
            <w:r w:rsidRPr="00F00B3C">
              <w:rPr>
                <w:rFonts w:hint="eastAsia"/>
                <w:b/>
                <w:bCs/>
                <w:i/>
                <w:iCs/>
                <w:sz w:val="18"/>
                <w:szCs w:val="18"/>
              </w:rPr>
              <w:t>P</w:t>
            </w:r>
            <w:r w:rsidRPr="00F00B3C">
              <w:rPr>
                <w:b/>
                <w:bCs/>
                <w:i/>
                <w:iCs/>
                <w:sz w:val="18"/>
                <w:szCs w:val="18"/>
              </w:rPr>
              <w:t>ower (W)</w:t>
            </w:r>
          </w:p>
        </w:tc>
        <w:tc>
          <w:tcPr>
            <w:tcW w:w="990" w:type="dxa"/>
            <w:tcBorders>
              <w:bottom w:val="double" w:sz="4" w:space="0" w:color="auto"/>
            </w:tcBorders>
            <w:vAlign w:val="center"/>
          </w:tcPr>
          <w:p w14:paraId="6A54F214"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b/>
                <w:bCs/>
                <w:i/>
                <w:iCs/>
                <w:sz w:val="20"/>
              </w:rPr>
            </w:pPr>
            <w:r w:rsidRPr="00F00B3C">
              <w:rPr>
                <w:rFonts w:hint="eastAsia"/>
                <w:b/>
                <w:bCs/>
                <w:i/>
                <w:iCs/>
                <w:sz w:val="18"/>
                <w:szCs w:val="18"/>
              </w:rPr>
              <w:t>W</w:t>
            </w:r>
            <w:r w:rsidRPr="00F00B3C">
              <w:rPr>
                <w:b/>
                <w:bCs/>
                <w:i/>
                <w:iCs/>
                <w:sz w:val="18"/>
                <w:szCs w:val="18"/>
              </w:rPr>
              <w:t>ater (</w:t>
            </w:r>
            <m:oMath>
              <m:sSup>
                <m:sSupPr>
                  <m:ctrlPr>
                    <w:rPr>
                      <w:rFonts w:ascii="Cambria Math" w:hAnsi="Cambria Math"/>
                      <w:b/>
                      <w:bCs/>
                      <w:i/>
                      <w:iCs/>
                      <w:sz w:val="18"/>
                      <w:szCs w:val="18"/>
                      <w:lang w:eastAsia="en-US"/>
                    </w:rPr>
                  </m:ctrlPr>
                </m:sSupPr>
                <m:e>
                  <m:r>
                    <m:rPr>
                      <m:sty m:val="bi"/>
                    </m:rPr>
                    <w:rPr>
                      <w:rFonts w:ascii="Cambria Math" w:hAnsi="Cambria Math"/>
                      <w:sz w:val="18"/>
                      <w:szCs w:val="18"/>
                      <w:lang w:eastAsia="en-US"/>
                    </w:rPr>
                    <m:t>m</m:t>
                  </m:r>
                </m:e>
                <m:sup>
                  <m:r>
                    <m:rPr>
                      <m:sty m:val="bi"/>
                    </m:rPr>
                    <w:rPr>
                      <w:rFonts w:ascii="Cambria Math" w:hAnsi="Cambria Math"/>
                      <w:sz w:val="18"/>
                      <w:szCs w:val="18"/>
                      <w:lang w:eastAsia="en-US"/>
                    </w:rPr>
                    <m:t>3</m:t>
                  </m:r>
                </m:sup>
              </m:sSup>
              <m:r>
                <m:rPr>
                  <m:sty m:val="bi"/>
                </m:rPr>
                <w:rPr>
                  <w:rFonts w:ascii="Cambria Math" w:hAnsi="Cambria Math"/>
                  <w:sz w:val="18"/>
                  <w:szCs w:val="18"/>
                  <w:lang w:eastAsia="en-US"/>
                </w:rPr>
                <m:t>/s</m:t>
              </m:r>
            </m:oMath>
            <w:r w:rsidRPr="00F00B3C">
              <w:rPr>
                <w:b/>
                <w:bCs/>
                <w:i/>
                <w:iCs/>
                <w:sz w:val="18"/>
                <w:szCs w:val="18"/>
              </w:rPr>
              <w:t>)</w:t>
            </w:r>
          </w:p>
        </w:tc>
      </w:tr>
      <w:tr w:rsidR="00D36DE4" w:rsidRPr="00F00B3C" w14:paraId="1DD7D01C" w14:textId="77777777" w:rsidTr="003B538A">
        <w:trPr>
          <w:jc w:val="center"/>
        </w:trPr>
        <w:tc>
          <w:tcPr>
            <w:tcW w:w="1425" w:type="dxa"/>
            <w:tcBorders>
              <w:top w:val="double" w:sz="4" w:space="0" w:color="auto"/>
              <w:bottom w:val="double" w:sz="4" w:space="0" w:color="auto"/>
            </w:tcBorders>
            <w:vAlign w:val="center"/>
          </w:tcPr>
          <w:p w14:paraId="0DF6F6DE"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Garamond" w:hAnsi="Garamond"/>
                <w:color w:val="000000" w:themeColor="text1"/>
                <w:sz w:val="20"/>
                <w:lang w:bidi="en-US"/>
              </w:rPr>
            </w:pPr>
            <w:r w:rsidRPr="00F00B3C">
              <w:rPr>
                <w:rFonts w:ascii="Garamond" w:hAnsi="Garamond" w:hint="eastAsia"/>
                <w:color w:val="000000" w:themeColor="text1"/>
                <w:sz w:val="20"/>
                <w:lang w:bidi="en-US"/>
              </w:rPr>
              <w:t>N</w:t>
            </w:r>
            <w:r w:rsidRPr="00F00B3C">
              <w:rPr>
                <w:rFonts w:ascii="Garamond" w:hAnsi="Garamond"/>
                <w:color w:val="000000" w:themeColor="text1"/>
                <w:sz w:val="20"/>
                <w:lang w:bidi="en-US"/>
              </w:rPr>
              <w:t>otation</w:t>
            </w:r>
          </w:p>
        </w:tc>
        <w:tc>
          <w:tcPr>
            <w:tcW w:w="1027" w:type="dxa"/>
            <w:tcBorders>
              <w:top w:val="double" w:sz="4" w:space="0" w:color="auto"/>
              <w:bottom w:val="double" w:sz="4" w:space="0" w:color="auto"/>
            </w:tcBorders>
            <w:vAlign w:val="center"/>
          </w:tcPr>
          <w:p w14:paraId="56696509"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rPr>
            </w:pPr>
            <w:r w:rsidRPr="00F00B3C">
              <w:rPr>
                <w:rFonts w:hint="eastAsia"/>
                <w:sz w:val="20"/>
              </w:rPr>
              <w:t>V</w:t>
            </w:r>
            <w:r w:rsidRPr="00F00B3C">
              <w:rPr>
                <w:sz w:val="20"/>
              </w:rPr>
              <w:t>alue</w:t>
            </w:r>
          </w:p>
        </w:tc>
        <w:tc>
          <w:tcPr>
            <w:tcW w:w="1090" w:type="dxa"/>
            <w:tcBorders>
              <w:top w:val="double" w:sz="4" w:space="0" w:color="auto"/>
              <w:bottom w:val="double" w:sz="4" w:space="0" w:color="auto"/>
            </w:tcBorders>
            <w:vAlign w:val="center"/>
          </w:tcPr>
          <w:p w14:paraId="2455E190"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rPr>
            </w:pPr>
            <w:r w:rsidRPr="00F00B3C">
              <w:rPr>
                <w:rFonts w:hint="eastAsia"/>
                <w:sz w:val="20"/>
              </w:rPr>
              <w:t>U</w:t>
            </w:r>
            <w:r w:rsidRPr="00F00B3C">
              <w:rPr>
                <w:sz w:val="20"/>
              </w:rPr>
              <w:t>nit</w:t>
            </w:r>
          </w:p>
        </w:tc>
        <w:tc>
          <w:tcPr>
            <w:tcW w:w="1457" w:type="dxa"/>
            <w:vMerge w:val="restart"/>
            <w:tcBorders>
              <w:top w:val="double" w:sz="4" w:space="0" w:color="auto"/>
            </w:tcBorders>
            <w:vAlign w:val="center"/>
          </w:tcPr>
          <w:p w14:paraId="0DBB1C3F"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rPr>
            </w:pPr>
            <w:r w:rsidRPr="00F00B3C">
              <w:rPr>
                <w:rFonts w:hint="eastAsia"/>
                <w:sz w:val="20"/>
              </w:rPr>
              <w:t>W</w:t>
            </w:r>
            <w:r w:rsidRPr="00F00B3C">
              <w:rPr>
                <w:sz w:val="20"/>
              </w:rPr>
              <w:t>asher</w:t>
            </w:r>
          </w:p>
        </w:tc>
        <w:tc>
          <w:tcPr>
            <w:tcW w:w="1474" w:type="dxa"/>
            <w:tcBorders>
              <w:top w:val="double" w:sz="4" w:space="0" w:color="auto"/>
            </w:tcBorders>
            <w:vAlign w:val="center"/>
          </w:tcPr>
          <w:p w14:paraId="5E374293"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rPr>
            </w:pPr>
            <w:r w:rsidRPr="00F00B3C">
              <w:rPr>
                <w:sz w:val="20"/>
              </w:rPr>
              <w:t>Wash</w:t>
            </w:r>
          </w:p>
        </w:tc>
        <w:tc>
          <w:tcPr>
            <w:tcW w:w="1447" w:type="dxa"/>
            <w:tcBorders>
              <w:top w:val="double" w:sz="4" w:space="0" w:color="auto"/>
            </w:tcBorders>
            <w:vAlign w:val="center"/>
          </w:tcPr>
          <w:p w14:paraId="0901E942"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rPr>
            </w:pPr>
            <w:r>
              <w:rPr>
                <w:sz w:val="20"/>
              </w:rPr>
              <w:t>2000</w:t>
            </w:r>
          </w:p>
        </w:tc>
        <w:tc>
          <w:tcPr>
            <w:tcW w:w="990" w:type="dxa"/>
            <w:tcBorders>
              <w:top w:val="double" w:sz="4" w:space="0" w:color="auto"/>
            </w:tcBorders>
            <w:vAlign w:val="center"/>
          </w:tcPr>
          <w:p w14:paraId="295E3303"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rPr>
            </w:pPr>
            <w:r w:rsidRPr="00F00B3C">
              <w:rPr>
                <w:rFonts w:hint="eastAsia"/>
                <w:sz w:val="20"/>
              </w:rPr>
              <w:t>0</w:t>
            </w:r>
            <w:r w:rsidRPr="00F00B3C">
              <w:rPr>
                <w:sz w:val="20"/>
              </w:rPr>
              <w:t>.000035</w:t>
            </w:r>
          </w:p>
        </w:tc>
      </w:tr>
      <w:tr w:rsidR="00D36DE4" w:rsidRPr="00F00B3C" w14:paraId="03A09B3B" w14:textId="77777777" w:rsidTr="003B538A">
        <w:trPr>
          <w:jc w:val="center"/>
        </w:trPr>
        <w:tc>
          <w:tcPr>
            <w:tcW w:w="1425" w:type="dxa"/>
            <w:tcBorders>
              <w:top w:val="double" w:sz="4" w:space="0" w:color="auto"/>
            </w:tcBorders>
            <w:vAlign w:val="center"/>
          </w:tcPr>
          <w:p w14:paraId="7B5789BA"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lang w:eastAsia="en-US"/>
              </w:rPr>
            </w:pPr>
            <m:oMathPara>
              <m:oMath>
                <m:r>
                  <m:rPr>
                    <m:sty m:val="p"/>
                  </m:rPr>
                  <w:rPr>
                    <w:rFonts w:ascii="Cambria Math" w:hAnsi="Cambria Math"/>
                    <w:color w:val="000000" w:themeColor="text1"/>
                    <w:sz w:val="18"/>
                    <w:szCs w:val="22"/>
                    <w:lang w:bidi="en-US"/>
                  </w:rPr>
                  <m:t>ρ</m:t>
                </m:r>
              </m:oMath>
            </m:oMathPara>
          </w:p>
        </w:tc>
        <w:tc>
          <w:tcPr>
            <w:tcW w:w="1027" w:type="dxa"/>
            <w:tcBorders>
              <w:top w:val="double" w:sz="4" w:space="0" w:color="auto"/>
            </w:tcBorders>
            <w:vAlign w:val="center"/>
          </w:tcPr>
          <w:p w14:paraId="684B9051"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lang w:eastAsia="en-US"/>
              </w:rPr>
            </w:pPr>
            <w:r w:rsidRPr="00F00B3C">
              <w:rPr>
                <w:rFonts w:hint="eastAsia"/>
                <w:sz w:val="20"/>
                <w:lang w:eastAsia="en-US"/>
              </w:rPr>
              <w:t>9</w:t>
            </w:r>
            <w:r w:rsidRPr="00F00B3C">
              <w:rPr>
                <w:sz w:val="20"/>
                <w:lang w:eastAsia="en-US"/>
              </w:rPr>
              <w:t>97.77</w:t>
            </w:r>
          </w:p>
        </w:tc>
        <w:tc>
          <w:tcPr>
            <w:tcW w:w="1090" w:type="dxa"/>
            <w:tcBorders>
              <w:top w:val="double" w:sz="4" w:space="0" w:color="auto"/>
            </w:tcBorders>
            <w:vAlign w:val="center"/>
          </w:tcPr>
          <w:p w14:paraId="35EC550F"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lang w:eastAsia="en-US"/>
              </w:rPr>
            </w:pPr>
            <m:oMathPara>
              <m:oMath>
                <m:r>
                  <m:rPr>
                    <m:sty m:val="p"/>
                  </m:rPr>
                  <w:rPr>
                    <w:rFonts w:ascii="Cambria Math" w:hAnsi="Cambria Math"/>
                    <w:sz w:val="20"/>
                    <w:lang w:eastAsia="en-US"/>
                  </w:rPr>
                  <m:t>kg</m:t>
                </m:r>
                <m:r>
                  <m:rPr>
                    <m:lit/>
                    <m:sty m:val="p"/>
                  </m:rPr>
                  <w:rPr>
                    <w:rFonts w:ascii="Cambria Math" w:hAnsi="Cambria Math"/>
                    <w:sz w:val="20"/>
                    <w:lang w:eastAsia="en-US"/>
                  </w:rPr>
                  <m:t>/</m:t>
                </m:r>
                <m:sSup>
                  <m:sSupPr>
                    <m:ctrlPr>
                      <w:rPr>
                        <w:rFonts w:ascii="Cambria Math" w:hAnsi="Cambria Math"/>
                        <w:sz w:val="20"/>
                        <w:lang w:eastAsia="en-US"/>
                      </w:rPr>
                    </m:ctrlPr>
                  </m:sSupPr>
                  <m:e>
                    <m:r>
                      <m:rPr>
                        <m:sty m:val="p"/>
                      </m:rPr>
                      <w:rPr>
                        <w:rFonts w:ascii="Cambria Math" w:hAnsi="Cambria Math"/>
                        <w:sz w:val="20"/>
                        <w:lang w:eastAsia="en-US"/>
                      </w:rPr>
                      <m:t>m</m:t>
                    </m:r>
                  </m:e>
                  <m:sup>
                    <m:r>
                      <m:rPr>
                        <m:sty m:val="p"/>
                      </m:rPr>
                      <w:rPr>
                        <w:rFonts w:ascii="Cambria Math" w:hAnsi="Cambria Math"/>
                        <w:sz w:val="20"/>
                        <w:lang w:eastAsia="en-US"/>
                      </w:rPr>
                      <m:t>3</m:t>
                    </m:r>
                  </m:sup>
                </m:sSup>
              </m:oMath>
            </m:oMathPara>
          </w:p>
        </w:tc>
        <w:tc>
          <w:tcPr>
            <w:tcW w:w="1457" w:type="dxa"/>
            <w:vMerge/>
            <w:vAlign w:val="center"/>
          </w:tcPr>
          <w:p w14:paraId="4687EDED"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Verdana" w:hAnsi="Verdana"/>
                <w:sz w:val="20"/>
                <w:lang w:eastAsia="en-US"/>
              </w:rPr>
            </w:pPr>
          </w:p>
        </w:tc>
        <w:tc>
          <w:tcPr>
            <w:tcW w:w="1474" w:type="dxa"/>
            <w:vAlign w:val="center"/>
          </w:tcPr>
          <w:p w14:paraId="67BF6FE4"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Verdana" w:hAnsi="Verdana"/>
                <w:sz w:val="20"/>
                <w:lang w:eastAsia="en-US"/>
              </w:rPr>
            </w:pPr>
            <w:r w:rsidRPr="00F00B3C">
              <w:rPr>
                <w:sz w:val="20"/>
              </w:rPr>
              <w:t>Rinse</w:t>
            </w:r>
          </w:p>
        </w:tc>
        <w:tc>
          <w:tcPr>
            <w:tcW w:w="1447" w:type="dxa"/>
            <w:vAlign w:val="center"/>
          </w:tcPr>
          <w:p w14:paraId="36347304"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Verdana" w:hAnsi="Verdana"/>
                <w:sz w:val="20"/>
                <w:lang w:eastAsia="en-US"/>
              </w:rPr>
            </w:pPr>
            <w:r>
              <w:rPr>
                <w:sz w:val="20"/>
              </w:rPr>
              <w:t>2</w:t>
            </w:r>
            <w:r w:rsidRPr="00F00B3C">
              <w:rPr>
                <w:sz w:val="20"/>
              </w:rPr>
              <w:t>000</w:t>
            </w:r>
          </w:p>
        </w:tc>
        <w:tc>
          <w:tcPr>
            <w:tcW w:w="990" w:type="dxa"/>
            <w:vAlign w:val="center"/>
          </w:tcPr>
          <w:p w14:paraId="152D3D98"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Verdana" w:hAnsi="Verdana"/>
                <w:sz w:val="20"/>
                <w:lang w:eastAsia="en-US"/>
              </w:rPr>
            </w:pPr>
            <w:r w:rsidRPr="00F00B3C">
              <w:rPr>
                <w:rFonts w:hint="eastAsia"/>
                <w:sz w:val="20"/>
              </w:rPr>
              <w:t>0</w:t>
            </w:r>
            <w:r w:rsidRPr="00F00B3C">
              <w:rPr>
                <w:sz w:val="20"/>
              </w:rPr>
              <w:t>.000026</w:t>
            </w:r>
          </w:p>
        </w:tc>
      </w:tr>
      <w:tr w:rsidR="00D36DE4" w:rsidRPr="00F00B3C" w14:paraId="76107836" w14:textId="77777777" w:rsidTr="003B538A">
        <w:trPr>
          <w:jc w:val="center"/>
        </w:trPr>
        <w:tc>
          <w:tcPr>
            <w:tcW w:w="1425" w:type="dxa"/>
            <w:vAlign w:val="center"/>
          </w:tcPr>
          <w:p w14:paraId="436FE3F3" w14:textId="77777777" w:rsidR="00D36DE4" w:rsidRPr="00F00B3C" w:rsidRDefault="00000000" w:rsidP="002023DB">
            <w:pPr>
              <w:widowControl/>
              <w:suppressAutoHyphens/>
              <w:overflowPunct w:val="0"/>
              <w:autoSpaceDE w:val="0"/>
              <w:autoSpaceDN w:val="0"/>
              <w:adjustRightInd w:val="0"/>
              <w:spacing w:line="240" w:lineRule="auto"/>
              <w:ind w:firstLine="0"/>
              <w:jc w:val="center"/>
              <w:textAlignment w:val="baseline"/>
              <w:rPr>
                <w:sz w:val="20"/>
                <w:lang w:eastAsia="en-US"/>
              </w:rPr>
            </w:pPr>
            <m:oMathPara>
              <m:oMath>
                <m:sSub>
                  <m:sSubPr>
                    <m:ctrlPr>
                      <w:rPr>
                        <w:rFonts w:ascii="Cambria Math" w:hAnsi="Cambria Math"/>
                        <w:i/>
                        <w:sz w:val="20"/>
                        <w:lang w:eastAsia="en-US"/>
                      </w:rPr>
                    </m:ctrlPr>
                  </m:sSubPr>
                  <m:e>
                    <m:r>
                      <w:rPr>
                        <w:rFonts w:ascii="Cambria Math" w:hAnsi="Cambria Math"/>
                        <w:sz w:val="20"/>
                        <w:lang w:eastAsia="en-US"/>
                      </w:rPr>
                      <m:t>C</m:t>
                    </m:r>
                  </m:e>
                  <m:sub>
                    <m:r>
                      <w:rPr>
                        <w:rFonts w:ascii="Cambria Math" w:hAnsi="Cambria Math"/>
                        <w:sz w:val="20"/>
                        <w:lang w:eastAsia="en-US"/>
                      </w:rPr>
                      <m:t>p</m:t>
                    </m:r>
                  </m:sub>
                </m:sSub>
              </m:oMath>
            </m:oMathPara>
          </w:p>
        </w:tc>
        <w:tc>
          <w:tcPr>
            <w:tcW w:w="1027" w:type="dxa"/>
            <w:vAlign w:val="center"/>
          </w:tcPr>
          <w:p w14:paraId="3688BFFD"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lang w:eastAsia="en-US"/>
              </w:rPr>
            </w:pPr>
            <w:r w:rsidRPr="00F00B3C">
              <w:rPr>
                <w:rFonts w:hint="eastAsia"/>
                <w:sz w:val="20"/>
                <w:lang w:eastAsia="en-US"/>
              </w:rPr>
              <w:t>4</w:t>
            </w:r>
            <w:r w:rsidRPr="00F00B3C">
              <w:rPr>
                <w:sz w:val="20"/>
                <w:lang w:eastAsia="en-US"/>
              </w:rPr>
              <w:t>182</w:t>
            </w:r>
          </w:p>
        </w:tc>
        <w:tc>
          <w:tcPr>
            <w:tcW w:w="1090" w:type="dxa"/>
            <w:vAlign w:val="center"/>
          </w:tcPr>
          <w:p w14:paraId="373A172A"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lang w:eastAsia="en-US"/>
              </w:rPr>
            </w:pPr>
            <m:oMathPara>
              <m:oMath>
                <m:r>
                  <w:rPr>
                    <w:rFonts w:ascii="Cambria Math" w:hAnsi="Cambria Math"/>
                    <w:sz w:val="20"/>
                    <w:lang w:eastAsia="en-US"/>
                  </w:rPr>
                  <m:t>kJ</m:t>
                </m:r>
                <m:r>
                  <m:rPr>
                    <m:lit/>
                  </m:rPr>
                  <w:rPr>
                    <w:rFonts w:ascii="Cambria Math" w:hAnsi="Cambria Math"/>
                    <w:sz w:val="20"/>
                    <w:lang w:eastAsia="en-US"/>
                  </w:rPr>
                  <m:t>/</m:t>
                </m:r>
                <m:r>
                  <w:rPr>
                    <w:rFonts w:ascii="Cambria Math" w:hAnsi="Cambria Math"/>
                    <w:sz w:val="20"/>
                    <w:lang w:eastAsia="en-US"/>
                  </w:rPr>
                  <m:t>kg</m:t>
                </m:r>
                <m:sPre>
                  <m:sPrePr>
                    <m:ctrlPr>
                      <w:rPr>
                        <w:rFonts w:ascii="Cambria Math" w:hAnsi="Cambria Math"/>
                        <w:i/>
                        <w:sz w:val="20"/>
                        <w:lang w:eastAsia="en-US"/>
                      </w:rPr>
                    </m:ctrlPr>
                  </m:sPrePr>
                  <m:sub>
                    <m:r>
                      <w:rPr>
                        <w:rFonts w:ascii="Cambria Math" w:hAnsi="Cambria Math"/>
                        <w:sz w:val="20"/>
                        <w:lang w:eastAsia="en-US"/>
                      </w:rPr>
                      <m:t xml:space="preserve"> </m:t>
                    </m:r>
                  </m:sub>
                  <m:sup>
                    <m:r>
                      <m:rPr>
                        <m:sty m:val="p"/>
                      </m:rPr>
                      <w:rPr>
                        <w:rFonts w:ascii="Cambria Math" w:hAnsi="Cambria Math" w:cs="Cambria Math"/>
                        <w:sz w:val="20"/>
                        <w:lang w:eastAsia="en-US"/>
                      </w:rPr>
                      <m:t>∘</m:t>
                    </m:r>
                  </m:sup>
                  <m:e>
                    <m:r>
                      <w:rPr>
                        <w:rFonts w:ascii="Cambria Math" w:hAnsi="Cambria Math"/>
                        <w:sz w:val="20"/>
                        <w:lang w:eastAsia="en-US"/>
                      </w:rPr>
                      <m:t>C</m:t>
                    </m:r>
                    <m:ctrlPr>
                      <w:rPr>
                        <w:rFonts w:ascii="Cambria Math" w:hAnsi="Cambria Math" w:cs="Cambria Math"/>
                        <w:sz w:val="20"/>
                        <w:lang w:eastAsia="en-US"/>
                      </w:rPr>
                    </m:ctrlPr>
                  </m:e>
                </m:sPre>
              </m:oMath>
            </m:oMathPara>
          </w:p>
        </w:tc>
        <w:tc>
          <w:tcPr>
            <w:tcW w:w="1457" w:type="dxa"/>
            <w:vMerge/>
            <w:tcBorders>
              <w:bottom w:val="double" w:sz="4" w:space="0" w:color="auto"/>
            </w:tcBorders>
            <w:vAlign w:val="center"/>
          </w:tcPr>
          <w:p w14:paraId="4A978052"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Verdana" w:hAnsi="Verdana"/>
                <w:sz w:val="20"/>
                <w:lang w:eastAsia="en-US"/>
              </w:rPr>
            </w:pPr>
          </w:p>
        </w:tc>
        <w:tc>
          <w:tcPr>
            <w:tcW w:w="1474" w:type="dxa"/>
            <w:vAlign w:val="center"/>
          </w:tcPr>
          <w:p w14:paraId="3122B05E"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Verdana" w:hAnsi="Verdana"/>
                <w:sz w:val="20"/>
                <w:lang w:eastAsia="en-US"/>
              </w:rPr>
            </w:pPr>
            <w:r w:rsidRPr="00F00B3C">
              <w:rPr>
                <w:sz w:val="20"/>
              </w:rPr>
              <w:t>Extraction</w:t>
            </w:r>
          </w:p>
        </w:tc>
        <w:tc>
          <w:tcPr>
            <w:tcW w:w="1447" w:type="dxa"/>
            <w:vAlign w:val="center"/>
          </w:tcPr>
          <w:p w14:paraId="1AD4D32D"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Verdana" w:hAnsi="Verdana"/>
                <w:sz w:val="20"/>
                <w:lang w:eastAsia="en-US"/>
              </w:rPr>
            </w:pPr>
            <w:r w:rsidRPr="00F00B3C">
              <w:rPr>
                <w:sz w:val="20"/>
              </w:rPr>
              <w:t>800</w:t>
            </w:r>
          </w:p>
        </w:tc>
        <w:tc>
          <w:tcPr>
            <w:tcW w:w="990" w:type="dxa"/>
            <w:vAlign w:val="center"/>
          </w:tcPr>
          <w:p w14:paraId="71B634B2"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Verdana" w:hAnsi="Verdana"/>
                <w:sz w:val="20"/>
                <w:lang w:eastAsia="en-US"/>
              </w:rPr>
            </w:pPr>
            <w:r w:rsidRPr="00F00B3C">
              <w:rPr>
                <w:rFonts w:hint="eastAsia"/>
                <w:sz w:val="20"/>
              </w:rPr>
              <w:t>0</w:t>
            </w:r>
          </w:p>
        </w:tc>
      </w:tr>
      <w:tr w:rsidR="00D36DE4" w:rsidRPr="00F00B3C" w14:paraId="28A634BA" w14:textId="77777777" w:rsidTr="003B538A">
        <w:trPr>
          <w:jc w:val="center"/>
        </w:trPr>
        <w:tc>
          <w:tcPr>
            <w:tcW w:w="1425" w:type="dxa"/>
            <w:vAlign w:val="center"/>
          </w:tcPr>
          <w:p w14:paraId="70E0B104"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lang w:eastAsia="en-US"/>
              </w:rPr>
            </w:pPr>
            <m:oMathPara>
              <m:oMath>
                <m:r>
                  <w:rPr>
                    <w:rFonts w:ascii="Cambria Math" w:hAnsi="Cambria Math"/>
                    <w:sz w:val="20"/>
                    <w:lang w:eastAsia="en-US"/>
                  </w:rPr>
                  <m:t>C=</m:t>
                </m:r>
                <m:r>
                  <m:rPr>
                    <m:sty m:val="p"/>
                  </m:rPr>
                  <w:rPr>
                    <w:rFonts w:ascii="Cambria Math" w:hAnsi="Cambria Math"/>
                    <w:color w:val="000000" w:themeColor="text1"/>
                    <w:sz w:val="18"/>
                    <w:szCs w:val="22"/>
                    <w:lang w:bidi="en-US"/>
                  </w:rPr>
                  <m:t>ρ</m:t>
                </m:r>
                <m:sSub>
                  <m:sSubPr>
                    <m:ctrlPr>
                      <w:rPr>
                        <w:rFonts w:ascii="Cambria Math" w:hAnsi="Cambria Math"/>
                        <w:i/>
                        <w:sz w:val="20"/>
                        <w:lang w:eastAsia="en-US"/>
                      </w:rPr>
                    </m:ctrlPr>
                  </m:sSubPr>
                  <m:e>
                    <m:r>
                      <w:rPr>
                        <w:rFonts w:ascii="Cambria Math" w:hAnsi="Cambria Math"/>
                        <w:sz w:val="20"/>
                        <w:lang w:eastAsia="en-US"/>
                      </w:rPr>
                      <m:t>C</m:t>
                    </m:r>
                  </m:e>
                  <m:sub>
                    <m:r>
                      <w:rPr>
                        <w:rFonts w:ascii="Cambria Math" w:hAnsi="Cambria Math"/>
                        <w:sz w:val="20"/>
                        <w:lang w:eastAsia="en-US"/>
                      </w:rPr>
                      <m:t>p</m:t>
                    </m:r>
                  </m:sub>
                </m:sSub>
                <m:r>
                  <w:rPr>
                    <w:rFonts w:ascii="Cambria Math" w:hAnsi="Cambria Math"/>
                    <w:sz w:val="20"/>
                    <w:lang w:eastAsia="en-US"/>
                  </w:rPr>
                  <m:t>V</m:t>
                </m:r>
              </m:oMath>
            </m:oMathPara>
          </w:p>
        </w:tc>
        <w:tc>
          <w:tcPr>
            <w:tcW w:w="1027" w:type="dxa"/>
            <w:vAlign w:val="center"/>
          </w:tcPr>
          <w:p w14:paraId="76F3DAF7"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rPr>
            </w:pPr>
            <m:oMathPara>
              <m:oMath>
                <m:r>
                  <w:rPr>
                    <w:rFonts w:ascii="Cambria Math" w:hAnsi="Cambria Math"/>
                    <w:sz w:val="20"/>
                  </w:rPr>
                  <m:t>1.24*</m:t>
                </m:r>
                <m:sSup>
                  <m:sSupPr>
                    <m:ctrlPr>
                      <w:rPr>
                        <w:rFonts w:ascii="Cambria Math" w:hAnsi="Cambria Math"/>
                        <w:i/>
                        <w:sz w:val="20"/>
                      </w:rPr>
                    </m:ctrlPr>
                  </m:sSupPr>
                  <m:e>
                    <m:r>
                      <w:rPr>
                        <w:rFonts w:ascii="Cambria Math" w:hAnsi="Cambria Math"/>
                        <w:sz w:val="20"/>
                      </w:rPr>
                      <m:t>10</m:t>
                    </m:r>
                  </m:e>
                  <m:sup>
                    <m:r>
                      <w:rPr>
                        <w:rFonts w:ascii="Cambria Math" w:hAnsi="Cambria Math"/>
                        <w:sz w:val="20"/>
                      </w:rPr>
                      <m:t>6</m:t>
                    </m:r>
                  </m:sup>
                </m:sSup>
              </m:oMath>
            </m:oMathPara>
          </w:p>
        </w:tc>
        <w:tc>
          <w:tcPr>
            <w:tcW w:w="1090" w:type="dxa"/>
            <w:vAlign w:val="center"/>
          </w:tcPr>
          <w:p w14:paraId="042420F5"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color w:val="494949"/>
                <w:kern w:val="14"/>
                <w:sz w:val="21"/>
                <w:shd w:val="clear" w:color="auto" w:fill="E2E2E2"/>
                <w:lang w:eastAsia="en-US"/>
              </w:rPr>
            </w:pPr>
            <m:oMathPara>
              <m:oMath>
                <m:r>
                  <w:rPr>
                    <w:rFonts w:ascii="Cambria Math" w:hAnsi="Cambria Math"/>
                    <w:sz w:val="20"/>
                    <w:lang w:eastAsia="en-US"/>
                  </w:rPr>
                  <m:t>J</m:t>
                </m:r>
                <m:r>
                  <m:rPr>
                    <m:lit/>
                  </m:rPr>
                  <w:rPr>
                    <w:rFonts w:ascii="Cambria Math" w:hAnsi="Cambria Math"/>
                    <w:sz w:val="20"/>
                    <w:lang w:eastAsia="en-US"/>
                  </w:rPr>
                  <m:t>/</m:t>
                </m:r>
                <m:sPre>
                  <m:sPrePr>
                    <m:ctrlPr>
                      <w:rPr>
                        <w:rFonts w:ascii="Cambria Math" w:hAnsi="Cambria Math"/>
                        <w:i/>
                        <w:sz w:val="20"/>
                        <w:lang w:eastAsia="en-US"/>
                      </w:rPr>
                    </m:ctrlPr>
                  </m:sPrePr>
                  <m:sub>
                    <m:r>
                      <w:rPr>
                        <w:rFonts w:ascii="Cambria Math" w:hAnsi="Cambria Math"/>
                        <w:sz w:val="20"/>
                        <w:lang w:eastAsia="en-US"/>
                      </w:rPr>
                      <m:t xml:space="preserve"> </m:t>
                    </m:r>
                  </m:sub>
                  <m:sup>
                    <m:r>
                      <m:rPr>
                        <m:sty m:val="p"/>
                      </m:rPr>
                      <w:rPr>
                        <w:rFonts w:ascii="Cambria Math" w:hAnsi="Cambria Math" w:cs="Cambria Math"/>
                        <w:sz w:val="20"/>
                        <w:lang w:eastAsia="en-US"/>
                      </w:rPr>
                      <m:t>∘</m:t>
                    </m:r>
                  </m:sup>
                  <m:e>
                    <m:r>
                      <w:rPr>
                        <w:rFonts w:ascii="Cambria Math" w:hAnsi="Cambria Math"/>
                        <w:sz w:val="20"/>
                        <w:lang w:eastAsia="en-US"/>
                      </w:rPr>
                      <m:t>C</m:t>
                    </m:r>
                    <m:ctrlPr>
                      <w:rPr>
                        <w:rFonts w:ascii="Cambria Math" w:hAnsi="Cambria Math" w:cs="Cambria Math"/>
                        <w:sz w:val="20"/>
                        <w:lang w:eastAsia="en-US"/>
                      </w:rPr>
                    </m:ctrlPr>
                  </m:e>
                </m:sPre>
              </m:oMath>
            </m:oMathPara>
          </w:p>
        </w:tc>
        <w:tc>
          <w:tcPr>
            <w:tcW w:w="1457" w:type="dxa"/>
            <w:vMerge w:val="restart"/>
            <w:tcBorders>
              <w:top w:val="double" w:sz="4" w:space="0" w:color="auto"/>
            </w:tcBorders>
            <w:vAlign w:val="center"/>
          </w:tcPr>
          <w:p w14:paraId="791107C7"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rPr>
            </w:pPr>
            <w:r w:rsidRPr="00F00B3C">
              <w:rPr>
                <w:sz w:val="20"/>
              </w:rPr>
              <w:t>Dish</w:t>
            </w:r>
          </w:p>
          <w:p w14:paraId="1D646703"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Cambria Math" w:hAnsi="Cambria Math"/>
                <w:i/>
                <w:sz w:val="20"/>
                <w:lang w:eastAsia="en-US"/>
              </w:rPr>
            </w:pPr>
            <w:r w:rsidRPr="00F00B3C">
              <w:rPr>
                <w:sz w:val="20"/>
              </w:rPr>
              <w:t>washer</w:t>
            </w:r>
          </w:p>
        </w:tc>
        <w:tc>
          <w:tcPr>
            <w:tcW w:w="1474" w:type="dxa"/>
            <w:vAlign w:val="center"/>
          </w:tcPr>
          <w:p w14:paraId="2FD0B289"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Cambria Math" w:hAnsi="Cambria Math"/>
                <w:i/>
                <w:sz w:val="20"/>
                <w:lang w:eastAsia="en-US"/>
              </w:rPr>
            </w:pPr>
            <w:r w:rsidRPr="00F00B3C">
              <w:rPr>
                <w:sz w:val="20"/>
              </w:rPr>
              <w:t>Fill &amp; sense</w:t>
            </w:r>
          </w:p>
        </w:tc>
        <w:tc>
          <w:tcPr>
            <w:tcW w:w="1447" w:type="dxa"/>
            <w:vAlign w:val="center"/>
          </w:tcPr>
          <w:p w14:paraId="745E0071"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Cambria Math" w:hAnsi="Cambria Math"/>
                <w:i/>
                <w:sz w:val="20"/>
                <w:lang w:eastAsia="en-US"/>
              </w:rPr>
            </w:pPr>
            <w:r w:rsidRPr="00F00B3C">
              <w:rPr>
                <w:rFonts w:hint="eastAsia"/>
                <w:sz w:val="20"/>
              </w:rPr>
              <w:t>2</w:t>
            </w:r>
            <w:r w:rsidRPr="00F00B3C">
              <w:rPr>
                <w:sz w:val="20"/>
              </w:rPr>
              <w:t>50</w:t>
            </w:r>
          </w:p>
        </w:tc>
        <w:tc>
          <w:tcPr>
            <w:tcW w:w="990" w:type="dxa"/>
            <w:vAlign w:val="center"/>
          </w:tcPr>
          <w:p w14:paraId="5543E49D"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Cambria Math" w:hAnsi="Cambria Math"/>
                <w:i/>
                <w:sz w:val="20"/>
                <w:lang w:eastAsia="en-US"/>
              </w:rPr>
            </w:pPr>
            <w:r w:rsidRPr="00F00B3C">
              <w:rPr>
                <w:rFonts w:hint="eastAsia"/>
                <w:sz w:val="20"/>
              </w:rPr>
              <w:t>0</w:t>
            </w:r>
          </w:p>
        </w:tc>
      </w:tr>
      <w:tr w:rsidR="00D36DE4" w:rsidRPr="00F00B3C" w14:paraId="1996E872" w14:textId="77777777" w:rsidTr="003B538A">
        <w:trPr>
          <w:jc w:val="center"/>
        </w:trPr>
        <w:tc>
          <w:tcPr>
            <w:tcW w:w="1425" w:type="dxa"/>
            <w:vAlign w:val="center"/>
          </w:tcPr>
          <w:p w14:paraId="0B41874F"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lang w:eastAsia="en-US"/>
              </w:rPr>
            </w:pPr>
            <m:oMathPara>
              <m:oMath>
                <m:r>
                  <w:rPr>
                    <w:rFonts w:ascii="Cambria Math" w:hAnsi="Cambria Math"/>
                    <w:sz w:val="20"/>
                    <w:lang w:eastAsia="en-US"/>
                  </w:rPr>
                  <m:t>G=A/R</m:t>
                </m:r>
              </m:oMath>
            </m:oMathPara>
          </w:p>
        </w:tc>
        <w:tc>
          <w:tcPr>
            <w:tcW w:w="1027" w:type="dxa"/>
            <w:vAlign w:val="center"/>
          </w:tcPr>
          <w:p w14:paraId="6BF09CF7"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rPr>
            </w:pPr>
            <w:r>
              <w:rPr>
                <w:sz w:val="20"/>
              </w:rPr>
              <w:t>8.12</w:t>
            </w:r>
          </w:p>
        </w:tc>
        <w:tc>
          <w:tcPr>
            <w:tcW w:w="1090" w:type="dxa"/>
            <w:vAlign w:val="center"/>
          </w:tcPr>
          <w:p w14:paraId="08C2A393"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lang w:eastAsia="en-US"/>
              </w:rPr>
            </w:pPr>
            <m:oMathPara>
              <m:oMath>
                <m:r>
                  <w:rPr>
                    <w:rFonts w:ascii="Cambria Math" w:hAnsi="Cambria Math"/>
                    <w:sz w:val="20"/>
                    <w:lang w:eastAsia="en-US"/>
                  </w:rPr>
                  <m:t>W</m:t>
                </m:r>
                <m:r>
                  <m:rPr>
                    <m:lit/>
                  </m:rPr>
                  <w:rPr>
                    <w:rFonts w:ascii="Cambria Math" w:hAnsi="Cambria Math"/>
                    <w:sz w:val="20"/>
                    <w:lang w:eastAsia="en-US"/>
                  </w:rPr>
                  <m:t>/</m:t>
                </m:r>
                <m:sPre>
                  <m:sPrePr>
                    <m:ctrlPr>
                      <w:rPr>
                        <w:rFonts w:ascii="Cambria Math" w:hAnsi="Cambria Math"/>
                        <w:i/>
                        <w:sz w:val="20"/>
                        <w:lang w:eastAsia="en-US"/>
                      </w:rPr>
                    </m:ctrlPr>
                  </m:sPrePr>
                  <m:sub>
                    <m:r>
                      <w:rPr>
                        <w:rFonts w:ascii="Cambria Math" w:hAnsi="Cambria Math"/>
                        <w:sz w:val="20"/>
                        <w:lang w:eastAsia="en-US"/>
                      </w:rPr>
                      <m:t xml:space="preserve"> </m:t>
                    </m:r>
                  </m:sub>
                  <m:sup>
                    <m:r>
                      <m:rPr>
                        <m:sty m:val="p"/>
                      </m:rPr>
                      <w:rPr>
                        <w:rFonts w:ascii="Cambria Math" w:hAnsi="Cambria Math" w:cs="Cambria Math"/>
                        <w:sz w:val="20"/>
                        <w:lang w:eastAsia="en-US"/>
                      </w:rPr>
                      <m:t>∘</m:t>
                    </m:r>
                  </m:sup>
                  <m:e>
                    <m:r>
                      <w:rPr>
                        <w:rFonts w:ascii="Cambria Math" w:hAnsi="Cambria Math"/>
                        <w:sz w:val="20"/>
                        <w:lang w:eastAsia="en-US"/>
                      </w:rPr>
                      <m:t>C</m:t>
                    </m:r>
                    <m:ctrlPr>
                      <w:rPr>
                        <w:rFonts w:ascii="Cambria Math" w:hAnsi="Cambria Math" w:cs="Cambria Math"/>
                        <w:sz w:val="20"/>
                        <w:lang w:eastAsia="en-US"/>
                      </w:rPr>
                    </m:ctrlPr>
                  </m:e>
                </m:sPre>
              </m:oMath>
            </m:oMathPara>
          </w:p>
        </w:tc>
        <w:tc>
          <w:tcPr>
            <w:tcW w:w="1457" w:type="dxa"/>
            <w:vMerge/>
            <w:vAlign w:val="center"/>
          </w:tcPr>
          <w:p w14:paraId="2E09EAFC"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Garamond" w:hAnsi="Garamond"/>
                <w:sz w:val="20"/>
                <w:lang w:eastAsia="en-US"/>
              </w:rPr>
            </w:pPr>
          </w:p>
        </w:tc>
        <w:tc>
          <w:tcPr>
            <w:tcW w:w="1474" w:type="dxa"/>
            <w:vAlign w:val="center"/>
          </w:tcPr>
          <w:p w14:paraId="4D88A24F"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Garamond" w:hAnsi="Garamond"/>
                <w:sz w:val="20"/>
                <w:lang w:eastAsia="en-US"/>
              </w:rPr>
            </w:pPr>
            <w:r w:rsidRPr="00F00B3C">
              <w:rPr>
                <w:rFonts w:hint="eastAsia"/>
                <w:sz w:val="20"/>
              </w:rPr>
              <w:t>P</w:t>
            </w:r>
            <w:r w:rsidRPr="00F00B3C">
              <w:rPr>
                <w:sz w:val="20"/>
              </w:rPr>
              <w:t>reheat &amp;wash</w:t>
            </w:r>
          </w:p>
        </w:tc>
        <w:tc>
          <w:tcPr>
            <w:tcW w:w="1447" w:type="dxa"/>
            <w:vAlign w:val="center"/>
          </w:tcPr>
          <w:p w14:paraId="0DC78599"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Garamond" w:hAnsi="Garamond"/>
                <w:sz w:val="20"/>
                <w:lang w:eastAsia="en-US"/>
              </w:rPr>
            </w:pPr>
            <w:r w:rsidRPr="00F00B3C">
              <w:rPr>
                <w:rFonts w:hint="eastAsia"/>
                <w:sz w:val="20"/>
              </w:rPr>
              <w:t>1</w:t>
            </w:r>
            <w:r w:rsidRPr="00F00B3C">
              <w:rPr>
                <w:sz w:val="20"/>
              </w:rPr>
              <w:t>300</w:t>
            </w:r>
          </w:p>
        </w:tc>
        <w:tc>
          <w:tcPr>
            <w:tcW w:w="990" w:type="dxa"/>
            <w:vAlign w:val="center"/>
          </w:tcPr>
          <w:p w14:paraId="3A5CEA57"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Garamond" w:hAnsi="Garamond"/>
                <w:sz w:val="20"/>
                <w:lang w:eastAsia="en-US"/>
              </w:rPr>
            </w:pPr>
            <w:r w:rsidRPr="00F00B3C">
              <w:rPr>
                <w:rFonts w:hint="eastAsia"/>
                <w:sz w:val="20"/>
              </w:rPr>
              <w:t>0</w:t>
            </w:r>
          </w:p>
        </w:tc>
      </w:tr>
      <w:tr w:rsidR="00D36DE4" w:rsidRPr="00F00B3C" w14:paraId="38AF2909" w14:textId="77777777" w:rsidTr="003B538A">
        <w:trPr>
          <w:jc w:val="center"/>
        </w:trPr>
        <w:tc>
          <w:tcPr>
            <w:tcW w:w="1425" w:type="dxa"/>
            <w:vAlign w:val="center"/>
          </w:tcPr>
          <w:p w14:paraId="4D6012EA" w14:textId="77777777" w:rsidR="00D36DE4" w:rsidRPr="00F00B3C" w:rsidRDefault="00000000" w:rsidP="002023DB">
            <w:pPr>
              <w:widowControl/>
              <w:suppressAutoHyphens/>
              <w:overflowPunct w:val="0"/>
              <w:autoSpaceDE w:val="0"/>
              <w:autoSpaceDN w:val="0"/>
              <w:adjustRightInd w:val="0"/>
              <w:spacing w:line="240" w:lineRule="auto"/>
              <w:ind w:firstLine="0"/>
              <w:jc w:val="center"/>
              <w:textAlignment w:val="baseline"/>
              <w:rPr>
                <w:rFonts w:eastAsia="SimSun"/>
                <w:iCs/>
                <w:color w:val="000000" w:themeColor="text1"/>
                <w:sz w:val="18"/>
                <w:szCs w:val="22"/>
                <w:lang w:bidi="en-US"/>
              </w:rPr>
            </w:pPr>
            <m:oMathPara>
              <m:oMath>
                <m:sSub>
                  <m:sSubPr>
                    <m:ctrlPr>
                      <w:rPr>
                        <w:rFonts w:ascii="Cambria Math" w:hAnsi="Cambria Math"/>
                        <w:i/>
                        <w:iCs/>
                        <w:color w:val="000000" w:themeColor="text1"/>
                        <w:sz w:val="18"/>
                        <w:szCs w:val="22"/>
                        <w:lang w:bidi="en-US"/>
                      </w:rPr>
                    </m:ctrlPr>
                  </m:sSubPr>
                  <m:e>
                    <m:r>
                      <w:rPr>
                        <w:rFonts w:ascii="Cambria Math" w:hAnsi="Cambria Math"/>
                        <w:color w:val="000000" w:themeColor="text1"/>
                        <w:sz w:val="18"/>
                        <w:szCs w:val="22"/>
                        <w:lang w:bidi="en-US"/>
                      </w:rPr>
                      <m:t>T</m:t>
                    </m:r>
                  </m:e>
                  <m:sub>
                    <m:r>
                      <w:rPr>
                        <w:rFonts w:ascii="Cambria Math" w:hAnsi="Cambria Math"/>
                        <w:color w:val="000000" w:themeColor="text1"/>
                        <w:sz w:val="18"/>
                        <w:szCs w:val="22"/>
                        <w:lang w:bidi="en-US"/>
                      </w:rPr>
                      <m:t>room</m:t>
                    </m:r>
                  </m:sub>
                </m:sSub>
              </m:oMath>
            </m:oMathPara>
          </w:p>
        </w:tc>
        <w:tc>
          <w:tcPr>
            <w:tcW w:w="1027" w:type="dxa"/>
            <w:vAlign w:val="center"/>
          </w:tcPr>
          <w:p w14:paraId="79C26901"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rPr>
            </w:pPr>
            <w:r w:rsidRPr="00F00B3C">
              <w:rPr>
                <w:rFonts w:hint="eastAsia"/>
                <w:sz w:val="20"/>
              </w:rPr>
              <w:t>2</w:t>
            </w:r>
            <w:r w:rsidRPr="00F00B3C">
              <w:rPr>
                <w:sz w:val="20"/>
              </w:rPr>
              <w:t>5</w:t>
            </w:r>
          </w:p>
        </w:tc>
        <w:tc>
          <w:tcPr>
            <w:tcW w:w="1090" w:type="dxa"/>
            <w:vAlign w:val="center"/>
          </w:tcPr>
          <w:p w14:paraId="32434EF0" w14:textId="77777777" w:rsidR="00D36DE4" w:rsidRPr="00F00B3C" w:rsidRDefault="00000000" w:rsidP="002023DB">
            <w:pPr>
              <w:widowControl/>
              <w:suppressAutoHyphens/>
              <w:overflowPunct w:val="0"/>
              <w:autoSpaceDE w:val="0"/>
              <w:autoSpaceDN w:val="0"/>
              <w:adjustRightInd w:val="0"/>
              <w:spacing w:line="240" w:lineRule="auto"/>
              <w:ind w:firstLine="0"/>
              <w:jc w:val="center"/>
              <w:textAlignment w:val="baseline"/>
              <w:rPr>
                <w:sz w:val="20"/>
                <w:lang w:eastAsia="en-US"/>
              </w:rPr>
            </w:pPr>
            <m:oMathPara>
              <m:oMath>
                <m:sPre>
                  <m:sPrePr>
                    <m:ctrlPr>
                      <w:rPr>
                        <w:rFonts w:ascii="Cambria Math" w:hAnsi="Cambria Math"/>
                        <w:i/>
                        <w:sz w:val="20"/>
                        <w:lang w:eastAsia="en-US"/>
                      </w:rPr>
                    </m:ctrlPr>
                  </m:sPrePr>
                  <m:sub>
                    <m:r>
                      <w:rPr>
                        <w:rFonts w:ascii="Cambria Math" w:hAnsi="Cambria Math"/>
                        <w:sz w:val="20"/>
                        <w:lang w:eastAsia="en-US"/>
                      </w:rPr>
                      <m:t xml:space="preserve"> </m:t>
                    </m:r>
                  </m:sub>
                  <m:sup>
                    <m:r>
                      <m:rPr>
                        <m:sty m:val="p"/>
                      </m:rPr>
                      <w:rPr>
                        <w:rFonts w:ascii="Cambria Math" w:hAnsi="Cambria Math" w:cs="Cambria Math"/>
                        <w:sz w:val="20"/>
                        <w:lang w:eastAsia="en-US"/>
                      </w:rPr>
                      <m:t>∘</m:t>
                    </m:r>
                  </m:sup>
                  <m:e>
                    <m:r>
                      <w:rPr>
                        <w:rFonts w:ascii="Cambria Math" w:hAnsi="Cambria Math"/>
                        <w:sz w:val="20"/>
                        <w:lang w:eastAsia="en-US"/>
                      </w:rPr>
                      <m:t>C</m:t>
                    </m:r>
                    <m:ctrlPr>
                      <w:rPr>
                        <w:rFonts w:ascii="Cambria Math" w:hAnsi="Cambria Math" w:cs="Cambria Math"/>
                        <w:sz w:val="20"/>
                        <w:lang w:eastAsia="en-US"/>
                      </w:rPr>
                    </m:ctrlPr>
                  </m:e>
                </m:sPre>
              </m:oMath>
            </m:oMathPara>
          </w:p>
        </w:tc>
        <w:tc>
          <w:tcPr>
            <w:tcW w:w="1457" w:type="dxa"/>
            <w:vMerge/>
            <w:vAlign w:val="center"/>
          </w:tcPr>
          <w:p w14:paraId="5B382587"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Garamond" w:hAnsi="Garamond"/>
                <w:sz w:val="20"/>
                <w:lang w:eastAsia="en-US"/>
              </w:rPr>
            </w:pPr>
          </w:p>
        </w:tc>
        <w:tc>
          <w:tcPr>
            <w:tcW w:w="1474" w:type="dxa"/>
            <w:vAlign w:val="center"/>
          </w:tcPr>
          <w:p w14:paraId="14048BCE"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Garamond" w:hAnsi="Garamond"/>
                <w:sz w:val="20"/>
                <w:lang w:eastAsia="en-US"/>
              </w:rPr>
            </w:pPr>
            <w:r w:rsidRPr="00F00B3C">
              <w:rPr>
                <w:sz w:val="20"/>
              </w:rPr>
              <w:t>Wash</w:t>
            </w:r>
          </w:p>
        </w:tc>
        <w:tc>
          <w:tcPr>
            <w:tcW w:w="1447" w:type="dxa"/>
            <w:vAlign w:val="center"/>
          </w:tcPr>
          <w:p w14:paraId="0D74168F"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Garamond" w:hAnsi="Garamond"/>
                <w:sz w:val="20"/>
                <w:lang w:eastAsia="en-US"/>
              </w:rPr>
            </w:pPr>
            <w:r w:rsidRPr="00F00B3C">
              <w:rPr>
                <w:rFonts w:hint="eastAsia"/>
                <w:sz w:val="20"/>
              </w:rPr>
              <w:t>2</w:t>
            </w:r>
            <w:r w:rsidRPr="00F00B3C">
              <w:rPr>
                <w:sz w:val="20"/>
              </w:rPr>
              <w:t>50</w:t>
            </w:r>
          </w:p>
        </w:tc>
        <w:tc>
          <w:tcPr>
            <w:tcW w:w="990" w:type="dxa"/>
            <w:vAlign w:val="center"/>
          </w:tcPr>
          <w:p w14:paraId="399232AF"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Garamond" w:hAnsi="Garamond"/>
                <w:sz w:val="20"/>
                <w:lang w:eastAsia="en-US"/>
              </w:rPr>
            </w:pPr>
            <w:r w:rsidRPr="00F00B3C">
              <w:rPr>
                <w:rFonts w:hint="eastAsia"/>
                <w:sz w:val="20"/>
              </w:rPr>
              <w:t>0</w:t>
            </w:r>
          </w:p>
        </w:tc>
      </w:tr>
      <w:tr w:rsidR="00D36DE4" w:rsidRPr="00F00B3C" w14:paraId="4083FB48" w14:textId="77777777" w:rsidTr="003B538A">
        <w:trPr>
          <w:jc w:val="center"/>
        </w:trPr>
        <w:tc>
          <w:tcPr>
            <w:tcW w:w="1425" w:type="dxa"/>
            <w:vAlign w:val="center"/>
          </w:tcPr>
          <w:p w14:paraId="32C6005B" w14:textId="77777777" w:rsidR="00D36DE4" w:rsidRPr="00F00B3C" w:rsidRDefault="00000000" w:rsidP="002023DB">
            <w:pPr>
              <w:widowControl/>
              <w:suppressAutoHyphens/>
              <w:overflowPunct w:val="0"/>
              <w:autoSpaceDE w:val="0"/>
              <w:autoSpaceDN w:val="0"/>
              <w:adjustRightInd w:val="0"/>
              <w:spacing w:line="240" w:lineRule="auto"/>
              <w:ind w:firstLine="0"/>
              <w:jc w:val="center"/>
              <w:textAlignment w:val="baseline"/>
              <w:rPr>
                <w:rFonts w:eastAsia="SimSun"/>
                <w:iCs/>
                <w:color w:val="000000" w:themeColor="text1"/>
                <w:sz w:val="18"/>
                <w:szCs w:val="22"/>
                <w:lang w:bidi="en-US"/>
              </w:rPr>
            </w:pPr>
            <m:oMathPara>
              <m:oMath>
                <m:sSub>
                  <m:sSubPr>
                    <m:ctrlPr>
                      <w:rPr>
                        <w:rFonts w:ascii="Cambria Math" w:hAnsi="Cambria Math"/>
                        <w:i/>
                        <w:iCs/>
                        <w:color w:val="000000" w:themeColor="text1"/>
                        <w:sz w:val="18"/>
                        <w:szCs w:val="22"/>
                        <w:lang w:bidi="en-US"/>
                      </w:rPr>
                    </m:ctrlPr>
                  </m:sSubPr>
                  <m:e>
                    <m:r>
                      <w:rPr>
                        <w:rFonts w:ascii="Cambria Math" w:hAnsi="Cambria Math"/>
                        <w:color w:val="000000" w:themeColor="text1"/>
                        <w:sz w:val="18"/>
                        <w:szCs w:val="22"/>
                        <w:lang w:bidi="en-US"/>
                      </w:rPr>
                      <m:t>T</m:t>
                    </m:r>
                  </m:e>
                  <m:sub>
                    <m:r>
                      <w:rPr>
                        <w:rFonts w:ascii="Cambria Math" w:hAnsi="Cambria Math"/>
                        <w:color w:val="000000" w:themeColor="text1"/>
                        <w:sz w:val="18"/>
                        <w:szCs w:val="22"/>
                        <w:lang w:bidi="en-US"/>
                      </w:rPr>
                      <m:t>inlet</m:t>
                    </m:r>
                  </m:sub>
                </m:sSub>
              </m:oMath>
            </m:oMathPara>
          </w:p>
        </w:tc>
        <w:tc>
          <w:tcPr>
            <w:tcW w:w="1027" w:type="dxa"/>
            <w:vAlign w:val="center"/>
          </w:tcPr>
          <w:p w14:paraId="710884D6"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rPr>
            </w:pPr>
            <w:r w:rsidRPr="00F00B3C">
              <w:rPr>
                <w:rFonts w:hint="eastAsia"/>
                <w:sz w:val="20"/>
              </w:rPr>
              <w:t>1</w:t>
            </w:r>
            <w:r w:rsidRPr="00F00B3C">
              <w:rPr>
                <w:sz w:val="20"/>
              </w:rPr>
              <w:t>5</w:t>
            </w:r>
          </w:p>
        </w:tc>
        <w:tc>
          <w:tcPr>
            <w:tcW w:w="1090" w:type="dxa"/>
            <w:vAlign w:val="center"/>
          </w:tcPr>
          <w:p w14:paraId="6EDD0784" w14:textId="77777777" w:rsidR="00D36DE4" w:rsidRPr="00F00B3C" w:rsidRDefault="00000000" w:rsidP="002023DB">
            <w:pPr>
              <w:widowControl/>
              <w:suppressAutoHyphens/>
              <w:overflowPunct w:val="0"/>
              <w:autoSpaceDE w:val="0"/>
              <w:autoSpaceDN w:val="0"/>
              <w:adjustRightInd w:val="0"/>
              <w:spacing w:line="240" w:lineRule="auto"/>
              <w:ind w:firstLine="0"/>
              <w:jc w:val="center"/>
              <w:textAlignment w:val="baseline"/>
              <w:rPr>
                <w:sz w:val="20"/>
                <w:lang w:eastAsia="en-US"/>
              </w:rPr>
            </w:pPr>
            <m:oMathPara>
              <m:oMath>
                <m:sPre>
                  <m:sPrePr>
                    <m:ctrlPr>
                      <w:rPr>
                        <w:rFonts w:ascii="Cambria Math" w:hAnsi="Cambria Math"/>
                        <w:i/>
                        <w:sz w:val="20"/>
                        <w:lang w:eastAsia="en-US"/>
                      </w:rPr>
                    </m:ctrlPr>
                  </m:sPrePr>
                  <m:sub>
                    <m:r>
                      <w:rPr>
                        <w:rFonts w:ascii="Cambria Math" w:hAnsi="Cambria Math"/>
                        <w:sz w:val="20"/>
                        <w:lang w:eastAsia="en-US"/>
                      </w:rPr>
                      <m:t xml:space="preserve"> </m:t>
                    </m:r>
                  </m:sub>
                  <m:sup>
                    <m:r>
                      <m:rPr>
                        <m:sty m:val="p"/>
                      </m:rPr>
                      <w:rPr>
                        <w:rFonts w:ascii="Cambria Math" w:hAnsi="Cambria Math" w:cs="Cambria Math"/>
                        <w:sz w:val="20"/>
                        <w:lang w:eastAsia="en-US"/>
                      </w:rPr>
                      <m:t>∘</m:t>
                    </m:r>
                  </m:sup>
                  <m:e>
                    <m:r>
                      <w:rPr>
                        <w:rFonts w:ascii="Cambria Math" w:hAnsi="Cambria Math"/>
                        <w:sz w:val="20"/>
                        <w:lang w:eastAsia="en-US"/>
                      </w:rPr>
                      <m:t>C</m:t>
                    </m:r>
                    <m:ctrlPr>
                      <w:rPr>
                        <w:rFonts w:ascii="Cambria Math" w:hAnsi="Cambria Math" w:cs="Cambria Math"/>
                        <w:sz w:val="20"/>
                        <w:lang w:eastAsia="en-US"/>
                      </w:rPr>
                    </m:ctrlPr>
                  </m:e>
                </m:sPre>
              </m:oMath>
            </m:oMathPara>
          </w:p>
        </w:tc>
        <w:tc>
          <w:tcPr>
            <w:tcW w:w="1457" w:type="dxa"/>
            <w:vMerge/>
            <w:vAlign w:val="center"/>
          </w:tcPr>
          <w:p w14:paraId="307643DF"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Consolas" w:hAnsi="Consolas"/>
                <w:sz w:val="20"/>
                <w:lang w:eastAsia="en-US"/>
              </w:rPr>
            </w:pPr>
          </w:p>
        </w:tc>
        <w:tc>
          <w:tcPr>
            <w:tcW w:w="1474" w:type="dxa"/>
            <w:vAlign w:val="center"/>
          </w:tcPr>
          <w:p w14:paraId="441691A9"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Consolas" w:hAnsi="Consolas"/>
                <w:sz w:val="20"/>
                <w:lang w:eastAsia="en-US"/>
              </w:rPr>
            </w:pPr>
            <w:r w:rsidRPr="00F00B3C">
              <w:rPr>
                <w:sz w:val="20"/>
              </w:rPr>
              <w:t>Partial fill</w:t>
            </w:r>
          </w:p>
        </w:tc>
        <w:tc>
          <w:tcPr>
            <w:tcW w:w="1447" w:type="dxa"/>
            <w:vAlign w:val="center"/>
          </w:tcPr>
          <w:p w14:paraId="30DEDD75"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Consolas" w:hAnsi="Consolas"/>
                <w:sz w:val="20"/>
                <w:lang w:eastAsia="en-US"/>
              </w:rPr>
            </w:pPr>
            <w:r w:rsidRPr="00F00B3C">
              <w:rPr>
                <w:rFonts w:hint="eastAsia"/>
                <w:sz w:val="20"/>
              </w:rPr>
              <w:t>2</w:t>
            </w:r>
            <w:r w:rsidRPr="00F00B3C">
              <w:rPr>
                <w:sz w:val="20"/>
              </w:rPr>
              <w:t>50</w:t>
            </w:r>
          </w:p>
        </w:tc>
        <w:tc>
          <w:tcPr>
            <w:tcW w:w="990" w:type="dxa"/>
            <w:vAlign w:val="center"/>
          </w:tcPr>
          <w:p w14:paraId="70E29BE8"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Consolas" w:hAnsi="Consolas"/>
                <w:sz w:val="20"/>
                <w:lang w:eastAsia="en-US"/>
              </w:rPr>
            </w:pPr>
            <w:r w:rsidRPr="00F00B3C">
              <w:rPr>
                <w:rFonts w:hint="eastAsia"/>
                <w:sz w:val="20"/>
              </w:rPr>
              <w:t>0</w:t>
            </w:r>
          </w:p>
        </w:tc>
      </w:tr>
      <w:tr w:rsidR="00D36DE4" w:rsidRPr="00F00B3C" w14:paraId="7E777486" w14:textId="77777777" w:rsidTr="003B538A">
        <w:trPr>
          <w:jc w:val="center"/>
        </w:trPr>
        <w:tc>
          <w:tcPr>
            <w:tcW w:w="1425" w:type="dxa"/>
            <w:vAlign w:val="center"/>
          </w:tcPr>
          <w:p w14:paraId="224BD77E" w14:textId="77777777" w:rsidR="00D36DE4" w:rsidRPr="00F00B3C" w:rsidRDefault="00000000" w:rsidP="002023DB">
            <w:pPr>
              <w:widowControl/>
              <w:suppressAutoHyphens/>
              <w:overflowPunct w:val="0"/>
              <w:autoSpaceDE w:val="0"/>
              <w:autoSpaceDN w:val="0"/>
              <w:adjustRightInd w:val="0"/>
              <w:spacing w:line="240" w:lineRule="auto"/>
              <w:ind w:firstLine="0"/>
              <w:jc w:val="center"/>
              <w:textAlignment w:val="baseline"/>
              <w:rPr>
                <w:rFonts w:eastAsia="SimSun"/>
                <w:iCs/>
                <w:color w:val="000000" w:themeColor="text1"/>
                <w:sz w:val="18"/>
                <w:szCs w:val="22"/>
                <w:lang w:bidi="en-US"/>
              </w:rPr>
            </w:pPr>
            <m:oMathPara>
              <m:oMath>
                <m:sSubSup>
                  <m:sSubSupPr>
                    <m:ctrlPr>
                      <w:rPr>
                        <w:rFonts w:ascii="Cambria Math" w:hAnsi="Cambria Math"/>
                        <w:i/>
                        <w:iCs/>
                        <w:color w:val="000000" w:themeColor="text1"/>
                        <w:sz w:val="18"/>
                        <w:szCs w:val="22"/>
                        <w:lang w:bidi="en-US"/>
                      </w:rPr>
                    </m:ctrlPr>
                  </m:sSubSupPr>
                  <m:e>
                    <m:r>
                      <w:rPr>
                        <w:rFonts w:ascii="Cambria Math" w:hAnsi="Cambria Math"/>
                        <w:color w:val="000000" w:themeColor="text1"/>
                        <w:sz w:val="18"/>
                        <w:szCs w:val="22"/>
                        <w:lang w:bidi="en-US"/>
                      </w:rPr>
                      <m:t>T</m:t>
                    </m:r>
                  </m:e>
                  <m:sub>
                    <m:r>
                      <w:rPr>
                        <w:rFonts w:ascii="Cambria Math" w:hAnsi="Cambria Math"/>
                        <w:color w:val="000000" w:themeColor="text1"/>
                        <w:sz w:val="18"/>
                        <w:szCs w:val="22"/>
                        <w:lang w:bidi="en-US"/>
                      </w:rPr>
                      <m:t>wh</m:t>
                    </m:r>
                  </m:sub>
                  <m:sup>
                    <m:r>
                      <w:rPr>
                        <w:rFonts w:ascii="Cambria Math" w:hAnsi="Cambria Math"/>
                        <w:color w:val="000000" w:themeColor="text1"/>
                        <w:sz w:val="18"/>
                        <w:szCs w:val="22"/>
                        <w:lang w:bidi="en-US"/>
                      </w:rPr>
                      <m:t>0</m:t>
                    </m:r>
                  </m:sup>
                </m:sSubSup>
              </m:oMath>
            </m:oMathPara>
          </w:p>
        </w:tc>
        <w:tc>
          <w:tcPr>
            <w:tcW w:w="1027" w:type="dxa"/>
            <w:vAlign w:val="center"/>
          </w:tcPr>
          <w:p w14:paraId="5296CA8C"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rPr>
            </w:pPr>
            <w:r w:rsidRPr="00F00B3C">
              <w:rPr>
                <w:rFonts w:hint="eastAsia"/>
                <w:sz w:val="20"/>
              </w:rPr>
              <w:t>6</w:t>
            </w:r>
            <w:r w:rsidRPr="00F00B3C">
              <w:rPr>
                <w:sz w:val="20"/>
              </w:rPr>
              <w:t>2</w:t>
            </w:r>
          </w:p>
        </w:tc>
        <w:tc>
          <w:tcPr>
            <w:tcW w:w="1090" w:type="dxa"/>
            <w:vAlign w:val="center"/>
          </w:tcPr>
          <w:p w14:paraId="7DE54B86" w14:textId="77777777" w:rsidR="00D36DE4" w:rsidRPr="00F00B3C" w:rsidRDefault="00000000" w:rsidP="002023DB">
            <w:pPr>
              <w:widowControl/>
              <w:suppressAutoHyphens/>
              <w:overflowPunct w:val="0"/>
              <w:autoSpaceDE w:val="0"/>
              <w:autoSpaceDN w:val="0"/>
              <w:adjustRightInd w:val="0"/>
              <w:spacing w:line="240" w:lineRule="auto"/>
              <w:ind w:firstLine="0"/>
              <w:jc w:val="center"/>
              <w:textAlignment w:val="baseline"/>
              <w:rPr>
                <w:sz w:val="20"/>
                <w:lang w:eastAsia="en-US"/>
              </w:rPr>
            </w:pPr>
            <m:oMathPara>
              <m:oMath>
                <m:sPre>
                  <m:sPrePr>
                    <m:ctrlPr>
                      <w:rPr>
                        <w:rFonts w:ascii="Cambria Math" w:hAnsi="Cambria Math"/>
                        <w:i/>
                        <w:sz w:val="20"/>
                        <w:lang w:eastAsia="en-US"/>
                      </w:rPr>
                    </m:ctrlPr>
                  </m:sPrePr>
                  <m:sub>
                    <m:r>
                      <w:rPr>
                        <w:rFonts w:ascii="Cambria Math" w:hAnsi="Cambria Math"/>
                        <w:sz w:val="20"/>
                        <w:lang w:eastAsia="en-US"/>
                      </w:rPr>
                      <m:t xml:space="preserve"> </m:t>
                    </m:r>
                  </m:sub>
                  <m:sup>
                    <m:r>
                      <m:rPr>
                        <m:sty m:val="p"/>
                      </m:rPr>
                      <w:rPr>
                        <w:rFonts w:ascii="Cambria Math" w:hAnsi="Cambria Math" w:cs="Cambria Math"/>
                        <w:sz w:val="20"/>
                        <w:lang w:eastAsia="en-US"/>
                      </w:rPr>
                      <m:t>∘</m:t>
                    </m:r>
                  </m:sup>
                  <m:e>
                    <m:r>
                      <w:rPr>
                        <w:rFonts w:ascii="Cambria Math" w:hAnsi="Cambria Math"/>
                        <w:sz w:val="20"/>
                        <w:lang w:eastAsia="en-US"/>
                      </w:rPr>
                      <m:t>C</m:t>
                    </m:r>
                    <m:ctrlPr>
                      <w:rPr>
                        <w:rFonts w:ascii="Cambria Math" w:hAnsi="Cambria Math" w:cs="Cambria Math"/>
                        <w:sz w:val="20"/>
                        <w:lang w:eastAsia="en-US"/>
                      </w:rPr>
                    </m:ctrlPr>
                  </m:e>
                </m:sPre>
              </m:oMath>
            </m:oMathPara>
          </w:p>
        </w:tc>
        <w:tc>
          <w:tcPr>
            <w:tcW w:w="1457" w:type="dxa"/>
            <w:vMerge/>
            <w:vAlign w:val="center"/>
          </w:tcPr>
          <w:p w14:paraId="608F5EBF"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Consolas" w:hAnsi="Consolas"/>
                <w:sz w:val="20"/>
                <w:lang w:eastAsia="en-US"/>
              </w:rPr>
            </w:pPr>
          </w:p>
        </w:tc>
        <w:tc>
          <w:tcPr>
            <w:tcW w:w="1474" w:type="dxa"/>
            <w:vAlign w:val="center"/>
          </w:tcPr>
          <w:p w14:paraId="7732A405"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Consolas" w:hAnsi="Consolas"/>
                <w:sz w:val="20"/>
                <w:lang w:eastAsia="en-US"/>
              </w:rPr>
            </w:pPr>
            <w:r w:rsidRPr="00F00B3C">
              <w:rPr>
                <w:sz w:val="20"/>
              </w:rPr>
              <w:t>Heated rinse</w:t>
            </w:r>
          </w:p>
        </w:tc>
        <w:tc>
          <w:tcPr>
            <w:tcW w:w="1447" w:type="dxa"/>
            <w:vAlign w:val="center"/>
          </w:tcPr>
          <w:p w14:paraId="6CCB3D77"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Consolas" w:hAnsi="Consolas"/>
                <w:sz w:val="20"/>
                <w:lang w:eastAsia="en-US"/>
              </w:rPr>
            </w:pPr>
            <w:r w:rsidRPr="00F00B3C">
              <w:rPr>
                <w:rFonts w:hint="eastAsia"/>
                <w:sz w:val="20"/>
              </w:rPr>
              <w:t>1</w:t>
            </w:r>
            <w:r w:rsidRPr="00F00B3C">
              <w:rPr>
                <w:sz w:val="20"/>
              </w:rPr>
              <w:t>300</w:t>
            </w:r>
          </w:p>
        </w:tc>
        <w:tc>
          <w:tcPr>
            <w:tcW w:w="990" w:type="dxa"/>
            <w:vAlign w:val="center"/>
          </w:tcPr>
          <w:p w14:paraId="4C01DC91"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Consolas" w:hAnsi="Consolas"/>
                <w:sz w:val="20"/>
                <w:lang w:eastAsia="en-US"/>
              </w:rPr>
            </w:pPr>
            <w:r w:rsidRPr="00F00B3C">
              <w:rPr>
                <w:rFonts w:hint="eastAsia"/>
                <w:sz w:val="20"/>
              </w:rPr>
              <w:t>0</w:t>
            </w:r>
          </w:p>
        </w:tc>
      </w:tr>
      <w:tr w:rsidR="00D36DE4" w:rsidRPr="00F00B3C" w14:paraId="319FD819" w14:textId="77777777" w:rsidTr="003B538A">
        <w:trPr>
          <w:jc w:val="center"/>
        </w:trPr>
        <w:tc>
          <w:tcPr>
            <w:tcW w:w="1425" w:type="dxa"/>
            <w:vMerge w:val="restart"/>
            <w:vAlign w:val="center"/>
          </w:tcPr>
          <w:p w14:paraId="47BE2E51" w14:textId="77777777" w:rsidR="00D36DE4" w:rsidRPr="00F00B3C" w:rsidRDefault="00000000" w:rsidP="002023DB">
            <w:pPr>
              <w:widowControl/>
              <w:suppressAutoHyphens/>
              <w:overflowPunct w:val="0"/>
              <w:autoSpaceDE w:val="0"/>
              <w:autoSpaceDN w:val="0"/>
              <w:adjustRightInd w:val="0"/>
              <w:spacing w:line="240" w:lineRule="auto"/>
              <w:ind w:firstLine="0"/>
              <w:jc w:val="center"/>
              <w:textAlignment w:val="baseline"/>
              <w:rPr>
                <w:rFonts w:eastAsia="SimSun"/>
                <w:iCs/>
                <w:color w:val="000000" w:themeColor="text1"/>
                <w:sz w:val="18"/>
                <w:szCs w:val="22"/>
                <w:lang w:bidi="en-US"/>
              </w:rPr>
            </w:pPr>
            <m:oMathPara>
              <m:oMath>
                <m:sSub>
                  <m:sSubPr>
                    <m:ctrlPr>
                      <w:rPr>
                        <w:rFonts w:ascii="Cambria Math" w:eastAsia="SimSun" w:hAnsi="Cambria Math"/>
                        <w:i/>
                        <w:iCs/>
                        <w:color w:val="000000" w:themeColor="text1"/>
                        <w:sz w:val="18"/>
                        <w:szCs w:val="22"/>
                        <w:lang w:bidi="en-US"/>
                      </w:rPr>
                    </m:ctrlPr>
                  </m:sSubPr>
                  <m:e>
                    <m:r>
                      <w:rPr>
                        <w:rFonts w:ascii="Cambria Math" w:eastAsia="SimSun" w:hAnsi="Cambria Math"/>
                        <w:color w:val="000000" w:themeColor="text1"/>
                        <w:sz w:val="18"/>
                        <w:szCs w:val="22"/>
                        <w:lang w:bidi="en-US"/>
                      </w:rPr>
                      <m:t>P</m:t>
                    </m:r>
                  </m:e>
                  <m:sub>
                    <m:r>
                      <w:rPr>
                        <w:rFonts w:ascii="Cambria Math" w:eastAsia="SimSun" w:hAnsi="Cambria Math"/>
                        <w:color w:val="000000" w:themeColor="text1"/>
                        <w:sz w:val="18"/>
                        <w:szCs w:val="22"/>
                        <w:lang w:bidi="en-US"/>
                      </w:rPr>
                      <m:t>wh</m:t>
                    </m:r>
                  </m:sub>
                </m:sSub>
              </m:oMath>
            </m:oMathPara>
          </w:p>
        </w:tc>
        <w:tc>
          <w:tcPr>
            <w:tcW w:w="1027" w:type="dxa"/>
            <w:vMerge w:val="restart"/>
            <w:vAlign w:val="center"/>
          </w:tcPr>
          <w:p w14:paraId="6603BA28"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rPr>
            </w:pPr>
            <w:r w:rsidRPr="00F00B3C">
              <w:rPr>
                <w:sz w:val="20"/>
              </w:rPr>
              <w:t>4500</w:t>
            </w:r>
          </w:p>
        </w:tc>
        <w:tc>
          <w:tcPr>
            <w:tcW w:w="1090" w:type="dxa"/>
            <w:vMerge w:val="restart"/>
            <w:vAlign w:val="center"/>
          </w:tcPr>
          <w:p w14:paraId="38097D7A"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eastAsia="SimSun"/>
                <w:sz w:val="20"/>
              </w:rPr>
            </w:pPr>
            <m:oMathPara>
              <m:oMath>
                <m:r>
                  <w:rPr>
                    <w:rFonts w:ascii="Cambria Math" w:eastAsia="SimSun" w:hAnsi="Cambria Math" w:hint="eastAsia"/>
                    <w:sz w:val="20"/>
                  </w:rPr>
                  <m:t>W</m:t>
                </m:r>
              </m:oMath>
            </m:oMathPara>
          </w:p>
        </w:tc>
        <w:tc>
          <w:tcPr>
            <w:tcW w:w="1457" w:type="dxa"/>
            <w:vMerge/>
            <w:tcBorders>
              <w:bottom w:val="double" w:sz="4" w:space="0" w:color="auto"/>
            </w:tcBorders>
            <w:vAlign w:val="center"/>
          </w:tcPr>
          <w:p w14:paraId="5F1F8F34"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Consolas" w:hAnsi="Consolas"/>
                <w:sz w:val="20"/>
              </w:rPr>
            </w:pPr>
          </w:p>
        </w:tc>
        <w:tc>
          <w:tcPr>
            <w:tcW w:w="1474" w:type="dxa"/>
            <w:vAlign w:val="center"/>
          </w:tcPr>
          <w:p w14:paraId="58C5AE95"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Consolas" w:hAnsi="Consolas"/>
                <w:sz w:val="20"/>
              </w:rPr>
            </w:pPr>
            <w:r w:rsidRPr="00F00B3C">
              <w:rPr>
                <w:sz w:val="20"/>
              </w:rPr>
              <w:t>Final rinse</w:t>
            </w:r>
          </w:p>
        </w:tc>
        <w:tc>
          <w:tcPr>
            <w:tcW w:w="1447" w:type="dxa"/>
            <w:vAlign w:val="center"/>
          </w:tcPr>
          <w:p w14:paraId="32C76B2A"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Consolas" w:hAnsi="Consolas"/>
                <w:sz w:val="20"/>
              </w:rPr>
            </w:pPr>
            <w:r w:rsidRPr="00F00B3C">
              <w:rPr>
                <w:rFonts w:hint="eastAsia"/>
                <w:sz w:val="20"/>
              </w:rPr>
              <w:t>2</w:t>
            </w:r>
            <w:r w:rsidRPr="00F00B3C">
              <w:rPr>
                <w:sz w:val="20"/>
              </w:rPr>
              <w:t>50</w:t>
            </w:r>
          </w:p>
        </w:tc>
        <w:tc>
          <w:tcPr>
            <w:tcW w:w="990" w:type="dxa"/>
            <w:vAlign w:val="center"/>
          </w:tcPr>
          <w:p w14:paraId="2766E65A"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Consolas" w:hAnsi="Consolas"/>
                <w:sz w:val="20"/>
              </w:rPr>
            </w:pPr>
            <w:r w:rsidRPr="00F00B3C">
              <w:rPr>
                <w:rFonts w:hint="eastAsia"/>
                <w:sz w:val="20"/>
              </w:rPr>
              <w:t>0</w:t>
            </w:r>
          </w:p>
        </w:tc>
      </w:tr>
      <w:tr w:rsidR="00D36DE4" w:rsidRPr="00F00B3C" w14:paraId="4AD11425" w14:textId="77777777" w:rsidTr="003B538A">
        <w:trPr>
          <w:jc w:val="center"/>
        </w:trPr>
        <w:tc>
          <w:tcPr>
            <w:tcW w:w="1425" w:type="dxa"/>
            <w:vMerge/>
            <w:vAlign w:val="center"/>
          </w:tcPr>
          <w:p w14:paraId="5C3202E8"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Calibri" w:hAnsi="Calibri"/>
                <w:iCs/>
                <w:color w:val="000000" w:themeColor="text1"/>
                <w:sz w:val="18"/>
                <w:szCs w:val="22"/>
                <w:lang w:bidi="en-US"/>
              </w:rPr>
            </w:pPr>
          </w:p>
        </w:tc>
        <w:tc>
          <w:tcPr>
            <w:tcW w:w="1027" w:type="dxa"/>
            <w:vMerge/>
            <w:vAlign w:val="center"/>
          </w:tcPr>
          <w:p w14:paraId="05A67798"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rPr>
            </w:pPr>
          </w:p>
        </w:tc>
        <w:tc>
          <w:tcPr>
            <w:tcW w:w="1090" w:type="dxa"/>
            <w:vMerge/>
            <w:vAlign w:val="center"/>
          </w:tcPr>
          <w:p w14:paraId="5E46B89D"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rPr>
            </w:pPr>
          </w:p>
        </w:tc>
        <w:tc>
          <w:tcPr>
            <w:tcW w:w="1457" w:type="dxa"/>
            <w:tcBorders>
              <w:top w:val="double" w:sz="4" w:space="0" w:color="auto"/>
            </w:tcBorders>
            <w:vAlign w:val="center"/>
          </w:tcPr>
          <w:p w14:paraId="5A255A4A"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rFonts w:ascii="Consolas" w:hAnsi="Consolas"/>
                <w:sz w:val="20"/>
              </w:rPr>
            </w:pPr>
            <w:r w:rsidRPr="00F00B3C">
              <w:rPr>
                <w:rFonts w:hint="eastAsia"/>
                <w:sz w:val="20"/>
              </w:rPr>
              <w:t>D</w:t>
            </w:r>
            <w:r w:rsidRPr="00F00B3C">
              <w:rPr>
                <w:sz w:val="20"/>
              </w:rPr>
              <w:t>ryer</w:t>
            </w:r>
          </w:p>
        </w:tc>
        <w:tc>
          <w:tcPr>
            <w:tcW w:w="1474" w:type="dxa"/>
            <w:vAlign w:val="center"/>
          </w:tcPr>
          <w:p w14:paraId="6605C15E"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rPr>
            </w:pPr>
            <w:r w:rsidRPr="00F00B3C">
              <w:rPr>
                <w:sz w:val="20"/>
              </w:rPr>
              <w:t>Drying</w:t>
            </w:r>
          </w:p>
        </w:tc>
        <w:tc>
          <w:tcPr>
            <w:tcW w:w="1447" w:type="dxa"/>
            <w:vAlign w:val="center"/>
          </w:tcPr>
          <w:p w14:paraId="05D80FFD" w14:textId="77777777" w:rsidR="00D36DE4" w:rsidRPr="00F00B3C" w:rsidRDefault="00D36DE4" w:rsidP="002023DB">
            <w:pPr>
              <w:widowControl/>
              <w:suppressAutoHyphens/>
              <w:overflowPunct w:val="0"/>
              <w:autoSpaceDE w:val="0"/>
              <w:autoSpaceDN w:val="0"/>
              <w:adjustRightInd w:val="0"/>
              <w:spacing w:line="240" w:lineRule="auto"/>
              <w:ind w:firstLine="0"/>
              <w:jc w:val="center"/>
              <w:textAlignment w:val="baseline"/>
              <w:rPr>
                <w:sz w:val="20"/>
              </w:rPr>
            </w:pPr>
            <w:r w:rsidRPr="00F00B3C">
              <w:rPr>
                <w:sz w:val="20"/>
              </w:rPr>
              <w:t>50</w:t>
            </w:r>
            <w:r>
              <w:rPr>
                <w:sz w:val="20"/>
              </w:rPr>
              <w:t>0</w:t>
            </w:r>
            <w:r w:rsidRPr="00F00B3C">
              <w:rPr>
                <w:sz w:val="20"/>
              </w:rPr>
              <w:t>0</w:t>
            </w:r>
          </w:p>
        </w:tc>
        <w:tc>
          <w:tcPr>
            <w:tcW w:w="990" w:type="dxa"/>
            <w:vAlign w:val="center"/>
          </w:tcPr>
          <w:p w14:paraId="4CEA1269" w14:textId="77777777" w:rsidR="00D36DE4" w:rsidRPr="00F00B3C" w:rsidRDefault="00D36DE4" w:rsidP="002023DB">
            <w:pPr>
              <w:keepNext/>
              <w:widowControl/>
              <w:suppressAutoHyphens/>
              <w:overflowPunct w:val="0"/>
              <w:autoSpaceDE w:val="0"/>
              <w:autoSpaceDN w:val="0"/>
              <w:adjustRightInd w:val="0"/>
              <w:spacing w:line="240" w:lineRule="auto"/>
              <w:ind w:firstLine="0"/>
              <w:jc w:val="center"/>
              <w:textAlignment w:val="baseline"/>
              <w:rPr>
                <w:sz w:val="20"/>
              </w:rPr>
            </w:pPr>
            <w:r w:rsidRPr="00F00B3C">
              <w:rPr>
                <w:rFonts w:hint="eastAsia"/>
                <w:sz w:val="20"/>
              </w:rPr>
              <w:t>0</w:t>
            </w:r>
          </w:p>
        </w:tc>
      </w:tr>
    </w:tbl>
    <w:p w14:paraId="51FEACA7" w14:textId="4F9E6DCA" w:rsidR="00D36DE4" w:rsidRPr="003D1254" w:rsidRDefault="00D47C2B" w:rsidP="00D36DE4">
      <w:r>
        <w:fldChar w:fldCharType="begin"/>
      </w:r>
      <w:r>
        <w:instrText xml:space="preserve"> REF _Ref139494030 \h </w:instrText>
      </w:r>
      <w:r>
        <w:fldChar w:fldCharType="separate"/>
      </w:r>
      <w:r w:rsidR="000E1725">
        <w:t xml:space="preserve">Table </w:t>
      </w:r>
      <w:r w:rsidR="000E1725">
        <w:rPr>
          <w:noProof/>
        </w:rPr>
        <w:t>5</w:t>
      </w:r>
      <w:r w:rsidR="000E1725">
        <w:t>.</w:t>
      </w:r>
      <w:r w:rsidR="000E1725">
        <w:rPr>
          <w:noProof/>
        </w:rPr>
        <w:t>1</w:t>
      </w:r>
      <w:r>
        <w:fldChar w:fldCharType="end"/>
      </w:r>
      <w:r>
        <w:t xml:space="preserve"> </w:t>
      </w:r>
      <w:r w:rsidR="00D36DE4">
        <w:t>also lists the specifications of all non-thermal appliances considered in the model. T</w:t>
      </w:r>
      <w:r w:rsidR="00D36DE4" w:rsidRPr="001C2CC1">
        <w:t>he right-hand side</w:t>
      </w:r>
      <w:r w:rsidR="00D36DE4">
        <w:t xml:space="preserve"> of the table</w:t>
      </w:r>
      <w:r w:rsidR="00D36DE4" w:rsidRPr="001C2CC1">
        <w:t xml:space="preserve"> contains information about non-thermal appliances' energy consumption. Three non-thermal appliances were considered: the dishwasher, the clothes washer, and the dryer. Each of them has a unique energy phase, which may consume a different amount of energy.</w:t>
      </w:r>
      <w:r w:rsidR="00D36DE4">
        <w:t xml:space="preserve"> Since the</w:t>
      </w:r>
      <w:r w:rsidR="00D36DE4" w:rsidRPr="002E34FC">
        <w:t xml:space="preserve"> water heater</w:t>
      </w:r>
      <w:r w:rsidR="00D36DE4">
        <w:t xml:space="preserve"> </w:t>
      </w:r>
      <w:r w:rsidR="00D36DE4" w:rsidRPr="00272A07">
        <w:t xml:space="preserve">is coupled with the clothes washer; thus, an additional column representing the water consumption of non-thermal appliances is included. </w:t>
      </w:r>
      <w:r w:rsidR="00D36DE4" w:rsidRPr="00B84702">
        <w:t>Additionally, to ensure safe electricity usage and to prevent too many appliances from running concurrently, the scheduling model includes a constraint on total power flow</w:t>
      </w:r>
      <w:r w:rsidR="00D36DE4">
        <w:t>. In each of the following results, we</w:t>
      </w:r>
      <w:r w:rsidR="00D36DE4" w:rsidRPr="003D1254">
        <w:t xml:space="preserve"> set </w:t>
      </w:r>
      <m:oMath>
        <m:sSub>
          <m:sSubPr>
            <m:ctrlPr>
              <w:rPr>
                <w:rFonts w:ascii="Cambria Math" w:hAnsi="Cambria Math"/>
                <w:i/>
              </w:rPr>
            </m:ctrlPr>
          </m:sSubPr>
          <m:e>
            <m:r>
              <w:rPr>
                <w:rFonts w:ascii="Cambria Math" w:hAnsi="Cambria Math"/>
              </w:rPr>
              <m:t>P</m:t>
            </m:r>
          </m:e>
          <m:sub>
            <m:r>
              <w:rPr>
                <w:rFonts w:ascii="Cambria Math" w:hAnsi="Cambria Math"/>
              </w:rPr>
              <m:t>limit</m:t>
            </m:r>
          </m:sub>
        </m:sSub>
        <m:r>
          <w:rPr>
            <w:rFonts w:ascii="Cambria Math" w:hAnsi="Cambria Math"/>
          </w:rPr>
          <m:t>=8000W.</m:t>
        </m:r>
      </m:oMath>
      <w:r w:rsidR="00D36DE4">
        <w:t xml:space="preserve"> </w:t>
      </w:r>
    </w:p>
    <w:p w14:paraId="32325B02" w14:textId="0C65A67C" w:rsidR="00D36DE4" w:rsidRPr="00CC7A9E" w:rsidRDefault="00D36DE4" w:rsidP="00D36DE4">
      <w:r w:rsidRPr="0023086C">
        <w:t xml:space="preserve">For the PV panel, we choose the </w:t>
      </w:r>
      <w:r>
        <w:t xml:space="preserve">rooftop PV installed in a real residential building collected from NREL’s open dataset </w:t>
      </w:r>
      <w:r>
        <w:fldChar w:fldCharType="begin"/>
      </w:r>
      <w:r w:rsidR="0082416B">
        <w:instrText xml:space="preserve"> ADDIN ZOTERO_ITEM CSL_CITATION {"citationID":"0rEaYQZm","properties":{"formattedCitation":"[140]","plainCitation":"[140]","noteIndex":0},"citationItems":[{"id":1858,"uris":["http://zotero.org/users/5659608/items/B8XLZ92V"],"itemData":{"id":1858,"type":"webpage","title":"AWS S3 Explorer for the Open Energy Data Initiative","URL":"https://data.openei.org/s3_viewer?bucket=oedi-data-lake&amp;prefix=pvdaq%2Fcsv%2Fpvdata%2Fsystem_id%3D2%2F","accessed":{"date-parts":[["2023",4,13]]},"citation-key":"AWSS3Explorer"}}],"schema":"https://github.com/citation-style-language/schema/raw/master/csl-citation.json"} </w:instrText>
      </w:r>
      <w:r>
        <w:fldChar w:fldCharType="separate"/>
      </w:r>
      <w:r w:rsidR="0082416B" w:rsidRPr="0082416B">
        <w:t>[140]</w:t>
      </w:r>
      <w:r>
        <w:fldChar w:fldCharType="end"/>
      </w:r>
      <w:r>
        <w:t xml:space="preserve">. The specification of the PV panel can be seen in </w:t>
      </w:r>
      <w:r>
        <w:fldChar w:fldCharType="begin"/>
      </w:r>
      <w:r>
        <w:instrText xml:space="preserve"> REF _Ref100786636 \h </w:instrText>
      </w:r>
      <w:r>
        <w:fldChar w:fldCharType="separate"/>
      </w:r>
      <w:r w:rsidR="000E1725" w:rsidRPr="00147444">
        <w:t xml:space="preserve">Table </w:t>
      </w:r>
      <w:r w:rsidR="000E1725">
        <w:rPr>
          <w:noProof/>
        </w:rPr>
        <w:t>5</w:t>
      </w:r>
      <w:r w:rsidR="000E1725">
        <w:t>.</w:t>
      </w:r>
      <w:r w:rsidR="000E1725">
        <w:rPr>
          <w:noProof/>
        </w:rPr>
        <w:t>2</w:t>
      </w:r>
      <w:r>
        <w:fldChar w:fldCharType="end"/>
      </w:r>
      <w:r>
        <w:t>. It is assuming the inverter used in both grid-tie and hybrid PV systems has enough capacity—</w:t>
      </w:r>
      <w:r w:rsidRPr="00BB49D8">
        <w:t xml:space="preserve">the inverter does not pose a bottleneck for the interaction between the </w:t>
      </w:r>
      <w:r>
        <w:t>PV panel</w:t>
      </w:r>
      <w:r w:rsidRPr="00BB49D8">
        <w:t xml:space="preserve"> and the battery</w:t>
      </w:r>
      <w:r>
        <w:t xml:space="preserve">. The meteorological data for the PV power generation forecast was obtained from the weather service website </w:t>
      </w:r>
      <w:r>
        <w:fldChar w:fldCharType="begin"/>
      </w:r>
      <w:r w:rsidR="0082416B">
        <w:instrText xml:space="preserve"> ADDIN ZOTERO_ITEM CSL_CITATION {"citationID":"5zbpYGTY","properties":{"formattedCitation":"[141]","plainCitation":"[141]","noteIndex":0},"citationItems":[{"id":1961,"uris":["http://zotero.org/users/5659608/items/MYK49DRJ"],"itemData":{"id":1961,"type":"webpage","title":"Weather Data &amp; Weather API | Visual Crossing","URL":"https://www.visualcrossing.com/","accessed":{"date-parts":[["2023",6,21]]},"citation-key":"WeatherDataWeather"}}],"schema":"https://github.com/citation-style-language/schema/raw/master/csl-citation.json"} </w:instrText>
      </w:r>
      <w:r>
        <w:fldChar w:fldCharType="separate"/>
      </w:r>
      <w:r w:rsidR="0082416B" w:rsidRPr="0082416B">
        <w:t>[141]</w:t>
      </w:r>
      <w:r>
        <w:fldChar w:fldCharType="end"/>
      </w:r>
      <w:r>
        <w:t>. Moreover,</w:t>
      </w:r>
      <w:r w:rsidRPr="005F4D5B">
        <w:t xml:space="preserve"> interpolation was applied to align </w:t>
      </w:r>
      <w:r>
        <w:t>the meteorological data</w:t>
      </w:r>
      <w:r w:rsidRPr="005F4D5B">
        <w:t xml:space="preserve"> with </w:t>
      </w:r>
      <w:r>
        <w:t>the time interval used in this case study.</w:t>
      </w:r>
    </w:p>
    <w:tbl>
      <w:tblPr>
        <w:tblW w:w="5000" w:type="pct"/>
        <w:jc w:val="center"/>
        <w:tblBorders>
          <w:top w:val="single" w:sz="4" w:space="0" w:color="auto"/>
          <w:bottom w:val="single" w:sz="4" w:space="0" w:color="auto"/>
        </w:tblBorders>
        <w:tblLook w:val="04A0" w:firstRow="1" w:lastRow="0" w:firstColumn="1" w:lastColumn="0" w:noHBand="0" w:noVBand="1"/>
      </w:tblPr>
      <w:tblGrid>
        <w:gridCol w:w="1841"/>
        <w:gridCol w:w="1419"/>
        <w:gridCol w:w="1542"/>
        <w:gridCol w:w="868"/>
        <w:gridCol w:w="950"/>
        <w:gridCol w:w="2406"/>
      </w:tblGrid>
      <w:tr w:rsidR="00D36DE4" w:rsidRPr="00F66FF5" w14:paraId="5F28E321" w14:textId="77777777" w:rsidTr="009648F2">
        <w:trPr>
          <w:jc w:val="center"/>
        </w:trPr>
        <w:tc>
          <w:tcPr>
            <w:tcW w:w="5000" w:type="pct"/>
            <w:gridSpan w:val="6"/>
            <w:tcBorders>
              <w:top w:val="nil"/>
              <w:bottom w:val="single" w:sz="18" w:space="0" w:color="auto"/>
            </w:tcBorders>
          </w:tcPr>
          <w:p w14:paraId="50DA3B7C" w14:textId="7D3FF74A" w:rsidR="00D36DE4" w:rsidRPr="00147444" w:rsidRDefault="00D36DE4" w:rsidP="00410CB0">
            <w:pPr>
              <w:pStyle w:val="15TableTitle"/>
            </w:pPr>
            <w:bookmarkStart w:id="428" w:name="_Ref100786636"/>
            <w:bookmarkStart w:id="429" w:name="_Ref100877838"/>
            <w:bookmarkStart w:id="430" w:name="_Toc141343907"/>
            <w:r w:rsidRPr="00147444">
              <w:t xml:space="preserve">Table </w:t>
            </w:r>
            <w:fldSimple w:instr=" STYLEREF 1 \s ">
              <w:r w:rsidR="000E1725">
                <w:rPr>
                  <w:noProof/>
                </w:rPr>
                <w:t>5</w:t>
              </w:r>
            </w:fldSimple>
            <w:r w:rsidR="00146A55">
              <w:t>.</w:t>
            </w:r>
            <w:fldSimple w:instr=" SEQ Table \* ARABIC \s 1 ">
              <w:r w:rsidR="000E1725">
                <w:rPr>
                  <w:noProof/>
                </w:rPr>
                <w:t>2</w:t>
              </w:r>
            </w:fldSimple>
            <w:bookmarkEnd w:id="428"/>
            <w:r w:rsidRPr="00147444">
              <w:t xml:space="preserve"> PV </w:t>
            </w:r>
            <w:r>
              <w:t>p</w:t>
            </w:r>
            <w:r w:rsidRPr="00147444">
              <w:t xml:space="preserve">anel </w:t>
            </w:r>
            <w:r>
              <w:t>s</w:t>
            </w:r>
            <w:r w:rsidRPr="00147444">
              <w:t xml:space="preserve">pecifications for </w:t>
            </w:r>
            <w:r>
              <w:t>t</w:t>
            </w:r>
            <w:r w:rsidRPr="00147444">
              <w:t xml:space="preserve">est </w:t>
            </w:r>
            <w:r>
              <w:t>l</w:t>
            </w:r>
            <w:r w:rsidRPr="00147444">
              <w:t>ocation</w:t>
            </w:r>
            <w:bookmarkEnd w:id="429"/>
            <w:bookmarkEnd w:id="430"/>
          </w:p>
        </w:tc>
      </w:tr>
      <w:tr w:rsidR="00D36DE4" w:rsidRPr="00F66FF5" w14:paraId="7DB4AE39" w14:textId="77777777" w:rsidTr="009648F2">
        <w:trPr>
          <w:jc w:val="center"/>
        </w:trPr>
        <w:tc>
          <w:tcPr>
            <w:tcW w:w="1020" w:type="pct"/>
            <w:tcBorders>
              <w:top w:val="single" w:sz="18" w:space="0" w:color="auto"/>
              <w:bottom w:val="double" w:sz="6" w:space="0" w:color="auto"/>
              <w:right w:val="single" w:sz="4" w:space="0" w:color="auto"/>
            </w:tcBorders>
            <w:vAlign w:val="center"/>
          </w:tcPr>
          <w:p w14:paraId="3E9E5616" w14:textId="77777777" w:rsidR="00D36DE4" w:rsidRPr="004B29CA" w:rsidRDefault="00D36DE4" w:rsidP="002023DB">
            <w:pPr>
              <w:pStyle w:val="14TableHeading"/>
            </w:pPr>
            <w:r w:rsidRPr="004B29CA">
              <w:rPr>
                <w:rFonts w:hint="eastAsia"/>
              </w:rPr>
              <w:t>L</w:t>
            </w:r>
            <w:r w:rsidRPr="004B29CA">
              <w:t>ocation</w:t>
            </w:r>
          </w:p>
        </w:tc>
        <w:tc>
          <w:tcPr>
            <w:tcW w:w="786" w:type="pct"/>
            <w:tcBorders>
              <w:top w:val="single" w:sz="18" w:space="0" w:color="auto"/>
              <w:left w:val="single" w:sz="4" w:space="0" w:color="auto"/>
              <w:bottom w:val="double" w:sz="6" w:space="0" w:color="auto"/>
              <w:right w:val="single" w:sz="4" w:space="0" w:color="auto"/>
            </w:tcBorders>
            <w:vAlign w:val="center"/>
          </w:tcPr>
          <w:p w14:paraId="5B594F73" w14:textId="77777777" w:rsidR="00D36DE4" w:rsidRPr="004B29CA" w:rsidRDefault="00D36DE4" w:rsidP="002023DB">
            <w:pPr>
              <w:pStyle w:val="14TableHeading"/>
            </w:pPr>
            <w:r>
              <w:t>PV</w:t>
            </w:r>
            <w:r w:rsidRPr="004B29CA">
              <w:t xml:space="preserve"> Size</w:t>
            </w:r>
          </w:p>
        </w:tc>
        <w:tc>
          <w:tcPr>
            <w:tcW w:w="854" w:type="pct"/>
            <w:tcBorders>
              <w:top w:val="single" w:sz="18" w:space="0" w:color="auto"/>
              <w:left w:val="single" w:sz="4" w:space="0" w:color="auto"/>
              <w:bottom w:val="double" w:sz="6" w:space="0" w:color="auto"/>
            </w:tcBorders>
            <w:vAlign w:val="center"/>
          </w:tcPr>
          <w:p w14:paraId="0C49D73B" w14:textId="77777777" w:rsidR="00D36DE4" w:rsidRDefault="00D36DE4" w:rsidP="002023DB">
            <w:pPr>
              <w:pStyle w:val="14TableHeading"/>
            </w:pPr>
            <w:r>
              <w:rPr>
                <w:rFonts w:hint="eastAsia"/>
              </w:rPr>
              <w:t>M</w:t>
            </w:r>
            <w:r>
              <w:t>odule Type</w:t>
            </w:r>
          </w:p>
        </w:tc>
        <w:tc>
          <w:tcPr>
            <w:tcW w:w="1007" w:type="pct"/>
            <w:gridSpan w:val="2"/>
            <w:tcBorders>
              <w:top w:val="single" w:sz="18" w:space="0" w:color="auto"/>
              <w:left w:val="single" w:sz="4" w:space="0" w:color="auto"/>
              <w:bottom w:val="double" w:sz="6" w:space="0" w:color="auto"/>
            </w:tcBorders>
            <w:vAlign w:val="center"/>
          </w:tcPr>
          <w:p w14:paraId="07D2ADDB" w14:textId="77777777" w:rsidR="00D36DE4" w:rsidRDefault="00D36DE4" w:rsidP="002023DB">
            <w:pPr>
              <w:pStyle w:val="14TableHeading"/>
            </w:pPr>
            <w:r>
              <w:rPr>
                <w:rFonts w:hint="eastAsia"/>
              </w:rPr>
              <w:t>A</w:t>
            </w:r>
            <w:r>
              <w:t xml:space="preserve">rray </w:t>
            </w:r>
            <w:r>
              <w:rPr>
                <w:rFonts w:hint="eastAsia"/>
              </w:rPr>
              <w:t>Type</w:t>
            </w:r>
          </w:p>
        </w:tc>
        <w:tc>
          <w:tcPr>
            <w:tcW w:w="1332" w:type="pct"/>
            <w:tcBorders>
              <w:top w:val="single" w:sz="18" w:space="0" w:color="auto"/>
              <w:left w:val="single" w:sz="4" w:space="0" w:color="auto"/>
              <w:bottom w:val="double" w:sz="6" w:space="0" w:color="auto"/>
            </w:tcBorders>
            <w:vAlign w:val="center"/>
          </w:tcPr>
          <w:p w14:paraId="38645F9C" w14:textId="77777777" w:rsidR="00D36DE4" w:rsidRDefault="00D36DE4" w:rsidP="002023DB">
            <w:pPr>
              <w:pStyle w:val="14TableHeading"/>
            </w:pPr>
            <w:r>
              <w:rPr>
                <w:rFonts w:hint="eastAsia"/>
              </w:rPr>
              <w:t>Array</w:t>
            </w:r>
            <w:r>
              <w:t xml:space="preserve"> Azimuth</w:t>
            </w:r>
          </w:p>
        </w:tc>
      </w:tr>
      <w:tr w:rsidR="00D36DE4" w:rsidRPr="00F66FF5" w14:paraId="6D0DDFA6" w14:textId="77777777" w:rsidTr="009648F2">
        <w:trPr>
          <w:jc w:val="center"/>
        </w:trPr>
        <w:tc>
          <w:tcPr>
            <w:tcW w:w="1020" w:type="pct"/>
            <w:tcBorders>
              <w:top w:val="double" w:sz="6" w:space="0" w:color="auto"/>
              <w:bottom w:val="single" w:sz="4" w:space="0" w:color="auto"/>
              <w:right w:val="single" w:sz="4" w:space="0" w:color="auto"/>
            </w:tcBorders>
            <w:vAlign w:val="center"/>
          </w:tcPr>
          <w:p w14:paraId="178CB6A6" w14:textId="77777777" w:rsidR="00D36DE4" w:rsidRDefault="00D36DE4" w:rsidP="002023DB">
            <w:pPr>
              <w:pStyle w:val="16TableText"/>
            </w:pPr>
            <w:r>
              <w:rPr>
                <w:rFonts w:hint="eastAsia"/>
              </w:rPr>
              <w:lastRenderedPageBreak/>
              <w:t>Lat</w:t>
            </w:r>
            <w:r>
              <w:t>itude</w:t>
            </w:r>
            <w:r>
              <w:rPr>
                <w:rFonts w:hint="eastAsia"/>
              </w:rPr>
              <w:t>:</w:t>
            </w:r>
            <w:r>
              <w:t xml:space="preserve"> 30.07</w:t>
            </w:r>
            <w:r>
              <w:rPr>
                <w:rFonts w:hint="eastAsia"/>
              </w:rPr>
              <w:t>°</w:t>
            </w:r>
            <w:r>
              <w:t>N</w:t>
            </w:r>
          </w:p>
          <w:p w14:paraId="0C47AE30" w14:textId="77777777" w:rsidR="00D36DE4" w:rsidRPr="00F66FF5" w:rsidRDefault="00D36DE4" w:rsidP="002023DB">
            <w:pPr>
              <w:pStyle w:val="16TableText"/>
            </w:pPr>
            <w:r>
              <w:rPr>
                <w:rFonts w:hint="eastAsia"/>
              </w:rPr>
              <w:t>Long</w:t>
            </w:r>
            <w:r>
              <w:t>itude</w:t>
            </w:r>
            <w:r>
              <w:rPr>
                <w:rFonts w:hint="eastAsia"/>
              </w:rPr>
              <w:t>:</w:t>
            </w:r>
            <w:r>
              <w:t xml:space="preserve"> 90.09</w:t>
            </w:r>
            <w:r>
              <w:rPr>
                <w:rFonts w:hint="eastAsia"/>
              </w:rPr>
              <w:t>°W</w:t>
            </w:r>
          </w:p>
        </w:tc>
        <w:tc>
          <w:tcPr>
            <w:tcW w:w="786" w:type="pct"/>
            <w:tcBorders>
              <w:top w:val="double" w:sz="6" w:space="0" w:color="auto"/>
              <w:left w:val="single" w:sz="4" w:space="0" w:color="auto"/>
              <w:bottom w:val="single" w:sz="4" w:space="0" w:color="auto"/>
              <w:right w:val="single" w:sz="4" w:space="0" w:color="auto"/>
            </w:tcBorders>
            <w:vAlign w:val="center"/>
          </w:tcPr>
          <w:p w14:paraId="34F21D89" w14:textId="77777777" w:rsidR="00D36DE4" w:rsidRDefault="00D36DE4" w:rsidP="002023DB">
            <w:pPr>
              <w:pStyle w:val="16TableText"/>
            </w:pPr>
            <w:r>
              <w:t>5.76 kW</w:t>
            </w:r>
          </w:p>
        </w:tc>
        <w:tc>
          <w:tcPr>
            <w:tcW w:w="854" w:type="pct"/>
            <w:tcBorders>
              <w:top w:val="double" w:sz="6" w:space="0" w:color="auto"/>
              <w:left w:val="single" w:sz="4" w:space="0" w:color="auto"/>
              <w:bottom w:val="single" w:sz="4" w:space="0" w:color="auto"/>
            </w:tcBorders>
            <w:vAlign w:val="center"/>
          </w:tcPr>
          <w:p w14:paraId="4763F027" w14:textId="77777777" w:rsidR="00D36DE4" w:rsidRPr="00F66FF5" w:rsidRDefault="00D36DE4" w:rsidP="002023DB">
            <w:pPr>
              <w:pStyle w:val="16TableText"/>
            </w:pPr>
            <w:r w:rsidRPr="003C70BE">
              <w:t>Monocrystalline</w:t>
            </w:r>
          </w:p>
        </w:tc>
        <w:tc>
          <w:tcPr>
            <w:tcW w:w="1007" w:type="pct"/>
            <w:gridSpan w:val="2"/>
            <w:tcBorders>
              <w:top w:val="double" w:sz="6" w:space="0" w:color="auto"/>
              <w:left w:val="single" w:sz="4" w:space="0" w:color="auto"/>
              <w:bottom w:val="single" w:sz="4" w:space="0" w:color="auto"/>
            </w:tcBorders>
            <w:vAlign w:val="center"/>
          </w:tcPr>
          <w:p w14:paraId="6000EAC6" w14:textId="77777777" w:rsidR="00D36DE4" w:rsidRPr="00F66FF5" w:rsidRDefault="00D36DE4" w:rsidP="002023DB">
            <w:pPr>
              <w:pStyle w:val="16TableText"/>
            </w:pPr>
            <w:r>
              <w:t>Fixed (no tracking)</w:t>
            </w:r>
          </w:p>
        </w:tc>
        <w:tc>
          <w:tcPr>
            <w:tcW w:w="1332" w:type="pct"/>
            <w:tcBorders>
              <w:top w:val="double" w:sz="6" w:space="0" w:color="auto"/>
              <w:left w:val="single" w:sz="4" w:space="0" w:color="auto"/>
              <w:bottom w:val="single" w:sz="4" w:space="0" w:color="auto"/>
            </w:tcBorders>
            <w:vAlign w:val="center"/>
          </w:tcPr>
          <w:p w14:paraId="1E3B8945" w14:textId="77777777" w:rsidR="00D36DE4" w:rsidRPr="00F66FF5" w:rsidRDefault="00D36DE4" w:rsidP="002023DB">
            <w:pPr>
              <w:pStyle w:val="16TableText"/>
            </w:pPr>
            <w:r>
              <w:t>180</w:t>
            </w:r>
            <w:r>
              <w:rPr>
                <w:rFonts w:hint="eastAsia"/>
              </w:rPr>
              <w:t>°</w:t>
            </w:r>
          </w:p>
        </w:tc>
      </w:tr>
      <w:tr w:rsidR="00D36DE4" w14:paraId="7556F666" w14:textId="77777777" w:rsidTr="009648F2">
        <w:trPr>
          <w:jc w:val="center"/>
        </w:trPr>
        <w:tc>
          <w:tcPr>
            <w:tcW w:w="1020" w:type="pct"/>
            <w:tcBorders>
              <w:top w:val="double" w:sz="6" w:space="0" w:color="auto"/>
              <w:bottom w:val="single" w:sz="4" w:space="0" w:color="auto"/>
              <w:right w:val="single" w:sz="4" w:space="0" w:color="auto"/>
            </w:tcBorders>
            <w:vAlign w:val="center"/>
          </w:tcPr>
          <w:p w14:paraId="4849DD5D" w14:textId="77777777" w:rsidR="00D36DE4" w:rsidRPr="002A5B44" w:rsidRDefault="00D36DE4" w:rsidP="002023DB">
            <w:pPr>
              <w:pStyle w:val="16TableText"/>
              <w:rPr>
                <w:b/>
                <w:bCs/>
                <w:i/>
                <w:iCs/>
              </w:rPr>
            </w:pPr>
            <w:r>
              <w:rPr>
                <w:b/>
                <w:bCs/>
                <w:i/>
                <w:iCs/>
              </w:rPr>
              <w:t>Array Tilt</w:t>
            </w:r>
          </w:p>
        </w:tc>
        <w:tc>
          <w:tcPr>
            <w:tcW w:w="2121" w:type="pct"/>
            <w:gridSpan w:val="3"/>
            <w:tcBorders>
              <w:top w:val="double" w:sz="6" w:space="0" w:color="auto"/>
              <w:left w:val="single" w:sz="4" w:space="0" w:color="auto"/>
              <w:bottom w:val="single" w:sz="4" w:space="0" w:color="auto"/>
            </w:tcBorders>
            <w:vAlign w:val="center"/>
          </w:tcPr>
          <w:p w14:paraId="54BE0E94" w14:textId="77777777" w:rsidR="00D36DE4" w:rsidRPr="002A5B44" w:rsidRDefault="00D36DE4" w:rsidP="002023DB">
            <w:pPr>
              <w:pStyle w:val="16TableText"/>
              <w:rPr>
                <w:b/>
                <w:bCs/>
                <w:i/>
                <w:iCs/>
              </w:rPr>
            </w:pPr>
            <w:r>
              <w:rPr>
                <w:b/>
                <w:bCs/>
                <w:i/>
                <w:iCs/>
              </w:rPr>
              <w:t>Inverter Efficiency</w:t>
            </w:r>
          </w:p>
        </w:tc>
        <w:tc>
          <w:tcPr>
            <w:tcW w:w="1859" w:type="pct"/>
            <w:gridSpan w:val="2"/>
            <w:tcBorders>
              <w:top w:val="double" w:sz="6" w:space="0" w:color="auto"/>
              <w:left w:val="single" w:sz="4" w:space="0" w:color="auto"/>
              <w:bottom w:val="single" w:sz="4" w:space="0" w:color="auto"/>
            </w:tcBorders>
            <w:vAlign w:val="center"/>
          </w:tcPr>
          <w:p w14:paraId="1A421CC8" w14:textId="77777777" w:rsidR="00D36DE4" w:rsidRPr="002A5B44" w:rsidRDefault="00D36DE4" w:rsidP="002023DB">
            <w:pPr>
              <w:pStyle w:val="16TableText"/>
              <w:rPr>
                <w:b/>
                <w:bCs/>
                <w:i/>
                <w:iCs/>
              </w:rPr>
            </w:pPr>
          </w:p>
        </w:tc>
      </w:tr>
      <w:tr w:rsidR="00D36DE4" w:rsidRPr="00F66FF5" w14:paraId="74D1254F" w14:textId="77777777" w:rsidTr="009648F2">
        <w:trPr>
          <w:jc w:val="center"/>
        </w:trPr>
        <w:tc>
          <w:tcPr>
            <w:tcW w:w="1020" w:type="pct"/>
            <w:tcBorders>
              <w:top w:val="double" w:sz="6" w:space="0" w:color="auto"/>
              <w:bottom w:val="single" w:sz="4" w:space="0" w:color="auto"/>
              <w:right w:val="single" w:sz="4" w:space="0" w:color="auto"/>
            </w:tcBorders>
            <w:vAlign w:val="center"/>
          </w:tcPr>
          <w:p w14:paraId="2437ADC7" w14:textId="77777777" w:rsidR="00D36DE4" w:rsidRPr="00F66FF5" w:rsidRDefault="00D36DE4" w:rsidP="002023DB">
            <w:pPr>
              <w:pStyle w:val="16TableText"/>
            </w:pPr>
            <w:r>
              <w:t>15</w:t>
            </w:r>
            <w:r>
              <w:rPr>
                <w:rFonts w:hint="eastAsia"/>
              </w:rPr>
              <w:t>°</w:t>
            </w:r>
          </w:p>
        </w:tc>
        <w:tc>
          <w:tcPr>
            <w:tcW w:w="2121" w:type="pct"/>
            <w:gridSpan w:val="3"/>
            <w:tcBorders>
              <w:top w:val="double" w:sz="6" w:space="0" w:color="auto"/>
              <w:left w:val="single" w:sz="4" w:space="0" w:color="auto"/>
              <w:bottom w:val="single" w:sz="4" w:space="0" w:color="auto"/>
            </w:tcBorders>
            <w:vAlign w:val="center"/>
          </w:tcPr>
          <w:p w14:paraId="0712758D" w14:textId="77777777" w:rsidR="00D36DE4" w:rsidRPr="00F66FF5" w:rsidRDefault="00D36DE4" w:rsidP="002023DB">
            <w:pPr>
              <w:pStyle w:val="16TableText"/>
            </w:pPr>
            <w:r>
              <w:t>Up to 96%</w:t>
            </w:r>
          </w:p>
        </w:tc>
        <w:tc>
          <w:tcPr>
            <w:tcW w:w="1859" w:type="pct"/>
            <w:gridSpan w:val="2"/>
            <w:tcBorders>
              <w:top w:val="double" w:sz="6" w:space="0" w:color="auto"/>
              <w:left w:val="single" w:sz="4" w:space="0" w:color="auto"/>
              <w:bottom w:val="single" w:sz="4" w:space="0" w:color="auto"/>
            </w:tcBorders>
            <w:vAlign w:val="center"/>
          </w:tcPr>
          <w:p w14:paraId="6A3455EC" w14:textId="77777777" w:rsidR="00D36DE4" w:rsidRPr="00F66FF5" w:rsidRDefault="00D36DE4" w:rsidP="002023DB">
            <w:pPr>
              <w:pStyle w:val="16TableText"/>
              <w:keepNext/>
            </w:pPr>
          </w:p>
        </w:tc>
      </w:tr>
    </w:tbl>
    <w:p w14:paraId="16913B17" w14:textId="74D54C40" w:rsidR="00D36DE4" w:rsidRPr="002D5030" w:rsidRDefault="00D36DE4" w:rsidP="00D36DE4">
      <w:r>
        <w:t xml:space="preserve">The specification of the battery system is listed in </w:t>
      </w:r>
      <w:r>
        <w:fldChar w:fldCharType="begin"/>
      </w:r>
      <w:r>
        <w:instrText xml:space="preserve"> REF _Ref100876301 \h  \* MERGEFORMAT </w:instrText>
      </w:r>
      <w:r>
        <w:fldChar w:fldCharType="separate"/>
      </w:r>
      <w:r w:rsidR="000E1725">
        <w:t xml:space="preserve">Table </w:t>
      </w:r>
      <w:r w:rsidR="000E1725">
        <w:rPr>
          <w:noProof/>
        </w:rPr>
        <w:t>5.3</w:t>
      </w:r>
      <w:r>
        <w:fldChar w:fldCharType="end"/>
      </w:r>
      <w:r>
        <w:t>. The</w:t>
      </w:r>
      <w:r w:rsidRPr="00E2350B">
        <w:t xml:space="preserve"> specifications for the battery were approximated based on those of a model commonly used in residential energy storage systems, which </w:t>
      </w:r>
      <w:r>
        <w:t>is a</w:t>
      </w:r>
      <w:r w:rsidRPr="00E2350B">
        <w:t xml:space="preserve"> lithium-ion battery</w:t>
      </w:r>
      <w:r>
        <w:t xml:space="preserve"> </w:t>
      </w:r>
      <w:r>
        <w:fldChar w:fldCharType="begin"/>
      </w:r>
      <w:r w:rsidR="0082416B">
        <w:instrText xml:space="preserve"> ADDIN ZOTERO_ITEM CSL_CITATION {"citationID":"Uyu5cdTS","properties":{"formattedCitation":"[142]","plainCitation":"[142]","noteIndex":0},"citationItems":[{"id":1925,"uris":["http://zotero.org/users/5659608/items/QRGJ3F4E"],"itemData":{"id":1925,"type":"post-weblog","abstract":"Enphase Encharge-3T-1P-NA and 3T 3.36kWh Battery in stock NOW at Tandem Solar Systems. Shop solar modules, inverters and more.","container-title":"Tandem Solar Systems","language":"en-US","title":"Enphase IQ Battery 3.36kwh ENCHARGE-3T","URL":"https://tandem-solar-systems.com/product/enphase-iq-battery-3-36kwh-encharge-3t/","accessed":{"date-parts":[["2023",5,9]]},"citation-key":"EnphaseIQBattery"}}],"schema":"https://github.com/citation-style-language/schema/raw/master/csl-citation.json"} </w:instrText>
      </w:r>
      <w:r>
        <w:fldChar w:fldCharType="separate"/>
      </w:r>
      <w:r w:rsidR="0082416B" w:rsidRPr="0082416B">
        <w:t>[142]</w:t>
      </w:r>
      <w:r>
        <w:fldChar w:fldCharType="end"/>
      </w:r>
      <w:r w:rsidRPr="00E2350B">
        <w:t>.</w:t>
      </w:r>
      <w:r>
        <w:t xml:space="preserve"> The battery capacity plays an important role in the power flow of the battery. </w:t>
      </w:r>
      <w:r w:rsidRPr="003545D5">
        <w:t xml:space="preserve">The battery's maximum (dis-)charging power is the maximum power available for a brief </w:t>
      </w:r>
      <w:r>
        <w:t>period, hence we will not use that directly in the model. Instead, t</w:t>
      </w:r>
      <w:r w:rsidRPr="003545D5">
        <w:t>he continuous power (dis-)charging output</w:t>
      </w:r>
      <w:r>
        <w:t xml:space="preserve">, </w:t>
      </w:r>
      <m:oMath>
        <m:sSub>
          <m:sSubPr>
            <m:ctrlPr>
              <w:rPr>
                <w:rFonts w:ascii="Cambria Math" w:hAnsi="Cambria Math"/>
                <w:i/>
              </w:rPr>
            </m:ctrlPr>
          </m:sSubPr>
          <m:e>
            <m:r>
              <w:rPr>
                <w:rFonts w:ascii="Cambria Math" w:hAnsi="Cambria Math"/>
              </w:rPr>
              <m:t>L</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d</m:t>
            </m:r>
          </m:sub>
        </m:sSub>
        <m:r>
          <w:rPr>
            <w:rFonts w:ascii="Cambria Math" w:hAnsi="Cambria Math"/>
          </w:rPr>
          <m:t>,</m:t>
        </m:r>
      </m:oMath>
      <w:r>
        <w:rPr>
          <w:rFonts w:hint="eastAsia"/>
        </w:rPr>
        <w:t xml:space="preserve"> </w:t>
      </w:r>
      <w:r w:rsidRPr="003545D5">
        <w:t>is used in our model. Additionally, the (dis-)charging efficiency represents the energy lost from the PV panels to the battery.</w:t>
      </w:r>
      <w:r>
        <w:t xml:space="preserve"> In fact, </w:t>
      </w:r>
      <m:oMath>
        <m:sSub>
          <m:sSubPr>
            <m:ctrlPr>
              <w:rPr>
                <w:rFonts w:ascii="Cambria Math" w:hAnsi="Cambria Math"/>
                <w:i/>
              </w:rPr>
            </m:ctrlPr>
          </m:sSubPr>
          <m:e>
            <m:r>
              <w:rPr>
                <w:rFonts w:ascii="Cambria Math" w:hAnsi="Cambria Math"/>
              </w:rPr>
              <m:t>L</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d</m:t>
            </m:r>
          </m:sub>
        </m:sSub>
      </m:oMath>
      <w:r>
        <w:rPr>
          <w:rFonts w:hint="eastAsia"/>
        </w:rPr>
        <w:t xml:space="preserve"> </w:t>
      </w:r>
      <w:r>
        <w:t xml:space="preserve">is not constant during the time of the day. Instead, </w:t>
      </w:r>
      <m:oMath>
        <m:sSub>
          <m:sSubPr>
            <m:ctrlPr>
              <w:rPr>
                <w:rFonts w:ascii="Cambria Math" w:hAnsi="Cambria Math"/>
                <w:i/>
              </w:rPr>
            </m:ctrlPr>
          </m:sSubPr>
          <m:e>
            <m:r>
              <w:rPr>
                <w:rFonts w:ascii="Cambria Math" w:hAnsi="Cambria Math"/>
              </w:rPr>
              <m:t>L</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d</m:t>
            </m:r>
          </m:sub>
        </m:sSub>
      </m:oMath>
      <w:r>
        <w:rPr>
          <w:rFonts w:hint="eastAsia"/>
        </w:rPr>
        <w:t xml:space="preserve"> </w:t>
      </w:r>
      <w:r>
        <w:t xml:space="preserve">can be affected by many factors. For example, In </w:t>
      </w:r>
      <w:r>
        <w:fldChar w:fldCharType="begin"/>
      </w:r>
      <w:r w:rsidR="0082416B">
        <w:instrText xml:space="preserve"> ADDIN ZOTERO_ITEM CSL_CITATION {"citationID":"wWTWVUma","properties":{"formattedCitation":"[143]","plainCitation":"[143]","noteIndex":0},"citationItems":[{"id":1064,"uris":["http://zotero.org/users/5659608/items/AXSZ6BHU"],"itemData":{"id":1064,"type":"article-journal","abstract":"A photovoltaic power generation system suitable for mobile applications was developed. A SiC integrated converter with the maximum power point tracking circuit provided the smallest photovoltaic inverter in ~200 W level. The SiC-based inverter exhibited a peak direct current (DC)-alternating current (AC) conversion efficiency higher than that of conventional Si inverters. A Li-ion laminated battery was mounted in the same housing as the inverter. The weight of entire system containing spherical Si solar cell panels was well below 6 kg. Continuous operation measurements of this system were carried out using four solar cell modules connected in parallel under irradiation by natural sunlight. The total inverter efficiencies under realistic operation conditions were slightly decreased compared with the DC-AC converter values because of loss by the maximum power point tracking device. Even under unstable weather conditions, the system provided power stability without ripples. The behaviors of the output powers of the solar cell, storage battery, and inverter modules were analyzed as a function of the solar radiation power density. The substantial efficiencies of the solar cell modules were dependent on the weather conditions and were approximately 10% on cloudy days. The present compact photovoltaic power generation system with SiC device and spherical Si solar cells is viable for sub kW-class inverter.","container-title":"Heliyon","DOI":"10.1016/j.heliyon.2019.e03094","journalAbbreviation":"Heliyon","page":"e03094","source":"ResearchGate","title":"Dependence of electric power flow on solar radiation power in compact photovoltaic system containing SiC-based inverter with spherical Si solar cells","volume":"6","author":[{"family":"Ando","given":"Yuji"},{"family":"Oku","given":"Takeo"},{"family":"Yasuda","given":"Masashi"},{"family":"Ushijima","given":"Kazufumi"},{"family":"Matsuo","given":"Hiroshi"},{"family":"Murozono","given":"Mikio"}],"issued":{"date-parts":[["2020",1,1]]},"citation-key":"andoDependenceElectricPower2020a"}}],"schema":"https://github.com/citation-style-language/schema/raw/master/csl-citation.json"} </w:instrText>
      </w:r>
      <w:r>
        <w:fldChar w:fldCharType="separate"/>
      </w:r>
      <w:r w:rsidR="0082416B" w:rsidRPr="0082416B">
        <w:t>[143]</w:t>
      </w:r>
      <w:r>
        <w:fldChar w:fldCharType="end"/>
      </w:r>
      <w:r>
        <w:t xml:space="preserve">, the author indicated that the solar battery continuous charging power could be correlated with the solar irradiation as well. In this study, this value is based on the rated (continuous) power output and power factor listed in the datasheet in </w:t>
      </w:r>
      <w:r>
        <w:fldChar w:fldCharType="begin"/>
      </w:r>
      <w:r w:rsidR="0082416B">
        <w:instrText xml:space="preserve"> ADDIN ZOTERO_ITEM CSL_CITATION {"citationID":"TufrchbM","properties":{"formattedCitation":"[142]","plainCitation":"[142]","noteIndex":0},"citationItems":[{"id":1925,"uris":["http://zotero.org/users/5659608/items/QRGJ3F4E"],"itemData":{"id":1925,"type":"post-weblog","abstract":"Enphase Encharge-3T-1P-NA and 3T 3.36kWh Battery in stock NOW at Tandem Solar Systems. Shop solar modules, inverters and more.","container-title":"Tandem Solar Systems","language":"en-US","title":"Enphase IQ Battery 3.36kwh ENCHARGE-3T","URL":"https://tandem-solar-systems.com/product/enphase-iq-battery-3-36kwh-encharge-3t/","accessed":{"date-parts":[["2023",5,9]]},"citation-key":"EnphaseIQBattery"}}],"schema":"https://github.com/citation-style-language/schema/raw/master/csl-citation.json"} </w:instrText>
      </w:r>
      <w:r>
        <w:fldChar w:fldCharType="separate"/>
      </w:r>
      <w:r w:rsidR="0082416B" w:rsidRPr="0082416B">
        <w:t>[142]</w:t>
      </w:r>
      <w:r>
        <w:fldChar w:fldCharType="end"/>
      </w:r>
      <w:r>
        <w:t xml:space="preserve">. </w:t>
      </w:r>
    </w:p>
    <w:tbl>
      <w:tblPr>
        <w:tblW w:w="5000" w:type="pct"/>
        <w:jc w:val="center"/>
        <w:tblBorders>
          <w:top w:val="single" w:sz="4" w:space="0" w:color="auto"/>
          <w:bottom w:val="single" w:sz="4" w:space="0" w:color="auto"/>
        </w:tblBorders>
        <w:tblLook w:val="04A0" w:firstRow="1" w:lastRow="0" w:firstColumn="1" w:lastColumn="0" w:noHBand="0" w:noVBand="1"/>
      </w:tblPr>
      <w:tblGrid>
        <w:gridCol w:w="1593"/>
        <w:gridCol w:w="4253"/>
        <w:gridCol w:w="3180"/>
      </w:tblGrid>
      <w:tr w:rsidR="00D36DE4" w:rsidRPr="00F66FF5" w14:paraId="4F4BD0F1" w14:textId="77777777" w:rsidTr="009648F2">
        <w:trPr>
          <w:jc w:val="center"/>
        </w:trPr>
        <w:tc>
          <w:tcPr>
            <w:tcW w:w="5000" w:type="pct"/>
            <w:gridSpan w:val="3"/>
            <w:tcBorders>
              <w:top w:val="nil"/>
              <w:bottom w:val="single" w:sz="18" w:space="0" w:color="auto"/>
            </w:tcBorders>
          </w:tcPr>
          <w:p w14:paraId="5C94B0B4" w14:textId="057ADE86" w:rsidR="00D36DE4" w:rsidRPr="00D50512" w:rsidRDefault="00D36DE4" w:rsidP="00410CB0">
            <w:pPr>
              <w:pStyle w:val="15TableTitle"/>
            </w:pPr>
            <w:bookmarkStart w:id="431" w:name="_Ref100876301"/>
            <w:bookmarkStart w:id="432" w:name="_Toc141343908"/>
            <w:r>
              <w:t xml:space="preserve">Table </w:t>
            </w:r>
            <w:fldSimple w:instr=" STYLEREF 1 \s ">
              <w:r w:rsidR="000E1725">
                <w:rPr>
                  <w:noProof/>
                </w:rPr>
                <w:t>5</w:t>
              </w:r>
            </w:fldSimple>
            <w:r w:rsidR="00146A55">
              <w:t>.</w:t>
            </w:r>
            <w:fldSimple w:instr=" SEQ Table \* ARABIC \s 1 ">
              <w:r w:rsidR="000E1725">
                <w:rPr>
                  <w:noProof/>
                </w:rPr>
                <w:t>3</w:t>
              </w:r>
            </w:fldSimple>
            <w:bookmarkEnd w:id="431"/>
            <w:r w:rsidRPr="00D50512">
              <w:t xml:space="preserve"> Battery </w:t>
            </w:r>
            <w:r>
              <w:t>s</w:t>
            </w:r>
            <w:r w:rsidRPr="00D50512">
              <w:t xml:space="preserve">ystem </w:t>
            </w:r>
            <w:r>
              <w:t>s</w:t>
            </w:r>
            <w:r w:rsidRPr="00D50512">
              <w:t>pecifications</w:t>
            </w:r>
            <w:bookmarkEnd w:id="432"/>
          </w:p>
        </w:tc>
      </w:tr>
      <w:tr w:rsidR="00D36DE4" w:rsidRPr="00F66FF5" w14:paraId="22956365" w14:textId="77777777" w:rsidTr="009648F2">
        <w:trPr>
          <w:jc w:val="center"/>
        </w:trPr>
        <w:tc>
          <w:tcPr>
            <w:tcW w:w="851" w:type="pct"/>
            <w:tcBorders>
              <w:top w:val="single" w:sz="18" w:space="0" w:color="auto"/>
              <w:bottom w:val="double" w:sz="6" w:space="0" w:color="auto"/>
              <w:right w:val="single" w:sz="4" w:space="0" w:color="auto"/>
            </w:tcBorders>
            <w:vAlign w:val="center"/>
          </w:tcPr>
          <w:p w14:paraId="2A9B8871" w14:textId="77777777" w:rsidR="00D36DE4" w:rsidRPr="00C81A98" w:rsidRDefault="00D36DE4" w:rsidP="002023DB">
            <w:pPr>
              <w:pStyle w:val="14TableHeading"/>
              <w:rPr>
                <w:rFonts w:ascii="Times" w:hAnsi="Times"/>
              </w:rPr>
            </w:pPr>
            <w:r w:rsidRPr="00C81A98">
              <w:rPr>
                <w:rFonts w:ascii="Times" w:hAnsi="Times"/>
              </w:rPr>
              <w:t>Notation</w:t>
            </w:r>
          </w:p>
        </w:tc>
        <w:tc>
          <w:tcPr>
            <w:tcW w:w="2372" w:type="pct"/>
            <w:tcBorders>
              <w:top w:val="single" w:sz="18" w:space="0" w:color="auto"/>
              <w:left w:val="single" w:sz="4" w:space="0" w:color="auto"/>
              <w:bottom w:val="double" w:sz="6" w:space="0" w:color="auto"/>
            </w:tcBorders>
            <w:vAlign w:val="center"/>
          </w:tcPr>
          <w:p w14:paraId="2BCE1731" w14:textId="77777777" w:rsidR="00D36DE4" w:rsidRPr="00C81A98" w:rsidRDefault="00D36DE4" w:rsidP="002023DB">
            <w:pPr>
              <w:pStyle w:val="14TableHeading"/>
              <w:rPr>
                <w:rFonts w:ascii="Times" w:hAnsi="Times"/>
              </w:rPr>
            </w:pPr>
            <w:r w:rsidRPr="00C81A98">
              <w:rPr>
                <w:rFonts w:ascii="Times" w:hAnsi="Times"/>
              </w:rPr>
              <w:t>Description</w:t>
            </w:r>
          </w:p>
        </w:tc>
        <w:tc>
          <w:tcPr>
            <w:tcW w:w="1777" w:type="pct"/>
            <w:tcBorders>
              <w:top w:val="single" w:sz="18" w:space="0" w:color="auto"/>
              <w:left w:val="single" w:sz="4" w:space="0" w:color="auto"/>
              <w:bottom w:val="double" w:sz="6" w:space="0" w:color="auto"/>
            </w:tcBorders>
          </w:tcPr>
          <w:p w14:paraId="1C5C78DC" w14:textId="77777777" w:rsidR="00D36DE4" w:rsidRPr="00C81A98" w:rsidRDefault="00D36DE4" w:rsidP="002023DB">
            <w:pPr>
              <w:pStyle w:val="14TableHeading"/>
              <w:rPr>
                <w:rFonts w:ascii="Times" w:hAnsi="Times"/>
              </w:rPr>
            </w:pPr>
            <w:r w:rsidRPr="00C81A98">
              <w:rPr>
                <w:rFonts w:ascii="Times" w:hAnsi="Times"/>
              </w:rPr>
              <w:t>Value</w:t>
            </w:r>
          </w:p>
        </w:tc>
      </w:tr>
      <w:tr w:rsidR="00D36DE4" w:rsidRPr="00F66FF5" w14:paraId="28559989" w14:textId="77777777" w:rsidTr="009648F2">
        <w:trPr>
          <w:jc w:val="center"/>
        </w:trPr>
        <w:tc>
          <w:tcPr>
            <w:tcW w:w="851" w:type="pct"/>
            <w:tcBorders>
              <w:top w:val="double" w:sz="6" w:space="0" w:color="auto"/>
              <w:bottom w:val="double" w:sz="6" w:space="0" w:color="auto"/>
              <w:right w:val="single" w:sz="4" w:space="0" w:color="auto"/>
            </w:tcBorders>
            <w:vAlign w:val="center"/>
          </w:tcPr>
          <w:p w14:paraId="5812DA81" w14:textId="77777777" w:rsidR="00D36DE4" w:rsidRPr="004B3B96" w:rsidRDefault="00000000" w:rsidP="002023DB">
            <w:pPr>
              <w:pStyle w:val="16TableText"/>
              <w:rPr>
                <w:rFonts w:ascii="Calibri" w:hAnsi="Calibri"/>
              </w:rPr>
            </w:pPr>
            <m:oMathPara>
              <m:oMath>
                <m:sSub>
                  <m:sSubPr>
                    <m:ctrlPr>
                      <w:rPr>
                        <w:rFonts w:ascii="Cambria Math" w:hAnsi="Cambria Math"/>
                        <w:i/>
                      </w:rPr>
                    </m:ctrlPr>
                  </m:sSubPr>
                  <m:e>
                    <m:r>
                      <w:rPr>
                        <w:rFonts w:ascii="Cambria Math" w:hAnsi="Cambria Math"/>
                      </w:rPr>
                      <m:t>C</m:t>
                    </m:r>
                  </m:e>
                  <m:sub>
                    <m:r>
                      <w:rPr>
                        <w:rFonts w:ascii="Cambria Math" w:hAnsi="Cambria Math"/>
                      </w:rPr>
                      <m:t>b</m:t>
                    </m:r>
                  </m:sub>
                </m:sSub>
              </m:oMath>
            </m:oMathPara>
          </w:p>
        </w:tc>
        <w:tc>
          <w:tcPr>
            <w:tcW w:w="2372" w:type="pct"/>
            <w:tcBorders>
              <w:top w:val="double" w:sz="6" w:space="0" w:color="auto"/>
              <w:left w:val="single" w:sz="4" w:space="0" w:color="auto"/>
              <w:bottom w:val="double" w:sz="6" w:space="0" w:color="auto"/>
            </w:tcBorders>
            <w:vAlign w:val="center"/>
          </w:tcPr>
          <w:p w14:paraId="66556545" w14:textId="77777777" w:rsidR="00D36DE4" w:rsidRPr="00F66FF5" w:rsidRDefault="00D36DE4" w:rsidP="002023DB">
            <w:pPr>
              <w:pStyle w:val="16TableText"/>
            </w:pPr>
            <w:r>
              <w:t xml:space="preserve">Battery Capacity  </w:t>
            </w:r>
          </w:p>
        </w:tc>
        <w:tc>
          <w:tcPr>
            <w:tcW w:w="1777" w:type="pct"/>
            <w:tcBorders>
              <w:top w:val="double" w:sz="6" w:space="0" w:color="auto"/>
              <w:left w:val="single" w:sz="4" w:space="0" w:color="auto"/>
              <w:bottom w:val="double" w:sz="6" w:space="0" w:color="auto"/>
            </w:tcBorders>
          </w:tcPr>
          <w:p w14:paraId="751B032C" w14:textId="77777777" w:rsidR="00D36DE4" w:rsidRPr="00F66FF5" w:rsidRDefault="00D36DE4" w:rsidP="002023DB">
            <w:pPr>
              <w:pStyle w:val="16TableText"/>
            </w:pPr>
            <w:r>
              <w:t xml:space="preserve">3 kWh </w:t>
            </w:r>
          </w:p>
        </w:tc>
      </w:tr>
      <w:tr w:rsidR="00D36DE4" w:rsidRPr="00F66FF5" w14:paraId="10CFE378" w14:textId="77777777" w:rsidTr="009648F2">
        <w:trPr>
          <w:jc w:val="center"/>
        </w:trPr>
        <w:tc>
          <w:tcPr>
            <w:tcW w:w="851" w:type="pct"/>
            <w:tcBorders>
              <w:top w:val="double" w:sz="6" w:space="0" w:color="auto"/>
              <w:bottom w:val="double" w:sz="6" w:space="0" w:color="auto"/>
              <w:right w:val="single" w:sz="4" w:space="0" w:color="auto"/>
            </w:tcBorders>
            <w:vAlign w:val="center"/>
          </w:tcPr>
          <w:p w14:paraId="76EFDBA2" w14:textId="77777777" w:rsidR="00D36DE4" w:rsidRPr="00390AF5" w:rsidRDefault="00000000" w:rsidP="002023DB">
            <w:pPr>
              <w:pStyle w:val="16TableText"/>
              <w:rPr>
                <w:rFonts w:ascii="Calibri" w:hAnsi="Calibri"/>
              </w:rPr>
            </w:pPr>
            <m:oMathPara>
              <m:oMath>
                <m:sSub>
                  <m:sSubPr>
                    <m:ctrlPr>
                      <w:rPr>
                        <w:rFonts w:ascii="Cambria Math" w:hAnsi="Cambria Math"/>
                        <w:i/>
                      </w:rPr>
                    </m:ctrlPr>
                  </m:sSubPr>
                  <m:e>
                    <m:r>
                      <w:rPr>
                        <w:rFonts w:ascii="Cambria Math" w:hAnsi="Cambria Math"/>
                      </w:rPr>
                      <m:t>L</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d</m:t>
                    </m:r>
                  </m:sub>
                </m:sSub>
              </m:oMath>
            </m:oMathPara>
          </w:p>
        </w:tc>
        <w:tc>
          <w:tcPr>
            <w:tcW w:w="2372" w:type="pct"/>
            <w:tcBorders>
              <w:top w:val="double" w:sz="6" w:space="0" w:color="auto"/>
              <w:left w:val="single" w:sz="4" w:space="0" w:color="auto"/>
              <w:bottom w:val="double" w:sz="6" w:space="0" w:color="auto"/>
            </w:tcBorders>
            <w:vAlign w:val="center"/>
          </w:tcPr>
          <w:p w14:paraId="6AC9BEE6" w14:textId="77777777" w:rsidR="00D36DE4" w:rsidRDefault="00D36DE4" w:rsidP="002023DB">
            <w:pPr>
              <w:pStyle w:val="16TableText"/>
            </w:pPr>
            <w:r>
              <w:t xml:space="preserve">Continuous (dis-)charging power </w:t>
            </w:r>
          </w:p>
        </w:tc>
        <w:tc>
          <w:tcPr>
            <w:tcW w:w="1777" w:type="pct"/>
            <w:tcBorders>
              <w:top w:val="double" w:sz="6" w:space="0" w:color="auto"/>
              <w:left w:val="single" w:sz="4" w:space="0" w:color="auto"/>
              <w:bottom w:val="double" w:sz="6" w:space="0" w:color="auto"/>
            </w:tcBorders>
          </w:tcPr>
          <w:p w14:paraId="58AD70DE" w14:textId="77777777" w:rsidR="00D36DE4" w:rsidRDefault="00D36DE4" w:rsidP="002023DB">
            <w:pPr>
              <w:pStyle w:val="16TableText"/>
            </w:pPr>
            <w:r>
              <w:t>1280 W</w:t>
            </w:r>
          </w:p>
        </w:tc>
      </w:tr>
      <w:tr w:rsidR="00D36DE4" w:rsidRPr="00F66FF5" w14:paraId="7C1BBD10" w14:textId="77777777" w:rsidTr="009648F2">
        <w:trPr>
          <w:jc w:val="center"/>
        </w:trPr>
        <w:tc>
          <w:tcPr>
            <w:tcW w:w="851" w:type="pct"/>
            <w:tcBorders>
              <w:top w:val="double" w:sz="6" w:space="0" w:color="auto"/>
              <w:bottom w:val="double" w:sz="6" w:space="0" w:color="auto"/>
              <w:right w:val="single" w:sz="4" w:space="0" w:color="auto"/>
            </w:tcBorders>
            <w:vAlign w:val="center"/>
          </w:tcPr>
          <w:p w14:paraId="12563EE0" w14:textId="77777777" w:rsidR="00D36DE4" w:rsidRPr="00B63B93" w:rsidRDefault="00000000" w:rsidP="002023DB">
            <w:pPr>
              <w:pStyle w:val="16TableText"/>
              <w:rPr>
                <w:rFonts w:ascii="Calibri" w:hAnsi="Calibri"/>
              </w:rPr>
            </w:pPr>
            <m:oMathPara>
              <m:oMath>
                <m:sSub>
                  <m:sSubPr>
                    <m:ctrlPr>
                      <w:rPr>
                        <w:rFonts w:ascii="Cambria Math" w:hAnsi="Cambria Math"/>
                        <w:i/>
                      </w:rPr>
                    </m:ctrlPr>
                  </m:sSubPr>
                  <m:e>
                    <m:r>
                      <m:rPr>
                        <m:sty m:val="p"/>
                      </m:rPr>
                      <w:rPr>
                        <w:rFonts w:ascii="Cambria Math" w:hAnsi="Cambria Math"/>
                      </w:rPr>
                      <m:t>η</m:t>
                    </m:r>
                    <m:ctrlPr>
                      <w:rPr>
                        <w:rFonts w:ascii="Cambria Math" w:hAnsi="Cambria Math"/>
                      </w:rPr>
                    </m:ctrlPr>
                  </m:e>
                  <m:sub>
                    <m:r>
                      <w:rPr>
                        <w:rFonts w:ascii="Cambria Math" w:hAnsi="Cambria Math"/>
                      </w:rPr>
                      <m:t>c</m:t>
                    </m:r>
                  </m:sub>
                </m:sSub>
                <m:r>
                  <w:rPr>
                    <w:rFonts w:ascii="Cambria Math" w:hAnsi="Cambria Math"/>
                  </w:rPr>
                  <m:t>,</m:t>
                </m:r>
                <m:sSub>
                  <m:sSubPr>
                    <m:ctrlPr>
                      <w:rPr>
                        <w:rFonts w:ascii="Cambria Math" w:hAnsi="Cambria Math"/>
                        <w:i/>
                      </w:rPr>
                    </m:ctrlPr>
                  </m:sSubPr>
                  <m:e>
                    <m:r>
                      <m:rPr>
                        <m:sty m:val="p"/>
                      </m:rPr>
                      <w:rPr>
                        <w:rFonts w:ascii="Cambria Math" w:hAnsi="Cambria Math"/>
                      </w:rPr>
                      <m:t>η</m:t>
                    </m:r>
                  </m:e>
                  <m:sub>
                    <m:r>
                      <w:rPr>
                        <w:rFonts w:ascii="Cambria Math" w:hAnsi="Cambria Math"/>
                      </w:rPr>
                      <m:t>d</m:t>
                    </m:r>
                  </m:sub>
                </m:sSub>
              </m:oMath>
            </m:oMathPara>
          </w:p>
        </w:tc>
        <w:tc>
          <w:tcPr>
            <w:tcW w:w="2372" w:type="pct"/>
            <w:tcBorders>
              <w:top w:val="double" w:sz="6" w:space="0" w:color="auto"/>
              <w:left w:val="single" w:sz="4" w:space="0" w:color="auto"/>
              <w:bottom w:val="double" w:sz="6" w:space="0" w:color="auto"/>
            </w:tcBorders>
            <w:vAlign w:val="center"/>
          </w:tcPr>
          <w:p w14:paraId="11B6C768" w14:textId="77777777" w:rsidR="00D36DE4" w:rsidRDefault="00D36DE4" w:rsidP="002023DB">
            <w:pPr>
              <w:pStyle w:val="16TableText"/>
            </w:pPr>
            <w:r>
              <w:rPr>
                <w:rFonts w:hint="eastAsia"/>
              </w:rPr>
              <w:t>B</w:t>
            </w:r>
            <w:r>
              <w:t xml:space="preserve">attery (dis-)charging efficiency </w:t>
            </w:r>
          </w:p>
        </w:tc>
        <w:tc>
          <w:tcPr>
            <w:tcW w:w="1777" w:type="pct"/>
            <w:tcBorders>
              <w:top w:val="double" w:sz="6" w:space="0" w:color="auto"/>
              <w:left w:val="single" w:sz="4" w:space="0" w:color="auto"/>
              <w:bottom w:val="double" w:sz="6" w:space="0" w:color="auto"/>
            </w:tcBorders>
          </w:tcPr>
          <w:p w14:paraId="2C0CA4D1" w14:textId="77777777" w:rsidR="00D36DE4" w:rsidRDefault="00D36DE4" w:rsidP="002023DB">
            <w:pPr>
              <w:pStyle w:val="16TableText"/>
              <w:keepNext/>
            </w:pPr>
            <w:r>
              <w:rPr>
                <w:rFonts w:hint="eastAsia"/>
              </w:rPr>
              <w:t>0</w:t>
            </w:r>
            <w:r>
              <w:t>.9</w:t>
            </w:r>
          </w:p>
        </w:tc>
      </w:tr>
      <w:tr w:rsidR="00D36DE4" w:rsidRPr="00F66FF5" w14:paraId="45924436" w14:textId="77777777" w:rsidTr="009648F2">
        <w:trPr>
          <w:jc w:val="center"/>
        </w:trPr>
        <w:tc>
          <w:tcPr>
            <w:tcW w:w="851" w:type="pct"/>
            <w:tcBorders>
              <w:top w:val="double" w:sz="6" w:space="0" w:color="auto"/>
              <w:bottom w:val="single" w:sz="4" w:space="0" w:color="auto"/>
              <w:right w:val="single" w:sz="4" w:space="0" w:color="auto"/>
            </w:tcBorders>
            <w:vAlign w:val="center"/>
          </w:tcPr>
          <w:p w14:paraId="4F311888" w14:textId="77777777" w:rsidR="00D36DE4" w:rsidRPr="00316B79" w:rsidRDefault="00D36DE4" w:rsidP="002023DB">
            <w:pPr>
              <w:pStyle w:val="16TableText"/>
              <w:rPr>
                <w:rFonts w:ascii="Calibri" w:hAnsi="Calibri"/>
              </w:rPr>
            </w:pPr>
            <m:oMathPara>
              <m:oMath>
                <m:r>
                  <w:rPr>
                    <w:rFonts w:ascii="Cambria Math" w:hAnsi="Cambria Math"/>
                  </w:rPr>
                  <m:t>SO</m:t>
                </m:r>
                <m:sSub>
                  <m:sSubPr>
                    <m:ctrlPr>
                      <w:rPr>
                        <w:rFonts w:ascii="Cambria Math" w:hAnsi="Cambria Math"/>
                        <w:i/>
                      </w:rPr>
                    </m:ctrlPr>
                  </m:sSubPr>
                  <m:e>
                    <m:r>
                      <w:rPr>
                        <w:rFonts w:ascii="Cambria Math" w:hAnsi="Cambria Math"/>
                      </w:rPr>
                      <m:t>C</m:t>
                    </m:r>
                  </m:e>
                  <m:sub>
                    <m:r>
                      <w:rPr>
                        <w:rFonts w:ascii="Cambria Math" w:hAnsi="Cambria Math"/>
                      </w:rPr>
                      <m:t>min</m:t>
                    </m:r>
                  </m:sub>
                </m:sSub>
                <m:r>
                  <w:rPr>
                    <w:rFonts w:ascii="Cambria Math" w:hAnsi="Cambria Math"/>
                  </w:rPr>
                  <m:t>, SO</m:t>
                </m:r>
                <m:sSub>
                  <m:sSubPr>
                    <m:ctrlPr>
                      <w:rPr>
                        <w:rFonts w:ascii="Cambria Math" w:hAnsi="Cambria Math"/>
                        <w:i/>
                      </w:rPr>
                    </m:ctrlPr>
                  </m:sSubPr>
                  <m:e>
                    <m:r>
                      <w:rPr>
                        <w:rFonts w:ascii="Cambria Math" w:hAnsi="Cambria Math"/>
                      </w:rPr>
                      <m:t>C</m:t>
                    </m:r>
                  </m:e>
                  <m:sub>
                    <m:r>
                      <w:rPr>
                        <w:rFonts w:ascii="Cambria Math" w:hAnsi="Cambria Math"/>
                      </w:rPr>
                      <m:t>max</m:t>
                    </m:r>
                  </m:sub>
                </m:sSub>
              </m:oMath>
            </m:oMathPara>
          </w:p>
        </w:tc>
        <w:tc>
          <w:tcPr>
            <w:tcW w:w="2372" w:type="pct"/>
            <w:tcBorders>
              <w:top w:val="double" w:sz="6" w:space="0" w:color="auto"/>
              <w:left w:val="single" w:sz="4" w:space="0" w:color="auto"/>
              <w:bottom w:val="single" w:sz="4" w:space="0" w:color="auto"/>
            </w:tcBorders>
            <w:vAlign w:val="center"/>
          </w:tcPr>
          <w:p w14:paraId="2986EDDA" w14:textId="77777777" w:rsidR="00D36DE4" w:rsidRDefault="00D36DE4" w:rsidP="002023DB">
            <w:pPr>
              <w:pStyle w:val="16TableText"/>
            </w:pPr>
            <w:r>
              <w:rPr>
                <w:rFonts w:hint="eastAsia"/>
              </w:rPr>
              <w:t>M</w:t>
            </w:r>
            <w:r>
              <w:t>inimum and Maximum State of Charge</w:t>
            </w:r>
          </w:p>
        </w:tc>
        <w:tc>
          <w:tcPr>
            <w:tcW w:w="1777" w:type="pct"/>
            <w:tcBorders>
              <w:top w:val="double" w:sz="6" w:space="0" w:color="auto"/>
              <w:left w:val="single" w:sz="4" w:space="0" w:color="auto"/>
              <w:bottom w:val="single" w:sz="4" w:space="0" w:color="auto"/>
            </w:tcBorders>
          </w:tcPr>
          <w:p w14:paraId="385F92DF" w14:textId="77777777" w:rsidR="00D36DE4" w:rsidRDefault="00D36DE4" w:rsidP="002023DB">
            <w:pPr>
              <w:pStyle w:val="16TableText"/>
              <w:keepNext/>
            </w:pPr>
            <w:r>
              <w:rPr>
                <w:rFonts w:hint="eastAsia"/>
              </w:rPr>
              <w:t>2</w:t>
            </w:r>
            <w:r>
              <w:t>0%, 80%</w:t>
            </w:r>
          </w:p>
        </w:tc>
      </w:tr>
    </w:tbl>
    <w:p w14:paraId="6CD1B4B5" w14:textId="77777777" w:rsidR="00004006" w:rsidRDefault="00004006" w:rsidP="00D36DE4"/>
    <w:p w14:paraId="174FA53C" w14:textId="379BC523" w:rsidR="00D36DE4" w:rsidRDefault="00D36DE4" w:rsidP="00D36DE4">
      <w:r w:rsidRPr="00DA7E13">
        <w:t xml:space="preserve">In this </w:t>
      </w:r>
      <w:r>
        <w:t>case study, t</w:t>
      </w:r>
      <w:r w:rsidRPr="00DA7E13">
        <w:t>he TOU rate ($0.05 from 11:00am to 1:50pm, $0.18 from 2:00pm to 7:00pm, and $0.03 for the reminder)</w:t>
      </w:r>
      <w:r>
        <w:t xml:space="preserve"> </w:t>
      </w:r>
      <w:r w:rsidRPr="00DA7E13">
        <w:t xml:space="preserve">and the user's preferred time range for running the specific </w:t>
      </w:r>
      <w:r w:rsidRPr="00DA7E13">
        <w:lastRenderedPageBreak/>
        <w:t xml:space="preserve">appliances are </w:t>
      </w:r>
      <w:r>
        <w:t>considered in all cases. Using</w:t>
      </w:r>
      <w:r w:rsidRPr="0044171E">
        <w:t xml:space="preserve"> sliding windows of </w:t>
      </w:r>
      <w:r>
        <w:t>3</w:t>
      </w:r>
      <w:r w:rsidRPr="0044171E">
        <w:t xml:space="preserve">, </w:t>
      </w:r>
      <w:r>
        <w:t>5</w:t>
      </w:r>
      <w:r w:rsidRPr="0044171E">
        <w:t xml:space="preserve">, and </w:t>
      </w:r>
      <w:r>
        <w:t>8</w:t>
      </w:r>
      <w:r w:rsidRPr="0044171E">
        <w:t xml:space="preserve"> hours across the </w:t>
      </w:r>
      <w:r>
        <w:t>PDFs</w:t>
      </w:r>
      <w:r w:rsidRPr="0044171E">
        <w:t xml:space="preserve"> yields different time preferences termed </w:t>
      </w:r>
      <w:r>
        <w:t xml:space="preserve">strict, moderate, and flexible time preferences, as shown in </w:t>
      </w:r>
      <w:r>
        <w:fldChar w:fldCharType="begin"/>
      </w:r>
      <w:r>
        <w:instrText xml:space="preserve"> REF _Ref138196874 \h </w:instrText>
      </w:r>
      <w:r>
        <w:fldChar w:fldCharType="separate"/>
      </w:r>
      <w:r w:rsidR="000E1725">
        <w:t xml:space="preserve">Table </w:t>
      </w:r>
      <w:r w:rsidR="000E1725">
        <w:rPr>
          <w:noProof/>
        </w:rPr>
        <w:t>5</w:t>
      </w:r>
      <w:r w:rsidR="000E1725">
        <w:t>.</w:t>
      </w:r>
      <w:r w:rsidR="000E1725">
        <w:rPr>
          <w:noProof/>
        </w:rPr>
        <w:t>4</w:t>
      </w:r>
      <w:r>
        <w:fldChar w:fldCharType="end"/>
      </w:r>
      <w:r w:rsidRPr="0044171E">
        <w:t>.</w:t>
      </w:r>
      <w:r w:rsidRPr="00E031B5">
        <w:t xml:space="preserve"> </w:t>
      </w:r>
      <w:r>
        <w:t>In addition, t</w:t>
      </w:r>
      <w:r w:rsidRPr="00E031B5">
        <w:t xml:space="preserve">he time </w:t>
      </w:r>
      <w:r>
        <w:t xml:space="preserve">delay </w:t>
      </w:r>
      <w:r w:rsidRPr="00E031B5">
        <w:t>between each phase of appliances in this case study should be no more than 40 minutes.</w:t>
      </w:r>
      <w:r>
        <w:t xml:space="preserve"> </w:t>
      </w:r>
    </w:p>
    <w:p w14:paraId="6582AB90" w14:textId="4084AC14" w:rsidR="00D36DE4" w:rsidRDefault="00D36DE4" w:rsidP="00410CB0">
      <w:pPr>
        <w:pStyle w:val="15TableTitle"/>
      </w:pPr>
      <w:bookmarkStart w:id="433" w:name="_Ref138196874"/>
      <w:bookmarkStart w:id="434" w:name="_Toc141343909"/>
      <w:r>
        <w:t xml:space="preserve">Table </w:t>
      </w:r>
      <w:fldSimple w:instr=" STYLEREF 1 \s ">
        <w:r w:rsidR="000E1725">
          <w:rPr>
            <w:noProof/>
          </w:rPr>
          <w:t>5</w:t>
        </w:r>
      </w:fldSimple>
      <w:r w:rsidR="00146A55">
        <w:t>.</w:t>
      </w:r>
      <w:fldSimple w:instr=" SEQ Table \* ARABIC \s 1 ">
        <w:r w:rsidR="000E1725">
          <w:rPr>
            <w:noProof/>
          </w:rPr>
          <w:t>4</w:t>
        </w:r>
      </w:fldSimple>
      <w:bookmarkEnd w:id="433"/>
      <w:r>
        <w:t xml:space="preserve"> User time preference interval used in case study</w:t>
      </w:r>
      <w:bookmarkEnd w:id="43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7"/>
        <w:gridCol w:w="1181"/>
        <w:gridCol w:w="1118"/>
        <w:gridCol w:w="1098"/>
        <w:gridCol w:w="1098"/>
        <w:gridCol w:w="1098"/>
        <w:gridCol w:w="1386"/>
      </w:tblGrid>
      <w:tr w:rsidR="00D36DE4" w14:paraId="69940035" w14:textId="77777777" w:rsidTr="009648F2">
        <w:trPr>
          <w:jc w:val="center"/>
        </w:trPr>
        <w:tc>
          <w:tcPr>
            <w:tcW w:w="2155" w:type="dxa"/>
            <w:vMerge w:val="restart"/>
            <w:tcBorders>
              <w:top w:val="single" w:sz="18" w:space="0" w:color="000000"/>
            </w:tcBorders>
            <w:vAlign w:val="center"/>
          </w:tcPr>
          <w:p w14:paraId="60FC9910" w14:textId="77777777" w:rsidR="00D36DE4" w:rsidRDefault="00D36DE4" w:rsidP="002023DB">
            <w:pPr>
              <w:jc w:val="center"/>
            </w:pPr>
            <w:r>
              <w:t>Activity</w:t>
            </w:r>
          </w:p>
        </w:tc>
        <w:tc>
          <w:tcPr>
            <w:tcW w:w="2353" w:type="dxa"/>
            <w:gridSpan w:val="2"/>
            <w:tcBorders>
              <w:top w:val="single" w:sz="18" w:space="0" w:color="000000"/>
              <w:bottom w:val="single" w:sz="8" w:space="0" w:color="000000"/>
            </w:tcBorders>
            <w:vAlign w:val="center"/>
          </w:tcPr>
          <w:p w14:paraId="5588EE47" w14:textId="77777777" w:rsidR="00D36DE4" w:rsidRDefault="00D36DE4" w:rsidP="002023DB">
            <w:pPr>
              <w:ind w:firstLine="0"/>
              <w:jc w:val="center"/>
            </w:pPr>
            <w:r>
              <w:t>3-hour, strict</w:t>
            </w:r>
          </w:p>
        </w:tc>
        <w:tc>
          <w:tcPr>
            <w:tcW w:w="2254" w:type="dxa"/>
            <w:gridSpan w:val="2"/>
            <w:tcBorders>
              <w:top w:val="single" w:sz="18" w:space="0" w:color="000000"/>
              <w:bottom w:val="single" w:sz="8" w:space="0" w:color="000000"/>
            </w:tcBorders>
            <w:vAlign w:val="center"/>
          </w:tcPr>
          <w:p w14:paraId="0129F01D" w14:textId="77777777" w:rsidR="00D36DE4" w:rsidRDefault="00D36DE4" w:rsidP="002023DB">
            <w:pPr>
              <w:ind w:firstLine="0"/>
              <w:jc w:val="center"/>
            </w:pPr>
            <w:r>
              <w:t>5-hour, moderate</w:t>
            </w:r>
          </w:p>
        </w:tc>
        <w:tc>
          <w:tcPr>
            <w:tcW w:w="2598" w:type="dxa"/>
            <w:gridSpan w:val="2"/>
            <w:tcBorders>
              <w:top w:val="single" w:sz="18" w:space="0" w:color="000000"/>
              <w:bottom w:val="single" w:sz="8" w:space="0" w:color="000000"/>
            </w:tcBorders>
            <w:vAlign w:val="center"/>
          </w:tcPr>
          <w:p w14:paraId="40ED459A" w14:textId="77777777" w:rsidR="00D36DE4" w:rsidRDefault="00D36DE4" w:rsidP="002023DB">
            <w:pPr>
              <w:ind w:firstLine="0"/>
              <w:jc w:val="center"/>
            </w:pPr>
            <w:r>
              <w:t>8-hour, flexible</w:t>
            </w:r>
          </w:p>
        </w:tc>
      </w:tr>
      <w:tr w:rsidR="00D36DE4" w14:paraId="11A24323" w14:textId="77777777" w:rsidTr="009648F2">
        <w:trPr>
          <w:jc w:val="center"/>
        </w:trPr>
        <w:tc>
          <w:tcPr>
            <w:tcW w:w="2155" w:type="dxa"/>
            <w:vMerge/>
            <w:tcBorders>
              <w:bottom w:val="single" w:sz="4" w:space="0" w:color="000000"/>
            </w:tcBorders>
            <w:vAlign w:val="center"/>
          </w:tcPr>
          <w:p w14:paraId="6DD8DFB2" w14:textId="77777777" w:rsidR="00D36DE4" w:rsidRDefault="00D36DE4" w:rsidP="002023DB">
            <w:pPr>
              <w:ind w:firstLine="0"/>
              <w:jc w:val="center"/>
            </w:pPr>
          </w:p>
        </w:tc>
        <w:tc>
          <w:tcPr>
            <w:tcW w:w="1226" w:type="dxa"/>
            <w:tcBorders>
              <w:top w:val="single" w:sz="8" w:space="0" w:color="000000"/>
              <w:bottom w:val="single" w:sz="4" w:space="0" w:color="000000"/>
            </w:tcBorders>
            <w:vAlign w:val="center"/>
          </w:tcPr>
          <w:p w14:paraId="340AA5D4" w14:textId="77777777" w:rsidR="00D36DE4" w:rsidRDefault="00D36DE4" w:rsidP="002023DB">
            <w:pPr>
              <w:ind w:firstLine="0"/>
              <w:jc w:val="center"/>
            </w:pPr>
            <w:r>
              <w:t>Start</w:t>
            </w:r>
          </w:p>
        </w:tc>
        <w:tc>
          <w:tcPr>
            <w:tcW w:w="1127" w:type="dxa"/>
            <w:tcBorders>
              <w:top w:val="single" w:sz="8" w:space="0" w:color="000000"/>
              <w:bottom w:val="single" w:sz="4" w:space="0" w:color="000000"/>
            </w:tcBorders>
            <w:vAlign w:val="center"/>
          </w:tcPr>
          <w:p w14:paraId="17887ABA" w14:textId="77777777" w:rsidR="00D36DE4" w:rsidRDefault="00D36DE4" w:rsidP="002023DB">
            <w:pPr>
              <w:ind w:firstLine="0"/>
              <w:jc w:val="center"/>
            </w:pPr>
            <w:r>
              <w:t>Stop</w:t>
            </w:r>
          </w:p>
        </w:tc>
        <w:tc>
          <w:tcPr>
            <w:tcW w:w="1127" w:type="dxa"/>
            <w:tcBorders>
              <w:top w:val="single" w:sz="8" w:space="0" w:color="000000"/>
              <w:bottom w:val="single" w:sz="4" w:space="0" w:color="000000"/>
            </w:tcBorders>
            <w:vAlign w:val="center"/>
          </w:tcPr>
          <w:p w14:paraId="69D8FAB3" w14:textId="77777777" w:rsidR="00D36DE4" w:rsidRDefault="00D36DE4" w:rsidP="002023DB">
            <w:pPr>
              <w:ind w:firstLine="0"/>
              <w:jc w:val="center"/>
            </w:pPr>
            <w:r>
              <w:t>Start</w:t>
            </w:r>
          </w:p>
        </w:tc>
        <w:tc>
          <w:tcPr>
            <w:tcW w:w="1127" w:type="dxa"/>
            <w:tcBorders>
              <w:top w:val="single" w:sz="8" w:space="0" w:color="000000"/>
              <w:bottom w:val="single" w:sz="4" w:space="0" w:color="000000"/>
            </w:tcBorders>
            <w:vAlign w:val="center"/>
          </w:tcPr>
          <w:p w14:paraId="441689A8" w14:textId="77777777" w:rsidR="00D36DE4" w:rsidRDefault="00D36DE4" w:rsidP="002023DB">
            <w:pPr>
              <w:ind w:firstLine="0"/>
              <w:jc w:val="center"/>
            </w:pPr>
            <w:r>
              <w:t>Stop</w:t>
            </w:r>
          </w:p>
        </w:tc>
        <w:tc>
          <w:tcPr>
            <w:tcW w:w="1127" w:type="dxa"/>
            <w:tcBorders>
              <w:top w:val="single" w:sz="8" w:space="0" w:color="000000"/>
              <w:bottom w:val="single" w:sz="4" w:space="0" w:color="000000"/>
            </w:tcBorders>
            <w:vAlign w:val="center"/>
          </w:tcPr>
          <w:p w14:paraId="2FABC9B3" w14:textId="77777777" w:rsidR="00D36DE4" w:rsidRDefault="00D36DE4" w:rsidP="002023DB">
            <w:pPr>
              <w:ind w:firstLine="0"/>
              <w:jc w:val="center"/>
            </w:pPr>
            <w:r>
              <w:t>Start</w:t>
            </w:r>
          </w:p>
        </w:tc>
        <w:tc>
          <w:tcPr>
            <w:tcW w:w="1471" w:type="dxa"/>
            <w:tcBorders>
              <w:top w:val="single" w:sz="8" w:space="0" w:color="000000"/>
              <w:bottom w:val="single" w:sz="4" w:space="0" w:color="000000"/>
            </w:tcBorders>
            <w:vAlign w:val="center"/>
          </w:tcPr>
          <w:p w14:paraId="6C659F6E" w14:textId="77777777" w:rsidR="00D36DE4" w:rsidRDefault="00D36DE4" w:rsidP="002023DB">
            <w:pPr>
              <w:ind w:firstLine="0"/>
              <w:jc w:val="center"/>
            </w:pPr>
            <w:r>
              <w:t>Stop</w:t>
            </w:r>
          </w:p>
        </w:tc>
      </w:tr>
      <w:tr w:rsidR="00D36DE4" w14:paraId="013B40F2" w14:textId="77777777" w:rsidTr="009648F2">
        <w:trPr>
          <w:jc w:val="center"/>
        </w:trPr>
        <w:tc>
          <w:tcPr>
            <w:tcW w:w="2155" w:type="dxa"/>
            <w:tcBorders>
              <w:top w:val="single" w:sz="4" w:space="0" w:color="000000"/>
            </w:tcBorders>
            <w:vAlign w:val="center"/>
          </w:tcPr>
          <w:p w14:paraId="18F65914" w14:textId="77777777" w:rsidR="00D36DE4" w:rsidRDefault="00D36DE4" w:rsidP="002023DB">
            <w:pPr>
              <w:ind w:firstLine="0"/>
              <w:jc w:val="center"/>
            </w:pPr>
            <w:r>
              <w:t>Kitchen cleans up</w:t>
            </w:r>
          </w:p>
        </w:tc>
        <w:tc>
          <w:tcPr>
            <w:tcW w:w="1226" w:type="dxa"/>
            <w:tcBorders>
              <w:top w:val="single" w:sz="4" w:space="0" w:color="000000"/>
            </w:tcBorders>
            <w:vAlign w:val="center"/>
          </w:tcPr>
          <w:p w14:paraId="3DC4130E" w14:textId="77777777" w:rsidR="00D36DE4" w:rsidRDefault="00D36DE4" w:rsidP="002023DB">
            <w:pPr>
              <w:ind w:firstLine="0"/>
              <w:jc w:val="center"/>
            </w:pPr>
            <w:r>
              <w:t>5:30pm</w:t>
            </w:r>
          </w:p>
        </w:tc>
        <w:tc>
          <w:tcPr>
            <w:tcW w:w="1127" w:type="dxa"/>
            <w:tcBorders>
              <w:top w:val="single" w:sz="4" w:space="0" w:color="000000"/>
            </w:tcBorders>
            <w:vAlign w:val="center"/>
          </w:tcPr>
          <w:p w14:paraId="261BE22B" w14:textId="77777777" w:rsidR="00D36DE4" w:rsidRDefault="00D36DE4" w:rsidP="002023DB">
            <w:pPr>
              <w:ind w:firstLine="0"/>
              <w:jc w:val="center"/>
            </w:pPr>
            <w:r>
              <w:t>8:30pm</w:t>
            </w:r>
          </w:p>
        </w:tc>
        <w:tc>
          <w:tcPr>
            <w:tcW w:w="1127" w:type="dxa"/>
            <w:tcBorders>
              <w:top w:val="single" w:sz="4" w:space="0" w:color="000000"/>
            </w:tcBorders>
            <w:vAlign w:val="center"/>
          </w:tcPr>
          <w:p w14:paraId="16C05C8C" w14:textId="77777777" w:rsidR="00D36DE4" w:rsidRDefault="00D36DE4" w:rsidP="002023DB">
            <w:pPr>
              <w:ind w:firstLine="0"/>
              <w:jc w:val="center"/>
            </w:pPr>
            <w:r>
              <w:t xml:space="preserve">4:30pm </w:t>
            </w:r>
          </w:p>
        </w:tc>
        <w:tc>
          <w:tcPr>
            <w:tcW w:w="1127" w:type="dxa"/>
            <w:tcBorders>
              <w:top w:val="single" w:sz="4" w:space="0" w:color="000000"/>
            </w:tcBorders>
            <w:vAlign w:val="center"/>
          </w:tcPr>
          <w:p w14:paraId="6CAB20ED" w14:textId="77777777" w:rsidR="00D36DE4" w:rsidRDefault="00D36DE4" w:rsidP="002023DB">
            <w:pPr>
              <w:ind w:firstLine="0"/>
              <w:jc w:val="center"/>
            </w:pPr>
            <w:r>
              <w:t>9:30pm</w:t>
            </w:r>
          </w:p>
        </w:tc>
        <w:tc>
          <w:tcPr>
            <w:tcW w:w="1127" w:type="dxa"/>
            <w:tcBorders>
              <w:top w:val="single" w:sz="4" w:space="0" w:color="000000"/>
            </w:tcBorders>
            <w:vAlign w:val="center"/>
          </w:tcPr>
          <w:p w14:paraId="7C1B1B88" w14:textId="77777777" w:rsidR="00D36DE4" w:rsidRDefault="00D36DE4" w:rsidP="002023DB">
            <w:pPr>
              <w:ind w:firstLine="0"/>
              <w:jc w:val="center"/>
            </w:pPr>
            <w:r>
              <w:t>1:40pm</w:t>
            </w:r>
          </w:p>
        </w:tc>
        <w:tc>
          <w:tcPr>
            <w:tcW w:w="1471" w:type="dxa"/>
            <w:tcBorders>
              <w:top w:val="single" w:sz="4" w:space="0" w:color="000000"/>
            </w:tcBorders>
            <w:vAlign w:val="center"/>
          </w:tcPr>
          <w:p w14:paraId="36FC1EED" w14:textId="77777777" w:rsidR="00D36DE4" w:rsidRDefault="00D36DE4" w:rsidP="002023DB">
            <w:pPr>
              <w:ind w:firstLine="0"/>
              <w:jc w:val="center"/>
            </w:pPr>
            <w:r>
              <w:t>9:40pm</w:t>
            </w:r>
          </w:p>
        </w:tc>
      </w:tr>
      <w:tr w:rsidR="00D36DE4" w14:paraId="5AAD1322" w14:textId="77777777" w:rsidTr="009648F2">
        <w:trPr>
          <w:jc w:val="center"/>
        </w:trPr>
        <w:tc>
          <w:tcPr>
            <w:tcW w:w="2155" w:type="dxa"/>
            <w:tcBorders>
              <w:bottom w:val="single" w:sz="18" w:space="0" w:color="000000"/>
            </w:tcBorders>
            <w:vAlign w:val="center"/>
          </w:tcPr>
          <w:p w14:paraId="59372508" w14:textId="77777777" w:rsidR="00D36DE4" w:rsidRDefault="00D36DE4" w:rsidP="002023DB">
            <w:pPr>
              <w:ind w:firstLine="0"/>
              <w:jc w:val="center"/>
            </w:pPr>
            <w:r>
              <w:t>Laundry</w:t>
            </w:r>
          </w:p>
        </w:tc>
        <w:tc>
          <w:tcPr>
            <w:tcW w:w="1226" w:type="dxa"/>
            <w:tcBorders>
              <w:bottom w:val="single" w:sz="18" w:space="0" w:color="000000"/>
            </w:tcBorders>
            <w:vAlign w:val="center"/>
          </w:tcPr>
          <w:p w14:paraId="339488B0" w14:textId="77777777" w:rsidR="00D36DE4" w:rsidRDefault="00D36DE4" w:rsidP="002023DB">
            <w:pPr>
              <w:ind w:firstLine="0"/>
              <w:jc w:val="center"/>
            </w:pPr>
            <w:r>
              <w:t>9:00am</w:t>
            </w:r>
          </w:p>
        </w:tc>
        <w:tc>
          <w:tcPr>
            <w:tcW w:w="1127" w:type="dxa"/>
            <w:tcBorders>
              <w:bottom w:val="single" w:sz="18" w:space="0" w:color="000000"/>
            </w:tcBorders>
            <w:vAlign w:val="center"/>
          </w:tcPr>
          <w:p w14:paraId="644C92A4" w14:textId="77777777" w:rsidR="00D36DE4" w:rsidRDefault="00D36DE4" w:rsidP="002023DB">
            <w:pPr>
              <w:ind w:firstLine="0"/>
              <w:jc w:val="center"/>
            </w:pPr>
            <w:r>
              <w:t>12:00pm</w:t>
            </w:r>
          </w:p>
        </w:tc>
        <w:tc>
          <w:tcPr>
            <w:tcW w:w="1127" w:type="dxa"/>
            <w:tcBorders>
              <w:bottom w:val="single" w:sz="18" w:space="0" w:color="000000"/>
            </w:tcBorders>
            <w:vAlign w:val="center"/>
          </w:tcPr>
          <w:p w14:paraId="68A27B16" w14:textId="77777777" w:rsidR="00D36DE4" w:rsidRDefault="00D36DE4" w:rsidP="002023DB">
            <w:pPr>
              <w:ind w:firstLine="0"/>
              <w:jc w:val="center"/>
            </w:pPr>
            <w:r>
              <w:t>8:50am</w:t>
            </w:r>
          </w:p>
        </w:tc>
        <w:tc>
          <w:tcPr>
            <w:tcW w:w="1127" w:type="dxa"/>
            <w:tcBorders>
              <w:bottom w:val="single" w:sz="18" w:space="0" w:color="000000"/>
            </w:tcBorders>
            <w:vAlign w:val="center"/>
          </w:tcPr>
          <w:p w14:paraId="3C58EF35" w14:textId="77777777" w:rsidR="00D36DE4" w:rsidRDefault="00D36DE4" w:rsidP="002023DB">
            <w:pPr>
              <w:ind w:firstLine="0"/>
              <w:jc w:val="center"/>
            </w:pPr>
            <w:r>
              <w:t>1:50pm</w:t>
            </w:r>
          </w:p>
        </w:tc>
        <w:tc>
          <w:tcPr>
            <w:tcW w:w="1127" w:type="dxa"/>
            <w:tcBorders>
              <w:bottom w:val="single" w:sz="18" w:space="0" w:color="000000"/>
            </w:tcBorders>
            <w:vAlign w:val="center"/>
          </w:tcPr>
          <w:p w14:paraId="3ADD9387" w14:textId="77777777" w:rsidR="00D36DE4" w:rsidRDefault="00D36DE4" w:rsidP="002023DB">
            <w:pPr>
              <w:ind w:firstLine="0"/>
              <w:jc w:val="center"/>
            </w:pPr>
            <w:r>
              <w:t>8:20am</w:t>
            </w:r>
          </w:p>
        </w:tc>
        <w:tc>
          <w:tcPr>
            <w:tcW w:w="1471" w:type="dxa"/>
            <w:tcBorders>
              <w:bottom w:val="single" w:sz="18" w:space="0" w:color="000000"/>
            </w:tcBorders>
            <w:vAlign w:val="center"/>
          </w:tcPr>
          <w:p w14:paraId="617182A0" w14:textId="77777777" w:rsidR="00D36DE4" w:rsidRDefault="00D36DE4" w:rsidP="002023DB">
            <w:pPr>
              <w:ind w:firstLine="0"/>
              <w:jc w:val="center"/>
            </w:pPr>
            <w:r>
              <w:t>4:20pm</w:t>
            </w:r>
          </w:p>
        </w:tc>
      </w:tr>
    </w:tbl>
    <w:p w14:paraId="3CC3E57B" w14:textId="210EA628" w:rsidR="00D36DE4" w:rsidRDefault="00D36DE4" w:rsidP="00D36DE4">
      <w:r>
        <w:fldChar w:fldCharType="begin"/>
      </w:r>
      <w:r>
        <w:instrText xml:space="preserve"> REF _Ref138122201 \h </w:instrText>
      </w:r>
      <w:r>
        <w:fldChar w:fldCharType="separate"/>
      </w:r>
      <w:r w:rsidR="000E1725" w:rsidRPr="00FA0C6E">
        <w:t xml:space="preserve">Figure </w:t>
      </w:r>
      <w:r w:rsidR="000E1725">
        <w:rPr>
          <w:noProof/>
        </w:rPr>
        <w:t>5</w:t>
      </w:r>
      <w:r w:rsidR="000E1725">
        <w:t>.</w:t>
      </w:r>
      <w:r w:rsidR="000E1725">
        <w:rPr>
          <w:noProof/>
        </w:rPr>
        <w:t>6</w:t>
      </w:r>
      <w:r>
        <w:fldChar w:fldCharType="end"/>
      </w:r>
      <w:r>
        <w:t xml:space="preserve"> depicts</w:t>
      </w:r>
      <w:r w:rsidRPr="006D2DDA">
        <w:t xml:space="preserve"> the </w:t>
      </w:r>
      <w:r>
        <w:t>results</w:t>
      </w:r>
      <w:r w:rsidRPr="006D2DDA">
        <w:t xml:space="preserve"> of hot water usage pattern learning. </w:t>
      </w:r>
      <w:r>
        <w:fldChar w:fldCharType="begin"/>
      </w:r>
      <w:r>
        <w:instrText xml:space="preserve"> REF _Ref138122201 \h </w:instrText>
      </w:r>
      <w:r>
        <w:fldChar w:fldCharType="separate"/>
      </w:r>
      <w:r w:rsidR="000E1725" w:rsidRPr="00FA0C6E">
        <w:t xml:space="preserve">Figure </w:t>
      </w:r>
      <w:r w:rsidR="000E1725">
        <w:rPr>
          <w:noProof/>
        </w:rPr>
        <w:t>5</w:t>
      </w:r>
      <w:r w:rsidR="000E1725">
        <w:t>.</w:t>
      </w:r>
      <w:r w:rsidR="000E1725">
        <w:rPr>
          <w:noProof/>
        </w:rPr>
        <w:t>6</w:t>
      </w:r>
      <w:r>
        <w:fldChar w:fldCharType="end"/>
      </w:r>
      <w:r>
        <w:t>(</w:t>
      </w:r>
      <w:r w:rsidRPr="006D2DDA">
        <w:t xml:space="preserve">a) presents raw </w:t>
      </w:r>
      <w:r>
        <w:t xml:space="preserve">hot </w:t>
      </w:r>
      <w:r w:rsidRPr="006D2DDA">
        <w:t>water usage data from July</w:t>
      </w:r>
      <w:r>
        <w:t xml:space="preserve"> 1</w:t>
      </w:r>
      <w:r w:rsidRPr="006D2DDA">
        <w:t xml:space="preserve"> to August</w:t>
      </w:r>
      <w:r>
        <w:t xml:space="preserve"> 15</w:t>
      </w:r>
      <w:r w:rsidRPr="006D2DDA">
        <w:t xml:space="preserve">, </w:t>
      </w:r>
      <w:r>
        <w:t>where the red subsequence</w:t>
      </w:r>
      <w:r w:rsidRPr="006D2DDA">
        <w:t xml:space="preserve"> </w:t>
      </w:r>
      <w:r>
        <w:t>corresponds</w:t>
      </w:r>
      <w:r w:rsidRPr="006D2DDA">
        <w:t xml:space="preserve"> to the 24-hour hot water profile illustrated in </w:t>
      </w:r>
      <w:r>
        <w:fldChar w:fldCharType="begin"/>
      </w:r>
      <w:r>
        <w:instrText xml:space="preserve"> REF _Ref138122201 \h </w:instrText>
      </w:r>
      <w:r>
        <w:fldChar w:fldCharType="separate"/>
      </w:r>
      <w:r w:rsidR="000E1725" w:rsidRPr="00FA0C6E">
        <w:t xml:space="preserve">Figure </w:t>
      </w:r>
      <w:r w:rsidR="000E1725">
        <w:rPr>
          <w:noProof/>
        </w:rPr>
        <w:t>5</w:t>
      </w:r>
      <w:r w:rsidR="000E1725">
        <w:t>.</w:t>
      </w:r>
      <w:r w:rsidR="000E1725">
        <w:rPr>
          <w:noProof/>
        </w:rPr>
        <w:t>6</w:t>
      </w:r>
      <w:r>
        <w:fldChar w:fldCharType="end"/>
      </w:r>
      <w:r w:rsidRPr="006D2DDA">
        <w:t>(b). According to the results from the data snippet analysis, th</w:t>
      </w:r>
      <w:r>
        <w:t xml:space="preserve">e hot water profile </w:t>
      </w:r>
      <w:r w:rsidRPr="006D2DDA">
        <w:t xml:space="preserve">in </w:t>
      </w:r>
      <w:r>
        <w:fldChar w:fldCharType="begin"/>
      </w:r>
      <w:r>
        <w:instrText xml:space="preserve"> REF _Ref138122201 \h </w:instrText>
      </w:r>
      <w:r>
        <w:fldChar w:fldCharType="separate"/>
      </w:r>
      <w:r w:rsidR="000E1725" w:rsidRPr="00FA0C6E">
        <w:t xml:space="preserve">Figure </w:t>
      </w:r>
      <w:r w:rsidR="000E1725">
        <w:rPr>
          <w:noProof/>
        </w:rPr>
        <w:t>5</w:t>
      </w:r>
      <w:r w:rsidR="000E1725">
        <w:t>.</w:t>
      </w:r>
      <w:r w:rsidR="000E1725">
        <w:rPr>
          <w:noProof/>
        </w:rPr>
        <w:t>6</w:t>
      </w:r>
      <w:r>
        <w:fldChar w:fldCharType="end"/>
      </w:r>
      <w:r w:rsidRPr="006D2DDA">
        <w:t xml:space="preserve">(b) is the most representative </w:t>
      </w:r>
      <w:r>
        <w:t xml:space="preserve">profile </w:t>
      </w:r>
      <w:r w:rsidRPr="006D2DDA">
        <w:t xml:space="preserve">of these </w:t>
      </w:r>
      <w:r>
        <w:t>day</w:t>
      </w:r>
      <w:r w:rsidRPr="006D2DDA">
        <w:t>s</w:t>
      </w:r>
      <w:r>
        <w:t xml:space="preserve">—it has the </w:t>
      </w:r>
      <w:r w:rsidRPr="006E5126">
        <w:t>highest similarity with other 24-hour subsequences</w:t>
      </w:r>
      <w:r>
        <w:t>.</w:t>
      </w:r>
    </w:p>
    <w:p w14:paraId="42476943" w14:textId="77777777" w:rsidR="00D36DE4" w:rsidRDefault="00D36DE4" w:rsidP="00D36DE4">
      <w:pPr>
        <w:keepNext/>
        <w:ind w:firstLine="0"/>
        <w:jc w:val="center"/>
      </w:pPr>
      <w:r>
        <w:rPr>
          <w:noProof/>
        </w:rPr>
        <w:drawing>
          <wp:inline distT="0" distB="0" distL="0" distR="0" wp14:anchorId="2335B252" wp14:editId="5E06AF48">
            <wp:extent cx="5731510" cy="1701165"/>
            <wp:effectExtent l="0" t="0" r="0" b="635"/>
            <wp:docPr id="636137366" name="Picture 636137366" descr="A picture containing screenshot,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137366" name="Picture 4" descr="A picture containing screenshot, plot, line&#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31510" cy="1701165"/>
                    </a:xfrm>
                    <a:prstGeom prst="rect">
                      <a:avLst/>
                    </a:prstGeom>
                  </pic:spPr>
                </pic:pic>
              </a:graphicData>
            </a:graphic>
          </wp:inline>
        </w:drawing>
      </w:r>
    </w:p>
    <w:p w14:paraId="489E176A" w14:textId="0A1A90AA" w:rsidR="00D36DE4" w:rsidRPr="0040733B" w:rsidRDefault="00D36DE4" w:rsidP="009648F2">
      <w:pPr>
        <w:pStyle w:val="13FigureCaption"/>
        <w:rPr>
          <w:color w:val="FF0000"/>
        </w:rPr>
      </w:pPr>
      <w:bookmarkStart w:id="435" w:name="_Ref138122201"/>
      <w:bookmarkStart w:id="436" w:name="_Toc141349948"/>
      <w:r w:rsidRPr="00FA0C6E">
        <w:t xml:space="preserve">Figure </w:t>
      </w:r>
      <w:fldSimple w:instr=" STYLEREF 1 \s ">
        <w:r w:rsidR="000E1725">
          <w:rPr>
            <w:noProof/>
          </w:rPr>
          <w:t>5</w:t>
        </w:r>
      </w:fldSimple>
      <w:r w:rsidR="005445E0">
        <w:t>.</w:t>
      </w:r>
      <w:fldSimple w:instr=" SEQ Figure \* ARABIC \s 1 ">
        <w:r w:rsidR="000E1725">
          <w:rPr>
            <w:noProof/>
          </w:rPr>
          <w:t>6</w:t>
        </w:r>
      </w:fldSimple>
      <w:bookmarkEnd w:id="435"/>
      <w:r w:rsidRPr="00FA0C6E">
        <w:t xml:space="preserve"> </w:t>
      </w:r>
      <w:r>
        <w:t>Hot w</w:t>
      </w:r>
      <w:r w:rsidRPr="00FA0C6E">
        <w:t xml:space="preserve">ater usage profiles (a) </w:t>
      </w:r>
      <w:r>
        <w:t xml:space="preserve">hot </w:t>
      </w:r>
      <w:r w:rsidRPr="00FA0C6E">
        <w:t xml:space="preserve">water usage profile from July to August (b) most </w:t>
      </w:r>
      <w:r w:rsidRPr="00146A55">
        <w:rPr>
          <w:color w:val="000000" w:themeColor="text1"/>
        </w:rPr>
        <w:t>representative hot water usage 24-hour profile.</w:t>
      </w:r>
      <w:bookmarkEnd w:id="436"/>
    </w:p>
    <w:p w14:paraId="73F522CF" w14:textId="2E975E18" w:rsidR="00D36DE4" w:rsidRDefault="00D36DE4" w:rsidP="00D36DE4">
      <w:r>
        <w:lastRenderedPageBreak/>
        <w:t xml:space="preserve">The </w:t>
      </w:r>
      <w:r w:rsidRPr="00A25843">
        <w:t>simulations</w:t>
      </w:r>
      <w:r>
        <w:t xml:space="preserve"> carried out on a desktop with an AMD 12-core CPU and 32GB of memory with the Python-based optimization package Pyomo </w:t>
      </w:r>
      <w:r>
        <w:fldChar w:fldCharType="begin"/>
      </w:r>
      <w:r w:rsidR="0082416B">
        <w:instrText xml:space="preserve"> ADDIN ZOTERO_ITEM CSL_CITATION {"citationID":"SEV3kkgX","properties":{"formattedCitation":"[144\\uc0\\u8211{}146]","plainCitation":"[144–146]","noteIndex":0},"citationItems":[{"id":324,"uris":["http://zotero.org/users/5659608/items/M7YGNFXK"],"itemData":{"id":324,"type":"article-journal","abstract":"We describe Pyomo, an open source software package for modeling and solving mathematical programs in Python. Pyomo can be used to define abstract and concrete problems, create problem instances, and solve these instances with standard open-source and commercial solvers. Pyomo provides a capability that is commonly associated with algebraic modeling languages such as AMPL, AIMMS, and GAMS. In contrast, Pyomo’s modeling objects are embedded within a full-featured high-level programming language with a rich set of supporting libraries. Pyomo leverages the capabilities of the Coopr software library, which together with Pyomo is part of IBM’s COIN-OR open-source initiative for operations research software. Coopr integrates Python packages for defining optimizers, modeling optimization applications, and managing computational experiments. Numerous examples illustrating advanced scripting applications are provided.","container-title":"Mathematical Programming Computation","DOI":"10.1007/s12532-011-0026-8","ISSN":"1867-2957","issue":"3","journalAbbreviation":"Math. Prog. Comp.","language":"en","page":"219","source":"Springer Link","title":"Pyomo: modeling and solving mathematical programs in Python","title-short":"Pyomo","volume":"3","author":[{"family":"Hart","given":"William E."},{"family":"Watson","given":"Jean-Paul"},{"family":"Woodruff","given":"David L."}],"issued":{"date-parts":[["2011",8,10]]},"citation-key":"hartPyomoModelingSolving2011"}},{"id":879,"uris":["http://zotero.org/users/5659608/items/9S63KIA8"],"itemData":{"id":879,"type":"book","edition":"2","note":"Citation Key: hart2017pyomo","publisher":"Springer Science &amp; Business Media","title":"Pyomo–optimization modeling in python","volume":"67","author":[{"family":"Hart","given":"William E."},{"family":"Laird","given":"Carl D."},{"family":"Watson","given":"Jean-Paul"},{"family":"Woodruff","given":"David L."},{"family":"Hackebeil","given":"Gabriel A."},{"family":"Nicholson","given":"Bethany L."},{"family":"Siirola","given":"John D."}],"issued":{"date-parts":[["2017"]]},"citation-key":"hart2017pyomo"}},{"id":635,"uris":["http://zotero.org/users/5659608/items/499VZKBU"],"itemData":{"id":635,"type":"article-journal","abstract":"We describe pyomo.dae, an open source Python-based modeling framework that enables high-level abstract specification of optimization problems with differential and algebraic equations. The pyomo.dae framework is integrated with the Pyomo open source algebraic modeling language, and is available at http://www.pyomo.org. One key feature of pyomo.dae is that it does not restrict users to standard, predefined forms of differential equations, providing a high degree of modeling flexibility and the ability to express constraints that cannot be easily specified in other modeling frameworks. Other key features of pyomo.dae are the ability to specify optimization problems with high-order differential equations and partial differential equations, defined on restricted domain types, and the ability to automatically transform high-level abstract models into finite-dimensional algebraic problems that can be solved with off-the-shelf solvers. Moreover, pyomo.dae users can leverage existing capabilities of Pyomo to embed differential equation models within stochastic and integer programming models and mathematical programs with equilibrium constraint formulations. Collectively, these features enable the exploration of new modeling concepts, discretization schemes, and the benchmarking of state-of-the-art optimization solvers.","container-title":"Mathematical Programming Computation","DOI":"10.1007/s12532-017-0127-0","ISSN":"1867-2957","issue":"2","language":"English","note":"Citation Key: nicholsonPyomoDaeModeling2018a","page":"187–223","title":"Pyomo.Dae: A modeling and automatic discretization framework for optimization with differential and algebraic equations","title-short":"Pyomo.Dae","volume":"10","author":[{"family":"Nicholson","given":"Bethany"},{"family":"Siirola","given":"John D."},{"family":"Watson","given":"Jean-Paul"},{"family":"Zavala","given":"Victor M."},{"family":"Biegler","given":"Lorenz T."}],"issued":{"date-parts":[["2018",6]]},"citation-key":"nicholsonPyomoDaeModeling2018a"}}],"schema":"https://github.com/citation-style-language/schema/raw/master/csl-citation.json"} </w:instrText>
      </w:r>
      <w:r>
        <w:fldChar w:fldCharType="separate"/>
      </w:r>
      <w:r w:rsidR="0082416B" w:rsidRPr="0082416B">
        <w:rPr>
          <w:kern w:val="0"/>
          <w:szCs w:val="24"/>
        </w:rPr>
        <w:t>[144–146]</w:t>
      </w:r>
      <w:r>
        <w:fldChar w:fldCharType="end"/>
      </w:r>
      <w:r>
        <w:t xml:space="preserve"> are demonstrated. The optimal scheduling is solved by Gurobi </w:t>
      </w:r>
      <w:r>
        <w:fldChar w:fldCharType="begin"/>
      </w:r>
      <w:r w:rsidR="0082416B">
        <w:instrText xml:space="preserve"> ADDIN ZOTERO_ITEM CSL_CITATION {"citationID":"lHql5Gbj","properties":{"formattedCitation":"[147]","plainCitation":"[147]","noteIndex":0},"citationItems":[{"id":431,"uris":["http://zotero.org/users/5659608/items/X38TKY84"],"itemData":{"id":431,"type":"article-journal","note":"Citation Key: gurobioptimizationllcGurobiOptimizerReference2021","page":"969","title":"Gurobi Optimizer Reference Manual","author":[{"family":"Gurobi Optimization","given":"LLC"}],"issued":{"date-parts":[["2021"]]},"citation-key":"gurobioptimizationllcGurobiOptimizerReference2021"}}],"schema":"https://github.com/citation-style-language/schema/raw/master/csl-citation.json"} </w:instrText>
      </w:r>
      <w:r>
        <w:fldChar w:fldCharType="separate"/>
      </w:r>
      <w:r w:rsidR="0082416B" w:rsidRPr="0082416B">
        <w:t>[147]</w:t>
      </w:r>
      <w:r>
        <w:fldChar w:fldCharType="end"/>
      </w:r>
      <w:r>
        <w:t xml:space="preserve">. </w:t>
      </w:r>
    </w:p>
    <w:p w14:paraId="1E454F38" w14:textId="77777777" w:rsidR="00D36DE4" w:rsidRPr="0023086C" w:rsidRDefault="00D36DE4" w:rsidP="00D36DE4">
      <w:pPr>
        <w:pStyle w:val="Heading2"/>
      </w:pPr>
      <w:bookmarkStart w:id="437" w:name="_Toc141991743"/>
      <w:r w:rsidRPr="0023086C">
        <w:t xml:space="preserve">Result </w:t>
      </w:r>
      <w:r>
        <w:rPr>
          <w:rFonts w:hint="eastAsia"/>
        </w:rPr>
        <w:t>a</w:t>
      </w:r>
      <w:r w:rsidRPr="0023086C">
        <w:t>nd Discussion</w:t>
      </w:r>
      <w:bookmarkEnd w:id="437"/>
    </w:p>
    <w:p w14:paraId="63FCE019" w14:textId="77777777" w:rsidR="00D36DE4" w:rsidRPr="0039074C" w:rsidRDefault="00D36DE4" w:rsidP="00D36DE4">
      <w:r w:rsidRPr="00A873F8">
        <w:t xml:space="preserve">The optimization results will be classified into three categories in this section: baseline operation, which is the optimal scheduling without a PV or battery system; </w:t>
      </w:r>
      <w:r>
        <w:t>Grid-tie system operation</w:t>
      </w:r>
      <w:r w:rsidRPr="00A873F8">
        <w:t xml:space="preserve">, which is the optimal scheduling with a PV system but no battery; and </w:t>
      </w:r>
      <w:r>
        <w:t>H</w:t>
      </w:r>
      <w:r w:rsidRPr="00A873F8">
        <w:t>ybrid</w:t>
      </w:r>
      <w:r>
        <w:t xml:space="preserve"> system</w:t>
      </w:r>
      <w:r w:rsidRPr="00A873F8">
        <w:t xml:space="preserve"> operation, which is the optimal scheduling with both a PV and a battery system. </w:t>
      </w:r>
      <w:r>
        <w:t>These optimization results, which are reported first in the following section, are generated by solving single-objective optimization problems that aim to minimize costs. Then, it follows with the impact analysis of different factors such as user’s time preference.</w:t>
      </w:r>
      <w:r w:rsidRPr="002A02D5">
        <w:rPr>
          <w:color w:val="FF0000"/>
        </w:rPr>
        <w:t xml:space="preserve"> </w:t>
      </w:r>
      <w:r w:rsidRPr="003E6A22">
        <w:rPr>
          <w:color w:val="000000" w:themeColor="text1"/>
        </w:rPr>
        <w:t xml:space="preserve">Although the primary focus of this study is to build a scheduling framework for the homeowners, with their decision mainly driven by cost and comfort, cost saving, energy flexibility, and PV self-consumption across three categories will still be reported to provide more insights </w:t>
      </w:r>
      <w:r>
        <w:rPr>
          <w:color w:val="000000" w:themeColor="text1"/>
        </w:rPr>
        <w:t>into</w:t>
      </w:r>
      <w:r w:rsidRPr="003E6A22">
        <w:rPr>
          <w:color w:val="000000" w:themeColor="text1"/>
        </w:rPr>
        <w:t xml:space="preserve"> different </w:t>
      </w:r>
      <w:r>
        <w:rPr>
          <w:color w:val="000000" w:themeColor="text1"/>
        </w:rPr>
        <w:t>stakeholders</w:t>
      </w:r>
      <w:r w:rsidRPr="003E6A22">
        <w:rPr>
          <w:color w:val="000000" w:themeColor="text1"/>
        </w:rPr>
        <w:t xml:space="preserve">. </w:t>
      </w:r>
      <w:r>
        <w:t xml:space="preserve">Finally, the multi-objective optimization results will be reported, which seeks to minimize cost while maximizing the time that temperature remains within the user’s preferred thermal comfort range, without exceeding the acceptable thermal comfort range. </w:t>
      </w:r>
    </w:p>
    <w:p w14:paraId="772E073B" w14:textId="77777777" w:rsidR="00D36DE4" w:rsidRPr="00E63071" w:rsidRDefault="00D36DE4" w:rsidP="00D36DE4">
      <w:pPr>
        <w:pStyle w:val="Heading3"/>
      </w:pPr>
      <w:bookmarkStart w:id="438" w:name="_Ref138284013"/>
      <w:bookmarkStart w:id="439" w:name="_Toc141991744"/>
      <w:r w:rsidRPr="00E63071">
        <w:t xml:space="preserve">Three </w:t>
      </w:r>
      <w:r>
        <w:t>o</w:t>
      </w:r>
      <w:r w:rsidRPr="00E63071">
        <w:t xml:space="preserve">ptimal </w:t>
      </w:r>
      <w:r>
        <w:t>o</w:t>
      </w:r>
      <w:r w:rsidRPr="00E63071">
        <w:rPr>
          <w:rFonts w:hint="eastAsia"/>
        </w:rPr>
        <w:t>peration</w:t>
      </w:r>
      <w:r w:rsidRPr="00E63071">
        <w:t>s</w:t>
      </w:r>
      <w:bookmarkEnd w:id="438"/>
      <w:bookmarkEnd w:id="439"/>
    </w:p>
    <w:p w14:paraId="3BD84EB5" w14:textId="4D383D92" w:rsidR="00D36DE4" w:rsidRDefault="00D36DE4" w:rsidP="00D36DE4">
      <w:pPr>
        <w:rPr>
          <w:noProof/>
        </w:rPr>
      </w:pPr>
      <w:r w:rsidRPr="00226C17">
        <w:t>The</w:t>
      </w:r>
      <w:r>
        <w:t xml:space="preserve"> 24-hour optimal</w:t>
      </w:r>
      <w:r w:rsidRPr="00226C17">
        <w:t xml:space="preserve"> scheduling </w:t>
      </w:r>
      <w:r>
        <w:t xml:space="preserve">result for the baseline operation, using data from August 7 and assuming a flexible user time preference, </w:t>
      </w:r>
      <w:r w:rsidRPr="00226C17">
        <w:t>is shown in</w:t>
      </w:r>
      <w:r>
        <w:t xml:space="preserve"> </w:t>
      </w:r>
      <w:r>
        <w:fldChar w:fldCharType="begin"/>
      </w:r>
      <w:r>
        <w:instrText xml:space="preserve"> REF _Ref101149605 \h  \* MERGEFORMAT </w:instrText>
      </w:r>
      <w:r>
        <w:fldChar w:fldCharType="separate"/>
      </w:r>
      <w:r w:rsidR="000E1725" w:rsidRPr="00C552B1">
        <w:t xml:space="preserve">Figure </w:t>
      </w:r>
      <w:r w:rsidR="000E1725">
        <w:rPr>
          <w:noProof/>
        </w:rPr>
        <w:t>5.7</w:t>
      </w:r>
      <w:r>
        <w:fldChar w:fldCharType="end"/>
      </w:r>
      <w:r>
        <w:t xml:space="preserve">. The following </w:t>
      </w:r>
      <w:r>
        <w:lastRenderedPageBreak/>
        <w:t xml:space="preserve">simulations in this subsection also apply the same weather condition and user time preferences. </w:t>
      </w:r>
      <w:r w:rsidRPr="00EC3B2B">
        <w:t xml:space="preserve">The total </w:t>
      </w:r>
      <w:r>
        <w:t xml:space="preserve">operating </w:t>
      </w:r>
      <w:r w:rsidRPr="00EC3B2B">
        <w:t>cost</w:t>
      </w:r>
      <w:r>
        <w:t xml:space="preserve"> for all appliances </w:t>
      </w:r>
      <w:r w:rsidRPr="00EC3B2B">
        <w:t>is</w:t>
      </w:r>
      <m:oMath>
        <m:r>
          <w:rPr>
            <w:rFonts w:ascii="Cambria Math" w:hAnsi="Cambria Math"/>
          </w:rPr>
          <m:t xml:space="preserve"> $</m:t>
        </m:r>
      </m:oMath>
      <w:r>
        <w:t>4.99, which is also the cost of electricity brought from the grid, considering the home does not generate any power itself</w:t>
      </w:r>
      <w:r w:rsidRPr="007C5AB3">
        <w:t>.</w:t>
      </w:r>
      <w:r w:rsidRPr="00EC3B2B">
        <w:t xml:space="preserve"> </w:t>
      </w:r>
      <w:r w:rsidRPr="00E21EC9">
        <w:t xml:space="preserve">On a hot summer day like </w:t>
      </w:r>
      <w:r>
        <w:t>August 7</w:t>
      </w:r>
      <w:r w:rsidRPr="00E21EC9">
        <w:t xml:space="preserve">, the AC </w:t>
      </w:r>
      <w:r>
        <w:t xml:space="preserve">(the second subplot on the right-hand side) </w:t>
      </w:r>
      <w:r w:rsidRPr="00E21EC9">
        <w:t xml:space="preserve">needs to </w:t>
      </w:r>
      <w:r>
        <w:t>compensate</w:t>
      </w:r>
      <w:r w:rsidRPr="00E21EC9">
        <w:t xml:space="preserve"> </w:t>
      </w:r>
      <w:r>
        <w:t xml:space="preserve">for </w:t>
      </w:r>
      <w:r w:rsidRPr="00E21EC9">
        <w:t>additional cooling load</w:t>
      </w:r>
      <w:r>
        <w:t xml:space="preserve"> due to the hot and humid outdoor conditions. Also, to minimize the operation cost, the AC precools the space to avoid expensive operation during mid-peak and on-peak hours. These two reason results in frequent AC operation in the morning and before the mid-peak hour. However, the AC cannot completely avoid the on-peak hour, leading to frequent operation while indoor air temperature oscillates around the upper bound of the thermal comfort range. The water heater (the first subplot on the right-hand side) pre-heat the water in the tank and allows the water temperature to go down when the price is high. In baseline operation, non-thermal </w:t>
      </w:r>
      <w:r w:rsidRPr="007D4B65">
        <w:t>appliances</w:t>
      </w:r>
      <w:r>
        <w:t xml:space="preserve"> (subplots on the left-hand side) strictly adhere to the user time preference and avoid</w:t>
      </w:r>
      <w:r w:rsidRPr="007D4B65">
        <w:t xml:space="preserve"> the </w:t>
      </w:r>
      <w:r>
        <w:t>mid-peak and on-peak hour (gray area in the subplots)</w:t>
      </w:r>
      <w:r w:rsidRPr="00EC3B2B">
        <w:t xml:space="preserve">. </w:t>
      </w:r>
      <w:r>
        <w:rPr>
          <w:rFonts w:hint="eastAsia"/>
        </w:rPr>
        <w:t>The</w:t>
      </w:r>
      <w:r>
        <w:t xml:space="preserve"> last subplot on the left-hand side is the total power buy from the grid (i.e., power consumption summation of all appliances in baseline operation) and the TOU rate. </w:t>
      </w:r>
    </w:p>
    <w:p w14:paraId="74503B5C" w14:textId="77777777" w:rsidR="00D36DE4" w:rsidRDefault="00D36DE4" w:rsidP="00623535">
      <w:pPr>
        <w:pStyle w:val="12FigureFormatSelectafigureandclickonthisstyle"/>
      </w:pPr>
      <w:r>
        <w:rPr>
          <w:noProof/>
        </w:rPr>
        <w:lastRenderedPageBreak/>
        <w:drawing>
          <wp:inline distT="0" distB="0" distL="0" distR="0" wp14:anchorId="417F3F8A" wp14:editId="704B4D04">
            <wp:extent cx="5625193" cy="2076672"/>
            <wp:effectExtent l="0" t="0" r="1270" b="6350"/>
            <wp:docPr id="2022675896" name="Picture 2022675896"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675896" name="Picture 2022675896" descr="A screenshot of a computer&#10;&#10;Description automatically generated with low confidence"/>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5650206" cy="2085906"/>
                    </a:xfrm>
                    <a:prstGeom prst="rect">
                      <a:avLst/>
                    </a:prstGeom>
                    <a:noFill/>
                    <a:ln>
                      <a:noFill/>
                    </a:ln>
                  </pic:spPr>
                </pic:pic>
              </a:graphicData>
            </a:graphic>
          </wp:inline>
        </w:drawing>
      </w:r>
    </w:p>
    <w:p w14:paraId="45022ECF" w14:textId="27E1EA17" w:rsidR="00D36DE4" w:rsidRPr="00C552B1" w:rsidRDefault="00D36DE4" w:rsidP="00B05884">
      <w:pPr>
        <w:pStyle w:val="13FigureCaption"/>
      </w:pPr>
      <w:bookmarkStart w:id="440" w:name="_Ref101149605"/>
      <w:bookmarkStart w:id="441" w:name="_Toc141349949"/>
      <w:r w:rsidRPr="00C552B1">
        <w:t xml:space="preserve">Figure </w:t>
      </w:r>
      <w:fldSimple w:instr=" STYLEREF 1 \s ">
        <w:r w:rsidR="000E1725">
          <w:rPr>
            <w:noProof/>
          </w:rPr>
          <w:t>5</w:t>
        </w:r>
      </w:fldSimple>
      <w:r w:rsidR="005445E0">
        <w:t>.</w:t>
      </w:r>
      <w:fldSimple w:instr=" SEQ Figure \* ARABIC \s 1 ">
        <w:r w:rsidR="000E1725">
          <w:rPr>
            <w:noProof/>
          </w:rPr>
          <w:t>7</w:t>
        </w:r>
      </w:fldSimple>
      <w:bookmarkEnd w:id="440"/>
      <w:r w:rsidRPr="00C552B1">
        <w:t xml:space="preserve"> Baseline </w:t>
      </w:r>
      <w:r>
        <w:t>operation</w:t>
      </w:r>
      <w:r w:rsidRPr="00C552B1">
        <w:t xml:space="preserve"> of five appliances on August </w:t>
      </w:r>
      <w:r>
        <w:t>7.</w:t>
      </w:r>
      <w:bookmarkEnd w:id="441"/>
    </w:p>
    <w:p w14:paraId="7FCA94BC" w14:textId="0A6E9153" w:rsidR="00D36DE4" w:rsidRDefault="00D36DE4" w:rsidP="00D36DE4">
      <w:pPr>
        <w:rPr>
          <w:noProof/>
        </w:rPr>
      </w:pPr>
      <w:r>
        <w:rPr>
          <w:noProof/>
        </w:rPr>
        <w:t xml:space="preserve">The five appliances' optimal operation for the Grid-tie system is listed below. With the addition of a PV panel, the total cost is </w:t>
      </w:r>
      <w:r w:rsidRPr="000F70E4">
        <w:rPr>
          <w:noProof/>
        </w:rPr>
        <w:t>$</w:t>
      </w:r>
      <w:r>
        <w:rPr>
          <w:noProof/>
        </w:rPr>
        <w:t>2.13</w:t>
      </w:r>
      <w:r w:rsidRPr="000F70E4">
        <w:rPr>
          <w:noProof/>
        </w:rPr>
        <w:t xml:space="preserve">, </w:t>
      </w:r>
      <w:r>
        <w:rPr>
          <w:noProof/>
        </w:rPr>
        <w:t xml:space="preserve">which </w:t>
      </w:r>
      <w:r w:rsidRPr="000F70E4">
        <w:rPr>
          <w:noProof/>
        </w:rPr>
        <w:t xml:space="preserve">reduces </w:t>
      </w:r>
      <w:r>
        <w:rPr>
          <w:noProof/>
        </w:rPr>
        <w:t>57.31</w:t>
      </w:r>
      <w:r w:rsidRPr="000F70E4">
        <w:rPr>
          <w:noProof/>
        </w:rPr>
        <w:t>%</w:t>
      </w:r>
      <w:r>
        <w:rPr>
          <w:noProof/>
        </w:rPr>
        <w:t xml:space="preserve"> compared with the baseline operation</w:t>
      </w:r>
      <w:r w:rsidRPr="000F70E4">
        <w:rPr>
          <w:noProof/>
        </w:rPr>
        <w:t xml:space="preserve">. </w:t>
      </w:r>
      <w:r>
        <w:rPr>
          <w:noProof/>
        </w:rPr>
        <w:t xml:space="preserve">The water heater and the HVAC system still pre-heat/pre-cool the water and the space air. Notice that in comparison to the baseline operation, there is a noticeable increment in energy consumption of the water heater and the HVAC system during mid-peak hours and on-peak hours. Similarly, the dishwasher is also shifted to the on-peak hour. This outcome is primarily due to that a large part of home load during mid-peak and on-peak is compensated by the PV panel power generation—the “free” power compared with the power from the grid. Thus, appliances aim to utilize PV power generation rather than use the power from the grid, even if during off-peak hours. However, PV power generation has some limitations in terms of timing: its generation might not be large enough in the morning and in the late afternoon, and its generation has overlap with the mid-peak and on-peak hours. When a certain appliance is switched on during mid-peak and on-peak hours, and the PV cannot </w:t>
      </w:r>
      <w:r>
        <w:rPr>
          <w:noProof/>
        </w:rPr>
        <w:lastRenderedPageBreak/>
        <w:t xml:space="preserve">completely compensate its load, will lead to a cost increment. Hence, not all the PV power generation, even during mid-peak and on-will allocated to the home load, which leads to a potential PV power waste. </w:t>
      </w:r>
      <w:r w:rsidRPr="003E6A22">
        <w:rPr>
          <w:noProof/>
          <w:color w:val="000000" w:themeColor="text1"/>
        </w:rPr>
        <w:t xml:space="preserve">More details can be found in </w:t>
      </w:r>
      <w:r>
        <w:rPr>
          <w:noProof/>
          <w:color w:val="000000" w:themeColor="text1"/>
        </w:rPr>
        <w:t xml:space="preserve">Section </w:t>
      </w:r>
      <w:r>
        <w:rPr>
          <w:noProof/>
          <w:color w:val="000000" w:themeColor="text1"/>
        </w:rPr>
        <w:fldChar w:fldCharType="begin"/>
      </w:r>
      <w:r>
        <w:rPr>
          <w:noProof/>
          <w:color w:val="000000" w:themeColor="text1"/>
        </w:rPr>
        <w:instrText xml:space="preserve"> REF _Ref138319628 \n \h </w:instrText>
      </w:r>
      <w:r>
        <w:rPr>
          <w:noProof/>
          <w:color w:val="000000" w:themeColor="text1"/>
        </w:rPr>
      </w:r>
      <w:r>
        <w:rPr>
          <w:noProof/>
          <w:color w:val="000000" w:themeColor="text1"/>
        </w:rPr>
        <w:fldChar w:fldCharType="separate"/>
      </w:r>
      <w:r w:rsidR="000E1725">
        <w:rPr>
          <w:noProof/>
          <w:color w:val="000000" w:themeColor="text1"/>
        </w:rPr>
        <w:t>5.4.2</w:t>
      </w:r>
      <w:r>
        <w:rPr>
          <w:noProof/>
          <w:color w:val="000000" w:themeColor="text1"/>
        </w:rPr>
        <w:fldChar w:fldCharType="end"/>
      </w:r>
      <w:r w:rsidRPr="003E6A22">
        <w:rPr>
          <w:noProof/>
          <w:color w:val="000000" w:themeColor="text1"/>
        </w:rPr>
        <w:t xml:space="preserve">. </w:t>
      </w:r>
      <w:r>
        <w:rPr>
          <w:noProof/>
        </w:rPr>
        <w:t xml:space="preserve">The last subplot in </w:t>
      </w:r>
      <w:r>
        <w:rPr>
          <w:noProof/>
        </w:rPr>
        <w:fldChar w:fldCharType="begin"/>
      </w:r>
      <w:r>
        <w:rPr>
          <w:noProof/>
        </w:rPr>
        <w:instrText xml:space="preserve"> REF _Ref100946138 \h  \* MERGEFORMAT </w:instrText>
      </w:r>
      <w:r>
        <w:rPr>
          <w:noProof/>
        </w:rPr>
      </w:r>
      <w:r>
        <w:rPr>
          <w:noProof/>
        </w:rPr>
        <w:fldChar w:fldCharType="separate"/>
      </w:r>
      <w:r w:rsidR="000E1725" w:rsidRPr="006274F0">
        <w:t xml:space="preserve">Figure </w:t>
      </w:r>
      <w:r w:rsidR="000E1725">
        <w:rPr>
          <w:noProof/>
        </w:rPr>
        <w:t>5.8</w:t>
      </w:r>
      <w:r>
        <w:rPr>
          <w:noProof/>
        </w:rPr>
        <w:fldChar w:fldCharType="end"/>
      </w:r>
      <w:r>
        <w:rPr>
          <w:noProof/>
        </w:rPr>
        <w:t xml:space="preserve"> is the power from the gird and TOU rate. It is obvious that the grid demand during the mid-peak and on-peak is much lower than the baseline cases. In this operation, power from the grid is not zero meaning the PV panel cannot fully compensate the home load. </w:t>
      </w:r>
    </w:p>
    <w:p w14:paraId="19B8F2D3" w14:textId="77777777" w:rsidR="00D36DE4" w:rsidRDefault="00D36DE4" w:rsidP="00623535">
      <w:pPr>
        <w:pStyle w:val="12FigureFormatSelectafigureandclickonthisstyle"/>
      </w:pPr>
      <w:r>
        <w:rPr>
          <w:noProof/>
        </w:rPr>
        <w:drawing>
          <wp:inline distT="0" distB="0" distL="0" distR="0" wp14:anchorId="4CED25A0" wp14:editId="40C93DB2">
            <wp:extent cx="5364414" cy="1980399"/>
            <wp:effectExtent l="0" t="0" r="0" b="1270"/>
            <wp:docPr id="799310241" name="Picture 79931024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310241" name="Picture 799310241" descr="A screenshot of a computer&#10;&#10;Description automatically generated with low confidenc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364414" cy="1980399"/>
                    </a:xfrm>
                    <a:prstGeom prst="rect">
                      <a:avLst/>
                    </a:prstGeom>
                  </pic:spPr>
                </pic:pic>
              </a:graphicData>
            </a:graphic>
          </wp:inline>
        </w:drawing>
      </w:r>
    </w:p>
    <w:p w14:paraId="67484C4F" w14:textId="7A9BDB3B" w:rsidR="00D36DE4" w:rsidRPr="006274F0" w:rsidRDefault="00D36DE4" w:rsidP="00B05884">
      <w:pPr>
        <w:pStyle w:val="13FigureCaption"/>
      </w:pPr>
      <w:bookmarkStart w:id="442" w:name="_Ref100946138"/>
      <w:bookmarkStart w:id="443" w:name="_Toc141349950"/>
      <w:r w:rsidRPr="006274F0">
        <w:t xml:space="preserve">Figure </w:t>
      </w:r>
      <w:fldSimple w:instr=" STYLEREF 1 \s ">
        <w:r w:rsidR="000E1725">
          <w:rPr>
            <w:noProof/>
          </w:rPr>
          <w:t>5</w:t>
        </w:r>
      </w:fldSimple>
      <w:r w:rsidR="005445E0">
        <w:t>.</w:t>
      </w:r>
      <w:fldSimple w:instr=" SEQ Figure \* ARABIC \s 1 ">
        <w:r w:rsidR="000E1725">
          <w:rPr>
            <w:noProof/>
          </w:rPr>
          <w:t>8</w:t>
        </w:r>
      </w:fldSimple>
      <w:bookmarkEnd w:id="442"/>
      <w:r w:rsidRPr="006274F0">
        <w:t xml:space="preserve"> </w:t>
      </w:r>
      <w:r>
        <w:t>Grid-tie</w:t>
      </w:r>
      <w:r w:rsidRPr="006274F0">
        <w:t xml:space="preserve"> </w:t>
      </w:r>
      <w:r>
        <w:t>system operation</w:t>
      </w:r>
      <w:r w:rsidRPr="006274F0">
        <w:t xml:space="preserve"> of five appliances on August </w:t>
      </w:r>
      <w:r>
        <w:t>7</w:t>
      </w:r>
      <w:r w:rsidRPr="006274F0">
        <w:t>.</w:t>
      </w:r>
      <w:bookmarkEnd w:id="443"/>
      <w:r w:rsidRPr="006274F0">
        <w:t xml:space="preserve"> </w:t>
      </w:r>
    </w:p>
    <w:p w14:paraId="5BA473B9" w14:textId="52A496C6" w:rsidR="00D36DE4" w:rsidRDefault="00D36DE4" w:rsidP="00D36DE4">
      <w:r>
        <w:fldChar w:fldCharType="begin"/>
      </w:r>
      <w:r>
        <w:instrText xml:space="preserve"> REF _Ref100956368 \h  \* MERGEFORMAT </w:instrText>
      </w:r>
      <w:r>
        <w:fldChar w:fldCharType="separate"/>
      </w:r>
      <w:r w:rsidR="000E1725" w:rsidRPr="007C3705">
        <w:t>Figure</w:t>
      </w:r>
      <w:r w:rsidR="000E1725">
        <w:t xml:space="preserve"> </w:t>
      </w:r>
      <w:r w:rsidR="000E1725">
        <w:rPr>
          <w:noProof/>
        </w:rPr>
        <w:t>5.9</w:t>
      </w:r>
      <w:r>
        <w:fldChar w:fldCharType="end"/>
      </w:r>
      <w:r>
        <w:t xml:space="preserve"> demonstrates the operations of five appliances in a Hybrid system operation when a medium size battery is used. In this case, the 24-hour operation cost is $1.53 which 69.33% reduction is made compared to the baseline operation. Similar to the Grid-tie system, the water heater and HVAC system operation during mid-peak hours and on-peak hours increases. Furthermore, different from the Grid-tie system, the dryer is shifted to the mid-peak hours rather than operated in off-peak hours. In this case study, dryer consumes around 5000W, which is larger than the PV power generation from 1pm to 1:50pm (the duration of dryer </w:t>
      </w:r>
      <w:r>
        <w:lastRenderedPageBreak/>
        <w:t xml:space="preserve">operation). The rest of the power are meet by the discharging of battery, which means the operation is “free” (i.e., no need to buy electricity from the grid from 1pm to 1:50pm in this operation). Also shown in the last subplot in </w:t>
      </w:r>
      <w:r>
        <w:fldChar w:fldCharType="begin"/>
      </w:r>
      <w:r>
        <w:instrText xml:space="preserve"> REF _Ref100956368 \h </w:instrText>
      </w:r>
      <w:r>
        <w:fldChar w:fldCharType="separate"/>
      </w:r>
      <w:r w:rsidR="000E1725" w:rsidRPr="007C3705">
        <w:t>Figure</w:t>
      </w:r>
      <w:r w:rsidR="000E1725">
        <w:t xml:space="preserve"> </w:t>
      </w:r>
      <w:r w:rsidR="000E1725">
        <w:rPr>
          <w:noProof/>
        </w:rPr>
        <w:t>5</w:t>
      </w:r>
      <w:r w:rsidR="000E1725">
        <w:t>.</w:t>
      </w:r>
      <w:r w:rsidR="000E1725">
        <w:rPr>
          <w:noProof/>
        </w:rPr>
        <w:t>9</w:t>
      </w:r>
      <w:r>
        <w:fldChar w:fldCharType="end"/>
      </w:r>
      <w:r>
        <w:t xml:space="preserve">, most of load on the mid-peak and on-peak can be compensated by the optimal operation of PV and battery. </w:t>
      </w:r>
    </w:p>
    <w:p w14:paraId="4EF8782B" w14:textId="77777777" w:rsidR="00D36DE4" w:rsidRDefault="00D36DE4" w:rsidP="00623535">
      <w:pPr>
        <w:pStyle w:val="12FigureFormatSelectafigureandclickonthisstyle"/>
      </w:pPr>
      <w:r>
        <w:rPr>
          <w:noProof/>
        </w:rPr>
        <w:drawing>
          <wp:inline distT="0" distB="0" distL="0" distR="0" wp14:anchorId="0350B5F3" wp14:editId="4A60EE6A">
            <wp:extent cx="5226235" cy="1929387"/>
            <wp:effectExtent l="0" t="0" r="0" b="1270"/>
            <wp:docPr id="2096977773" name="Picture 2096977773"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977773" name="Picture 2096977773" descr="A screenshot of a computer&#10;&#10;Description automatically generated with low confidence"/>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5226235" cy="1929387"/>
                    </a:xfrm>
                    <a:prstGeom prst="rect">
                      <a:avLst/>
                    </a:prstGeom>
                    <a:noFill/>
                    <a:ln>
                      <a:noFill/>
                    </a:ln>
                  </pic:spPr>
                </pic:pic>
              </a:graphicData>
            </a:graphic>
          </wp:inline>
        </w:drawing>
      </w:r>
    </w:p>
    <w:p w14:paraId="2D26DC0B" w14:textId="28E48D61" w:rsidR="00D36DE4" w:rsidRDefault="00D36DE4" w:rsidP="00B05884">
      <w:pPr>
        <w:pStyle w:val="13FigureCaption"/>
      </w:pPr>
      <w:bookmarkStart w:id="444" w:name="_Ref100956368"/>
      <w:bookmarkStart w:id="445" w:name="_Toc141349951"/>
      <w:r w:rsidRPr="007C3705">
        <w:t>Figure</w:t>
      </w:r>
      <w:r>
        <w:t xml:space="preserve"> </w:t>
      </w:r>
      <w:fldSimple w:instr=" STYLEREF 1 \s ">
        <w:r w:rsidR="000E1725">
          <w:rPr>
            <w:noProof/>
          </w:rPr>
          <w:t>5</w:t>
        </w:r>
      </w:fldSimple>
      <w:r w:rsidR="005445E0">
        <w:t>.</w:t>
      </w:r>
      <w:fldSimple w:instr=" SEQ Figure \* ARABIC \s 1 ">
        <w:r w:rsidR="000E1725">
          <w:rPr>
            <w:noProof/>
          </w:rPr>
          <w:t>9</w:t>
        </w:r>
      </w:fldSimple>
      <w:bookmarkEnd w:id="444"/>
      <w:r w:rsidRPr="00D06442">
        <w:t xml:space="preserve"> </w:t>
      </w:r>
      <w:r w:rsidRPr="00D06442">
        <w:rPr>
          <w:rFonts w:hint="eastAsia"/>
        </w:rPr>
        <w:t>Hybrid</w:t>
      </w:r>
      <w:r>
        <w:t xml:space="preserve"> </w:t>
      </w:r>
      <w:r w:rsidRPr="007C3705">
        <w:t>system</w:t>
      </w:r>
      <w:r w:rsidRPr="00D06442">
        <w:t xml:space="preserve"> </w:t>
      </w:r>
      <w:r>
        <w:t>operation</w:t>
      </w:r>
      <w:r w:rsidRPr="00D06442">
        <w:t xml:space="preserve"> of five appliances on August </w:t>
      </w:r>
      <w:r>
        <w:t>7</w:t>
      </w:r>
      <w:r w:rsidRPr="00D06442">
        <w:t>.</w:t>
      </w:r>
      <w:bookmarkEnd w:id="445"/>
      <w:r w:rsidRPr="00D06442">
        <w:t xml:space="preserve"> </w:t>
      </w:r>
    </w:p>
    <w:p w14:paraId="46D46458" w14:textId="75AB0A5F" w:rsidR="00D36DE4" w:rsidRDefault="00D36DE4" w:rsidP="00D36DE4">
      <w:pPr>
        <w:pStyle w:val="06BodyMaintext"/>
        <w:ind w:firstLine="480"/>
        <w:jc w:val="both"/>
        <w:rPr>
          <w:rFonts w:ascii="Times New Roman" w:hAnsi="Times New Roman"/>
        </w:rPr>
      </w:pPr>
      <w:r w:rsidRPr="00A03861">
        <w:rPr>
          <w:rFonts w:ascii="Times New Roman" w:hAnsi="Times New Roman"/>
        </w:rPr>
        <w:fldChar w:fldCharType="begin"/>
      </w:r>
      <w:r w:rsidRPr="00A03861">
        <w:rPr>
          <w:rFonts w:ascii="Times New Roman" w:hAnsi="Times New Roman"/>
        </w:rPr>
        <w:instrText xml:space="preserve"> REF _Ref100958240 \h  \* MERGEFORMAT </w:instrText>
      </w:r>
      <w:r w:rsidRPr="00A03861">
        <w:rPr>
          <w:rFonts w:ascii="Times New Roman" w:hAnsi="Times New Roman"/>
        </w:rPr>
      </w:r>
      <w:r w:rsidRPr="00A03861">
        <w:rPr>
          <w:rFonts w:ascii="Times New Roman" w:hAnsi="Times New Roman"/>
        </w:rPr>
        <w:fldChar w:fldCharType="separate"/>
      </w:r>
      <w:r w:rsidR="000E1725" w:rsidRPr="000E1725">
        <w:rPr>
          <w:rFonts w:ascii="Times New Roman" w:hAnsi="Times New Roman"/>
        </w:rPr>
        <w:t>Figure 5.10</w:t>
      </w:r>
      <w:r w:rsidRPr="00A03861">
        <w:rPr>
          <w:rFonts w:ascii="Times New Roman" w:hAnsi="Times New Roman"/>
        </w:rPr>
        <w:fldChar w:fldCharType="end"/>
      </w:r>
      <w:r w:rsidRPr="00A03861">
        <w:rPr>
          <w:rFonts w:ascii="Times New Roman" w:hAnsi="Times New Roman"/>
        </w:rPr>
        <w:t xml:space="preserve">(a) summaries the </w:t>
      </w:r>
      <w:r>
        <w:rPr>
          <w:rFonts w:ascii="Times New Roman" w:hAnsi="Times New Roman"/>
        </w:rPr>
        <w:t>electricity</w:t>
      </w:r>
      <w:r w:rsidRPr="00A03861">
        <w:rPr>
          <w:rFonts w:ascii="Times New Roman" w:hAnsi="Times New Roman"/>
        </w:rPr>
        <w:t xml:space="preserve"> </w:t>
      </w:r>
      <w:r>
        <w:rPr>
          <w:rFonts w:ascii="Times New Roman" w:hAnsi="Times New Roman"/>
        </w:rPr>
        <w:t xml:space="preserve">from grid </w:t>
      </w:r>
      <w:r w:rsidRPr="00A03861">
        <w:rPr>
          <w:rFonts w:ascii="Times New Roman" w:hAnsi="Times New Roman"/>
        </w:rPr>
        <w:t>in three different cases. It is obvious that</w:t>
      </w:r>
      <w:r>
        <w:rPr>
          <w:rFonts w:ascii="Times New Roman" w:hAnsi="Times New Roman"/>
        </w:rPr>
        <w:t xml:space="preserve"> in the Grid-tie system and Hybrid system</w:t>
      </w:r>
      <w:r w:rsidRPr="00A03861">
        <w:rPr>
          <w:rFonts w:ascii="Times New Roman" w:hAnsi="Times New Roman"/>
        </w:rPr>
        <w:t xml:space="preserve">, the </w:t>
      </w:r>
      <w:r>
        <w:rPr>
          <w:rFonts w:ascii="Times New Roman" w:hAnsi="Times New Roman"/>
        </w:rPr>
        <w:t>need to buy electrify from grid</w:t>
      </w:r>
      <w:r w:rsidRPr="00A03861">
        <w:rPr>
          <w:rFonts w:ascii="Times New Roman" w:hAnsi="Times New Roman"/>
        </w:rPr>
        <w:t xml:space="preserve"> </w:t>
      </w:r>
      <w:r>
        <w:rPr>
          <w:rFonts w:ascii="Times New Roman" w:hAnsi="Times New Roman"/>
        </w:rPr>
        <w:t xml:space="preserve">is </w:t>
      </w:r>
      <w:r w:rsidRPr="00A03861">
        <w:rPr>
          <w:rFonts w:ascii="Times New Roman" w:hAnsi="Times New Roman"/>
        </w:rPr>
        <w:t>reduced significantly</w:t>
      </w:r>
      <w:r>
        <w:rPr>
          <w:rFonts w:ascii="Times New Roman" w:hAnsi="Times New Roman"/>
        </w:rPr>
        <w:t>.</w:t>
      </w:r>
      <w:r w:rsidRPr="00A03861">
        <w:rPr>
          <w:rFonts w:ascii="Times New Roman" w:hAnsi="Times New Roman"/>
        </w:rPr>
        <w:t xml:space="preserve"> </w:t>
      </w:r>
      <w:r>
        <w:rPr>
          <w:rFonts w:ascii="Times New Roman" w:hAnsi="Times New Roman"/>
        </w:rPr>
        <w:t>With</w:t>
      </w:r>
      <w:r w:rsidRPr="00A03861">
        <w:rPr>
          <w:rFonts w:ascii="Times New Roman" w:hAnsi="Times New Roman"/>
        </w:rPr>
        <w:t xml:space="preserve"> a battery installed, the load during the mid-peak and on-peak </w:t>
      </w:r>
      <w:r>
        <w:rPr>
          <w:rFonts w:ascii="Times New Roman" w:hAnsi="Times New Roman"/>
        </w:rPr>
        <w:t>hours</w:t>
      </w:r>
      <w:r w:rsidRPr="00A03861">
        <w:rPr>
          <w:rFonts w:ascii="Times New Roman" w:hAnsi="Times New Roman"/>
        </w:rPr>
        <w:t xml:space="preserve"> reduces further. </w:t>
      </w:r>
      <w:r w:rsidRPr="00A03861">
        <w:rPr>
          <w:rFonts w:ascii="Times New Roman" w:hAnsi="Times New Roman"/>
        </w:rPr>
        <w:fldChar w:fldCharType="begin"/>
      </w:r>
      <w:r w:rsidRPr="00A03861">
        <w:rPr>
          <w:rFonts w:ascii="Times New Roman" w:hAnsi="Times New Roman"/>
        </w:rPr>
        <w:instrText xml:space="preserve"> REF _Ref100958240 \h  \* MERGEFORMAT </w:instrText>
      </w:r>
      <w:r w:rsidRPr="00A03861">
        <w:rPr>
          <w:rFonts w:ascii="Times New Roman" w:hAnsi="Times New Roman"/>
        </w:rPr>
      </w:r>
      <w:r w:rsidRPr="00A03861">
        <w:rPr>
          <w:rFonts w:ascii="Times New Roman" w:hAnsi="Times New Roman"/>
        </w:rPr>
        <w:fldChar w:fldCharType="separate"/>
      </w:r>
      <w:r w:rsidR="000E1725" w:rsidRPr="000E1725">
        <w:rPr>
          <w:rFonts w:ascii="Times New Roman" w:hAnsi="Times New Roman"/>
        </w:rPr>
        <w:t>Figure 5.10</w:t>
      </w:r>
      <w:r w:rsidRPr="00A03861">
        <w:rPr>
          <w:rFonts w:ascii="Times New Roman" w:hAnsi="Times New Roman"/>
        </w:rPr>
        <w:fldChar w:fldCharType="end"/>
      </w:r>
      <w:r w:rsidRPr="00A03861">
        <w:rPr>
          <w:rFonts w:ascii="Times New Roman" w:hAnsi="Times New Roman"/>
        </w:rPr>
        <w:t xml:space="preserve">(b) indicates battery (dis-)charging states for each time </w:t>
      </w:r>
      <w:r>
        <w:rPr>
          <w:rFonts w:ascii="Times New Roman" w:hAnsi="Times New Roman"/>
        </w:rPr>
        <w:t>slot</w:t>
      </w:r>
      <w:r w:rsidRPr="00A03861">
        <w:rPr>
          <w:rFonts w:ascii="Times New Roman" w:hAnsi="Times New Roman"/>
        </w:rPr>
        <w:t xml:space="preserve">. Notices to clearly show the battery (dis-)charging, the charging power is drawn in a green, positive curve, while the discharging power is </w:t>
      </w:r>
      <w:r>
        <w:rPr>
          <w:rFonts w:ascii="Times New Roman" w:hAnsi="Times New Roman"/>
        </w:rPr>
        <w:t>drawn</w:t>
      </w:r>
      <w:r w:rsidRPr="00A03861">
        <w:rPr>
          <w:rFonts w:ascii="Times New Roman" w:hAnsi="Times New Roman"/>
        </w:rPr>
        <w:t xml:space="preserve"> as a red, negative curve. The blue dashed line is the state of charge of the battery, i.e., the percentage of the capacity still available in the battery. The battery discharges frequently between </w:t>
      </w:r>
      <w:r>
        <w:rPr>
          <w:rFonts w:ascii="Times New Roman" w:hAnsi="Times New Roman"/>
        </w:rPr>
        <w:t>1</w:t>
      </w:r>
      <w:r w:rsidRPr="00A03861">
        <w:rPr>
          <w:rFonts w:ascii="Times New Roman" w:hAnsi="Times New Roman"/>
        </w:rPr>
        <w:t>2:00pm to 7:00pm (on-peak hour) to compensate for the load, which significantly reduces the cost.</w:t>
      </w:r>
    </w:p>
    <w:p w14:paraId="5D1A4F58" w14:textId="77777777" w:rsidR="00D36DE4" w:rsidRPr="009A1350" w:rsidRDefault="00D36DE4" w:rsidP="009648F2">
      <w:pPr>
        <w:pStyle w:val="06BodyMaintext"/>
        <w:ind w:firstLine="480"/>
        <w:jc w:val="center"/>
      </w:pPr>
      <w:r>
        <w:rPr>
          <w:noProof/>
        </w:rPr>
        <w:lastRenderedPageBreak/>
        <w:drawing>
          <wp:inline distT="0" distB="0" distL="0" distR="0" wp14:anchorId="03A728C3" wp14:editId="6DBFB5B2">
            <wp:extent cx="5306785" cy="1318216"/>
            <wp:effectExtent l="0" t="0" r="1905" b="3175"/>
            <wp:docPr id="972991718" name="Picture 972991718" descr="A picture containing plot, line, diagram,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991718" name="Picture 6" descr="A picture containing plot, line, diagram, screenshot&#10;&#10;Description automatically generated"/>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324430" cy="1322599"/>
                    </a:xfrm>
                    <a:prstGeom prst="rect">
                      <a:avLst/>
                    </a:prstGeom>
                  </pic:spPr>
                </pic:pic>
              </a:graphicData>
            </a:graphic>
          </wp:inline>
        </w:drawing>
      </w:r>
    </w:p>
    <w:p w14:paraId="5562D8D4" w14:textId="026DC4CE" w:rsidR="00D36DE4" w:rsidRDefault="00D36DE4" w:rsidP="00B05884">
      <w:pPr>
        <w:pStyle w:val="13FigureCaption"/>
      </w:pPr>
      <w:bookmarkStart w:id="446" w:name="_Ref100958240"/>
      <w:bookmarkStart w:id="447" w:name="_Toc141349952"/>
      <w:r w:rsidRPr="00216F40">
        <w:t xml:space="preserve">Figure </w:t>
      </w:r>
      <w:fldSimple w:instr=" STYLEREF 1 \s ">
        <w:r w:rsidR="000E1725">
          <w:rPr>
            <w:noProof/>
          </w:rPr>
          <w:t>5</w:t>
        </w:r>
      </w:fldSimple>
      <w:r w:rsidR="005445E0">
        <w:t>.</w:t>
      </w:r>
      <w:fldSimple w:instr=" SEQ Figure \* ARABIC \s 1 ">
        <w:r w:rsidR="000E1725">
          <w:rPr>
            <w:noProof/>
          </w:rPr>
          <w:t>10</w:t>
        </w:r>
      </w:fldSimple>
      <w:bookmarkEnd w:id="446"/>
      <w:r w:rsidRPr="00216F40">
        <w:t xml:space="preserve"> </w:t>
      </w:r>
      <w:r>
        <w:t>Power flow comparison (a) total power buy from grid</w:t>
      </w:r>
      <w:r w:rsidRPr="00216F40">
        <w:t xml:space="preserve"> for three different operations</w:t>
      </w:r>
      <w:r>
        <w:t xml:space="preserve"> (b) battery (dis-)charging profiles.</w:t>
      </w:r>
      <w:bookmarkEnd w:id="447"/>
      <w:r>
        <w:t xml:space="preserve"> </w:t>
      </w:r>
    </w:p>
    <w:p w14:paraId="4C253281" w14:textId="77777777" w:rsidR="00D36DE4" w:rsidRPr="00C904AB" w:rsidRDefault="00D36DE4" w:rsidP="00D36DE4">
      <w:pPr>
        <w:pStyle w:val="Heading3"/>
      </w:pPr>
      <w:bookmarkStart w:id="448" w:name="_Ref138319628"/>
      <w:bookmarkStart w:id="449" w:name="_Toc141991745"/>
      <w:r>
        <w:t>Energy flexibility provided by different system operations</w:t>
      </w:r>
      <w:bookmarkEnd w:id="448"/>
      <w:bookmarkEnd w:id="449"/>
    </w:p>
    <w:p w14:paraId="4A0F5182" w14:textId="34E0B30D" w:rsidR="00D36DE4" w:rsidRDefault="00D36DE4" w:rsidP="00D36DE4">
      <w:r>
        <w:fldChar w:fldCharType="begin"/>
      </w:r>
      <w:r>
        <w:instrText xml:space="preserve"> REF _Ref138238082 \h </w:instrText>
      </w:r>
      <w:r>
        <w:fldChar w:fldCharType="separate"/>
      </w:r>
      <w:r w:rsidR="000E1725">
        <w:t xml:space="preserve">Figure </w:t>
      </w:r>
      <w:r w:rsidR="000E1725">
        <w:rPr>
          <w:noProof/>
        </w:rPr>
        <w:t>5</w:t>
      </w:r>
      <w:r w:rsidR="000E1725">
        <w:t>.</w:t>
      </w:r>
      <w:r w:rsidR="000E1725">
        <w:rPr>
          <w:noProof/>
        </w:rPr>
        <w:t>11</w:t>
      </w:r>
      <w:r>
        <w:fldChar w:fldCharType="end"/>
      </w:r>
      <w:r>
        <w:t>(a)–(d) illustrate power flow for different scenarios</w:t>
      </w:r>
      <w:r w:rsidRPr="008969A0">
        <w:t xml:space="preserve"> </w:t>
      </w:r>
      <w:r>
        <w:t>on August 7, reflecting optimal scheduling under flexible user time preference. These scenarios include the Grid-tie system (i.e., no battery), and Hybrid system use a small battery, a medium battery, and a large battery, respectively. The larger battery has capacity of 5kWh, and the continuous (dis-)charging limitation is 2700W; the smaller battery refers to a battery that has to 1 kWh capacity, and the continuous (dis-)charging limitation is 900W. The green step plot represents the total power consumption from home appliances (home load), the yellow step plot shows the power contributed by the PV to the home load, and the red step plot is the battery discharge power. The blue step plot, marked with negative values, symbolizes the power that could be generated by PV but was not utilized for either home load or battery charging (i.e., the waste power).</w:t>
      </w:r>
    </w:p>
    <w:p w14:paraId="48B6CF7A" w14:textId="77777777" w:rsidR="00D36DE4" w:rsidRDefault="00D36DE4" w:rsidP="00D36DE4">
      <w:pPr>
        <w:pStyle w:val="Caption"/>
        <w:keepNext/>
        <w:ind w:firstLineChars="241"/>
        <w:jc w:val="left"/>
      </w:pPr>
      <w:bookmarkStart w:id="450" w:name="_Ref101102283"/>
      <w:r>
        <w:rPr>
          <w:rFonts w:ascii="Garamond" w:hAnsi="Garamond"/>
          <w:noProof/>
        </w:rPr>
        <w:lastRenderedPageBreak/>
        <w:drawing>
          <wp:inline distT="0" distB="0" distL="0" distR="0" wp14:anchorId="51EB500B" wp14:editId="226BB26B">
            <wp:extent cx="5274128" cy="2614862"/>
            <wp:effectExtent l="0" t="0" r="0" b="1905"/>
            <wp:docPr id="1360074007" name="Picture 1360074007" descr="A picture containing diagram, screenshot,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074007" name="Picture 7" descr="A picture containing diagram, screenshot, plot, line&#10;&#10;Description automatically generated"/>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291976" cy="2623711"/>
                    </a:xfrm>
                    <a:prstGeom prst="rect">
                      <a:avLst/>
                    </a:prstGeom>
                  </pic:spPr>
                </pic:pic>
              </a:graphicData>
            </a:graphic>
          </wp:inline>
        </w:drawing>
      </w:r>
    </w:p>
    <w:p w14:paraId="284260B3" w14:textId="752DEB7A" w:rsidR="00D36DE4" w:rsidRDefault="00D36DE4" w:rsidP="00D36DE4">
      <w:pPr>
        <w:pStyle w:val="13FigureCaption"/>
      </w:pPr>
      <w:bookmarkStart w:id="451" w:name="_Ref138238082"/>
      <w:bookmarkStart w:id="452" w:name="_Toc141349953"/>
      <w:r>
        <w:t xml:space="preserve">Figure </w:t>
      </w:r>
      <w:fldSimple w:instr=" STYLEREF 1 \s ">
        <w:r w:rsidR="000E1725">
          <w:rPr>
            <w:noProof/>
          </w:rPr>
          <w:t>5</w:t>
        </w:r>
      </w:fldSimple>
      <w:r w:rsidR="005445E0">
        <w:t>.</w:t>
      </w:r>
      <w:fldSimple w:instr=" SEQ Figure \* ARABIC \s 1 ">
        <w:r w:rsidR="000E1725">
          <w:rPr>
            <w:noProof/>
          </w:rPr>
          <w:t>11</w:t>
        </w:r>
      </w:fldSimple>
      <w:bookmarkEnd w:id="451"/>
      <w:r>
        <w:t xml:space="preserve"> Power flow</w:t>
      </w:r>
      <w:r w:rsidRPr="001B430D">
        <w:t xml:space="preserve"> for (a) Grid-tie system (b) Hybrid System with a </w:t>
      </w:r>
      <w:r>
        <w:t>medium b</w:t>
      </w:r>
      <w:r w:rsidRPr="001B430D">
        <w:t xml:space="preserve">attery (c) Hybrid System with </w:t>
      </w:r>
      <w:r w:rsidRPr="001B430D">
        <w:rPr>
          <w:rFonts w:hint="eastAsia"/>
        </w:rPr>
        <w:t>a</w:t>
      </w:r>
      <w:r w:rsidRPr="001B430D">
        <w:t xml:space="preserve"> </w:t>
      </w:r>
      <w:r>
        <w:t>small battery</w:t>
      </w:r>
      <w:r w:rsidRPr="001B430D">
        <w:t xml:space="preserve"> (d) Hybrid System with </w:t>
      </w:r>
      <w:r w:rsidRPr="001B430D">
        <w:rPr>
          <w:rFonts w:hint="eastAsia"/>
        </w:rPr>
        <w:t>a</w:t>
      </w:r>
      <w:r w:rsidRPr="001B430D">
        <w:t xml:space="preserve"> </w:t>
      </w:r>
      <w:r>
        <w:t>large battery</w:t>
      </w:r>
      <w:bookmarkEnd w:id="450"/>
      <w:bookmarkEnd w:id="452"/>
    </w:p>
    <w:p w14:paraId="158483A7" w14:textId="02B4AF44" w:rsidR="00D36DE4" w:rsidRDefault="00D36DE4" w:rsidP="00D36DE4">
      <w:r>
        <w:t xml:space="preserve">As shown in </w:t>
      </w:r>
      <w:r>
        <w:fldChar w:fldCharType="begin"/>
      </w:r>
      <w:r>
        <w:instrText xml:space="preserve"> REF _Ref138238082 \h </w:instrText>
      </w:r>
      <w:r>
        <w:fldChar w:fldCharType="separate"/>
      </w:r>
      <w:r w:rsidR="000E1725">
        <w:t xml:space="preserve">Figure </w:t>
      </w:r>
      <w:r w:rsidR="000E1725">
        <w:rPr>
          <w:noProof/>
        </w:rPr>
        <w:t>5</w:t>
      </w:r>
      <w:r w:rsidR="000E1725">
        <w:t>.</w:t>
      </w:r>
      <w:r w:rsidR="000E1725">
        <w:rPr>
          <w:noProof/>
        </w:rPr>
        <w:t>11</w:t>
      </w:r>
      <w:r>
        <w:fldChar w:fldCharType="end"/>
      </w:r>
      <w:r>
        <w:t xml:space="preserve">, the Grid-tie system has the largest waste energy, while the Hybrid system with a large battery has almost zero waste energy. Similar to our previous observation in Section </w:t>
      </w:r>
      <w:r>
        <w:fldChar w:fldCharType="begin"/>
      </w:r>
      <w:r>
        <w:instrText xml:space="preserve"> REF _Ref138284013 \n \h </w:instrText>
      </w:r>
      <w:r>
        <w:fldChar w:fldCharType="separate"/>
      </w:r>
      <w:r w:rsidR="000E1725">
        <w:t>5.4.1</w:t>
      </w:r>
      <w:r>
        <w:fldChar w:fldCharType="end"/>
      </w:r>
      <w:r>
        <w:t xml:space="preserve">, due to the limitation in terms of magnitude and timing (higher PV power generation occurs overlap with mid-peak and on-peak hours) of PV power generation, it is possible that no home load occurred at some time slot while the PV could generate more energy—leading waste of PV power generation. This limitation can be compensated by using a battery as shown in </w:t>
      </w:r>
      <w:r>
        <w:fldChar w:fldCharType="begin"/>
      </w:r>
      <w:r>
        <w:instrText xml:space="preserve"> REF _Ref138238082 \h </w:instrText>
      </w:r>
      <w:r>
        <w:fldChar w:fldCharType="separate"/>
      </w:r>
      <w:r w:rsidR="000E1725">
        <w:t xml:space="preserve">Figure </w:t>
      </w:r>
      <w:r w:rsidR="000E1725">
        <w:rPr>
          <w:noProof/>
        </w:rPr>
        <w:t>5</w:t>
      </w:r>
      <w:r w:rsidR="000E1725">
        <w:t>.</w:t>
      </w:r>
      <w:r w:rsidR="000E1725">
        <w:rPr>
          <w:noProof/>
        </w:rPr>
        <w:t>11</w:t>
      </w:r>
      <w:r>
        <w:fldChar w:fldCharType="end"/>
      </w:r>
      <w:r>
        <w:t>(b)</w:t>
      </w:r>
      <w:r>
        <w:softHyphen/>
        <w:t>–(d), which store the amount of energy generated by PV is and not be able to allocate the to home load</w:t>
      </w:r>
      <w:r w:rsidRPr="00064207">
        <w:t>.</w:t>
      </w:r>
    </w:p>
    <w:p w14:paraId="17BB623B" w14:textId="178FE6BA" w:rsidR="00D36DE4" w:rsidRDefault="00D36DE4" w:rsidP="00D36DE4">
      <w:r>
        <w:t xml:space="preserve">The less waste of PV power generation means the more “free” and clean energy are used. To quantify the benefit of PV power usage and the load-shifting ability in different system operation scenarios, three additional performance indices are used in this study, as shown in </w:t>
      </w:r>
      <w:r>
        <w:fldChar w:fldCharType="begin"/>
      </w:r>
      <w:r>
        <w:instrText xml:space="preserve"> REF _Ref138316301 \h </w:instrText>
      </w:r>
      <w:r>
        <w:fldChar w:fldCharType="separate"/>
      </w:r>
      <w:r w:rsidR="000E1725">
        <w:t xml:space="preserve">Figure </w:t>
      </w:r>
      <w:r w:rsidR="000E1725">
        <w:rPr>
          <w:noProof/>
        </w:rPr>
        <w:t>5</w:t>
      </w:r>
      <w:r w:rsidR="000E1725">
        <w:t>.</w:t>
      </w:r>
      <w:r w:rsidR="000E1725">
        <w:rPr>
          <w:noProof/>
        </w:rPr>
        <w:t>12</w:t>
      </w:r>
      <w:r>
        <w:fldChar w:fldCharType="end"/>
      </w:r>
      <w:r>
        <w:t xml:space="preserve">. For on-site PV panel generation and consumption, two metrics are popular and </w:t>
      </w:r>
      <w:r>
        <w:lastRenderedPageBreak/>
        <w:t xml:space="preserve">usually used together: </w:t>
      </w:r>
      <w:r w:rsidRPr="0079272E">
        <w:t>PV</w:t>
      </w:r>
      <w:r w:rsidRPr="0079272E">
        <w:rPr>
          <w:i/>
          <w:iCs/>
        </w:rPr>
        <w:t xml:space="preserve"> self-consumption</w:t>
      </w:r>
      <w:r>
        <w:t xml:space="preserve"> (</w:t>
      </w:r>
      <w:r w:rsidRPr="006F3AB8">
        <w:rPr>
          <w:i/>
          <w:iCs/>
        </w:rPr>
        <w:t>SC</w:t>
      </w:r>
      <w:r>
        <w:t xml:space="preserve">) quantifies the degree to which a PV panel generation is consumed by the home load, and </w:t>
      </w:r>
      <w:r w:rsidRPr="0079272E">
        <w:t xml:space="preserve">PV </w:t>
      </w:r>
      <w:r w:rsidRPr="0079272E">
        <w:rPr>
          <w:i/>
          <w:iCs/>
        </w:rPr>
        <w:t>self-sufficiency</w:t>
      </w:r>
      <w:r>
        <w:t xml:space="preserve"> (</w:t>
      </w:r>
      <w:r w:rsidRPr="006F3AB8">
        <w:rPr>
          <w:i/>
          <w:iCs/>
        </w:rPr>
        <w:t>SS</w:t>
      </w:r>
      <w:r>
        <w:t xml:space="preserve">) quantifies the degree that PV panel generation is sufficient to meet the total energy needs of the home </w:t>
      </w:r>
      <w:r>
        <w:fldChar w:fldCharType="begin"/>
      </w:r>
      <w:r w:rsidR="005D48B2">
        <w:instrText xml:space="preserve"> ADDIN ZOTERO_ITEM CSL_CITATION {"citationID":"8YYIeC7R","properties":{"formattedCitation":"[14]","plainCitation":"[14]","noteIndex":0},"citationItems":[{"id":1606,"uris":["http://zotero.org/users/5659608/items/ZUZL2ZSZ"],"itemData":{"id":1606,"type":"article-journal","abstract":"With building electric demand becoming increasingly dynamic, and a growing percentage of intermittent renewable power generation from solar photovoltaics and wind turbines, the power grid is facing increasing challenge to manage the real time balance between the supply and demand. With advancements in smart sensing and metering, smart appliances, electric vehicles, and energy storage technologies, demand side management of residential buildings can help the grid to improve stability by optimizing flexible loads. This paper reviews recent studies on residential building demand side management, with a focus on characterization and quantification of energy flexibility covering various types of flexible loads, metrics, methods, and applications. The reviewed studies showed four levels of applications: building level (45%), district or community level (29%), system level (19%), and building sector level (7%). Shifting loads is the dominant flexibility type in 60% of applications, followed by shedding (19%), generation (16%), and modulating (6%). Depending on the technology and application scope, flexible operations have a wide range of performance, with peak power reductions of 1%~65%, energy savings up to 60%, operational cost reduction of 1%~48%, and greenhouse gas emission reductions of up to29%. More than half (51%) of the studies employed control strategies to achieve flexibility; among those 72% used optimal controls, while 28% used rule-based controls. About 58% of the studies used mathematical formulation to quantify energy flexibility. Most studies were based on simulation, while less than 15% of the studies had measurements from experiments or field tests. The review reveals research opportunities to address significant gaps in the existing literature: (1) establishing a common definition and performance metrics for energy flexibility of buildings that are technology and application agnostic, (2) developing an ontology to standardize representation of flexibility resources for interoperability, (3) integrating occupant impacts into the quantification and optimization of energy flexibility, and (4) developing requirements and credits of energy flexibility in building energy codes and standards. Findings from the review can inform future research and development of energy flexible buildings which are essential to a reliable and resilient power grid.","container-title":"Advances in Applied Energy","DOI":"10.1016/j.adapen.2021.100054","ISSN":"2666-7924","journalAbbreviation":"Advances in Applied Energy","language":"en","page":"100054","source":"ScienceDirect","title":"Energy flexibility of residential buildings: A systematic review of characterization and quantification methods and applications","title-short":"Energy flexibility of residential buildings","volume":"3","author":[{"family":"Li","given":"Han"},{"family":"Wang","given":"Zhe"},{"family":"Hong","given":"Tianzhen"},{"family":"Piette","given":"Mary Ann"}],"issued":{"date-parts":[["2021",8,25]]},"citation-key":"liEnergyFlexibilityResidential2021"}}],"schema":"https://github.com/citation-style-language/schema/raw/master/csl-citation.json"} </w:instrText>
      </w:r>
      <w:r>
        <w:fldChar w:fldCharType="separate"/>
      </w:r>
      <w:r>
        <w:rPr>
          <w:noProof/>
        </w:rPr>
        <w:t>[14]</w:t>
      </w:r>
      <w:r>
        <w:fldChar w:fldCharType="end"/>
      </w:r>
      <w:r>
        <w:t>. Specifically, the self-consumption (</w:t>
      </w:r>
      <w:r w:rsidRPr="006F3AB8">
        <w:rPr>
          <w:i/>
          <w:iCs/>
        </w:rPr>
        <w:t>SC</w:t>
      </w:r>
      <w:r>
        <w:t>) is defined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8"/>
        <w:gridCol w:w="1058"/>
      </w:tblGrid>
      <w:tr w:rsidR="00D36DE4" w14:paraId="31B1278E" w14:textId="77777777" w:rsidTr="009648F2">
        <w:tc>
          <w:tcPr>
            <w:tcW w:w="8280" w:type="dxa"/>
          </w:tcPr>
          <w:p w14:paraId="0AB42CA1" w14:textId="77777777" w:rsidR="00D36DE4" w:rsidRPr="00DF571F" w:rsidRDefault="00D36DE4" w:rsidP="002023DB">
            <w:pPr>
              <w:ind w:firstLine="0"/>
              <w:rPr>
                <w:rFonts w:eastAsiaTheme="minorEastAsia"/>
              </w:rPr>
            </w:pPr>
            <m:oMathPara>
              <m:oMath>
                <m:r>
                  <w:rPr>
                    <w:rFonts w:ascii="Cambria Math" w:hAnsi="Cambria Math"/>
                  </w:rPr>
                  <m:t>SC=</m:t>
                </m:r>
                <m:f>
                  <m:fPr>
                    <m:ctrlPr>
                      <w:rPr>
                        <w:rFonts w:ascii="Cambria Math" w:hAnsi="Cambria Math"/>
                      </w:rPr>
                    </m:ctrlPr>
                  </m:fPr>
                  <m:num>
                    <m:nary>
                      <m:naryPr>
                        <m:supHide m:val="1"/>
                        <m:ctrlPr>
                          <w:rPr>
                            <w:rFonts w:ascii="Cambria Math" w:hAnsi="Cambria Math"/>
                          </w:rPr>
                        </m:ctrlPr>
                      </m:naryPr>
                      <m:sub>
                        <m:r>
                          <w:rPr>
                            <w:rFonts w:ascii="Cambria Math" w:hAnsi="Cambria Math"/>
                          </w:rPr>
                          <m:t>24</m:t>
                        </m:r>
                        <m:r>
                          <w:rPr>
                            <w:rFonts w:ascii="Cambria Math" w:hAnsi="Cambria Math"/>
                          </w:rPr>
                          <m:t>hour</m:t>
                        </m:r>
                        <m:ctrlPr>
                          <w:rPr>
                            <w:rFonts w:ascii="Cambria Math" w:hAnsi="Cambria Math"/>
                            <w:i/>
                          </w:rPr>
                        </m:ctrlPr>
                      </m:sub>
                      <m:sup>
                        <m:ctrlPr>
                          <w:rPr>
                            <w:rFonts w:ascii="Cambria Math" w:hAnsi="Cambria Math"/>
                            <w:i/>
                          </w:rPr>
                        </m:ctrlPr>
                      </m:sup>
                      <m:e>
                        <m:sSub>
                          <m:sSubPr>
                            <m:ctrlPr>
                              <w:rPr>
                                <w:rFonts w:ascii="Cambria Math" w:hAnsi="Cambria Math"/>
                                <w:i/>
                              </w:rPr>
                            </m:ctrlPr>
                          </m:sSubPr>
                          <m:e>
                            <m:r>
                              <w:rPr>
                                <w:rFonts w:ascii="Cambria Math" w:hAnsi="Cambria Math"/>
                              </w:rPr>
                              <m:t>P</m:t>
                            </m:r>
                          </m:e>
                          <m:sub>
                            <m:r>
                              <w:rPr>
                                <w:rFonts w:ascii="Cambria Math" w:hAnsi="Cambria Math"/>
                              </w:rPr>
                              <m:t>pv</m:t>
                            </m:r>
                          </m:sub>
                        </m:sSub>
                        <m:ctrlPr>
                          <w:rPr>
                            <w:rFonts w:ascii="Cambria Math" w:hAnsi="Cambria Math"/>
                            <w:i/>
                          </w:rPr>
                        </m:ctrlPr>
                      </m:e>
                    </m:nary>
                    <m:ctrlPr>
                      <w:rPr>
                        <w:rFonts w:ascii="Cambria Math" w:hAnsi="Cambria Math"/>
                        <w:i/>
                      </w:rPr>
                    </m:ctrlPr>
                  </m:num>
                  <m:den>
                    <m:nary>
                      <m:naryPr>
                        <m:supHide m:val="1"/>
                        <m:ctrlPr>
                          <w:rPr>
                            <w:rFonts w:ascii="Cambria Math" w:hAnsi="Cambria Math"/>
                          </w:rPr>
                        </m:ctrlPr>
                      </m:naryPr>
                      <m:sub>
                        <m:r>
                          <w:rPr>
                            <w:rFonts w:ascii="Cambria Math" w:hAnsi="Cambria Math"/>
                          </w:rPr>
                          <m:t>24</m:t>
                        </m:r>
                        <m:r>
                          <w:rPr>
                            <w:rFonts w:ascii="Cambria Math" w:hAnsi="Cambria Math"/>
                          </w:rPr>
                          <m:t>hour</m:t>
                        </m:r>
                        <m:ctrlPr>
                          <w:rPr>
                            <w:rFonts w:ascii="Cambria Math" w:hAnsi="Cambria Math"/>
                            <w:i/>
                          </w:rPr>
                        </m:ctrlPr>
                      </m:sub>
                      <m:sup>
                        <m:ctrlPr>
                          <w:rPr>
                            <w:rFonts w:ascii="Cambria Math" w:hAnsi="Cambria Math"/>
                            <w:i/>
                          </w:rPr>
                        </m:ctrlPr>
                      </m:sup>
                      <m:e>
                        <m:sSub>
                          <m:sSubPr>
                            <m:ctrlPr>
                              <w:rPr>
                                <w:rFonts w:ascii="Cambria Math" w:hAnsi="Cambria Math"/>
                                <w:i/>
                              </w:rPr>
                            </m:ctrlPr>
                          </m:sSubPr>
                          <m:e>
                            <m:r>
                              <w:rPr>
                                <w:rFonts w:ascii="Cambria Math" w:hAnsi="Cambria Math"/>
                              </w:rPr>
                              <m:t>P</m:t>
                            </m:r>
                          </m:e>
                          <m:sub>
                            <m:r>
                              <w:rPr>
                                <w:rFonts w:ascii="Cambria Math" w:hAnsi="Cambria Math"/>
                              </w:rPr>
                              <m:t>max</m:t>
                            </m:r>
                          </m:sub>
                        </m:sSub>
                        <m:ctrlPr>
                          <w:rPr>
                            <w:rFonts w:ascii="Cambria Math" w:hAnsi="Cambria Math"/>
                            <w:i/>
                          </w:rPr>
                        </m:ctrlPr>
                      </m:e>
                    </m:nary>
                    <m:ctrlPr>
                      <w:rPr>
                        <w:rFonts w:ascii="Cambria Math" w:hAnsi="Cambria Math"/>
                        <w:i/>
                      </w:rPr>
                    </m:ctrlPr>
                  </m:den>
                </m:f>
              </m:oMath>
            </m:oMathPara>
          </w:p>
        </w:tc>
        <w:tc>
          <w:tcPr>
            <w:tcW w:w="1080" w:type="dxa"/>
          </w:tcPr>
          <w:p w14:paraId="3D20E2FF" w14:textId="310A4827" w:rsidR="00D36DE4" w:rsidRDefault="00D36DE4" w:rsidP="002023DB">
            <w:pPr>
              <w:ind w:firstLine="0"/>
            </w:pPr>
            <w:r>
              <w:t>(</w:t>
            </w:r>
            <w:r>
              <w:fldChar w:fldCharType="begin"/>
            </w:r>
            <w:r>
              <w:instrText>SEQ Equation \* ARABIC</w:instrText>
            </w:r>
            <w:r>
              <w:fldChar w:fldCharType="separate"/>
            </w:r>
            <w:r w:rsidR="000E1725">
              <w:rPr>
                <w:noProof/>
              </w:rPr>
              <w:t>75</w:t>
            </w:r>
            <w:r>
              <w:fldChar w:fldCharType="end"/>
            </w:r>
            <w:r>
              <w:t>)</w:t>
            </w:r>
          </w:p>
        </w:tc>
      </w:tr>
    </w:tbl>
    <w:p w14:paraId="74474108" w14:textId="77777777" w:rsidR="00D36DE4" w:rsidRDefault="00D36DE4" w:rsidP="00D36DE4">
      <w:pPr>
        <w:ind w:firstLine="0"/>
      </w:pPr>
      <w:r>
        <w:t xml:space="preserve">where </w:t>
      </w:r>
      <m:oMath>
        <m:nary>
          <m:naryPr>
            <m:supHide m:val="1"/>
            <m:ctrlPr>
              <w:rPr>
                <w:rFonts w:ascii="Cambria Math" w:eastAsia="DengXian" w:hAnsi="Cambria Math"/>
                <w:kern w:val="0"/>
              </w:rPr>
            </m:ctrlPr>
          </m:naryPr>
          <m:sub>
            <m:r>
              <w:rPr>
                <w:rFonts w:ascii="Cambria Math" w:hAnsi="Cambria Math"/>
              </w:rPr>
              <m:t>24</m:t>
            </m:r>
            <m:r>
              <w:rPr>
                <w:rFonts w:ascii="Cambria Math" w:hAnsi="Cambria Math"/>
              </w:rPr>
              <m:t>hour</m:t>
            </m:r>
            <m:ctrlPr>
              <w:rPr>
                <w:rFonts w:ascii="Cambria Math" w:eastAsia="DengXian" w:hAnsi="Cambria Math"/>
                <w:i/>
                <w:kern w:val="0"/>
              </w:rPr>
            </m:ctrlPr>
          </m:sub>
          <m:sup>
            <m:ctrlPr>
              <w:rPr>
                <w:rFonts w:ascii="Cambria Math" w:eastAsia="DengXian" w:hAnsi="Cambria Math"/>
                <w:i/>
                <w:kern w:val="0"/>
              </w:rPr>
            </m:ctrlPr>
          </m:sup>
          <m:e>
            <m:sSub>
              <m:sSubPr>
                <m:ctrlPr>
                  <w:rPr>
                    <w:rFonts w:ascii="Cambria Math" w:eastAsia="DengXian" w:hAnsi="Cambria Math"/>
                    <w:i/>
                    <w:kern w:val="0"/>
                  </w:rPr>
                </m:ctrlPr>
              </m:sSubPr>
              <m:e>
                <m:r>
                  <w:rPr>
                    <w:rFonts w:ascii="Cambria Math" w:hAnsi="Cambria Math"/>
                  </w:rPr>
                  <m:t>P</m:t>
                </m:r>
              </m:e>
              <m:sub>
                <m:r>
                  <w:rPr>
                    <w:rFonts w:ascii="Cambria Math" w:hAnsi="Cambria Math"/>
                  </w:rPr>
                  <m:t>pv</m:t>
                </m:r>
              </m:sub>
            </m:sSub>
            <m:ctrlPr>
              <w:rPr>
                <w:rFonts w:ascii="Cambria Math" w:eastAsia="DengXian" w:hAnsi="Cambria Math"/>
                <w:i/>
                <w:kern w:val="0"/>
              </w:rPr>
            </m:ctrlPr>
          </m:e>
        </m:nary>
      </m:oMath>
      <w:r>
        <w:rPr>
          <w:kern w:val="0"/>
        </w:rPr>
        <w:t xml:space="preserve"> represents the total PV energy consumed by the home load (consumed by home load directly and battery if it exists), and </w:t>
      </w:r>
      <m:oMath>
        <m:nary>
          <m:naryPr>
            <m:supHide m:val="1"/>
            <m:ctrlPr>
              <w:rPr>
                <w:rFonts w:ascii="Cambria Math" w:eastAsia="DengXian" w:hAnsi="Cambria Math"/>
                <w:kern w:val="0"/>
              </w:rPr>
            </m:ctrlPr>
          </m:naryPr>
          <m:sub>
            <m:r>
              <w:rPr>
                <w:rFonts w:ascii="Cambria Math" w:hAnsi="Cambria Math"/>
              </w:rPr>
              <m:t>24</m:t>
            </m:r>
            <m:r>
              <w:rPr>
                <w:rFonts w:ascii="Cambria Math" w:hAnsi="Cambria Math"/>
              </w:rPr>
              <m:t>hour</m:t>
            </m:r>
            <m:ctrlPr>
              <w:rPr>
                <w:rFonts w:ascii="Cambria Math" w:eastAsia="DengXian" w:hAnsi="Cambria Math"/>
                <w:i/>
                <w:kern w:val="0"/>
              </w:rPr>
            </m:ctrlPr>
          </m:sub>
          <m:sup>
            <m:ctrlPr>
              <w:rPr>
                <w:rFonts w:ascii="Cambria Math" w:eastAsia="DengXian" w:hAnsi="Cambria Math"/>
                <w:i/>
                <w:kern w:val="0"/>
              </w:rPr>
            </m:ctrlPr>
          </m:sup>
          <m:e>
            <m:sSub>
              <m:sSubPr>
                <m:ctrlPr>
                  <w:rPr>
                    <w:rFonts w:ascii="Cambria Math" w:eastAsia="DengXian" w:hAnsi="Cambria Math"/>
                    <w:i/>
                    <w:kern w:val="0"/>
                  </w:rPr>
                </m:ctrlPr>
              </m:sSubPr>
              <m:e>
                <m:r>
                  <w:rPr>
                    <w:rFonts w:ascii="Cambria Math" w:hAnsi="Cambria Math"/>
                  </w:rPr>
                  <m:t>P</m:t>
                </m:r>
              </m:e>
              <m:sub>
                <m:r>
                  <w:rPr>
                    <w:rFonts w:ascii="Cambria Math" w:hAnsi="Cambria Math"/>
                  </w:rPr>
                  <m:t>max</m:t>
                </m:r>
              </m:sub>
            </m:sSub>
            <m:ctrlPr>
              <w:rPr>
                <w:rFonts w:ascii="Cambria Math" w:eastAsia="DengXian" w:hAnsi="Cambria Math"/>
                <w:i/>
                <w:kern w:val="0"/>
              </w:rPr>
            </m:ctrlPr>
          </m:e>
        </m:nary>
      </m:oMath>
      <w:r>
        <w:t xml:space="preserve"> represents maximum daily PV generation (including waste part). Self-sufficiency (</w:t>
      </w:r>
      <w:r w:rsidRPr="00505613">
        <w:rPr>
          <w:i/>
          <w:iCs/>
        </w:rPr>
        <w:t>SS</w:t>
      </w:r>
      <w:r>
        <w:t>) is defined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4"/>
        <w:gridCol w:w="1142"/>
      </w:tblGrid>
      <w:tr w:rsidR="00D36DE4" w14:paraId="73D402B9" w14:textId="77777777" w:rsidTr="009648F2">
        <w:tc>
          <w:tcPr>
            <w:tcW w:w="8190" w:type="dxa"/>
          </w:tcPr>
          <w:p w14:paraId="6C96D6ED" w14:textId="77777777" w:rsidR="00D36DE4" w:rsidRPr="00DF571F" w:rsidRDefault="00D36DE4" w:rsidP="002023DB">
            <w:pPr>
              <w:ind w:firstLine="0"/>
              <w:rPr>
                <w:rFonts w:eastAsiaTheme="minorEastAsia"/>
              </w:rPr>
            </w:pPr>
            <m:oMathPara>
              <m:oMath>
                <m:r>
                  <w:rPr>
                    <w:rFonts w:ascii="Cambria Math" w:hAnsi="Cambria Math"/>
                  </w:rPr>
                  <m:t>SS=</m:t>
                </m:r>
                <m:f>
                  <m:fPr>
                    <m:ctrlPr>
                      <w:rPr>
                        <w:rFonts w:ascii="Cambria Math" w:hAnsi="Cambria Math"/>
                      </w:rPr>
                    </m:ctrlPr>
                  </m:fPr>
                  <m:num>
                    <m:nary>
                      <m:naryPr>
                        <m:supHide m:val="1"/>
                        <m:ctrlPr>
                          <w:rPr>
                            <w:rFonts w:ascii="Cambria Math" w:hAnsi="Cambria Math"/>
                          </w:rPr>
                        </m:ctrlPr>
                      </m:naryPr>
                      <m:sub>
                        <m:r>
                          <w:rPr>
                            <w:rFonts w:ascii="Cambria Math" w:hAnsi="Cambria Math"/>
                          </w:rPr>
                          <m:t>24</m:t>
                        </m:r>
                        <m:r>
                          <w:rPr>
                            <w:rFonts w:ascii="Cambria Math" w:hAnsi="Cambria Math"/>
                          </w:rPr>
                          <m:t>hour</m:t>
                        </m:r>
                        <m:ctrlPr>
                          <w:rPr>
                            <w:rFonts w:ascii="Cambria Math" w:hAnsi="Cambria Math"/>
                            <w:i/>
                          </w:rPr>
                        </m:ctrlPr>
                      </m:sub>
                      <m:sup>
                        <m:ctrlPr>
                          <w:rPr>
                            <w:rFonts w:ascii="Cambria Math" w:hAnsi="Cambria Math"/>
                            <w:i/>
                          </w:rPr>
                        </m:ctrlPr>
                      </m:sup>
                      <m:e>
                        <m:sSub>
                          <m:sSubPr>
                            <m:ctrlPr>
                              <w:rPr>
                                <w:rFonts w:ascii="Cambria Math" w:hAnsi="Cambria Math"/>
                                <w:i/>
                              </w:rPr>
                            </m:ctrlPr>
                          </m:sSubPr>
                          <m:e>
                            <m:r>
                              <w:rPr>
                                <w:rFonts w:ascii="Cambria Math" w:hAnsi="Cambria Math"/>
                              </w:rPr>
                              <m:t>P</m:t>
                            </m:r>
                          </m:e>
                          <m:sub>
                            <m:r>
                              <w:rPr>
                                <w:rFonts w:ascii="Cambria Math" w:hAnsi="Cambria Math"/>
                              </w:rPr>
                              <m:t>pv</m:t>
                            </m:r>
                          </m:sub>
                        </m:sSub>
                        <m:ctrlPr>
                          <w:rPr>
                            <w:rFonts w:ascii="Cambria Math" w:hAnsi="Cambria Math"/>
                            <w:i/>
                          </w:rPr>
                        </m:ctrlPr>
                      </m:e>
                    </m:nary>
                    <m:ctrlPr>
                      <w:rPr>
                        <w:rFonts w:ascii="Cambria Math" w:hAnsi="Cambria Math"/>
                        <w:i/>
                      </w:rPr>
                    </m:ctrlPr>
                  </m:num>
                  <m:den>
                    <m:nary>
                      <m:naryPr>
                        <m:supHide m:val="1"/>
                        <m:ctrlPr>
                          <w:rPr>
                            <w:rFonts w:ascii="Cambria Math" w:hAnsi="Cambria Math"/>
                          </w:rPr>
                        </m:ctrlPr>
                      </m:naryPr>
                      <m:sub>
                        <m:r>
                          <w:rPr>
                            <w:rFonts w:ascii="Cambria Math" w:hAnsi="Cambria Math"/>
                          </w:rPr>
                          <m:t>24</m:t>
                        </m:r>
                        <m:r>
                          <w:rPr>
                            <w:rFonts w:ascii="Cambria Math" w:hAnsi="Cambria Math"/>
                          </w:rPr>
                          <m:t>hour</m:t>
                        </m:r>
                        <m:ctrlPr>
                          <w:rPr>
                            <w:rFonts w:ascii="Cambria Math" w:hAnsi="Cambria Math"/>
                            <w:i/>
                          </w:rPr>
                        </m:ctrlPr>
                      </m:sub>
                      <m:sup>
                        <m:ctrlPr>
                          <w:rPr>
                            <w:rFonts w:ascii="Cambria Math" w:hAnsi="Cambria Math"/>
                            <w:i/>
                          </w:rPr>
                        </m:ctrlPr>
                      </m:sup>
                      <m:e>
                        <m:sSub>
                          <m:sSubPr>
                            <m:ctrlPr>
                              <w:rPr>
                                <w:rFonts w:ascii="Cambria Math" w:hAnsi="Cambria Math"/>
                                <w:i/>
                              </w:rPr>
                            </m:ctrlPr>
                          </m:sSubPr>
                          <m:e>
                            <m:r>
                              <w:rPr>
                                <w:rFonts w:ascii="Cambria Math" w:hAnsi="Cambria Math"/>
                              </w:rPr>
                              <m:t>P</m:t>
                            </m:r>
                          </m:e>
                          <m:sub>
                            <m:r>
                              <w:rPr>
                                <w:rFonts w:ascii="Cambria Math" w:hAnsi="Cambria Math"/>
                              </w:rPr>
                              <m:t>total load</m:t>
                            </m:r>
                          </m:sub>
                        </m:sSub>
                        <m:ctrlPr>
                          <w:rPr>
                            <w:rFonts w:ascii="Cambria Math" w:hAnsi="Cambria Math"/>
                            <w:i/>
                          </w:rPr>
                        </m:ctrlPr>
                      </m:e>
                    </m:nary>
                    <m:ctrlPr>
                      <w:rPr>
                        <w:rFonts w:ascii="Cambria Math" w:hAnsi="Cambria Math"/>
                        <w:i/>
                      </w:rPr>
                    </m:ctrlPr>
                  </m:den>
                </m:f>
              </m:oMath>
            </m:oMathPara>
          </w:p>
        </w:tc>
        <w:tc>
          <w:tcPr>
            <w:tcW w:w="1170" w:type="dxa"/>
          </w:tcPr>
          <w:p w14:paraId="71C02839" w14:textId="7542256A" w:rsidR="00D36DE4" w:rsidRDefault="00D36DE4" w:rsidP="002023DB">
            <w:pPr>
              <w:ind w:firstLine="0"/>
            </w:pPr>
            <w:r>
              <w:t>(</w:t>
            </w:r>
            <w:r>
              <w:fldChar w:fldCharType="begin"/>
            </w:r>
            <w:r>
              <w:instrText>SEQ Equation \* ARABIC</w:instrText>
            </w:r>
            <w:r>
              <w:fldChar w:fldCharType="separate"/>
            </w:r>
            <w:r w:rsidR="000E1725">
              <w:rPr>
                <w:noProof/>
              </w:rPr>
              <w:t>76</w:t>
            </w:r>
            <w:r>
              <w:fldChar w:fldCharType="end"/>
            </w:r>
            <w:r>
              <w:t>)</w:t>
            </w:r>
          </w:p>
        </w:tc>
      </w:tr>
    </w:tbl>
    <w:p w14:paraId="27796254" w14:textId="2E740BA5" w:rsidR="00D36DE4" w:rsidRPr="00635C83" w:rsidRDefault="00D36DE4" w:rsidP="00D36DE4">
      <w:pPr>
        <w:ind w:firstLine="0"/>
      </w:pPr>
      <w:r>
        <w:t xml:space="preserve">where </w:t>
      </w:r>
      <m:oMath>
        <m:nary>
          <m:naryPr>
            <m:supHide m:val="1"/>
            <m:ctrlPr>
              <w:rPr>
                <w:rFonts w:ascii="Cambria Math" w:eastAsia="DengXian" w:hAnsi="Cambria Math"/>
                <w:kern w:val="0"/>
              </w:rPr>
            </m:ctrlPr>
          </m:naryPr>
          <m:sub>
            <m:r>
              <w:rPr>
                <w:rFonts w:ascii="Cambria Math" w:hAnsi="Cambria Math"/>
              </w:rPr>
              <m:t>24</m:t>
            </m:r>
            <m:r>
              <w:rPr>
                <w:rFonts w:ascii="Cambria Math" w:hAnsi="Cambria Math"/>
              </w:rPr>
              <m:t>hour</m:t>
            </m:r>
            <m:ctrlPr>
              <w:rPr>
                <w:rFonts w:ascii="Cambria Math" w:eastAsia="DengXian" w:hAnsi="Cambria Math"/>
                <w:i/>
                <w:kern w:val="0"/>
              </w:rPr>
            </m:ctrlPr>
          </m:sub>
          <m:sup>
            <m:ctrlPr>
              <w:rPr>
                <w:rFonts w:ascii="Cambria Math" w:eastAsia="DengXian" w:hAnsi="Cambria Math"/>
                <w:i/>
                <w:kern w:val="0"/>
              </w:rPr>
            </m:ctrlPr>
          </m:sup>
          <m:e>
            <m:sSub>
              <m:sSubPr>
                <m:ctrlPr>
                  <w:rPr>
                    <w:rFonts w:ascii="Cambria Math" w:eastAsia="DengXian" w:hAnsi="Cambria Math"/>
                    <w:i/>
                    <w:kern w:val="0"/>
                  </w:rPr>
                </m:ctrlPr>
              </m:sSubPr>
              <m:e>
                <m:r>
                  <w:rPr>
                    <w:rFonts w:ascii="Cambria Math" w:hAnsi="Cambria Math"/>
                  </w:rPr>
                  <m:t>P</m:t>
                </m:r>
              </m:e>
              <m:sub>
                <m:r>
                  <w:rPr>
                    <w:rFonts w:ascii="Cambria Math" w:hAnsi="Cambria Math"/>
                  </w:rPr>
                  <m:t>total load</m:t>
                </m:r>
              </m:sub>
            </m:sSub>
            <m:ctrlPr>
              <w:rPr>
                <w:rFonts w:ascii="Cambria Math" w:eastAsia="DengXian" w:hAnsi="Cambria Math"/>
                <w:i/>
                <w:kern w:val="0"/>
              </w:rPr>
            </m:ctrlPr>
          </m:e>
        </m:nary>
      </m:oMath>
      <w:r>
        <w:rPr>
          <w:kern w:val="0"/>
        </w:rPr>
        <w:t xml:space="preserve"> represents the total energy needed in the home. Both </w:t>
      </w:r>
      <w:r w:rsidRPr="00635C83">
        <w:rPr>
          <w:i/>
          <w:iCs/>
          <w:kern w:val="0"/>
        </w:rPr>
        <w:t>SC</w:t>
      </w:r>
      <w:r>
        <w:rPr>
          <w:kern w:val="0"/>
        </w:rPr>
        <w:t xml:space="preserve"> and </w:t>
      </w:r>
      <w:r w:rsidRPr="00635C83">
        <w:rPr>
          <w:i/>
          <w:iCs/>
          <w:kern w:val="0"/>
        </w:rPr>
        <w:t>SS</w:t>
      </w:r>
      <w:r>
        <w:rPr>
          <w:i/>
          <w:iCs/>
          <w:kern w:val="0"/>
        </w:rPr>
        <w:t xml:space="preserve"> </w:t>
      </w:r>
      <w:r>
        <w:rPr>
          <w:kern w:val="0"/>
        </w:rPr>
        <w:t xml:space="preserve">are between 0 to 1, and the low values indicate the mismatch between PV generation and home consumption </w:t>
      </w:r>
      <w:r>
        <w:rPr>
          <w:kern w:val="0"/>
        </w:rPr>
        <w:fldChar w:fldCharType="begin"/>
      </w:r>
      <w:r w:rsidR="0082416B">
        <w:rPr>
          <w:kern w:val="0"/>
        </w:rPr>
        <w:instrText xml:space="preserve"> ADDIN ZOTERO_ITEM CSL_CITATION {"citationID":"5ezCnd0C","properties":{"formattedCitation":"[148]","plainCitation":"[148]","noteIndex":0},"citationItems":[{"id":1958,"uris":["http://zotero.org/users/5659608/items/NLKUZRW5"],"itemData":{"id":1958,"type":"article-journal","abstract":"This paper presents a methodology to maximize the self-sufficiency or cost-effectiveness of grid-connected prosumers by optimizing the sizes of photovoltaic (PV) systems and electrochemical batteries. In the optimal sizing procedure, a limitation on the maximum injection in the grid can affect the energy flows, the economic effectiveness of the investments, and thus the sizing results. After the explanation of the procedure, a case study is presented, and a parametric analysis of the effect of possible injection limits is shown. The procedure is applied to size plants for an Italian domestic prosumer, whose electric load profile was measured for a year. A software program developed using the proposed methodology is also briefly presented. It is used for both research and educational purposes, both in laboratory classes and in remote lessons.","container-title":"Energies","DOI":"10.3390/en14061591","ISSN":"1996-1073","issue":"6","language":"en","license":"http://creativecommons.org/licenses/by/3.0/","note":"number: 6\npublisher: Multidisciplinary Digital Publishing Institute","page":"1591","source":"www.mdpi.com","title":"Self-Consumption and Self-Sufficiency in Photovoltaic Systems: Effect of Grid Limitation and Storage Installation","title-short":"Self-Consumption and Self-Sufficiency in Photovoltaic Systems","volume":"14","author":[{"family":"Ciocia","given":"Alessandro"},{"family":"Amato","given":"Angela"},{"family":"Di Leo","given":"Paolo"},{"family":"Fichera","given":"Stefania"},{"family":"Malgaroli","given":"Gabriele"},{"family":"Spertino","given":"Filippo"},{"family":"Tzanova","given":"Slavka"}],"issued":{"date-parts":[["2021",1]]},"citation-key":"ciociaSelfConsumptionSelfSufficiencyPhotovoltaic2021"}}],"schema":"https://github.com/citation-style-language/schema/raw/master/csl-citation.json"} </w:instrText>
      </w:r>
      <w:r>
        <w:rPr>
          <w:kern w:val="0"/>
        </w:rPr>
        <w:fldChar w:fldCharType="separate"/>
      </w:r>
      <w:r w:rsidR="0082416B" w:rsidRPr="0082416B">
        <w:t>[148]</w:t>
      </w:r>
      <w:r>
        <w:rPr>
          <w:kern w:val="0"/>
        </w:rPr>
        <w:fldChar w:fldCharType="end"/>
      </w:r>
      <w:r>
        <w:rPr>
          <w:kern w:val="0"/>
        </w:rPr>
        <w:t xml:space="preserve">. As show in </w:t>
      </w:r>
      <w:r>
        <w:rPr>
          <w:kern w:val="0"/>
        </w:rPr>
        <w:fldChar w:fldCharType="begin"/>
      </w:r>
      <w:r>
        <w:rPr>
          <w:kern w:val="0"/>
        </w:rPr>
        <w:instrText xml:space="preserve"> REF _Ref138316301 \h </w:instrText>
      </w:r>
      <w:r>
        <w:rPr>
          <w:kern w:val="0"/>
        </w:rPr>
      </w:r>
      <w:r>
        <w:rPr>
          <w:kern w:val="0"/>
        </w:rPr>
        <w:fldChar w:fldCharType="separate"/>
      </w:r>
      <w:r w:rsidR="000E1725">
        <w:t xml:space="preserve">Figure </w:t>
      </w:r>
      <w:r w:rsidR="000E1725">
        <w:rPr>
          <w:noProof/>
        </w:rPr>
        <w:t>5</w:t>
      </w:r>
      <w:r w:rsidR="000E1725">
        <w:t>.</w:t>
      </w:r>
      <w:r w:rsidR="000E1725">
        <w:rPr>
          <w:noProof/>
        </w:rPr>
        <w:t>12</w:t>
      </w:r>
      <w:r>
        <w:rPr>
          <w:kern w:val="0"/>
        </w:rPr>
        <w:fldChar w:fldCharType="end"/>
      </w:r>
      <w:r>
        <w:rPr>
          <w:kern w:val="0"/>
        </w:rPr>
        <w:t xml:space="preserve">, the Grid-tie system has the lowest PV panel generation and consumption performance, as well as the lowest flexibility factor. Compared with the Grid-tie system, adding a large, a medium, and a small battery will improve the 13.95%, 12.67%, and 10.47% in self-consumption; 17.73%, 14.29%, and 11.88% in self-sufficiency, and 38.41%, 20.91%, and 17.64% in flexibility factor, respectively. </w:t>
      </w:r>
    </w:p>
    <w:p w14:paraId="76BDF260" w14:textId="77777777" w:rsidR="00D36DE4" w:rsidRDefault="00D36DE4" w:rsidP="00D36DE4">
      <w:pPr>
        <w:keepNext/>
        <w:ind w:firstLine="0"/>
        <w:jc w:val="center"/>
      </w:pPr>
      <w:r>
        <w:rPr>
          <w:noProof/>
        </w:rPr>
        <w:lastRenderedPageBreak/>
        <w:drawing>
          <wp:inline distT="0" distB="0" distL="0" distR="0" wp14:anchorId="54CEB760" wp14:editId="195DBFA9">
            <wp:extent cx="5731510" cy="1573227"/>
            <wp:effectExtent l="0" t="0" r="0" b="1905"/>
            <wp:docPr id="2017914983" name="Picture 2017914983" descr="A picture containing text, line, plo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14983" name="Picture 12" descr="A picture containing text, line, plot, number&#10;&#10;Description automatically generated"/>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731510" cy="1573227"/>
                    </a:xfrm>
                    <a:prstGeom prst="rect">
                      <a:avLst/>
                    </a:prstGeom>
                  </pic:spPr>
                </pic:pic>
              </a:graphicData>
            </a:graphic>
          </wp:inline>
        </w:drawing>
      </w:r>
    </w:p>
    <w:p w14:paraId="7008401D" w14:textId="63ED473A" w:rsidR="00D36DE4" w:rsidRPr="00587122" w:rsidRDefault="00D36DE4" w:rsidP="00D36DE4">
      <w:pPr>
        <w:pStyle w:val="13FigureCaption"/>
        <w:rPr>
          <w:rFonts w:ascii="Times New Roman" w:hAnsi="Times New Roman"/>
        </w:rPr>
      </w:pPr>
      <w:bookmarkStart w:id="453" w:name="_Ref138316301"/>
      <w:bookmarkStart w:id="454" w:name="_Toc141349954"/>
      <w:r>
        <w:t xml:space="preserve">Figure </w:t>
      </w:r>
      <w:fldSimple w:instr=" STYLEREF 1 \s ">
        <w:r w:rsidR="000E1725">
          <w:rPr>
            <w:noProof/>
          </w:rPr>
          <w:t>5</w:t>
        </w:r>
      </w:fldSimple>
      <w:r w:rsidR="005445E0">
        <w:t>.</w:t>
      </w:r>
      <w:fldSimple w:instr=" SEQ Figure \* ARABIC \s 1 ">
        <w:r w:rsidR="000E1725">
          <w:rPr>
            <w:noProof/>
          </w:rPr>
          <w:t>12</w:t>
        </w:r>
      </w:fldSimple>
      <w:bookmarkEnd w:id="453"/>
      <w:r>
        <w:t xml:space="preserve"> Performance indices for different system operations. (a) PV self-consumption (b) PV self-sufficiency (c) Flexibility factor.</w:t>
      </w:r>
      <w:bookmarkEnd w:id="454"/>
      <w:r>
        <w:t xml:space="preserve"> </w:t>
      </w:r>
    </w:p>
    <w:p w14:paraId="07908077" w14:textId="05465301" w:rsidR="00D36DE4" w:rsidRPr="00E63071" w:rsidRDefault="00D36DE4" w:rsidP="00D36DE4">
      <w:pPr>
        <w:pStyle w:val="Heading3"/>
      </w:pPr>
      <w:bookmarkStart w:id="455" w:name="_Toc141991746"/>
      <w:r w:rsidRPr="00E63071">
        <w:t xml:space="preserve">Impact of </w:t>
      </w:r>
      <w:r>
        <w:t>u</w:t>
      </w:r>
      <w:r w:rsidRPr="00E63071">
        <w:t xml:space="preserve">ser </w:t>
      </w:r>
      <w:r>
        <w:t>t</w:t>
      </w:r>
      <w:r w:rsidRPr="00E63071">
        <w:t xml:space="preserve">ime </w:t>
      </w:r>
      <w:r>
        <w:t>pr</w:t>
      </w:r>
      <w:r w:rsidRPr="00E63071">
        <w:t>eference</w:t>
      </w:r>
      <w:r>
        <w:t xml:space="preserve"> and w</w:t>
      </w:r>
      <w:r w:rsidRPr="00E63071">
        <w:t>eather</w:t>
      </w:r>
      <w:r>
        <w:t xml:space="preserve"> condition</w:t>
      </w:r>
      <w:bookmarkEnd w:id="455"/>
      <w:r>
        <w:t xml:space="preserve"> </w:t>
      </w:r>
    </w:p>
    <w:p w14:paraId="4D9D064F" w14:textId="0DD4A8D1" w:rsidR="00D36DE4" w:rsidRDefault="00D36DE4" w:rsidP="00D36DE4">
      <w:r>
        <w:t xml:space="preserve">To further understand the impact of weather conditions, battery size, and user’s time preference on total operation cost, 30 scenarios are generated and optimization results in terms of cost in listed in </w:t>
      </w:r>
      <w:r>
        <w:fldChar w:fldCharType="begin"/>
      </w:r>
      <w:r>
        <w:instrText xml:space="preserve"> REF _Ref101095869 \h  \* MERGEFORMAT </w:instrText>
      </w:r>
      <w:r>
        <w:fldChar w:fldCharType="separate"/>
      </w:r>
      <w:r w:rsidR="000E1725" w:rsidRPr="001762B3">
        <w:t xml:space="preserve">Figure </w:t>
      </w:r>
      <w:r w:rsidR="000E1725">
        <w:rPr>
          <w:noProof/>
        </w:rPr>
        <w:t>5.13</w:t>
      </w:r>
      <w:r>
        <w:fldChar w:fldCharType="end"/>
      </w:r>
      <w:r>
        <w:t xml:space="preserve">. The cost list on the top of each scenario is the 24-hour home appliance operation costs given a moderate user time </w:t>
      </w:r>
      <w:r w:rsidRPr="00A0357D">
        <w:t xml:space="preserve">preference. For the weather conditions, August 7, 2022, is chosen, which belongs to a hot summer day cluster </w:t>
      </w:r>
      <w:r w:rsidRPr="00977743">
        <w:t>mentioned in Chapter</w:t>
      </w:r>
      <w:r w:rsidR="00A0357D" w:rsidRPr="00977743">
        <w:t xml:space="preserve"> </w:t>
      </w:r>
      <w:r w:rsidR="00A0357D" w:rsidRPr="00977743">
        <w:fldChar w:fldCharType="begin"/>
      </w:r>
      <w:r w:rsidR="00A0357D" w:rsidRPr="00977743">
        <w:instrText xml:space="preserve"> REF _Ref139494420 \n \h </w:instrText>
      </w:r>
      <w:r w:rsidR="00A0357D">
        <w:instrText xml:space="preserve"> \* MERGEFORMAT </w:instrText>
      </w:r>
      <w:r w:rsidR="00A0357D" w:rsidRPr="00977743">
        <w:fldChar w:fldCharType="separate"/>
      </w:r>
      <w:r w:rsidR="000E1725">
        <w:t>4</w:t>
      </w:r>
      <w:r w:rsidR="00A0357D" w:rsidRPr="00977743">
        <w:fldChar w:fldCharType="end"/>
      </w:r>
      <w:r w:rsidRPr="00977743">
        <w:t>.</w:t>
      </w:r>
      <w:r w:rsidRPr="00A0357D">
        <w:t xml:space="preserve"> Similarly,</w:t>
      </w:r>
      <w:r>
        <w:t xml:space="preserve"> a day belonging to a mild summer day, September 8 is chosen. The machine learning model is also used to forecast PV power generation using the weather data of September 8. Meanwhile, to maintain consistency, other variables such as the thermal comfort range for AC remained unchanged. The battery specifications are consistent with those presented in Section </w:t>
      </w:r>
      <w:r>
        <w:fldChar w:fldCharType="begin"/>
      </w:r>
      <w:r>
        <w:instrText xml:space="preserve"> REF _Ref138319628 \n \h </w:instrText>
      </w:r>
      <w:r>
        <w:fldChar w:fldCharType="separate"/>
      </w:r>
      <w:r w:rsidR="000E1725">
        <w:t>5.4.2</w:t>
      </w:r>
      <w:r>
        <w:fldChar w:fldCharType="end"/>
      </w:r>
      <w:r>
        <w:t xml:space="preserve">, and the user time preference interval can be seen in </w:t>
      </w:r>
      <w:r>
        <w:fldChar w:fldCharType="begin"/>
      </w:r>
      <w:r>
        <w:instrText xml:space="preserve"> REF _Ref138196874 \h </w:instrText>
      </w:r>
      <w:r>
        <w:fldChar w:fldCharType="separate"/>
      </w:r>
      <w:r w:rsidR="000E1725">
        <w:t xml:space="preserve">Table </w:t>
      </w:r>
      <w:r w:rsidR="000E1725">
        <w:rPr>
          <w:noProof/>
        </w:rPr>
        <w:t>5</w:t>
      </w:r>
      <w:r w:rsidR="000E1725">
        <w:t>.</w:t>
      </w:r>
      <w:r w:rsidR="000E1725">
        <w:rPr>
          <w:noProof/>
        </w:rPr>
        <w:t>4</w:t>
      </w:r>
      <w:r>
        <w:fldChar w:fldCharType="end"/>
      </w:r>
      <w:r>
        <w:t>.</w:t>
      </w:r>
    </w:p>
    <w:p w14:paraId="1C07DD91" w14:textId="77777777" w:rsidR="00D36DE4" w:rsidRDefault="00D36DE4" w:rsidP="00623535">
      <w:pPr>
        <w:pStyle w:val="12FigureFormatSelectafigureandclickonthisstyle"/>
      </w:pPr>
      <w:r w:rsidRPr="00565411">
        <w:rPr>
          <w:noProof/>
        </w:rPr>
        <w:lastRenderedPageBreak/>
        <w:drawing>
          <wp:inline distT="0" distB="0" distL="0" distR="0" wp14:anchorId="3C8E6B72" wp14:editId="2F6636BB">
            <wp:extent cx="5584371" cy="4547992"/>
            <wp:effectExtent l="0" t="0" r="3810" b="0"/>
            <wp:docPr id="1600783782" name="Picture 1600783782"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783782" name="Picture 11" descr="A picture containing text, screenshot, line, diagram&#10;&#10;Description automatically generated"/>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596970" cy="4558253"/>
                    </a:xfrm>
                    <a:prstGeom prst="rect">
                      <a:avLst/>
                    </a:prstGeom>
                  </pic:spPr>
                </pic:pic>
              </a:graphicData>
            </a:graphic>
          </wp:inline>
        </w:drawing>
      </w:r>
    </w:p>
    <w:p w14:paraId="74CBC77C" w14:textId="16E1768C" w:rsidR="00D36DE4" w:rsidRDefault="00D36DE4" w:rsidP="00D36DE4">
      <w:pPr>
        <w:pStyle w:val="13FigureCaption"/>
      </w:pPr>
      <w:bookmarkStart w:id="456" w:name="_Ref101095869"/>
      <w:bookmarkStart w:id="457" w:name="_Toc141349955"/>
      <w:r w:rsidRPr="001762B3">
        <w:t xml:space="preserve">Figure </w:t>
      </w:r>
      <w:fldSimple w:instr=" STYLEREF 1 \s ">
        <w:r w:rsidR="000E1725">
          <w:rPr>
            <w:noProof/>
          </w:rPr>
          <w:t>5</w:t>
        </w:r>
      </w:fldSimple>
      <w:r w:rsidR="005445E0">
        <w:t>.</w:t>
      </w:r>
      <w:fldSimple w:instr=" SEQ Figure \* ARABIC \s 1 ">
        <w:r w:rsidR="000E1725">
          <w:rPr>
            <w:noProof/>
          </w:rPr>
          <w:t>13</w:t>
        </w:r>
      </w:fldSimple>
      <w:bookmarkEnd w:id="456"/>
      <w:r w:rsidRPr="001762B3">
        <w:t xml:space="preserve"> </w:t>
      </w:r>
      <w:r>
        <w:t>Cost-saving variation in terms of different weather conditions, user preference, and operation scenarios.</w:t>
      </w:r>
      <w:bookmarkEnd w:id="457"/>
      <w:r>
        <w:t xml:space="preserve"> </w:t>
      </w:r>
    </w:p>
    <w:p w14:paraId="48B0C8A6" w14:textId="3FF07258" w:rsidR="00D36DE4" w:rsidRDefault="00D36DE4" w:rsidP="00D36DE4">
      <w:r>
        <w:t xml:space="preserve">It can be observed in </w:t>
      </w:r>
      <w:r>
        <w:fldChar w:fldCharType="begin"/>
      </w:r>
      <w:r>
        <w:instrText xml:space="preserve"> REF _Ref101095869 \h  \* MERGEFORMAT </w:instrText>
      </w:r>
      <w:r>
        <w:fldChar w:fldCharType="separate"/>
      </w:r>
      <w:r w:rsidR="000E1725" w:rsidRPr="001762B3">
        <w:t xml:space="preserve">Figure </w:t>
      </w:r>
      <w:r w:rsidR="000E1725">
        <w:rPr>
          <w:noProof/>
        </w:rPr>
        <w:t>5.13</w:t>
      </w:r>
      <w:r>
        <w:fldChar w:fldCharType="end"/>
      </w:r>
      <w:r>
        <w:t xml:space="preserve"> that the weather condition has a dominant impact across different operation scenarios. In baseline cases, a 48.61% cost reduction can be seen if the weather switches from a mild summer day to a hot summer day, and in a Hybrid system with a large battery, a 46.21% cost reduction can be seen. Although the user’s time preference has less impact on cost, it can be observed from the figure that the user’s time preference impact gets larger when a PV panel is involved but no battery is given (Grid-tie system) or the battery cannot provide enough energy flexibility (Hybrid system with small battery). This result ties to </w:t>
      </w:r>
      <w:r>
        <w:lastRenderedPageBreak/>
        <w:t xml:space="preserve">the inherent limitation of PV power generation (also discussed in previous sections), and the characteristics of non-thermal appliances operation. Non-thermal appliances cannot have a large inactive period like the AC free-floating period, and they must maintain the sequential operation of energy phases. When a strict time limit is given, non-thermal appliances may struggle to take full advantage of PV power generation. As shown in </w:t>
      </w:r>
      <w:r>
        <w:fldChar w:fldCharType="begin"/>
      </w:r>
      <w:r>
        <w:instrText xml:space="preserve"> REF _Ref138366270 \h </w:instrText>
      </w:r>
      <w:r>
        <w:fldChar w:fldCharType="separate"/>
      </w:r>
      <w:r w:rsidR="000E1725">
        <w:t xml:space="preserve">Figure </w:t>
      </w:r>
      <w:r w:rsidR="000E1725">
        <w:rPr>
          <w:noProof/>
        </w:rPr>
        <w:t>5</w:t>
      </w:r>
      <w:r w:rsidR="000E1725">
        <w:t>.</w:t>
      </w:r>
      <w:r w:rsidR="000E1725">
        <w:rPr>
          <w:noProof/>
        </w:rPr>
        <w:t>14</w:t>
      </w:r>
      <w:r>
        <w:fldChar w:fldCharType="end"/>
      </w:r>
      <w:r>
        <w:t xml:space="preserve">, with strict user preference, the dishwasher has to run during the late afternoon (the first energy phase starts at 6:40pm and the last energy phase ends at 8:30pm), where the PV power generation is quite limited at that time; with a flexible user time preference, dishwasher is shifted to the on-peak hour to consume more PV power generation. This energy consumption (from non-thermal appliances) and generation (from PV) mismatch can be solved by providing a proper size battery. </w:t>
      </w:r>
    </w:p>
    <w:p w14:paraId="410E51A9" w14:textId="77777777" w:rsidR="00D36DE4" w:rsidRDefault="00D36DE4" w:rsidP="00D36DE4">
      <w:pPr>
        <w:keepNext/>
        <w:ind w:firstLine="0"/>
        <w:jc w:val="center"/>
      </w:pPr>
      <w:r>
        <w:rPr>
          <w:noProof/>
        </w:rPr>
        <w:lastRenderedPageBreak/>
        <w:drawing>
          <wp:inline distT="0" distB="0" distL="0" distR="0" wp14:anchorId="69F6FFAA" wp14:editId="43BB1937">
            <wp:extent cx="5731510" cy="4448175"/>
            <wp:effectExtent l="0" t="0" r="0" b="0"/>
            <wp:docPr id="1051130100" name="Picture 1051130100" descr="A screenshot of a computer scre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130100" name="Picture 1" descr="A screenshot of a computer screen&#10;&#10;Description automatically generated with low confidenc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731510" cy="4448175"/>
                    </a:xfrm>
                    <a:prstGeom prst="rect">
                      <a:avLst/>
                    </a:prstGeom>
                  </pic:spPr>
                </pic:pic>
              </a:graphicData>
            </a:graphic>
          </wp:inline>
        </w:drawing>
      </w:r>
    </w:p>
    <w:p w14:paraId="5D5F9390" w14:textId="617EE9D2" w:rsidR="00D36DE4" w:rsidRDefault="00D36DE4" w:rsidP="00D36DE4">
      <w:pPr>
        <w:pStyle w:val="13FigureCaption"/>
      </w:pPr>
      <w:bookmarkStart w:id="458" w:name="_Ref138366270"/>
      <w:bookmarkStart w:id="459" w:name="_Toc141349956"/>
      <w:r>
        <w:t xml:space="preserve">Figure </w:t>
      </w:r>
      <w:fldSimple w:instr=" STYLEREF 1 \s ">
        <w:r w:rsidR="000E1725">
          <w:rPr>
            <w:noProof/>
          </w:rPr>
          <w:t>5</w:t>
        </w:r>
      </w:fldSimple>
      <w:r w:rsidR="005445E0">
        <w:t>.</w:t>
      </w:r>
      <w:fldSimple w:instr=" SEQ Figure \* ARABIC \s 1 ">
        <w:r w:rsidR="000E1725">
          <w:rPr>
            <w:noProof/>
          </w:rPr>
          <w:t>14</w:t>
        </w:r>
      </w:fldSimple>
      <w:bookmarkEnd w:id="458"/>
      <w:r>
        <w:t xml:space="preserve"> User preference impact on appliance operation. (a) Grid-tie system appliance operation given strict user time preference. (b) Grid-tie system appliance operation given flexible user time preference.</w:t>
      </w:r>
      <w:bookmarkEnd w:id="459"/>
    </w:p>
    <w:p w14:paraId="36ACECFB" w14:textId="77777777" w:rsidR="00D36DE4" w:rsidRDefault="00D36DE4" w:rsidP="00D36DE4">
      <w:pPr>
        <w:pStyle w:val="Heading3"/>
      </w:pPr>
      <w:bookmarkStart w:id="460" w:name="_Toc141991747"/>
      <w:r>
        <w:t>Cost and comfort trade-off</w:t>
      </w:r>
      <w:bookmarkEnd w:id="460"/>
    </w:p>
    <w:p w14:paraId="2E74698C" w14:textId="3FDA5CDE" w:rsidR="00146A55" w:rsidRDefault="00D36DE4" w:rsidP="00146A55">
      <w:pPr>
        <w:keepNext/>
      </w:pPr>
      <w:r>
        <w:t xml:space="preserve">In this section, </w:t>
      </w:r>
      <w:r w:rsidRPr="00AB47C3">
        <w:t>the trade-off between cost and thermal comfort</w:t>
      </w:r>
      <w:r>
        <w:t xml:space="preserve"> is discussed</w:t>
      </w:r>
      <w:r w:rsidRPr="00AB47C3">
        <w:rPr>
          <w:spacing w:val="-4"/>
        </w:rPr>
        <w:t xml:space="preserve">. </w:t>
      </w:r>
      <w:r w:rsidRPr="00AB47C3">
        <w:t xml:space="preserve">The scheduling result </w:t>
      </w:r>
      <w:r>
        <w:t xml:space="preserve">of the smart home appliances is conducted by using the Hybrid system operation with a medium size battery on August 7. The user time preference is the flexible scenario, and the other parameters are kept the same as in the previous cases. </w:t>
      </w:r>
      <w:r>
        <w:fldChar w:fldCharType="begin"/>
      </w:r>
      <w:r>
        <w:instrText xml:space="preserve"> REF _Ref138366270 \h </w:instrText>
      </w:r>
      <w:r>
        <w:fldChar w:fldCharType="separate"/>
      </w:r>
      <w:r w:rsidR="000E1725">
        <w:t xml:space="preserve">Figure </w:t>
      </w:r>
      <w:r w:rsidR="000E1725">
        <w:rPr>
          <w:noProof/>
        </w:rPr>
        <w:t>5</w:t>
      </w:r>
      <w:r w:rsidR="000E1725">
        <w:t>.</w:t>
      </w:r>
      <w:r w:rsidR="000E1725">
        <w:rPr>
          <w:noProof/>
        </w:rPr>
        <w:t>14</w:t>
      </w:r>
      <w:r>
        <w:fldChar w:fldCharType="end"/>
      </w:r>
      <w:r w:rsidRPr="00AB47C3">
        <w:t>(a)–(</w:t>
      </w:r>
      <w:r>
        <w:t>b</w:t>
      </w:r>
      <w:r w:rsidRPr="00AB47C3">
        <w:t xml:space="preserve">) </w:t>
      </w:r>
      <w:r>
        <w:t xml:space="preserve">demonstrates </w:t>
      </w:r>
      <w:r w:rsidRPr="00AB47C3">
        <w:t xml:space="preserve">24-hour </w:t>
      </w:r>
      <w:r>
        <w:t>AC behavior</w:t>
      </w:r>
      <w:r w:rsidRPr="00AB47C3">
        <w:t xml:space="preserve"> using</w:t>
      </w:r>
      <w:r>
        <w:t xml:space="preserve"> different weights in</w:t>
      </w:r>
      <w:r w:rsidRPr="00AB47C3">
        <w:t xml:space="preserve"> the </w:t>
      </w:r>
      <w:r>
        <w:t>multi</w:t>
      </w:r>
      <w:r w:rsidRPr="00AB47C3">
        <w:t>-objective optimization</w:t>
      </w:r>
      <w:r>
        <w:t xml:space="preserve"> framework mentioned in </w:t>
      </w:r>
      <w:r>
        <w:fldChar w:fldCharType="begin"/>
      </w:r>
      <w:r>
        <w:instrText xml:space="preserve"> REF _Ref138439849 \n \h </w:instrText>
      </w:r>
      <w:r>
        <w:fldChar w:fldCharType="separate"/>
      </w:r>
      <w:r w:rsidR="000E1725">
        <w:t>5.2.5</w:t>
      </w:r>
      <w:r>
        <w:fldChar w:fldCharType="end"/>
      </w:r>
      <w:r>
        <w:t xml:space="preserve">, while the other appliances' operation is not shown. </w:t>
      </w:r>
      <w:r w:rsidRPr="00AB47C3">
        <w:lastRenderedPageBreak/>
        <w:t xml:space="preserve">The light purple bars in all subplots represent the </w:t>
      </w:r>
      <w:r>
        <w:rPr>
          <w:spacing w:val="-9"/>
        </w:rPr>
        <w:t>AC power usage, which is a summation of outdoor and indoor unit power usage</w:t>
      </w:r>
      <w:r w:rsidRPr="00AB47C3">
        <w:t>. The red curve</w:t>
      </w:r>
      <w:r>
        <w:t xml:space="preserve"> in</w:t>
      </w:r>
      <w:r w:rsidRPr="00AB47C3">
        <w:t xml:space="preserve"> </w:t>
      </w:r>
      <w:r>
        <w:fldChar w:fldCharType="begin"/>
      </w:r>
      <w:r>
        <w:instrText xml:space="preserve"> REF _Ref138366270 \h </w:instrText>
      </w:r>
      <w:r>
        <w:fldChar w:fldCharType="separate"/>
      </w:r>
      <w:r w:rsidR="000E1725">
        <w:t xml:space="preserve">Figure </w:t>
      </w:r>
      <w:r w:rsidR="000E1725">
        <w:rPr>
          <w:noProof/>
        </w:rPr>
        <w:t>5</w:t>
      </w:r>
      <w:r w:rsidR="000E1725">
        <w:t>.</w:t>
      </w:r>
      <w:r w:rsidR="000E1725">
        <w:rPr>
          <w:noProof/>
        </w:rPr>
        <w:t>14</w:t>
      </w:r>
      <w:r>
        <w:fldChar w:fldCharType="end"/>
      </w:r>
      <w:r w:rsidRPr="00AB47C3">
        <w:t xml:space="preserve"> is the indoor air temperature and the green shaded area represents the preferred temperature range. Note that such </w:t>
      </w:r>
      <w:r>
        <w:t xml:space="preserve">a </w:t>
      </w:r>
      <w:r w:rsidRPr="00AB47C3">
        <w:t xml:space="preserve">preferred temperature range </w:t>
      </w:r>
      <w:r w:rsidRPr="00666B52">
        <w:t xml:space="preserve">can be given </w:t>
      </w:r>
      <w:r w:rsidRPr="00666B52">
        <w:rPr>
          <w:spacing w:val="-4"/>
        </w:rPr>
        <w:t xml:space="preserve">by </w:t>
      </w:r>
      <w:r w:rsidRPr="00666B52">
        <w:t xml:space="preserve">the user or derived from some comfort standards such as </w:t>
      </w:r>
      <w:r>
        <w:t xml:space="preserve">the </w:t>
      </w:r>
      <w:r w:rsidRPr="00666B52">
        <w:t>PMV index. Here</w:t>
      </w:r>
      <w:r w:rsidRPr="00666B52">
        <w:rPr>
          <w:spacing w:val="-16"/>
        </w:rPr>
        <w:t xml:space="preserve"> </w:t>
      </w:r>
      <w:r w:rsidRPr="00666B52">
        <w:rPr>
          <w:spacing w:val="-3"/>
        </w:rPr>
        <w:t>we</w:t>
      </w:r>
      <w:r w:rsidRPr="00666B52">
        <w:rPr>
          <w:spacing w:val="-17"/>
        </w:rPr>
        <w:t xml:space="preserve"> </w:t>
      </w:r>
      <w:r w:rsidRPr="00666B52">
        <w:t>assume</w:t>
      </w:r>
      <w:r w:rsidRPr="00666B52">
        <w:rPr>
          <w:spacing w:val="-17"/>
        </w:rPr>
        <w:t xml:space="preserve"> </w:t>
      </w:r>
      <w:r w:rsidRPr="00666B52">
        <w:t>that</w:t>
      </w:r>
      <w:r w:rsidRPr="00666B52">
        <w:rPr>
          <w:spacing w:val="-16"/>
        </w:rPr>
        <w:t xml:space="preserve"> </w:t>
      </w:r>
      <w:r w:rsidRPr="00666B52">
        <w:t>users</w:t>
      </w:r>
      <w:r w:rsidRPr="00666B52">
        <w:rPr>
          <w:spacing w:val="-17"/>
        </w:rPr>
        <w:t xml:space="preserve"> </w:t>
      </w:r>
      <w:r w:rsidRPr="00666B52">
        <w:t>prefer</w:t>
      </w:r>
      <w:r w:rsidRPr="00666B52">
        <w:rPr>
          <w:spacing w:val="-17"/>
        </w:rPr>
        <w:t xml:space="preserve"> </w:t>
      </w:r>
      <w:r w:rsidRPr="00666B52">
        <w:t>a</w:t>
      </w:r>
      <w:r w:rsidRPr="00666B52">
        <w:rPr>
          <w:spacing w:val="-16"/>
        </w:rPr>
        <w:t xml:space="preserve"> </w:t>
      </w:r>
      <w:r w:rsidRPr="00666B52">
        <w:t>uniform</w:t>
      </w:r>
      <w:r w:rsidRPr="00666B52">
        <w:rPr>
          <w:spacing w:val="-17"/>
        </w:rPr>
        <w:t xml:space="preserve"> </w:t>
      </w:r>
      <w:r w:rsidRPr="00666B52">
        <w:t>temperature</w:t>
      </w:r>
      <w:r w:rsidRPr="00666B52">
        <w:rPr>
          <w:spacing w:val="-16"/>
        </w:rPr>
        <w:t xml:space="preserve"> </w:t>
      </w:r>
      <w:r w:rsidRPr="00666B52">
        <w:t>range</w:t>
      </w:r>
      <w:r>
        <w:t xml:space="preserve"> 78</w:t>
      </w:r>
      <w:r w:rsidRPr="00666B52">
        <w:rPr>
          <w:rFonts w:ascii="TeXGyreTermes" w:hAnsi="TeXGyreTermes"/>
        </w:rPr>
        <w:t>°</w:t>
      </w:r>
      <w:r w:rsidRPr="00666B52">
        <w:t>F–</w:t>
      </w:r>
      <w:r>
        <w:t>80</w:t>
      </w:r>
      <w:r w:rsidRPr="00666B52">
        <w:rPr>
          <w:rFonts w:ascii="TeXGyreTermes" w:hAnsi="TeXGyreTermes"/>
        </w:rPr>
        <w:t>°</w:t>
      </w:r>
      <w:r w:rsidRPr="00666B52">
        <w:t>F and</w:t>
      </w:r>
      <w:r w:rsidRPr="00666B52">
        <w:rPr>
          <w:spacing w:val="-17"/>
        </w:rPr>
        <w:t xml:space="preserve"> </w:t>
      </w:r>
      <w:r w:rsidRPr="00666B52">
        <w:t>accept</w:t>
      </w:r>
      <w:r w:rsidRPr="00666B52">
        <w:rPr>
          <w:spacing w:val="-16"/>
        </w:rPr>
        <w:t xml:space="preserve"> </w:t>
      </w:r>
      <w:r w:rsidRPr="00666B52">
        <w:t>a</w:t>
      </w:r>
      <w:r w:rsidRPr="00666B52">
        <w:rPr>
          <w:spacing w:val="-17"/>
        </w:rPr>
        <w:t xml:space="preserve"> </w:t>
      </w:r>
      <w:r w:rsidRPr="00666B52">
        <w:t>uniform</w:t>
      </w:r>
      <w:r w:rsidRPr="00666B52">
        <w:rPr>
          <w:spacing w:val="-17"/>
        </w:rPr>
        <w:t xml:space="preserve"> </w:t>
      </w:r>
      <w:r w:rsidRPr="00666B52">
        <w:t>temperature</w:t>
      </w:r>
      <w:r w:rsidRPr="00666B52">
        <w:rPr>
          <w:spacing w:val="-16"/>
        </w:rPr>
        <w:t xml:space="preserve"> </w:t>
      </w:r>
      <w:r w:rsidRPr="00666B52">
        <w:t xml:space="preserve">range </w:t>
      </w:r>
      <w:r>
        <w:t>76</w:t>
      </w:r>
      <w:r w:rsidRPr="00666B52">
        <w:rPr>
          <w:rFonts w:ascii="TeXGyreTermes" w:hAnsi="TeXGyreTermes"/>
        </w:rPr>
        <w:t>°</w:t>
      </w:r>
      <w:r w:rsidRPr="00666B52">
        <w:t>F–</w:t>
      </w:r>
      <w:r>
        <w:t>82</w:t>
      </w:r>
      <w:r w:rsidRPr="00666B52">
        <w:rPr>
          <w:rFonts w:ascii="TeXGyreTermes" w:hAnsi="TeXGyreTermes"/>
        </w:rPr>
        <w:t>°</w:t>
      </w:r>
      <w:r w:rsidRPr="00666B52">
        <w:t>F</w:t>
      </w:r>
      <w:r w:rsidRPr="00666B52" w:rsidDel="00354EF9">
        <w:rPr>
          <w:rFonts w:ascii="TeXGyreTermes" w:hAnsi="TeXGyreTermes" w:hint="eastAsia"/>
        </w:rPr>
        <w:t xml:space="preserve"> </w:t>
      </w:r>
      <w:r w:rsidRPr="00666B52">
        <w:t>throughout</w:t>
      </w:r>
      <w:r w:rsidRPr="00666B52">
        <w:rPr>
          <w:spacing w:val="-16"/>
        </w:rPr>
        <w:t xml:space="preserve"> </w:t>
      </w:r>
      <w:r w:rsidRPr="00666B52">
        <w:t>the</w:t>
      </w:r>
      <w:r w:rsidRPr="00666B52">
        <w:rPr>
          <w:spacing w:val="-16"/>
        </w:rPr>
        <w:t xml:space="preserve"> </w:t>
      </w:r>
      <w:r w:rsidRPr="00666B52">
        <w:t>scheduling</w:t>
      </w:r>
      <w:r w:rsidRPr="00666B52">
        <w:rPr>
          <w:spacing w:val="-16"/>
        </w:rPr>
        <w:t xml:space="preserve"> </w:t>
      </w:r>
      <w:r w:rsidRPr="00666B52">
        <w:t>period.</w:t>
      </w:r>
      <w:r w:rsidRPr="00666B52">
        <w:rPr>
          <w:spacing w:val="1"/>
        </w:rPr>
        <w:t xml:space="preserve"> </w:t>
      </w:r>
      <w:r w:rsidRPr="00666B52">
        <w:t>The</w:t>
      </w:r>
      <w:r w:rsidRPr="00666B52">
        <w:rPr>
          <w:spacing w:val="-16"/>
        </w:rPr>
        <w:t xml:space="preserve"> </w:t>
      </w:r>
      <w:r w:rsidRPr="00666B52">
        <w:t>three</w:t>
      </w:r>
      <w:r w:rsidRPr="00666B52">
        <w:rPr>
          <w:spacing w:val="-15"/>
        </w:rPr>
        <w:t xml:space="preserve"> </w:t>
      </w:r>
      <w:r w:rsidRPr="00666B52">
        <w:t>vertical</w:t>
      </w:r>
      <w:r w:rsidRPr="00666B52">
        <w:rPr>
          <w:spacing w:val="-16"/>
        </w:rPr>
        <w:t xml:space="preserve"> </w:t>
      </w:r>
      <w:r w:rsidRPr="00666B52">
        <w:t>dashed</w:t>
      </w:r>
      <w:r w:rsidRPr="00666B52">
        <w:rPr>
          <w:spacing w:val="-16"/>
        </w:rPr>
        <w:t xml:space="preserve"> </w:t>
      </w:r>
      <w:r w:rsidRPr="00666B52">
        <w:t>lines</w:t>
      </w:r>
      <w:r w:rsidRPr="00666B52">
        <w:rPr>
          <w:spacing w:val="-15"/>
        </w:rPr>
        <w:t xml:space="preserve"> </w:t>
      </w:r>
      <w:r w:rsidRPr="00666B52">
        <w:t>divide</w:t>
      </w:r>
      <w:r w:rsidRPr="00666B52">
        <w:rPr>
          <w:spacing w:val="-16"/>
        </w:rPr>
        <w:t xml:space="preserve"> </w:t>
      </w:r>
      <w:r w:rsidRPr="00666B52">
        <w:t>the</w:t>
      </w:r>
      <w:r w:rsidRPr="00666B52">
        <w:rPr>
          <w:spacing w:val="-16"/>
        </w:rPr>
        <w:t xml:space="preserve"> </w:t>
      </w:r>
      <w:r w:rsidRPr="00666B52">
        <w:t>scheduling</w:t>
      </w:r>
      <w:r w:rsidRPr="00666B52">
        <w:rPr>
          <w:spacing w:val="-15"/>
        </w:rPr>
        <w:t xml:space="preserve"> </w:t>
      </w:r>
      <w:r w:rsidRPr="00666B52">
        <w:t>time</w:t>
      </w:r>
      <w:r w:rsidRPr="00666B52">
        <w:rPr>
          <w:spacing w:val="-16"/>
        </w:rPr>
        <w:t xml:space="preserve"> </w:t>
      </w:r>
      <w:r w:rsidRPr="00666B52">
        <w:t>into</w:t>
      </w:r>
      <w:r w:rsidRPr="00666B52">
        <w:rPr>
          <w:spacing w:val="-16"/>
        </w:rPr>
        <w:t xml:space="preserve"> </w:t>
      </w:r>
      <w:r w:rsidRPr="00666B52">
        <w:t>four</w:t>
      </w:r>
      <w:r w:rsidRPr="00666B52">
        <w:rPr>
          <w:spacing w:val="-16"/>
        </w:rPr>
        <w:t xml:space="preserve"> </w:t>
      </w:r>
      <w:r w:rsidRPr="00666B52">
        <w:t>segments,</w:t>
      </w:r>
      <w:r w:rsidRPr="00666B52">
        <w:rPr>
          <w:spacing w:val="-15"/>
        </w:rPr>
        <w:t xml:space="preserve"> </w:t>
      </w:r>
      <w:r w:rsidRPr="00666B52">
        <w:t xml:space="preserve">with "shoulder" or the mid-peak hours starting in the morning and </w:t>
      </w:r>
      <w:r>
        <w:t xml:space="preserve">the </w:t>
      </w:r>
      <w:r w:rsidRPr="00666B52">
        <w:t xml:space="preserve">on-peak hour starting in the afternoon. </w:t>
      </w:r>
      <w:r w:rsidR="00146A55">
        <w:rPr>
          <w:rFonts w:asciiTheme="majorHAnsi" w:eastAsia="SimHei" w:hAnsiTheme="majorHAnsi" w:cstheme="majorBidi"/>
          <w:noProof/>
        </w:rPr>
        <w:drawing>
          <wp:inline distT="0" distB="0" distL="0" distR="0" wp14:anchorId="728DEB79" wp14:editId="0C7B65D0">
            <wp:extent cx="5584371" cy="953713"/>
            <wp:effectExtent l="0" t="0" r="0" b="0"/>
            <wp:docPr id="179373166" name="Picture 179373166"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73166" name="Picture 1" descr="A graph of a graph&#10;&#10;Description automatically generated"/>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773428" cy="986001"/>
                    </a:xfrm>
                    <a:prstGeom prst="rect">
                      <a:avLst/>
                    </a:prstGeom>
                  </pic:spPr>
                </pic:pic>
              </a:graphicData>
            </a:graphic>
          </wp:inline>
        </w:drawing>
      </w:r>
    </w:p>
    <w:p w14:paraId="0A047DD8" w14:textId="76041097" w:rsidR="00D36DE4" w:rsidRPr="0016112F" w:rsidRDefault="00146A55" w:rsidP="00146A55">
      <w:pPr>
        <w:pStyle w:val="13FigureCaption"/>
        <w:rPr>
          <w:rFonts w:asciiTheme="majorHAnsi" w:eastAsia="SimHei" w:hAnsiTheme="majorHAnsi" w:cstheme="majorBidi"/>
        </w:rPr>
      </w:pPr>
      <w:bookmarkStart w:id="461" w:name="_Toc141349957"/>
      <w:r>
        <w:t xml:space="preserve">Figure </w:t>
      </w:r>
      <w:fldSimple w:instr=" STYLEREF 1 \s ">
        <w:r w:rsidR="000E1725">
          <w:rPr>
            <w:noProof/>
          </w:rPr>
          <w:t>5</w:t>
        </w:r>
      </w:fldSimple>
      <w:r w:rsidR="005445E0">
        <w:t>.</w:t>
      </w:r>
      <w:fldSimple w:instr=" SEQ Figure \* ARABIC \s 1 ">
        <w:r w:rsidR="000E1725">
          <w:rPr>
            <w:noProof/>
          </w:rPr>
          <w:t>15</w:t>
        </w:r>
      </w:fldSimple>
      <w:r>
        <w:t xml:space="preserve"> Multi-objective optimization results where HVAC system behavior shown only. (a) choose </w:t>
      </w:r>
      <m:oMath>
        <m:sSub>
          <m:sSubPr>
            <m:ctrlPr>
              <w:rPr>
                <w:rFonts w:ascii="Cambria Math" w:hAnsi="Cambria Math"/>
                <w:i/>
              </w:rPr>
            </m:ctrlPr>
          </m:sSubPr>
          <m:e>
            <m:r>
              <w:rPr>
                <w:rFonts w:ascii="Cambria Math" w:hAnsi="Cambria Math"/>
              </w:rPr>
              <m:t>w</m:t>
            </m:r>
          </m:e>
          <m:sub>
            <m:r>
              <w:rPr>
                <w:rFonts w:ascii="Cambria Math" w:hAnsi="Cambria Math"/>
              </w:rPr>
              <m:t>1</m:t>
            </m:r>
          </m:sub>
        </m:sSub>
      </m:oMath>
      <w:r>
        <w:t xml:space="preserve"> equals 0.1 (b) choose </w:t>
      </w:r>
      <m:oMath>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 xml:space="preserve"> </m:t>
        </m:r>
      </m:oMath>
      <w:r>
        <w:t>equals 0.9.</w:t>
      </w:r>
      <w:bookmarkEnd w:id="461"/>
    </w:p>
    <w:p w14:paraId="695C8BE0" w14:textId="23156C8D" w:rsidR="00D36DE4" w:rsidRDefault="00D36DE4" w:rsidP="00D36DE4">
      <w:pPr>
        <w:ind w:firstLine="0"/>
      </w:pPr>
      <w:r w:rsidRPr="0016112F">
        <w:t xml:space="preserve">Two subplots clearly demonstrate how the AC operation change when different weights applied to the optimal scheduling. When the smaller weight, e.g., </w:t>
      </w:r>
      <m:oMath>
        <m:sSub>
          <m:sSubPr>
            <m:ctrlPr>
              <w:rPr>
                <w:rFonts w:ascii="Cambria Math" w:hAnsi="Cambria Math"/>
                <w:i/>
              </w:rPr>
            </m:ctrlPr>
          </m:sSubPr>
          <m:e>
            <m:r>
              <w:rPr>
                <w:rFonts w:ascii="Cambria Math" w:hAnsi="Cambria Math"/>
              </w:rPr>
              <m:t>w</m:t>
            </m:r>
          </m:e>
          <m:sub>
            <m:r>
              <w:rPr>
                <w:rFonts w:ascii="Cambria Math" w:hAnsi="Cambria Math"/>
              </w:rPr>
              <m:t>1</m:t>
            </m:r>
          </m:sub>
        </m:sSub>
      </m:oMath>
      <w:r w:rsidRPr="0016112F">
        <w:t xml:space="preserve"> equals 0.1, is applied to the scheduling, the system prefers to maximize thermal comfort instead of saving more money. Consequently, the AC system tends to run for extended hours to maintain the temperature between </w:t>
      </w:r>
      <w:r>
        <w:t xml:space="preserve">the </w:t>
      </w:r>
      <w:r w:rsidRPr="0016112F">
        <w:t xml:space="preserve">preferred thermal comfort range. On the other hand, if </w:t>
      </w:r>
      <w:r>
        <w:t>a larger weight</w:t>
      </w:r>
      <w:r w:rsidRPr="0016112F">
        <w:t xml:space="preserve">, </w:t>
      </w:r>
      <m:oMath>
        <m:sSub>
          <m:sSubPr>
            <m:ctrlPr>
              <w:rPr>
                <w:rFonts w:ascii="Cambria Math" w:hAnsi="Cambria Math"/>
                <w:i/>
              </w:rPr>
            </m:ctrlPr>
          </m:sSubPr>
          <m:e>
            <m:r>
              <w:rPr>
                <w:rFonts w:ascii="Cambria Math" w:hAnsi="Cambria Math"/>
              </w:rPr>
              <m:t>w</m:t>
            </m:r>
          </m:e>
          <m:sub>
            <m:r>
              <w:rPr>
                <w:rFonts w:ascii="Cambria Math" w:hAnsi="Cambria Math"/>
              </w:rPr>
              <m:t>1</m:t>
            </m:r>
          </m:sub>
        </m:sSub>
      </m:oMath>
      <w:r>
        <w:t xml:space="preserve"> </w:t>
      </w:r>
      <w:r w:rsidRPr="0016112F">
        <w:t xml:space="preserve">equals 0.9, is applied to the scheduling, the system tends to be cost-effective rather than maintain preferred thermal comfort. In that case, the AC precooling effect is obvious. In Figure 16(b), AC tends to operate to bring the indoor air temperature into a lower level when the price is </w:t>
      </w:r>
      <w:r w:rsidRPr="0016112F">
        <w:lastRenderedPageBreak/>
        <w:t>relatively low (mid-peak hours), and also operate more when the PV power generation is large between 1:40pm to 4:10pm</w:t>
      </w:r>
      <w:r>
        <w:t xml:space="preserve">. </w:t>
      </w:r>
      <w:r>
        <w:fldChar w:fldCharType="begin"/>
      </w:r>
      <w:r>
        <w:instrText xml:space="preserve"> REF _Ref138452338 \h </w:instrText>
      </w:r>
      <w:r>
        <w:fldChar w:fldCharType="separate"/>
      </w:r>
      <w:r w:rsidR="000E1725">
        <w:t xml:space="preserve">Figure </w:t>
      </w:r>
      <w:r w:rsidR="000E1725">
        <w:rPr>
          <w:noProof/>
        </w:rPr>
        <w:t>5</w:t>
      </w:r>
      <w:r w:rsidR="000E1725">
        <w:t>.</w:t>
      </w:r>
      <w:r w:rsidR="000E1725">
        <w:rPr>
          <w:noProof/>
        </w:rPr>
        <w:t>16</w:t>
      </w:r>
      <w:r>
        <w:fldChar w:fldCharType="end"/>
      </w:r>
      <w:r>
        <w:t xml:space="preserve"> shows the all appliance's operations when equal weights on cost and comfort are used. In this case, the 24-hour operation cost is $1.67 while the time that the indoor air temperature maintain in the preferred thermal comfort range (called </w:t>
      </w:r>
      <w:r w:rsidRPr="003766FA">
        <w:rPr>
          <w:i/>
          <w:iCs/>
        </w:rPr>
        <w:t>comfort</w:t>
      </w:r>
      <w:r>
        <w:t xml:space="preserve">) is 18.17hr. Compared with the scenario that only minimizes the cost, where the operation cost is $1.52 and the comfort is 12.33hr, the case shown in </w:t>
      </w:r>
      <w:r>
        <w:fldChar w:fldCharType="begin"/>
      </w:r>
      <w:r>
        <w:instrText xml:space="preserve"> REF _Ref138452338 \h </w:instrText>
      </w:r>
      <w:r>
        <w:fldChar w:fldCharType="separate"/>
      </w:r>
      <w:r w:rsidR="000E1725">
        <w:t xml:space="preserve">Figure </w:t>
      </w:r>
      <w:r w:rsidR="000E1725">
        <w:rPr>
          <w:noProof/>
        </w:rPr>
        <w:t>5</w:t>
      </w:r>
      <w:r w:rsidR="000E1725">
        <w:t>.</w:t>
      </w:r>
      <w:r w:rsidR="000E1725">
        <w:rPr>
          <w:noProof/>
        </w:rPr>
        <w:t>16</w:t>
      </w:r>
      <w:r>
        <w:fldChar w:fldCharType="end"/>
      </w:r>
      <w:r>
        <w:t xml:space="preserve">, only a 9.15% cost increment extends 47.36% comfort. </w:t>
      </w:r>
    </w:p>
    <w:p w14:paraId="1E6F0A5C" w14:textId="77777777" w:rsidR="00D36DE4" w:rsidRDefault="00D36DE4" w:rsidP="00D36DE4">
      <w:pPr>
        <w:keepNext/>
        <w:ind w:firstLine="0"/>
      </w:pPr>
      <w:r>
        <w:rPr>
          <w:noProof/>
        </w:rPr>
        <w:drawing>
          <wp:inline distT="0" distB="0" distL="0" distR="0" wp14:anchorId="194F5258" wp14:editId="5AAE9FA6">
            <wp:extent cx="5608864" cy="2070719"/>
            <wp:effectExtent l="0" t="0" r="5080" b="0"/>
            <wp:docPr id="1089756576" name="Picture 1089756576"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56576" name="Picture 1" descr="A screenshot of a computer&#10;&#10;Description automatically generated with low confidenc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689758" cy="2100584"/>
                    </a:xfrm>
                    <a:prstGeom prst="rect">
                      <a:avLst/>
                    </a:prstGeom>
                  </pic:spPr>
                </pic:pic>
              </a:graphicData>
            </a:graphic>
          </wp:inline>
        </w:drawing>
      </w:r>
    </w:p>
    <w:p w14:paraId="24ED3A2C" w14:textId="7EFF16EB" w:rsidR="00D36DE4" w:rsidRPr="005B6DB3" w:rsidRDefault="00D36DE4" w:rsidP="00D36DE4">
      <w:pPr>
        <w:pStyle w:val="13FigureCaption"/>
        <w:rPr>
          <w:rFonts w:asciiTheme="majorHAnsi" w:eastAsia="SimHei" w:hAnsiTheme="majorHAnsi" w:cstheme="majorBidi"/>
        </w:rPr>
      </w:pPr>
      <w:bookmarkStart w:id="462" w:name="_Ref138452338"/>
      <w:bookmarkStart w:id="463" w:name="_Toc141349958"/>
      <w:r>
        <w:t xml:space="preserve">Figure </w:t>
      </w:r>
      <w:fldSimple w:instr=" STYLEREF 1 \s ">
        <w:r w:rsidR="000E1725">
          <w:rPr>
            <w:noProof/>
          </w:rPr>
          <w:t>5</w:t>
        </w:r>
      </w:fldSimple>
      <w:r w:rsidR="005445E0">
        <w:t>.</w:t>
      </w:r>
      <w:fldSimple w:instr=" SEQ Figure \* ARABIC \s 1 ">
        <w:r w:rsidR="000E1725">
          <w:rPr>
            <w:noProof/>
          </w:rPr>
          <w:t>16</w:t>
        </w:r>
      </w:fldSimple>
      <w:bookmarkEnd w:id="462"/>
      <w:r>
        <w:t xml:space="preserve"> Scheduling result with the multi-objective framework with equal weights on cost and comfort (</w:t>
      </w:r>
      <m:oMath>
        <m:sSub>
          <m:sSubPr>
            <m:ctrlPr>
              <w:rPr>
                <w:rFonts w:ascii="Cambria Math" w:hAnsi="Cambria Math"/>
                <w:i/>
              </w:rPr>
            </m:ctrlPr>
          </m:sSubPr>
          <m:e>
            <m:r>
              <w:rPr>
                <w:rFonts w:ascii="Cambria Math" w:hAnsi="Cambria Math"/>
              </w:rPr>
              <m:t>w</m:t>
            </m:r>
          </m:e>
          <m:sub>
            <m:r>
              <w:rPr>
                <w:rFonts w:ascii="Cambria Math" w:hAnsi="Cambria Math"/>
              </w:rPr>
              <m:t>1</m:t>
            </m:r>
          </m:sub>
        </m:sSub>
      </m:oMath>
      <w:r>
        <w:t xml:space="preserve"> equals 0.5)</w:t>
      </w:r>
      <w:bookmarkEnd w:id="463"/>
    </w:p>
    <w:p w14:paraId="3BDD8027" w14:textId="6B09773B" w:rsidR="00D36DE4" w:rsidRPr="002839F1" w:rsidRDefault="00D36DE4" w:rsidP="00D36DE4">
      <w:pPr>
        <w:rPr>
          <w:vertAlign w:val="subscript"/>
        </w:rPr>
      </w:pPr>
      <w:r>
        <w:fldChar w:fldCharType="begin"/>
      </w:r>
      <w:r>
        <w:instrText xml:space="preserve"> REF _Ref138449429 \h  \* MERGEFORMAT </w:instrText>
      </w:r>
      <w:r>
        <w:fldChar w:fldCharType="separate"/>
      </w:r>
      <w:r w:rsidR="000E1725">
        <w:t xml:space="preserve">Figure </w:t>
      </w:r>
      <w:r w:rsidR="000E1725">
        <w:rPr>
          <w:noProof/>
        </w:rPr>
        <w:t>5.17</w:t>
      </w:r>
      <w:r>
        <w:fldChar w:fldCharType="end"/>
      </w:r>
      <w:r>
        <w:t xml:space="preserve"> shows the cost and comfort trade-off plot</w:t>
      </w:r>
      <w:r>
        <w:softHyphen/>
        <w:t>–P</w:t>
      </w:r>
      <w:r w:rsidRPr="00497A83">
        <w:t>areto front</w:t>
      </w:r>
      <w:r>
        <w:t xml:space="preserve"> which</w:t>
      </w:r>
      <w:r w:rsidRPr="00497A83">
        <w:t xml:space="preserve"> showcases the different combinations of cost and comfort achieved by varying</w:t>
      </w:r>
      <w:r>
        <w:rPr>
          <w:vertAlign w:val="subscript"/>
        </w:rPr>
        <w:t xml:space="preserve"> </w:t>
      </w:r>
      <m:oMath>
        <m:sSub>
          <m:sSubPr>
            <m:ctrlPr>
              <w:rPr>
                <w:rFonts w:ascii="Cambria Math" w:hAnsi="Cambria Math"/>
                <w:i/>
                <w:vertAlign w:val="subscript"/>
              </w:rPr>
            </m:ctrlPr>
          </m:sSubPr>
          <m:e>
            <m:r>
              <w:rPr>
                <w:rFonts w:ascii="Cambria Math" w:hAnsi="Cambria Math"/>
                <w:vertAlign w:val="subscript"/>
              </w:rPr>
              <m:t>w</m:t>
            </m:r>
          </m:e>
          <m:sub>
            <m:r>
              <w:rPr>
                <w:rFonts w:ascii="Cambria Math" w:hAnsi="Cambria Math"/>
                <w:vertAlign w:val="subscript"/>
              </w:rPr>
              <m:t>1</m:t>
            </m:r>
          </m:sub>
        </m:sSub>
      </m:oMath>
      <w:r w:rsidRPr="00497A83">
        <w:t xml:space="preserve">. </w:t>
      </w:r>
      <w:r>
        <w:t>It</w:t>
      </w:r>
      <w:r w:rsidRPr="00497A83">
        <w:t xml:space="preserve"> provides insights into the relationship between cost and comfort and enables </w:t>
      </w:r>
      <w:r>
        <w:t>homeowners</w:t>
      </w:r>
      <w:r w:rsidRPr="00497A83">
        <w:t xml:space="preserve"> to make informed choices based on their </w:t>
      </w:r>
      <w:r>
        <w:t>preferences for cost or thermal comfort</w:t>
      </w:r>
      <w:r w:rsidRPr="00497A83">
        <w:t>.</w:t>
      </w:r>
    </w:p>
    <w:p w14:paraId="3B8A2DA9" w14:textId="77777777" w:rsidR="00D36DE4" w:rsidRDefault="00D36DE4" w:rsidP="00D36DE4">
      <w:pPr>
        <w:keepNext/>
      </w:pPr>
      <w:r>
        <w:rPr>
          <w:noProof/>
        </w:rPr>
        <w:lastRenderedPageBreak/>
        <w:drawing>
          <wp:inline distT="0" distB="0" distL="0" distR="0" wp14:anchorId="6A5BC550" wp14:editId="5E6298BF">
            <wp:extent cx="5270269" cy="2928836"/>
            <wp:effectExtent l="0" t="0" r="635" b="5080"/>
            <wp:docPr id="80083928" name="Picture 80083928" descr="A picture containing text, screenshot, lin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83928" name="Picture 10" descr="A picture containing text, screenshot, line, rectangle&#10;&#10;Description automatically generated"/>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285320" cy="2937200"/>
                    </a:xfrm>
                    <a:prstGeom prst="rect">
                      <a:avLst/>
                    </a:prstGeom>
                  </pic:spPr>
                </pic:pic>
              </a:graphicData>
            </a:graphic>
          </wp:inline>
        </w:drawing>
      </w:r>
    </w:p>
    <w:p w14:paraId="3F068FE6" w14:textId="1C8A8EE8" w:rsidR="00D36DE4" w:rsidRPr="0016112F" w:rsidRDefault="00D36DE4" w:rsidP="009648F2">
      <w:pPr>
        <w:pStyle w:val="13FigureCaption"/>
        <w:rPr>
          <w:rFonts w:ascii="Times New Roman" w:eastAsiaTheme="minorEastAsia" w:hAnsi="Times New Roman"/>
        </w:rPr>
      </w:pPr>
      <w:bookmarkStart w:id="464" w:name="_Ref138449429"/>
      <w:bookmarkStart w:id="465" w:name="_Toc141349959"/>
      <w:r>
        <w:t xml:space="preserve">Figure </w:t>
      </w:r>
      <w:fldSimple w:instr=" STYLEREF 1 \s ">
        <w:r w:rsidR="000E1725">
          <w:rPr>
            <w:noProof/>
          </w:rPr>
          <w:t>5</w:t>
        </w:r>
      </w:fldSimple>
      <w:r w:rsidR="005445E0">
        <w:t>.</w:t>
      </w:r>
      <w:fldSimple w:instr=" SEQ Figure \* ARABIC \s 1 ">
        <w:r w:rsidR="000E1725">
          <w:rPr>
            <w:noProof/>
          </w:rPr>
          <w:t>17</w:t>
        </w:r>
      </w:fldSimple>
      <w:bookmarkEnd w:id="464"/>
      <w:r>
        <w:t xml:space="preserve"> Cost and comfort trade-off.</w:t>
      </w:r>
      <w:bookmarkEnd w:id="465"/>
    </w:p>
    <w:p w14:paraId="79CB4CC8" w14:textId="77777777" w:rsidR="00D36DE4" w:rsidRPr="0023086C" w:rsidRDefault="00D36DE4" w:rsidP="00D36DE4">
      <w:pPr>
        <w:pStyle w:val="Heading2"/>
      </w:pPr>
      <w:bookmarkStart w:id="466" w:name="_Toc141991748"/>
      <w:r>
        <w:t>Summary</w:t>
      </w:r>
      <w:bookmarkEnd w:id="466"/>
      <w:r>
        <w:t xml:space="preserve"> </w:t>
      </w:r>
    </w:p>
    <w:p w14:paraId="074D99E2" w14:textId="77777777" w:rsidR="00D36DE4" w:rsidRDefault="00D36DE4" w:rsidP="00D36DE4">
      <w:r w:rsidRPr="00D0651A">
        <w:t xml:space="preserve">In this study, </w:t>
      </w:r>
      <w:r>
        <w:t>by using mixed-integer linear programming, reduced-order RC-based thermal model, statistics analysis on user’s behavior, and multi-</w:t>
      </w:r>
      <w:r w:rsidRPr="00181547">
        <w:t xml:space="preserve">objective framework, a household energy management system that </w:t>
      </w:r>
      <w:r w:rsidRPr="000F3C48">
        <w:t>integrates thermal, non-thermal appliances, PV panels</w:t>
      </w:r>
      <w:r>
        <w:t>,</w:t>
      </w:r>
      <w:r w:rsidRPr="000F3C48">
        <w:t xml:space="preserve"> and battery systems </w:t>
      </w:r>
      <w:r>
        <w:rPr>
          <w:shd w:val="clear" w:color="auto" w:fill="FFFFFF"/>
        </w:rPr>
        <w:t>are</w:t>
      </w:r>
      <w:r w:rsidRPr="000F3C48">
        <w:rPr>
          <w:shd w:val="clear" w:color="auto" w:fill="FFFFFF"/>
        </w:rPr>
        <w:t xml:space="preserve"> developed, simulated, and analyzed</w:t>
      </w:r>
      <w:r w:rsidRPr="000F3C48">
        <w:t xml:space="preserve">. </w:t>
      </w:r>
      <w:r>
        <w:t xml:space="preserve">Different from previous studies that hardly considered the user’s preference on time of use appliances and water usage, by analyzing the American Time of Use Survey across over three deceases and Snippets of the most representative water usage pattern, the proposed framework provides a more realistic simulation scenario. In addition, </w:t>
      </w:r>
      <w:r>
        <w:rPr>
          <w:shd w:val="clear" w:color="auto" w:fill="FFFFFF"/>
        </w:rPr>
        <w:t>d</w:t>
      </w:r>
      <w:r w:rsidRPr="000F3C48">
        <w:rPr>
          <w:shd w:val="clear" w:color="auto" w:fill="FFFFFF"/>
        </w:rPr>
        <w:t xml:space="preserve">ifferent from previous studies that rely on either a single temperature range or an ideal temperature setpoint, by providing the homeowner </w:t>
      </w:r>
      <w:r>
        <w:rPr>
          <w:shd w:val="clear" w:color="auto" w:fill="FFFFFF"/>
        </w:rPr>
        <w:t xml:space="preserve">with </w:t>
      </w:r>
      <w:r w:rsidRPr="000F3C48">
        <w:rPr>
          <w:shd w:val="clear" w:color="auto" w:fill="FFFFFF"/>
        </w:rPr>
        <w:t xml:space="preserve">acceptable and preferred temperature ranges, the framework enables a user-defined trade-off </w:t>
      </w:r>
      <w:r w:rsidRPr="000F3C48">
        <w:rPr>
          <w:shd w:val="clear" w:color="auto" w:fill="FFFFFF"/>
        </w:rPr>
        <w:lastRenderedPageBreak/>
        <w:t>between electricity cost and thermal comfort.</w:t>
      </w:r>
      <w:r>
        <w:rPr>
          <w:shd w:val="clear" w:color="auto" w:fill="FFFFFF"/>
        </w:rPr>
        <w:t xml:space="preserve"> </w:t>
      </w:r>
      <w:r>
        <w:t xml:space="preserve">The electricity bill was minimized under the TOU rate by scheduling the operation of each appliance, the energy flow from the solar panel to the appliances, and the (dis-)charge action of the battery. </w:t>
      </w:r>
    </w:p>
    <w:p w14:paraId="47152514" w14:textId="77777777" w:rsidR="00D36DE4" w:rsidRPr="004372E1" w:rsidRDefault="00D36DE4" w:rsidP="00D36DE4">
      <w:r>
        <w:t>From the simulation result, compared with the baseline scenarios that no PV and battery installed, the Grid-tie system generated 57.31% of cost savings, while 69.33% can be achieved if a Hybrid system with a medium size battery is included. By providing three more performance indices, the simulation results are evaluated in terms of energy flexibility. It is observed that due to the inherent limitation of the PV system, the Grid-tie system has up to 13.95%, 17.73%, and 38.41% reduction in self-consumption, self-sufficiency, and flexibility factor compared with the Hybrid system with a large battery</w:t>
      </w:r>
      <w:r w:rsidRPr="00D0651A">
        <w:t>.</w:t>
      </w:r>
      <w:r>
        <w:t xml:space="preserve"> Although the Grid-tie system does not include a battery, the scheduling incorporates optimization for the HVAC system and water heater, two other flexible resources in the home. Since these two appliances are the biggest energy “eaters” in homes, they make significant energy flexibility in terms of load shifting. However, the flexibility they provide differs from the rapid flexibility demonstrated by the home battery. The home battery not only encase cost reduction by improving PV self-consumption and self-sufficiency, but it also offers greater flexibility and stabilizes the cost even when users have strict use time preferences (i.e., low energy awareness). </w:t>
      </w:r>
      <w:r w:rsidRPr="00BA4011">
        <w:t>Finally, t</w:t>
      </w:r>
      <w:r w:rsidRPr="00BA4011">
        <w:rPr>
          <w:shd w:val="clear" w:color="auto" w:fill="FFFFFF"/>
        </w:rPr>
        <w:t xml:space="preserve">he proposed multi-objective framework results in </w:t>
      </w:r>
      <w:r>
        <w:rPr>
          <w:shd w:val="clear" w:color="auto" w:fill="FFFFFF"/>
        </w:rPr>
        <w:t>a</w:t>
      </w:r>
      <w:r w:rsidRPr="00BA4011">
        <w:rPr>
          <w:shd w:val="clear" w:color="auto" w:fill="FFFFFF"/>
        </w:rPr>
        <w:t xml:space="preserve"> </w:t>
      </w:r>
      <w:r>
        <w:rPr>
          <w:shd w:val="clear" w:color="auto" w:fill="FFFFFF"/>
        </w:rPr>
        <w:t>5.84</w:t>
      </w:r>
      <w:r w:rsidRPr="00BA4011">
        <w:rPr>
          <w:shd w:val="clear" w:color="auto" w:fill="FFFFFF"/>
        </w:rPr>
        <w:t xml:space="preserve">-hour extension </w:t>
      </w:r>
      <w:r>
        <w:rPr>
          <w:shd w:val="clear" w:color="auto" w:fill="FFFFFF"/>
        </w:rPr>
        <w:t>in</w:t>
      </w:r>
      <w:r w:rsidRPr="00BA4011">
        <w:rPr>
          <w:shd w:val="clear" w:color="auto" w:fill="FFFFFF"/>
        </w:rPr>
        <w:t xml:space="preserve"> comfort time with only a </w:t>
      </w:r>
      <w:r>
        <w:rPr>
          <w:shd w:val="clear" w:color="auto" w:fill="FFFFFF"/>
        </w:rPr>
        <w:t>9</w:t>
      </w:r>
      <w:r w:rsidRPr="00BA4011">
        <w:rPr>
          <w:shd w:val="clear" w:color="auto" w:fill="FFFFFF"/>
        </w:rPr>
        <w:t>.</w:t>
      </w:r>
      <w:r>
        <w:rPr>
          <w:shd w:val="clear" w:color="auto" w:fill="FFFFFF"/>
        </w:rPr>
        <w:t>15</w:t>
      </w:r>
      <w:r w:rsidRPr="00BA4011">
        <w:rPr>
          <w:shd w:val="clear" w:color="auto" w:fill="FFFFFF"/>
        </w:rPr>
        <w:t xml:space="preserve">% electricity cost increment compared with the minimizing-cost-only strategy. </w:t>
      </w:r>
    </w:p>
    <w:p w14:paraId="23508014" w14:textId="09091F06" w:rsidR="00D36DE4" w:rsidRDefault="00D36DE4" w:rsidP="00D36DE4">
      <w:pPr>
        <w:pStyle w:val="Newparagraph"/>
        <w:rPr>
          <w:lang w:val="en-US" w:eastAsia="zh-CN"/>
        </w:rPr>
      </w:pPr>
      <w:r w:rsidRPr="00946D77">
        <w:rPr>
          <w:rFonts w:ascii="Times" w:hAnsi="Times"/>
        </w:rPr>
        <w:lastRenderedPageBreak/>
        <w:t>As with simulation studies, the results reported in this study have limitations. The 2R2C model, which is used to regulate the HVAC system operation, did not consider the internal heat gain. In our case study, because the HVAC system model is built upon the data collected from an unoccupied laboratory house and because the internal heat gain generated by the appliances is relatively small, ignoring the internal heat gain is deemed acceptable. Therefore, the impact of user occupancy, which is associated with internal heat gain, is not discussed in this study</w:t>
      </w:r>
      <w:r w:rsidRPr="00946D77">
        <w:rPr>
          <w:lang w:val="en-US" w:eastAsia="zh-CN"/>
        </w:rPr>
        <w:t xml:space="preserve">. </w:t>
      </w:r>
      <w:r w:rsidRPr="00946D77">
        <w:rPr>
          <w:rFonts w:ascii="Times" w:hAnsi="Times"/>
        </w:rPr>
        <w:t xml:space="preserve">In addition, it is assumed that the user-acceptable and preferred </w:t>
      </w:r>
      <w:r w:rsidRPr="00946D77">
        <w:rPr>
          <w:rFonts w:ascii="Times" w:hAnsi="Times" w:hint="eastAsia"/>
          <w:lang w:eastAsia="zh-CN"/>
        </w:rPr>
        <w:t>t</w:t>
      </w:r>
      <w:r w:rsidRPr="00946D77">
        <w:rPr>
          <w:rFonts w:ascii="Times" w:hAnsi="Times"/>
          <w:lang w:eastAsia="zh-CN"/>
        </w:rPr>
        <w:t xml:space="preserve">emperature </w:t>
      </w:r>
      <w:r w:rsidRPr="00946D77">
        <w:rPr>
          <w:rFonts w:ascii="Times" w:hAnsi="Times"/>
        </w:rPr>
        <w:t>ranges on the HVAC system and user time preference are given. Although the proposed framework can integrate with the given preference easily, deriving user thermal preference and time preference based on historical data is a focus area for the next phase study</w:t>
      </w:r>
      <w:r w:rsidRPr="00946D77">
        <w:rPr>
          <w:lang w:val="en-US" w:eastAsia="zh-CN"/>
        </w:rPr>
        <w:t xml:space="preserve">. </w:t>
      </w:r>
    </w:p>
    <w:p w14:paraId="113C5007" w14:textId="3E699C39" w:rsidR="00D36DE4" w:rsidRDefault="00D36DE4">
      <w:pPr>
        <w:widowControl/>
        <w:spacing w:line="240" w:lineRule="auto"/>
        <w:ind w:firstLine="0"/>
        <w:jc w:val="left"/>
        <w:rPr>
          <w:kern w:val="0"/>
          <w:szCs w:val="24"/>
        </w:rPr>
      </w:pPr>
      <w:r>
        <w:br w:type="page"/>
      </w:r>
    </w:p>
    <w:p w14:paraId="2B480CF0" w14:textId="77777777" w:rsidR="00D36DE4" w:rsidRDefault="00D36DE4" w:rsidP="00D36DE4">
      <w:pPr>
        <w:pStyle w:val="Newparagraph"/>
        <w:rPr>
          <w:lang w:val="en-US" w:eastAsia="zh-CN"/>
        </w:rPr>
      </w:pPr>
    </w:p>
    <w:p w14:paraId="6E18E0AC" w14:textId="4AE51A77" w:rsidR="005368B4" w:rsidRDefault="00063599" w:rsidP="005368B4">
      <w:pPr>
        <w:pStyle w:val="Heading1"/>
      </w:pPr>
      <w:bookmarkStart w:id="467" w:name="_Toc141991749"/>
      <w:r>
        <w:t>Conclusion</w:t>
      </w:r>
      <w:r w:rsidR="00713D80">
        <w:t>, Limitations and Future Studies</w:t>
      </w:r>
      <w:bookmarkEnd w:id="467"/>
    </w:p>
    <w:p w14:paraId="3A7E688D" w14:textId="09D66E9A" w:rsidR="00063599" w:rsidRDefault="00713D80" w:rsidP="006F0253">
      <w:pPr>
        <w:pStyle w:val="Heading2"/>
      </w:pPr>
      <w:bookmarkStart w:id="468" w:name="_Toc141991750"/>
      <w:r>
        <w:t>Conclusion of this study</w:t>
      </w:r>
      <w:bookmarkEnd w:id="468"/>
    </w:p>
    <w:p w14:paraId="276B4B24" w14:textId="07F79D3F" w:rsidR="00414EF1" w:rsidRDefault="00081F4E" w:rsidP="00414EF1">
      <w:r>
        <w:t xml:space="preserve">This study </w:t>
      </w:r>
      <w:r w:rsidR="008335B7">
        <w:t xml:space="preserve">focused on the development of </w:t>
      </w:r>
      <w:r>
        <w:t xml:space="preserve">an </w:t>
      </w:r>
      <w:r w:rsidR="000B228B">
        <w:t>energy management</w:t>
      </w:r>
      <w:r w:rsidR="00864740">
        <w:t xml:space="preserve"> framework for coordinating multiple </w:t>
      </w:r>
      <w:r w:rsidR="00F32D5A">
        <w:t>load-flexible resources</w:t>
      </w:r>
      <w:r w:rsidR="00864740">
        <w:t xml:space="preserve"> in residential buildings under demand response programs. The framework </w:t>
      </w:r>
      <w:r w:rsidR="00B92245">
        <w:t>embeds</w:t>
      </w:r>
      <w:r w:rsidR="00C549A1">
        <w:t xml:space="preserve"> three major</w:t>
      </w:r>
      <w:r w:rsidR="00227DF6">
        <w:t xml:space="preserve"> components. First, it utilizes</w:t>
      </w:r>
      <w:r w:rsidR="00485A3F">
        <w:t xml:space="preserve"> learning-based gray-box and black-box model</w:t>
      </w:r>
      <w:r w:rsidR="000521E6">
        <w:t>s</w:t>
      </w:r>
      <w:r w:rsidR="00485A3F">
        <w:t xml:space="preserve"> for </w:t>
      </w:r>
      <w:r w:rsidR="00227DF6">
        <w:t>predicting the behavior</w:t>
      </w:r>
      <w:r w:rsidR="0024536D">
        <w:t xml:space="preserve"> of the HVAC system, water heater</w:t>
      </w:r>
      <w:r w:rsidR="00227DF6">
        <w:t>s</w:t>
      </w:r>
      <w:r w:rsidR="0024536D">
        <w:t>, and PV power generation</w:t>
      </w:r>
      <w:r w:rsidR="00227DF6">
        <w:t xml:space="preserve">. Secondly, it establishes the optimal </w:t>
      </w:r>
      <w:r w:rsidR="00B92245">
        <w:t>operation of the HVAC system</w:t>
      </w:r>
      <w:r w:rsidR="00227DF6">
        <w:t>. Lastly, it focuses on</w:t>
      </w:r>
      <w:r w:rsidR="00B92245">
        <w:t xml:space="preserve"> user-centered optimization for the smart Home Energy Management system</w:t>
      </w:r>
      <w:r w:rsidR="00227DF6">
        <w:t xml:space="preserve"> integrating multiple appliances</w:t>
      </w:r>
      <w:r w:rsidR="00B92245">
        <w:t xml:space="preserve">. </w:t>
      </w:r>
      <w:r w:rsidR="00227DF6">
        <w:t xml:space="preserve">By combining these three major components, the proposed framework </w:t>
      </w:r>
      <w:r w:rsidR="008335B7">
        <w:t>lays a foundation for a</w:t>
      </w:r>
      <w:r w:rsidR="00227DF6">
        <w:t xml:space="preserve"> practical solution to transform a residential building into an energy-efficient, cost effective, and grid-interactive connected home. The validity of </w:t>
      </w:r>
      <w:r w:rsidR="008335B7">
        <w:t>the framework</w:t>
      </w:r>
      <w:r w:rsidR="00227DF6">
        <w:t xml:space="preserve"> is substantiated through simulation and field test results, highlighting its </w:t>
      </w:r>
      <w:r w:rsidR="008335B7">
        <w:t xml:space="preserve">feasibility </w:t>
      </w:r>
      <w:r w:rsidR="00227DF6">
        <w:t>for real-world applications</w:t>
      </w:r>
      <w:r w:rsidR="00A46B97">
        <w:t xml:space="preserve">. </w:t>
      </w:r>
    </w:p>
    <w:p w14:paraId="6C606037" w14:textId="7018CBB6" w:rsidR="00AA46F0" w:rsidRDefault="00AA46F0" w:rsidP="00414EF1">
      <w:r>
        <w:t xml:space="preserve">Specifically, </w:t>
      </w:r>
      <w:r w:rsidR="00BD13A7">
        <w:t>physical-based gray-box model</w:t>
      </w:r>
      <w:r w:rsidR="00227DF6">
        <w:t>s</w:t>
      </w:r>
      <w:r w:rsidR="008F6AFE">
        <w:t xml:space="preserve"> </w:t>
      </w:r>
      <w:r w:rsidR="00227DF6">
        <w:t>for</w:t>
      </w:r>
      <w:r w:rsidR="008F6AFE">
        <w:t xml:space="preserve"> the HVAC system</w:t>
      </w:r>
      <w:r w:rsidR="00227DF6">
        <w:t xml:space="preserve"> and water heater system</w:t>
      </w:r>
      <w:r w:rsidR="00DF50E4">
        <w:t xml:space="preserve">, </w:t>
      </w:r>
      <w:r w:rsidR="00227DF6">
        <w:t>as well as</w:t>
      </w:r>
      <w:r w:rsidR="00DF50E4">
        <w:t xml:space="preserve"> a black-box model for the PV power generation are developed in this study. </w:t>
      </w:r>
      <w:r w:rsidR="008F6AFE">
        <w:t xml:space="preserve">By utilizing </w:t>
      </w:r>
      <w:r w:rsidR="00227DF6">
        <w:t>these</w:t>
      </w:r>
      <w:r w:rsidR="008F6AFE">
        <w:t xml:space="preserve"> models, the </w:t>
      </w:r>
      <w:r w:rsidR="00227DF6">
        <w:t xml:space="preserve">amount of input required from homeowners are </w:t>
      </w:r>
      <w:r w:rsidR="00632704">
        <w:t>minimum</w:t>
      </w:r>
      <w:r w:rsidR="006B739A">
        <w:t xml:space="preserve">. This approach </w:t>
      </w:r>
      <w:r w:rsidR="00076505">
        <w:t>eliminates the</w:t>
      </w:r>
      <w:r w:rsidR="004314BA">
        <w:t xml:space="preserve"> need for explicit knowledge of building constructions, water heater thermal properties, or specific PV characteristic, which are typically </w:t>
      </w:r>
      <w:r w:rsidR="005B4053">
        <w:t>challenge</w:t>
      </w:r>
      <w:r w:rsidR="004314BA">
        <w:t xml:space="preserve"> for homeowner to obtain.</w:t>
      </w:r>
      <w:r w:rsidR="005B4053">
        <w:t xml:space="preserve"> </w:t>
      </w:r>
      <w:r w:rsidR="00227DF6">
        <w:t xml:space="preserve">Furthermore, the HVAC system model, as a control-oriented model, has been </w:t>
      </w:r>
      <w:r w:rsidR="00227DF6">
        <w:lastRenderedPageBreak/>
        <w:t xml:space="preserve">enriched with adding novel physical-based constraints during the parameter identification procedure. This enhancement significantly </w:t>
      </w:r>
      <w:r w:rsidR="00146A55">
        <w:t>increases</w:t>
      </w:r>
      <w:r w:rsidR="00227DF6">
        <w:t xml:space="preserve"> the model applicability and effectiveness in predictive control. </w:t>
      </w:r>
      <w:r w:rsidR="004314BA">
        <w:t xml:space="preserve">Therefore, </w:t>
      </w:r>
      <w:r w:rsidR="001C7489">
        <w:t xml:space="preserve">the proposed models </w:t>
      </w:r>
      <w:r w:rsidR="00E52903">
        <w:t>make</w:t>
      </w:r>
      <w:r w:rsidR="004314BA">
        <w:t xml:space="preserve"> the energy management</w:t>
      </w:r>
      <w:r w:rsidR="00E52903">
        <w:t xml:space="preserve"> </w:t>
      </w:r>
      <w:r w:rsidR="005B4053">
        <w:t xml:space="preserve">in residential building feasible. </w:t>
      </w:r>
    </w:p>
    <w:p w14:paraId="570063F8" w14:textId="31B86E13" w:rsidR="00981EF1" w:rsidRDefault="00EC61BD" w:rsidP="00414EF1">
      <w:r>
        <w:t xml:space="preserve">In addition, an MPC-based precooling agent has been developed and implemented in </w:t>
      </w:r>
      <w:r w:rsidR="009B551A">
        <w:t xml:space="preserve">nine </w:t>
      </w:r>
      <w:r>
        <w:t>test homes using smart thermostat</w:t>
      </w:r>
      <w:r w:rsidR="00821F6E">
        <w:t>s</w:t>
      </w:r>
      <w:r>
        <w:t xml:space="preserve">. </w:t>
      </w:r>
      <w:r w:rsidR="00C70BF3">
        <w:t>The successful test</w:t>
      </w:r>
      <w:r w:rsidR="00821F6E">
        <w:t>s</w:t>
      </w:r>
      <w:r w:rsidR="00C70BF3">
        <w:t xml:space="preserve"> </w:t>
      </w:r>
      <w:r w:rsidR="00821F6E">
        <w:t>indicate</w:t>
      </w:r>
      <w:r w:rsidR="00C70BF3">
        <w:t xml:space="preserve"> that </w:t>
      </w:r>
      <w:r w:rsidR="00632704">
        <w:t>the</w:t>
      </w:r>
      <w:r w:rsidR="00C70BF3">
        <w:t xml:space="preserve"> proposed MPC agent is </w:t>
      </w:r>
      <w:r w:rsidR="00821F6E">
        <w:t xml:space="preserve">a </w:t>
      </w:r>
      <w:r w:rsidR="00C70BF3">
        <w:t>feasible</w:t>
      </w:r>
      <w:r w:rsidR="00821F6E">
        <w:t xml:space="preserve"> solution</w:t>
      </w:r>
      <w:r w:rsidR="00C70BF3">
        <w:t xml:space="preserve"> for </w:t>
      </w:r>
      <w:r w:rsidR="00632704">
        <w:t>implementing</w:t>
      </w:r>
      <w:r w:rsidR="00C70BF3">
        <w:t xml:space="preserve"> optimal operation</w:t>
      </w:r>
      <w:r w:rsidR="00821F6E">
        <w:t>s</w:t>
      </w:r>
      <w:r w:rsidR="00C70BF3">
        <w:t xml:space="preserve"> </w:t>
      </w:r>
      <w:r w:rsidR="00821F6E">
        <w:t>in residential building</w:t>
      </w:r>
      <w:r w:rsidR="00C70BF3">
        <w:t>. However, it</w:t>
      </w:r>
      <w:r>
        <w:t xml:space="preserve"> is</w:t>
      </w:r>
      <w:r w:rsidR="00C70BF3">
        <w:t xml:space="preserve"> also</w:t>
      </w:r>
      <w:r>
        <w:t xml:space="preserve"> important to acknowledge that</w:t>
      </w:r>
      <w:r w:rsidR="007A55C3">
        <w:t xml:space="preserve"> the </w:t>
      </w:r>
      <w:r w:rsidR="00256F3A">
        <w:t xml:space="preserve">successful control through </w:t>
      </w:r>
      <w:r w:rsidR="007A55C3">
        <w:t>MPC agent also rel</w:t>
      </w:r>
      <w:r w:rsidR="00821F6E">
        <w:t>ies</w:t>
      </w:r>
      <w:r w:rsidR="007A55C3">
        <w:t xml:space="preserve"> on three different datasets</w:t>
      </w:r>
      <w:r w:rsidR="00C974A4">
        <w:t xml:space="preserve"> </w:t>
      </w:r>
      <w:r w:rsidR="00821F6E">
        <w:t>for home thermal model training,</w:t>
      </w:r>
      <w:r w:rsidR="004D1A7A">
        <w:t xml:space="preserve"> real-time control</w:t>
      </w:r>
      <w:r w:rsidR="00821F6E">
        <w:t xml:space="preserve"> implementation</w:t>
      </w:r>
      <w:r w:rsidR="004D1A7A">
        <w:t>, and post-analysis.</w:t>
      </w:r>
      <w:r>
        <w:t xml:space="preserve"> </w:t>
      </w:r>
      <w:r w:rsidR="00746A16">
        <w:t xml:space="preserve">These datasets are obtained from the smart thermostat, the node sensor </w:t>
      </w:r>
      <w:r w:rsidR="00821F6E">
        <w:t>pre-paired</w:t>
      </w:r>
      <w:r w:rsidR="00746A16">
        <w:t xml:space="preserve"> with </w:t>
      </w:r>
      <w:r w:rsidR="00821F6E">
        <w:t>the thermostat</w:t>
      </w:r>
      <w:r w:rsidR="00746A16">
        <w:t xml:space="preserve">, and </w:t>
      </w:r>
      <w:r w:rsidR="00821F6E">
        <w:t xml:space="preserve">various </w:t>
      </w:r>
      <w:r w:rsidR="00632704">
        <w:t xml:space="preserve">internet-accessible </w:t>
      </w:r>
      <w:r w:rsidR="00821F6E">
        <w:t>data resources such as weather station web services</w:t>
      </w:r>
      <w:r w:rsidR="00746A16">
        <w:t xml:space="preserve">. </w:t>
      </w:r>
      <w:r w:rsidR="00821F6E">
        <w:t xml:space="preserve">While a </w:t>
      </w:r>
      <w:r w:rsidR="00746A16">
        <w:t xml:space="preserve">smart power meter is not </w:t>
      </w:r>
      <w:r w:rsidR="00821F6E">
        <w:t>mandatory</w:t>
      </w:r>
      <w:r w:rsidR="009B72B5">
        <w:t xml:space="preserve"> for the MPC agent, it </w:t>
      </w:r>
      <w:r w:rsidR="00821F6E">
        <w:t>help</w:t>
      </w:r>
      <w:r w:rsidR="00632704">
        <w:t>s</w:t>
      </w:r>
      <w:r w:rsidR="00821F6E">
        <w:t xml:space="preserve"> build</w:t>
      </w:r>
      <w:r w:rsidR="009B72B5">
        <w:t xml:space="preserve"> more accurate power consumption prediction</w:t>
      </w:r>
      <w:r w:rsidR="00821F6E">
        <w:t>s</w:t>
      </w:r>
      <w:r w:rsidR="009B72B5">
        <w:t xml:space="preserve"> for </w:t>
      </w:r>
      <w:r w:rsidR="00632704">
        <w:t xml:space="preserve">the </w:t>
      </w:r>
      <w:r w:rsidR="009B72B5">
        <w:t xml:space="preserve">control purpose. </w:t>
      </w:r>
      <w:r w:rsidR="00ED47E3">
        <w:t xml:space="preserve">Therefore, to </w:t>
      </w:r>
      <w:r w:rsidR="00821F6E">
        <w:t>conduct optimal control</w:t>
      </w:r>
      <w:r w:rsidR="00ED47E3">
        <w:t xml:space="preserve">, </w:t>
      </w:r>
      <w:r w:rsidR="00821F6E">
        <w:t xml:space="preserve">both </w:t>
      </w:r>
      <w:r w:rsidR="00ED47E3">
        <w:t>smart thermostat</w:t>
      </w:r>
      <w:r w:rsidR="00821F6E">
        <w:t>s</w:t>
      </w:r>
      <w:r w:rsidR="00ED47E3">
        <w:t xml:space="preserve"> </w:t>
      </w:r>
      <w:r w:rsidR="00821F6E">
        <w:t>and a robust</w:t>
      </w:r>
      <w:r w:rsidR="00ED47E3">
        <w:t xml:space="preserve"> data management</w:t>
      </w:r>
      <w:r w:rsidR="00FD72F5">
        <w:t xml:space="preserve"> </w:t>
      </w:r>
      <w:r w:rsidR="00821F6E">
        <w:t xml:space="preserve">platform </w:t>
      </w:r>
      <w:r w:rsidR="00FD72F5">
        <w:t>to organize several different data sources</w:t>
      </w:r>
      <w:r w:rsidR="00821F6E">
        <w:t xml:space="preserve"> and enables remote control</w:t>
      </w:r>
      <w:r w:rsidR="00FD72F5">
        <w:t xml:space="preserve"> are necessary. </w:t>
      </w:r>
    </w:p>
    <w:p w14:paraId="25C6C2A4" w14:textId="2DA68061" w:rsidR="00EC064A" w:rsidRDefault="00B565D1" w:rsidP="00414EF1">
      <w:r>
        <w:t xml:space="preserve">Through </w:t>
      </w:r>
      <w:r w:rsidR="00D8746E">
        <w:t xml:space="preserve">the impact analysis </w:t>
      </w:r>
      <w:r w:rsidR="004C0DA8">
        <w:t>using</w:t>
      </w:r>
      <w:r w:rsidR="0065208E">
        <w:t xml:space="preserve"> field test</w:t>
      </w:r>
      <w:r w:rsidR="004C0DA8">
        <w:t xml:space="preserve"> results</w:t>
      </w:r>
      <w:r w:rsidR="0065208E">
        <w:t xml:space="preserve"> and</w:t>
      </w:r>
      <w:r w:rsidR="00821F6E">
        <w:t xml:space="preserve"> an</w:t>
      </w:r>
      <w:r w:rsidR="004C0DA8">
        <w:t xml:space="preserve"> ablation study using</w:t>
      </w:r>
      <w:r w:rsidR="0065208E">
        <w:t xml:space="preserve"> </w:t>
      </w:r>
      <w:r w:rsidR="00821F6E">
        <w:t>co-</w:t>
      </w:r>
      <w:r w:rsidR="0065208E">
        <w:t xml:space="preserve">simulation </w:t>
      </w:r>
      <w:r w:rsidR="00821F6E">
        <w:t>results</w:t>
      </w:r>
      <w:r w:rsidR="0065208E">
        <w:t xml:space="preserve">, </w:t>
      </w:r>
      <w:r w:rsidR="00821F6E">
        <w:t xml:space="preserve">various </w:t>
      </w:r>
      <w:r w:rsidR="004C0DA8">
        <w:t>impact factors including</w:t>
      </w:r>
      <w:r w:rsidR="00D8746E">
        <w:t xml:space="preserve"> building characteristic and MPC characteristics are </w:t>
      </w:r>
      <w:r w:rsidR="004C0DA8">
        <w:t xml:space="preserve">discussed. </w:t>
      </w:r>
      <w:r w:rsidR="00434B99">
        <w:t>For the building characteristic,</w:t>
      </w:r>
      <w:r w:rsidR="00821F6E">
        <w:t xml:space="preserve"> factors such as</w:t>
      </w:r>
      <w:r w:rsidR="00434B99">
        <w:t xml:space="preserve"> floor size of the home, user’s thermal comfort range, and the AC</w:t>
      </w:r>
      <w:r w:rsidR="00821F6E">
        <w:t xml:space="preserve">’s performance </w:t>
      </w:r>
      <w:r w:rsidR="00434B99">
        <w:t xml:space="preserve">to cool the </w:t>
      </w:r>
      <w:r w:rsidR="00821F6E">
        <w:t>space prominently affect</w:t>
      </w:r>
      <w:r w:rsidR="00434B99">
        <w:t xml:space="preserve"> the optimal precooling results. </w:t>
      </w:r>
      <w:r w:rsidR="00821F6E">
        <w:t xml:space="preserve">Regarding </w:t>
      </w:r>
      <w:r w:rsidR="00434B99">
        <w:t>MPC characteristic,</w:t>
      </w:r>
      <w:r w:rsidR="00821F6E">
        <w:t xml:space="preserve"> </w:t>
      </w:r>
      <w:r w:rsidR="00262BC3">
        <w:t>forecasted weather usage</w:t>
      </w:r>
      <w:r w:rsidR="00434B99">
        <w:t xml:space="preserve"> </w:t>
      </w:r>
      <w:r w:rsidR="00434B99">
        <w:lastRenderedPageBreak/>
        <w:t xml:space="preserve">in our case study plays an important role to </w:t>
      </w:r>
      <w:r w:rsidR="00262BC3">
        <w:t>impact precooling results</w:t>
      </w:r>
      <w:r w:rsidR="00434B99">
        <w:t xml:space="preserve">. </w:t>
      </w:r>
    </w:p>
    <w:p w14:paraId="394D204A" w14:textId="1D57F1FC" w:rsidR="00262BC3" w:rsidRDefault="00262BC3" w:rsidP="00E57B56">
      <w:r w:rsidRPr="00262BC3">
        <w:t xml:space="preserve">The home energy management </w:t>
      </w:r>
      <w:r>
        <w:t>framework proposed in this study, which integrates</w:t>
      </w:r>
      <w:r w:rsidRPr="00262BC3">
        <w:t xml:space="preserve"> the thermal appliances, non-thermal appliances, and PV battery system</w:t>
      </w:r>
      <w:r>
        <w:t>, demonstrates</w:t>
      </w:r>
      <w:r w:rsidRPr="00262BC3">
        <w:t xml:space="preserve"> that optimal operation can be applied </w:t>
      </w:r>
      <w:r>
        <w:t>in a smart home environment to minimize electricity cost and meanwhile incorporate user’s preferences</w:t>
      </w:r>
      <w:r w:rsidRPr="00262BC3">
        <w:t xml:space="preserve">. More importantly, </w:t>
      </w:r>
      <w:r>
        <w:t>through a statistical analysis of the</w:t>
      </w:r>
      <w:r w:rsidRPr="00262BC3">
        <w:t xml:space="preserve"> American Time Use Survey and </w:t>
      </w:r>
      <w:r>
        <w:t>data</w:t>
      </w:r>
      <w:r w:rsidRPr="00262BC3">
        <w:t xml:space="preserve"> mining </w:t>
      </w:r>
      <w:r>
        <w:t>of</w:t>
      </w:r>
      <w:r w:rsidRPr="00262BC3">
        <w:t xml:space="preserve"> the water usage profile, user appliance u</w:t>
      </w:r>
      <w:r>
        <w:t>ser pattern</w:t>
      </w:r>
      <w:r w:rsidRPr="00262BC3">
        <w:t xml:space="preserve"> and water usage behavior can be integrated </w:t>
      </w:r>
      <w:r>
        <w:t>into</w:t>
      </w:r>
      <w:r w:rsidRPr="00262BC3">
        <w:t xml:space="preserve"> the energy management framework. Through the multi-objective optimization, the homeowner </w:t>
      </w:r>
      <w:r>
        <w:t>has the flexibility to not only choose</w:t>
      </w:r>
      <w:r w:rsidRPr="00262BC3">
        <w:t xml:space="preserve"> their acceptable and preferred </w:t>
      </w:r>
      <w:r>
        <w:t xml:space="preserve">indoor air </w:t>
      </w:r>
      <w:r w:rsidRPr="00262BC3">
        <w:t>temperature range</w:t>
      </w:r>
      <w:r>
        <w:t>,</w:t>
      </w:r>
      <w:r w:rsidRPr="00262BC3">
        <w:t xml:space="preserve"> </w:t>
      </w:r>
      <w:r>
        <w:t>but also determine their trade-off between cost and comfort by selecting the weights on each goal, thus enabling to achieve both benefits based on their intension</w:t>
      </w:r>
      <w:r w:rsidRPr="00262BC3">
        <w:t xml:space="preserve">. </w:t>
      </w:r>
    </w:p>
    <w:p w14:paraId="1FF80A3F" w14:textId="396A204E" w:rsidR="00E57B56" w:rsidRDefault="00B229A4" w:rsidP="00414EF1">
      <w:r w:rsidRPr="00B229A4">
        <w:t>Finally, four performance indices</w:t>
      </w:r>
      <w:r>
        <w:t>—</w:t>
      </w:r>
      <w:r w:rsidRPr="00B229A4">
        <w:t>cost saving, flexibility factor, self-consumption, and self-sufficiency</w:t>
      </w:r>
      <w:r>
        <w:t>—</w:t>
      </w:r>
      <w:r w:rsidRPr="00B229A4">
        <w:t xml:space="preserve">are </w:t>
      </w:r>
      <w:r>
        <w:t xml:space="preserve">utilized </w:t>
      </w:r>
      <w:r w:rsidRPr="00B229A4">
        <w:t xml:space="preserve">to quantify the optimization results in residential buildings. As mentioned in the introduction, the financial factor </w:t>
      </w:r>
      <w:r>
        <w:t>remains a</w:t>
      </w:r>
      <w:r w:rsidRPr="00B229A4">
        <w:t xml:space="preserve"> major motivations </w:t>
      </w:r>
      <w:r>
        <w:t xml:space="preserve">for </w:t>
      </w:r>
      <w:r w:rsidRPr="00B229A4">
        <w:t xml:space="preserve">homeowners </w:t>
      </w:r>
      <w:r>
        <w:t>participating</w:t>
      </w:r>
      <w:r w:rsidRPr="00B229A4">
        <w:t xml:space="preserve"> in demand response programs</w:t>
      </w:r>
      <w:r>
        <w:t>. H</w:t>
      </w:r>
      <w:r w:rsidRPr="00B229A4">
        <w:t>ence</w:t>
      </w:r>
      <w:r>
        <w:t>,</w:t>
      </w:r>
      <w:r w:rsidRPr="00B229A4">
        <w:t xml:space="preserve"> the cost-saving </w:t>
      </w:r>
      <w:r>
        <w:t>generally present</w:t>
      </w:r>
      <w:r w:rsidRPr="00B229A4">
        <w:t xml:space="preserve"> most valuable insight to the homeowners. The flexibility factor</w:t>
      </w:r>
      <w:r>
        <w:t xml:space="preserve"> signifies</w:t>
      </w:r>
      <w:r w:rsidRPr="00B229A4">
        <w:t xml:space="preserve"> the load-shifting ability of </w:t>
      </w:r>
      <w:r>
        <w:t>a</w:t>
      </w:r>
      <w:r w:rsidRPr="00B229A4">
        <w:t xml:space="preserve"> residential building</w:t>
      </w:r>
      <w:r>
        <w:t xml:space="preserve"> and</w:t>
      </w:r>
      <w:r w:rsidRPr="00B229A4">
        <w:t xml:space="preserve"> provides </w:t>
      </w:r>
      <w:r>
        <w:t xml:space="preserve">valuable </w:t>
      </w:r>
      <w:r w:rsidRPr="00B229A4">
        <w:t xml:space="preserve">insight to stakeholders such as grid operators. </w:t>
      </w:r>
      <w:r>
        <w:t xml:space="preserve">On the other hand, </w:t>
      </w:r>
      <w:r w:rsidRPr="00B229A4">
        <w:t xml:space="preserve">self-consumption and self-sufficiency are performance indicators </w:t>
      </w:r>
      <w:r>
        <w:t>typically used to</w:t>
      </w:r>
      <w:r w:rsidRPr="00B229A4">
        <w:t xml:space="preserve"> </w:t>
      </w:r>
      <w:r>
        <w:t>quantify</w:t>
      </w:r>
      <w:r w:rsidRPr="00B229A4">
        <w:t xml:space="preserve"> the performance of distributed generation resources such as PV systems. </w:t>
      </w:r>
      <w:r>
        <w:t xml:space="preserve">A </w:t>
      </w:r>
      <w:r w:rsidRPr="00B229A4">
        <w:t xml:space="preserve">higher value of these two performance indices </w:t>
      </w:r>
      <w:r>
        <w:t>denote</w:t>
      </w:r>
      <w:r w:rsidRPr="00B229A4">
        <w:t xml:space="preserve">s </w:t>
      </w:r>
      <w:r>
        <w:t>an increased use of</w:t>
      </w:r>
      <w:r w:rsidRPr="00B229A4">
        <w:t xml:space="preserve"> cleaner and “free” energy </w:t>
      </w:r>
      <w:r>
        <w:lastRenderedPageBreak/>
        <w:t>during</w:t>
      </w:r>
      <w:r w:rsidRPr="00B229A4">
        <w:t xml:space="preserve"> operation</w:t>
      </w:r>
      <w:r>
        <w:t>.</w:t>
      </w:r>
      <w:r w:rsidRPr="00B229A4">
        <w:t xml:space="preserve"> </w:t>
      </w:r>
      <w:r>
        <w:t>This aspect holds</w:t>
      </w:r>
      <w:r w:rsidRPr="00B229A4">
        <w:t xml:space="preserve"> interest both homeowners and grid operators</w:t>
      </w:r>
      <w:r>
        <w:t xml:space="preserve">. </w:t>
      </w:r>
    </w:p>
    <w:p w14:paraId="497213C5" w14:textId="029C3531" w:rsidR="006F0253" w:rsidRDefault="006F0253" w:rsidP="006F0253">
      <w:pPr>
        <w:pStyle w:val="Heading2"/>
      </w:pPr>
      <w:bookmarkStart w:id="469" w:name="_Toc141991751"/>
      <w:r>
        <w:t>Limitations</w:t>
      </w:r>
      <w:bookmarkEnd w:id="469"/>
      <w:r>
        <w:t xml:space="preserve"> </w:t>
      </w:r>
    </w:p>
    <w:p w14:paraId="7CC2097C" w14:textId="68E76E8B" w:rsidR="006F0253" w:rsidRDefault="009032C0" w:rsidP="006F0253">
      <w:pPr>
        <w:pStyle w:val="Heading3"/>
      </w:pPr>
      <w:bookmarkStart w:id="470" w:name="_Toc141991752"/>
      <w:r>
        <w:t>Internal</w:t>
      </w:r>
      <w:r w:rsidR="00F35ABF">
        <w:t xml:space="preserve"> heat gain and occupancy</w:t>
      </w:r>
      <w:bookmarkEnd w:id="470"/>
      <w:r w:rsidR="00F35ABF">
        <w:t xml:space="preserve"> </w:t>
      </w:r>
    </w:p>
    <w:p w14:paraId="0816A14D" w14:textId="1F55842E" w:rsidR="00757EFD" w:rsidRPr="00757EFD" w:rsidRDefault="000903AC" w:rsidP="00C72D79">
      <w:r>
        <w:t>Internal</w:t>
      </w:r>
      <w:r w:rsidR="00B229A4" w:rsidRPr="00B229A4">
        <w:t xml:space="preserve"> gain and occupancy schedules</w:t>
      </w:r>
      <w:r>
        <w:t xml:space="preserve"> from individuals</w:t>
      </w:r>
      <w:r w:rsidR="00B229A4" w:rsidRPr="00B229A4">
        <w:t xml:space="preserve"> are not considered in our optimization framework. This is not only because </w:t>
      </w:r>
      <w:r>
        <w:t>the heat generated by normal human activity generally</w:t>
      </w:r>
      <w:r w:rsidR="00B229A4" w:rsidRPr="00B229A4">
        <w:t xml:space="preserve"> has a relatively small</w:t>
      </w:r>
      <w:r>
        <w:t>er</w:t>
      </w:r>
      <w:r w:rsidR="00B229A4" w:rsidRPr="00B229A4">
        <w:t xml:space="preserve"> impact compared </w:t>
      </w:r>
      <w:r>
        <w:t>to influences</w:t>
      </w:r>
      <w:r w:rsidR="00B229A4" w:rsidRPr="00B229A4">
        <w:t xml:space="preserve"> from outdoor air, solar irradiation, AC cooling, and infiltration in a residential building</w:t>
      </w:r>
      <w:r>
        <w:t>.</w:t>
      </w:r>
      <w:r w:rsidR="00B229A4" w:rsidRPr="00B229A4">
        <w:t xml:space="preserve"> </w:t>
      </w:r>
      <w:r>
        <w:t>Additionally, the current</w:t>
      </w:r>
      <w:r w:rsidR="00B229A4" w:rsidRPr="00B229A4">
        <w:t xml:space="preserve"> occupancy sensor </w:t>
      </w:r>
      <w:r>
        <w:t>technology in residential building</w:t>
      </w:r>
      <w:r w:rsidR="00B229A4" w:rsidRPr="00B229A4">
        <w:t xml:space="preserve"> is relatively </w:t>
      </w:r>
      <w:r>
        <w:t>simple</w:t>
      </w:r>
      <w:r w:rsidR="00B229A4" w:rsidRPr="00B229A4">
        <w:t xml:space="preserve">. For example, the occupancy detection embedded in the thermostat and node sensor used in this study relied on infrared technology, which means it </w:t>
      </w:r>
      <w:r>
        <w:t>fails to</w:t>
      </w:r>
      <w:r w:rsidR="00B229A4" w:rsidRPr="00B229A4">
        <w:t xml:space="preserve"> detect an occupied signal unless the homeowner</w:t>
      </w:r>
      <w:r>
        <w:t xml:space="preserve"> physically</w:t>
      </w:r>
      <w:r w:rsidR="00B229A4" w:rsidRPr="00B229A4">
        <w:t xml:space="preserve"> passes by the sensor. </w:t>
      </w:r>
      <w:r>
        <w:t>Consequently</w:t>
      </w:r>
      <w:r w:rsidR="00B229A4" w:rsidRPr="00B229A4">
        <w:t xml:space="preserve">, if the thermostat or sensor is located in a </w:t>
      </w:r>
      <w:r>
        <w:t>less traff</w:t>
      </w:r>
      <w:r w:rsidR="00632704">
        <w:t>ic</w:t>
      </w:r>
      <w:r>
        <w:t xml:space="preserve"> area</w:t>
      </w:r>
      <w:r w:rsidR="00B229A4" w:rsidRPr="00B229A4">
        <w:t xml:space="preserve"> in a </w:t>
      </w:r>
      <w:r>
        <w:t>home</w:t>
      </w:r>
      <w:r w:rsidR="00B229A4" w:rsidRPr="00B229A4">
        <w:t xml:space="preserve">, such measurement </w:t>
      </w:r>
      <w:r>
        <w:t>is likely to be in</w:t>
      </w:r>
      <w:r w:rsidR="00B229A4" w:rsidRPr="00B229A4">
        <w:t>accurate</w:t>
      </w:r>
      <w:r>
        <w:t>. Inaccurate occupancy measurement may</w:t>
      </w:r>
      <w:r w:rsidR="00B229A4" w:rsidRPr="00B229A4">
        <w:t xml:space="preserve"> </w:t>
      </w:r>
      <w:r w:rsidR="00B91E85">
        <w:t>lead</w:t>
      </w:r>
      <w:r>
        <w:t xml:space="preserve"> to</w:t>
      </w:r>
      <w:r w:rsidR="00B229A4" w:rsidRPr="00B229A4">
        <w:t xml:space="preserve"> </w:t>
      </w:r>
      <w:r>
        <w:t>less</w:t>
      </w:r>
      <w:r w:rsidR="00B229A4" w:rsidRPr="00B229A4">
        <w:t xml:space="preserve"> optimal </w:t>
      </w:r>
      <w:r w:rsidR="00632704" w:rsidRPr="00B229A4">
        <w:t>operation,</w:t>
      </w:r>
      <w:r>
        <w:t xml:space="preserve"> and it might even bring discomfort to homeowners</w:t>
      </w:r>
      <w:r w:rsidR="00B229A4" w:rsidRPr="00B229A4">
        <w:t>. In addition, different from the carbon dioxide (C</w:t>
      </w:r>
      <w:r w:rsidR="00632704">
        <w:t>O</w:t>
      </w:r>
      <w:r w:rsidR="00B229A4" w:rsidRPr="00B229A4">
        <w:t>2) sensors</w:t>
      </w:r>
      <w:r>
        <w:t>,</w:t>
      </w:r>
      <w:r w:rsidR="00B229A4" w:rsidRPr="00B229A4">
        <w:t xml:space="preserve"> which are </w:t>
      </w:r>
      <w:r>
        <w:t>frequently used</w:t>
      </w:r>
      <w:r w:rsidR="00B229A4" w:rsidRPr="00B229A4">
        <w:t xml:space="preserve"> in commercial buildings, the occupancy sensor </w:t>
      </w:r>
      <w:r>
        <w:t xml:space="preserve">currently </w:t>
      </w:r>
      <w:r w:rsidR="00B229A4" w:rsidRPr="00B229A4">
        <w:t xml:space="preserve">used in residential buildings </w:t>
      </w:r>
      <w:r w:rsidR="00666D03">
        <w:t>lacks</w:t>
      </w:r>
      <w:r>
        <w:t xml:space="preserve"> a headcount feature</w:t>
      </w:r>
      <w:r w:rsidR="00B229A4" w:rsidRPr="00B229A4">
        <w:t xml:space="preserve">. </w:t>
      </w:r>
      <w:r>
        <w:t>The heat gain from e</w:t>
      </w:r>
      <w:r w:rsidR="00B229A4" w:rsidRPr="00B229A4">
        <w:t xml:space="preserve">lectrical equipment </w:t>
      </w:r>
      <w:r>
        <w:t>is</w:t>
      </w:r>
      <w:r w:rsidR="00B229A4" w:rsidRPr="00B229A4">
        <w:t xml:space="preserve"> also ignored in this study. </w:t>
      </w:r>
      <w:r>
        <w:t>The electrical equipment</w:t>
      </w:r>
      <w:r w:rsidR="00B229A4" w:rsidRPr="00B229A4">
        <w:t xml:space="preserve"> included in this study is a clothes washer, dryer, and dishwasher, whose impact on the thermal dynamics </w:t>
      </w:r>
      <w:r>
        <w:t>remains</w:t>
      </w:r>
      <w:r w:rsidR="00B229A4" w:rsidRPr="00B229A4">
        <w:t xml:space="preserve"> relatively small</w:t>
      </w:r>
      <w:r w:rsidR="00864927">
        <w:t xml:space="preserve">. </w:t>
      </w:r>
    </w:p>
    <w:p w14:paraId="36E4CD1B" w14:textId="0DA75F29" w:rsidR="0028664F" w:rsidRDefault="00E062CE" w:rsidP="0028664F">
      <w:pPr>
        <w:pStyle w:val="Heading3"/>
      </w:pPr>
      <w:bookmarkStart w:id="471" w:name="_Toc141991753"/>
      <w:r>
        <w:t>Growth of the problem size</w:t>
      </w:r>
      <w:bookmarkEnd w:id="471"/>
    </w:p>
    <w:p w14:paraId="54C2644B" w14:textId="1502AE3C" w:rsidR="0025778A" w:rsidRPr="0025778A" w:rsidRDefault="000903AC" w:rsidP="00765EAE">
      <w:r w:rsidRPr="000903AC">
        <w:lastRenderedPageBreak/>
        <w:t xml:space="preserve">The </w:t>
      </w:r>
      <w:r w:rsidRPr="00911C0A">
        <w:rPr>
          <w:i/>
          <w:iCs/>
        </w:rPr>
        <w:t>curse of dimensionality</w:t>
      </w:r>
      <w:r w:rsidRPr="000903AC">
        <w:t xml:space="preserve"> is </w:t>
      </w:r>
      <w:r w:rsidR="00B91E85">
        <w:t>a</w:t>
      </w:r>
      <w:r w:rsidRPr="000903AC">
        <w:t xml:space="preserve"> </w:t>
      </w:r>
      <w:r w:rsidR="00B91E85" w:rsidRPr="000903AC">
        <w:t>common bottleneck of the optimization scheduling algorithm</w:t>
      </w:r>
      <w:r w:rsidRPr="000903AC">
        <w:t xml:space="preserve">. </w:t>
      </w:r>
      <w:r w:rsidRPr="00666D03">
        <w:t xml:space="preserve">In </w:t>
      </w:r>
      <w:r w:rsidR="00236DD9" w:rsidRPr="00666D03">
        <w:fldChar w:fldCharType="begin"/>
      </w:r>
      <w:r w:rsidR="0082416B">
        <w:instrText xml:space="preserve"> ADDIN ZOTERO_ITEM CSL_CITATION {"citationID":"as8dt4olqb","properties":{"formattedCitation":"[149]","plainCitation":"[149]","noteIndex":0},"citationItems":[{"id":1628,"uris":["http://zotero.org/users/5659608/items/DV563QE8"],"itemData":{"id":1628,"type":"article-journal","abstract":"The increasing demand for electricity and the emergence of smart grids have presented new opportunities for home energy management systems (HEMS) in demand response markets. HEMS are demand response tools that shift and curtail demand to improve the energy consumption and production profile of a dwelling on behalf of a consumer. HEMS usually create optimal consumption and production schedules by considering multiple objectives such as energy costs, environmental concerns, load profiles, and consumer comfort. The existing literature has presented several methods, such as mathematical optimization, model predictive control, and heuristic control, for creating efficient operation schedules and for making good consumption and production decisions. However, the effectiveness of the methods in the existing literature can be difficult to compare due to diversity in modelling parameters, such as appliance models, timing parameters, and objectives. The present paper provides a comparative analysis of the literature on HEMS, with a focus on modelling approaches and their impact on HEMS operations and outcomes. In particular, we discuss a set of HEMS challenges such as forecast uncertainty, modelling device heterogeneity, multi-objective scheduling, computational limitations, timing considerations, and modelling consumer well-being. The presented work is organized to allow a reader to understand and compare the important considerations, approaches, nomenclature, and results in prominent and new literary works without delving deeply into each one.","container-title":"Renewable and Sustainable Energy Reviews","DOI":"10.1016/j.rser.2015.01.046","ISSN":"1364-0321","journalAbbreviation":"Renewable and Sustainable Energy Reviews","language":"en","page":"318-335","source":"ScienceDirect","title":"Home energy management systems: A review of modelling and complexity","title-short":"Home energy management systems","volume":"45","author":[{"family":"Beaudin","given":"Marc"},{"family":"Zareipour","given":"Hamidreza"}],"issued":{"date-parts":[["2015",5,1]]},"citation-key":"beaudinHomeEnergyManagement2015"}}],"schema":"https://github.com/citation-style-language/schema/raw/master/csl-citation.json"} </w:instrText>
      </w:r>
      <w:r w:rsidR="00236DD9" w:rsidRPr="00666D03">
        <w:fldChar w:fldCharType="separate"/>
      </w:r>
      <w:r w:rsidR="0082416B" w:rsidRPr="0082416B">
        <w:t>[149]</w:t>
      </w:r>
      <w:r w:rsidR="00236DD9" w:rsidRPr="00666D03">
        <w:fldChar w:fldCharType="end"/>
      </w:r>
      <w:r w:rsidRPr="00666D03">
        <w:t>,</w:t>
      </w:r>
      <w:r w:rsidRPr="000903AC">
        <w:t xml:space="preserve"> the author explained how the problem size can be growing super linearly </w:t>
      </w:r>
      <w:r w:rsidR="00B91E85">
        <w:t>with an</w:t>
      </w:r>
      <w:r w:rsidRPr="000903AC">
        <w:t xml:space="preserve"> increased number of scheduling time steps and the number of devices</w:t>
      </w:r>
      <w:r w:rsidR="00B91E85">
        <w:t xml:space="preserve"> using diagrams</w:t>
      </w:r>
      <w:r w:rsidRPr="000903AC">
        <w:t>. The author</w:t>
      </w:r>
      <w:r w:rsidR="00623535">
        <w:t>s</w:t>
      </w:r>
      <w:r w:rsidRPr="000903AC">
        <w:t xml:space="preserve"> also reviewed recent publications in terms of techniques used to reduce the computational burden</w:t>
      </w:r>
      <w:r w:rsidR="00B91E85">
        <w:t xml:space="preserve"> in home energy management system</w:t>
      </w:r>
      <w:r w:rsidRPr="000903AC">
        <w:t xml:space="preserve">. It can be observed that the current solution </w:t>
      </w:r>
      <w:r w:rsidR="00B91E85">
        <w:t>primarily</w:t>
      </w:r>
      <w:r w:rsidRPr="000903AC">
        <w:t xml:space="preserve"> focuses on reducing </w:t>
      </w:r>
      <w:r w:rsidR="00B91E85">
        <w:t xml:space="preserve">the </w:t>
      </w:r>
      <w:r w:rsidRPr="000903AC">
        <w:t xml:space="preserve">scheduling resolution or horizon, </w:t>
      </w:r>
      <w:r w:rsidR="00B91E85">
        <w:t>decreasing</w:t>
      </w:r>
      <w:r w:rsidRPr="000903AC">
        <w:t xml:space="preserve"> the number of devices, or combing </w:t>
      </w:r>
      <w:r w:rsidR="00B91E85">
        <w:t>both approaches</w:t>
      </w:r>
      <w:r w:rsidRPr="000903AC">
        <w:t xml:space="preserve">. </w:t>
      </w:r>
      <w:r w:rsidRPr="00B0601C">
        <w:t>Similar</w:t>
      </w:r>
      <w:r w:rsidR="00B91E85" w:rsidRPr="00B0601C">
        <w:t xml:space="preserve"> to</w:t>
      </w:r>
      <w:r w:rsidRPr="00B0601C">
        <w:t xml:space="preserve"> </w:t>
      </w:r>
      <w:r w:rsidR="00B0181D" w:rsidRPr="00B0601C">
        <w:fldChar w:fldCharType="begin"/>
      </w:r>
      <w:r w:rsidR="005D48B2">
        <w:instrText xml:space="preserve"> ADDIN ZOTERO_ITEM CSL_CITATION {"citationID":"aq0e2a7hjb","properties":{"formattedCitation":"[92]","plainCitation":"[92]","noteIndex":0},"citationItems":[{"id":1048,"uris":["http://zotero.org/users/5659608/items/RUNYCKG6"],"itemData":{"id":1048,"type":"article-journal","abstract":"At present, with the applying of distributed energy resource (DER) in the demand side, the difficulty of demand-side management (DSM) is increasing. Improving the consumption rate of DER is currently one of the important research contents of the home energy management system (HEMS). How to better coordinate household appliances to participate in the HEMS, so as to improve the situation is the focus of this paper. Due to the development of artificial intelligence and communication technology, we establish a household appliance optimization scheduling system. According to the household electricity-using habits, most household appliances are divided into three categories. Based on this, we propose a HEMS model, which aims to minimize the peak load and electricity cost of a smart home, and achieve single-objective and multi-objective optimization. In order to better implement the research of DER, the solar radiation data of one day in summer in Shanghai is used to compare with different capacities of photovoltaic energy storage system (PESS). Because the variables in the model are mostly binary or decimal integers, it is essentially a mixed integer programming (MIP). Therefore, a simulator has been implemented in the MATLAB software environment to facilitate the solution of proposed HEMS. The results show that the configuration of PESS is beneficial to the optimal scheduling of household appliances. In the single objective optimization, the peak load and electricity cost of scheme 4 is decreased by 61.51% and 71.39% compared with scheme 1, respectively. Besides, Pareto front is the most ideal in multi-objective optimization under scheme 4, and Pareto solutions distribution are more uniform, which can provide more scheduling choices for residential users. In addition, by comparing the different photovoltaic (PV) subsidy policies in 2013 and 2018, it is reasonable for China to gradually realize PV subsidy-free.","container-title":"Energy Reports","DOI":"10.1016/j.egyr.2020.09.001","ISSN":"2352-4847","journalAbbreviation":"Energy Reports","language":"en","page":"2450-2462","source":"ScienceDirect","title":"Home energy management in smart households: Optimal appliance scheduling model with photovoltaic energy storage system","title-short":"Home energy management in smart households","volume":"6","author":[{"family":"Lu","given":"Qing"},{"family":"Zhang","given":"Zhixin"},{"family":"Lü","given":"Shuaikang"}],"issued":{"date-parts":[["2020",11,1]]},"citation-key":"luHomeEnergyManagement2020"}}],"schema":"https://github.com/citation-style-language/schema/raw/master/csl-citation.json"} </w:instrText>
      </w:r>
      <w:r w:rsidR="00B0181D" w:rsidRPr="00B0601C">
        <w:fldChar w:fldCharType="separate"/>
      </w:r>
      <w:r w:rsidR="00B0601C" w:rsidRPr="00B0601C">
        <w:rPr>
          <w:kern w:val="0"/>
          <w:szCs w:val="24"/>
        </w:rPr>
        <w:t>[92]</w:t>
      </w:r>
      <w:r w:rsidR="00B0181D" w:rsidRPr="00B0601C">
        <w:fldChar w:fldCharType="end"/>
      </w:r>
      <w:r w:rsidRPr="00B0601C">
        <w:t>,</w:t>
      </w:r>
      <w:r w:rsidRPr="000903AC">
        <w:t xml:space="preserve"> </w:t>
      </w:r>
      <w:r w:rsidR="00B91E85">
        <w:t xml:space="preserve">this study delivers an </w:t>
      </w:r>
      <w:r w:rsidRPr="000903AC">
        <w:t>upper time limit</w:t>
      </w:r>
      <w:r w:rsidR="00B91E85">
        <w:t xml:space="preserve"> of 500 seconds</w:t>
      </w:r>
      <w:r w:rsidRPr="000903AC">
        <w:t xml:space="preserve"> </w:t>
      </w:r>
      <w:r w:rsidR="00B91E85">
        <w:t>for</w:t>
      </w:r>
      <w:r w:rsidRPr="000903AC">
        <w:t xml:space="preserve"> solving the optimal solution to the solver. </w:t>
      </w:r>
      <w:r w:rsidR="00B91E85">
        <w:t>This represents</w:t>
      </w:r>
      <w:r w:rsidRPr="000903AC">
        <w:t xml:space="preserve"> the trade-off between </w:t>
      </w:r>
      <w:r w:rsidR="00B91E85">
        <w:t>achieving optimal scheduling results</w:t>
      </w:r>
      <w:r w:rsidRPr="000903AC">
        <w:t xml:space="preserve"> and</w:t>
      </w:r>
      <w:r w:rsidR="00B91E85">
        <w:t xml:space="preserve"> managing the</w:t>
      </w:r>
      <w:r w:rsidRPr="000903AC">
        <w:t xml:space="preserve"> computational burden.</w:t>
      </w:r>
      <w:r w:rsidR="00397CB1">
        <w:t xml:space="preserve"> </w:t>
      </w:r>
      <w:r w:rsidR="00813250">
        <w:t xml:space="preserve">With the rapid development in the field of operational research and the </w:t>
      </w:r>
      <w:r w:rsidR="00220004">
        <w:t>emergence</w:t>
      </w:r>
      <w:r w:rsidR="00813250">
        <w:t xml:space="preserve"> of new algorithms, there may be more potential solutions to this issue. </w:t>
      </w:r>
      <w:r w:rsidR="00D33DF8">
        <w:t xml:space="preserve">  </w:t>
      </w:r>
    </w:p>
    <w:p w14:paraId="073DF4E6" w14:textId="23D51828" w:rsidR="00D85FB6" w:rsidRDefault="00D85FB6" w:rsidP="0028664F">
      <w:pPr>
        <w:pStyle w:val="Heading3"/>
      </w:pPr>
      <w:bookmarkStart w:id="472" w:name="_Ref139399263"/>
      <w:bookmarkStart w:id="473" w:name="_Toc141991754"/>
      <w:r>
        <w:t>Thermal comfort</w:t>
      </w:r>
      <w:bookmarkEnd w:id="472"/>
      <w:bookmarkEnd w:id="473"/>
      <w:r>
        <w:t xml:space="preserve"> </w:t>
      </w:r>
    </w:p>
    <w:p w14:paraId="1B650CFE" w14:textId="18FA4A3E" w:rsidR="00397CB1" w:rsidRPr="00397CB1" w:rsidRDefault="00813250" w:rsidP="00CC6497">
      <w:r w:rsidRPr="00813250">
        <w:t>In th</w:t>
      </w:r>
      <w:r w:rsidR="00713D80">
        <w:t xml:space="preserve">e impact </w:t>
      </w:r>
      <w:r>
        <w:t>study</w:t>
      </w:r>
      <w:r w:rsidRPr="00813250">
        <w:t xml:space="preserve">, </w:t>
      </w:r>
      <w:r>
        <w:t>it is assumed that</w:t>
      </w:r>
      <w:r w:rsidR="00713D80">
        <w:t xml:space="preserve"> </w:t>
      </w:r>
      <w:r w:rsidRPr="00813250">
        <w:t xml:space="preserve">user’s thermal comfort </w:t>
      </w:r>
      <w:r>
        <w:t>range</w:t>
      </w:r>
      <w:r w:rsidRPr="00813250">
        <w:t xml:space="preserve"> </w:t>
      </w:r>
      <w:r w:rsidR="00713D80">
        <w:t xml:space="preserve">is known </w:t>
      </w:r>
      <w:r w:rsidRPr="00813250">
        <w:t xml:space="preserve">before the MPC agent </w:t>
      </w:r>
      <w:r>
        <w:t xml:space="preserve">begins </w:t>
      </w:r>
      <w:r w:rsidRPr="00813250">
        <w:t>precooling or the home energy management framework start</w:t>
      </w:r>
      <w:r>
        <w:t>s</w:t>
      </w:r>
      <w:r w:rsidRPr="00813250">
        <w:t xml:space="preserve"> to control the appliances. </w:t>
      </w:r>
      <w:r>
        <w:t xml:space="preserve">While </w:t>
      </w:r>
      <w:r w:rsidRPr="00813250">
        <w:t>several thermal comfort models such a</w:t>
      </w:r>
      <w:r w:rsidRPr="00231D09">
        <w:t>s PMV and PDD</w:t>
      </w:r>
      <w:r w:rsidR="00D91C3D" w:rsidRPr="00231D09">
        <w:t xml:space="preserve"> </w:t>
      </w:r>
      <w:r w:rsidR="00D91C3D" w:rsidRPr="00231D09">
        <w:fldChar w:fldCharType="begin"/>
      </w:r>
      <w:r w:rsidR="0082416B">
        <w:instrText xml:space="preserve"> ADDIN ZOTERO_ITEM CSL_CITATION {"citationID":"a2n2u77h4v0","properties":{"formattedCitation":"[150,151]","plainCitation":"[150,151]","noteIndex":0},"citationItems":[{"id":1942,"uris":["http://zotero.org/users/5659608/items/D2FHZBZN"],"itemData":{"id":1942,"type":"document","publisher":"New York: McGraw-Hill","title":"Thermal comfort, analysis and application in environmental engineering","author":[{"family":"Fanger","given":"Povl Ole"}],"issued":{"date-parts":[["1972"]]},"citation-key":"fangerThermalComfortAnalysis1972"}},{"id":1983,"uris":["http://zotero.org/users/5659608/items/Q45EZ4GI"],"itemData":{"id":1983,"type":"article-journal","abstract":"Fanger, P. O. (1973).British Journal of Industrial Medicine,30, 313-324. Assessment of man's thermal comfort in practice. A review is given of existing knowledge regarding the conditions for thermal comfort. Both physiological and environmental comfort conditions are discussed. Comfort criteria are shown diagrammatically, and their application is illustrated by numerous practical examples. Furthermore, the effect on the comfort conditions of age, adaptation, sex, seasonal and circadian rhythm, and unilateral heating or cooling of the body is discussed. The term `climate monotony' is considered. A method is recommended for the evaluation of the quality of thermal environments in practice.","container-title":"British Journal of Industrial Medicine","DOI":"10.1136/oem.30.4.313","ISSN":"0007-1072","issue":"4","journalAbbreviation":"Br J Ind Med","language":"eng","note":"PMID: 4584998\nPMCID: PMC1069471","page":"313-324","source":"PubMed","title":"Assessment of man's thermal comfort in practice","volume":"30","author":[{"family":"Fanger","given":"P. O."}],"issued":{"date-parts":[["1973",10]]},"citation-key":"fangerAssessmentManThermal1973"}}],"schema":"https://github.com/citation-style-language/schema/raw/master/csl-citation.json"} </w:instrText>
      </w:r>
      <w:r w:rsidR="00D91C3D" w:rsidRPr="00231D09">
        <w:fldChar w:fldCharType="separate"/>
      </w:r>
      <w:r w:rsidR="0082416B" w:rsidRPr="0082416B">
        <w:t>[150,151]</w:t>
      </w:r>
      <w:r w:rsidR="00D91C3D" w:rsidRPr="00231D09">
        <w:fldChar w:fldCharType="end"/>
      </w:r>
      <w:r w:rsidRPr="00231D09">
        <w:t xml:space="preserve"> can be embedded in the energy management framework, two limitations needed to be taken into account. </w:t>
      </w:r>
      <w:r w:rsidRPr="00813250">
        <w:t>First, the PMV and PDD ind</w:t>
      </w:r>
      <w:r>
        <w:t>ices</w:t>
      </w:r>
      <w:r w:rsidRPr="00813250">
        <w:t xml:space="preserve"> mainly f</w:t>
      </w:r>
      <w:r>
        <w:t xml:space="preserve">ocus </w:t>
      </w:r>
      <w:r w:rsidRPr="00813250">
        <w:t xml:space="preserve">on a group of people’s thermal </w:t>
      </w:r>
      <w:r>
        <w:t>comfort rather than on individual</w:t>
      </w:r>
      <w:r w:rsidRPr="00813250">
        <w:t xml:space="preserve"> thermal comfort. As shown in the field test study, homeowners lived in </w:t>
      </w:r>
      <w:r>
        <w:t>houses with similar size</w:t>
      </w:r>
      <w:r w:rsidRPr="00813250">
        <w:t xml:space="preserve">, locations, and construction </w:t>
      </w:r>
      <w:r>
        <w:t xml:space="preserve">may </w:t>
      </w:r>
      <w:r w:rsidRPr="00813250">
        <w:t>have different thermal comfort ranges</w:t>
      </w:r>
      <w:r>
        <w:t>. This suggests that</w:t>
      </w:r>
      <w:r w:rsidRPr="00813250">
        <w:t xml:space="preserve"> a</w:t>
      </w:r>
      <w:r w:rsidR="00713D80">
        <w:t xml:space="preserve"> </w:t>
      </w:r>
      <w:r w:rsidRPr="00813250">
        <w:t xml:space="preserve">PMV or PDD index might not be </w:t>
      </w:r>
      <w:r w:rsidR="00713D80">
        <w:t>appropriate</w:t>
      </w:r>
      <w:r w:rsidRPr="00813250">
        <w:t xml:space="preserve"> </w:t>
      </w:r>
      <w:r>
        <w:t>for</w:t>
      </w:r>
      <w:r w:rsidRPr="00813250">
        <w:t xml:space="preserve"> </w:t>
      </w:r>
      <w:r>
        <w:t xml:space="preserve">a smart home </w:t>
      </w:r>
      <w:r>
        <w:lastRenderedPageBreak/>
        <w:t>environment</w:t>
      </w:r>
      <w:r w:rsidRPr="00813250">
        <w:t xml:space="preserve">, where usually only two or three </w:t>
      </w:r>
      <w:r>
        <w:t>individuals</w:t>
      </w:r>
      <w:r w:rsidRPr="00813250">
        <w:t xml:space="preserve"> d</w:t>
      </w:r>
      <w:r>
        <w:t>etermines the HVAC system setpoint</w:t>
      </w:r>
      <w:r w:rsidRPr="00813250">
        <w:t xml:space="preserve">. </w:t>
      </w:r>
      <w:r>
        <w:t>The second limitation is that</w:t>
      </w:r>
      <w:r w:rsidRPr="00813250">
        <w:t xml:space="preserve"> thermal comfort</w:t>
      </w:r>
      <w:r>
        <w:t xml:space="preserve"> </w:t>
      </w:r>
      <w:r w:rsidRPr="00813250">
        <w:t xml:space="preserve">should be </w:t>
      </w:r>
      <w:r>
        <w:t xml:space="preserve">considered as </w:t>
      </w:r>
      <w:r w:rsidRPr="00813250">
        <w:t>a transient model</w:t>
      </w:r>
      <w:r>
        <w:t xml:space="preserve">, as discussed in </w:t>
      </w:r>
      <w:r w:rsidRPr="00231D09">
        <w:t>various publications</w:t>
      </w:r>
      <w:r>
        <w:t xml:space="preserve"> </w:t>
      </w:r>
      <w:r w:rsidR="003C0176" w:rsidRPr="00231D09">
        <w:rPr>
          <w:rFonts w:hint="eastAsia"/>
        </w:rPr>
        <w:t>such</w:t>
      </w:r>
      <w:r w:rsidR="003C0176" w:rsidRPr="00231D09">
        <w:t xml:space="preserve"> </w:t>
      </w:r>
      <w:r w:rsidR="003C0176" w:rsidRPr="00231D09">
        <w:rPr>
          <w:rFonts w:hint="eastAsia"/>
        </w:rPr>
        <w:t>as</w:t>
      </w:r>
      <w:r w:rsidR="003C0176" w:rsidRPr="00231D09">
        <w:t xml:space="preserve"> </w:t>
      </w:r>
      <w:r w:rsidR="00F12BAB" w:rsidRPr="00231D09">
        <w:fldChar w:fldCharType="begin"/>
      </w:r>
      <w:r w:rsidR="0082416B">
        <w:instrText xml:space="preserve"> ADDIN ZOTERO_ITEM CSL_CITATION {"citationID":"a183n6v5ear","properties":{"formattedCitation":"[152\\uc0\\u8211{}154]","plainCitation":"[152–154]","noteIndex":0},"citationItems":[{"id":1976,"uris":["http://zotero.org/users/5659608/items/HG2A6D7C"],"itemData":{"id":1976,"type":"article-journal","abstract":"Most existing thermal comfort models are only applicable only in uniform, steady-state thermal environments. This thesis presents results from 109 human subject tests that were performed under non-uniform and transient conditions in the UC Berkeley Controlled Environmental Chamber. In these tests, local body surfaces of the subjects were independently heated or cooled while the rest of the body was exposed to a warm, neutral or cool environment. Skin temperatures, core temperature, thermal sensation and comfort responses were collected at one- to three-minute intervals. Based on these tests, we have developed predictive models of local and overall thermal sensation and comfort:Local thermal sensation for 19 body partsLocal thermal comfort model for 19 body partsOverall sensation modelOverall comfort modelA separate set of tests was carried out in an automobile in a climate-controlled wind tunnel at the Delphi Harrison facility in Lockport, NY. These tests simulated conditions found in vehicles during both hot and cold weather. The subjects’ body temperatures, thermal sensation and thermal comfort were measured similarly to those in the UCB chamber tests. The results of the Delphi tests were primarily used for model validation. The validation results show that the models predicted the actual sensation and comfort votes well.The models will be useful for designing and evaluating non-uniform and transient environments in buildings, vehicles, and outdoors.","language":"en","source":"escholarship.org","title":"Human thermal sensation and comfort in transient and non-uniform thermal environments","URL":"https://escholarship.org/uc/item/11m0n1wt","author":[{"family":"Zhang","given":"H."}],"accessed":{"date-parts":[["2023",7,6]]},"issued":{"date-parts":[["2003",9,1]]},"citation-key":"zhangHumanThermalSensation2003"}},{"id":1928,"uris":["http://zotero.org/users/5659608/items/KBR4GLB4"],"itemData":{"id":1928,"type":"paper-conference","abstract":"Most thermal comfort models and indices consider the human body in environments with uniform and unchanging temperature. We developed a set of tools that simulate human response to changing and non-uniform thermal conditions adjacent to the body rather than average space conditions. This allows the analysis of thermal comfort under environmental conditions such as stratification, radiant asymmetry, and those created by personal environmental controls. We present a case study in which our tool is used to determine relaxed thermostat setpoints for multiple thermal zones of a US airport, leading to savings in energy consumption and first cost.","DOI":"10.26868/25222708.2019.210875","event-place":"Rome, Italy","event-title":"Building Simulation 2019","language":"en","page":"2675-2682","publisher-place":"Rome, Italy","source":"DOI.org (Crossref)","title":"Detailed Thermal Comfort Analysis from Preliminary to Final Design","URL":"http://www.ibpsa.org/proceedings/BS2019/BS2019_210875.pdf","author":[{"family":"Jones","given":"Nathaniel L"},{"family":"Chaires","given":"Ingrid"},{"family":"Goehring","given":"Alexej"}],"accessed":{"date-parts":[["2023",5,17]]},"citation-key":"jonesDetailedThermalComfort"}},{"id":1978,"uris":["http://zotero.org/users/5659608/items/XAJA3GJ7"],"itemData":{"id":1978,"type":"article-journal","abstract":"A thermoregulation model, joint system thermoregulation model (JOS-3), was developed based on JOS-2. JOS-3 consists of 83 nodes, and human physiological responses and body temperatures are calculated using the backward difference method. In JOS-3, brown adipose tissue activity, aging effects, and heat gain by shortwave solar radiation at the skin, are installed to predict human physiological responses, considering personal characteristics in transient and non-uniform thermal environments. In addition, methods to determine shivering thermogenesis, sweating distribution, and basal metabolic rate were modified from those used in JOS-2. We coded JOS-3 in Python-3 and published the JOS-3 package. This model was validated by comparing its results with those of human subject tests conducted under stable and transient conditions. It was confirmed that JOS-3 has a higher accuracy for heat production in young and older subjects and mean skin temperature in older subjects than JOS-2 under cold environmental conditions. Moreover, JOS-3 was simulated in nine transient conditions. Consequently, the root mean-squared error (RMSE) of the rectal and mean skin temperatures between the predicted and experimental values were 0.12–0.38 and 0.58–0.83 °C, respectively.","container-title":"Energy and Buildings","DOI":"10.1016/j.enbuild.2020.110575","ISSN":"0378-7788","journalAbbreviation":"Energy and Buildings","language":"en","page":"110575","source":"ScienceDirect","title":"Thermoregulation model JOS-3 with new open source code","volume":"231","author":[{"family":"Takahashi","given":"Yoshito"},{"family":"Nomoto","given":"Akihisa"},{"family":"Yoda","given":"Shu"},{"family":"Hisayama","given":"Ryo"},{"family":"Ogata","given":"Masayuki"},{"family":"Ozeki","given":"Yoshiichi"},{"family":"Tanabe","given":"Shin-ichi"}],"issued":{"date-parts":[["2021",1,15]]},"citation-key":"takahashiThermoregulationModelJOS32021"}}],"schema":"https://github.com/citation-style-language/schema/raw/master/csl-citation.json"} </w:instrText>
      </w:r>
      <w:r w:rsidR="00F12BAB" w:rsidRPr="00231D09">
        <w:fldChar w:fldCharType="separate"/>
      </w:r>
      <w:r w:rsidR="0082416B" w:rsidRPr="0082416B">
        <w:rPr>
          <w:kern w:val="0"/>
          <w:szCs w:val="24"/>
        </w:rPr>
        <w:t>[152–154]</w:t>
      </w:r>
      <w:r w:rsidR="00F12BAB" w:rsidRPr="00231D09">
        <w:fldChar w:fldCharType="end"/>
      </w:r>
      <w:r w:rsidRPr="00231D09">
        <w:t>.</w:t>
      </w:r>
      <w:r w:rsidRPr="00813250">
        <w:t xml:space="preserve"> </w:t>
      </w:r>
      <w:r>
        <w:t>In fact, w</w:t>
      </w:r>
      <w:r w:rsidRPr="00813250">
        <w:t xml:space="preserve">e have observed that </w:t>
      </w:r>
      <w:r w:rsidR="006F763B">
        <w:t>some</w:t>
      </w:r>
      <w:r w:rsidRPr="00813250">
        <w:t xml:space="preserve"> homeowner</w:t>
      </w:r>
      <w:r w:rsidR="006F763B">
        <w:t>s</w:t>
      </w:r>
      <w:r w:rsidRPr="00813250">
        <w:t xml:space="preserve"> </w:t>
      </w:r>
      <w:r w:rsidR="006F763B">
        <w:t>may</w:t>
      </w:r>
      <w:r w:rsidRPr="00813250">
        <w:t xml:space="preserve"> </w:t>
      </w:r>
      <w:r w:rsidR="006F763B">
        <w:t>return</w:t>
      </w:r>
      <w:r w:rsidRPr="00813250">
        <w:t xml:space="preserve"> home and </w:t>
      </w:r>
      <w:r w:rsidR="006F763B">
        <w:t>set</w:t>
      </w:r>
      <w:r w:rsidRPr="00813250">
        <w:t xml:space="preserve"> the AC to a lower setpoint than usual. </w:t>
      </w:r>
      <w:r w:rsidR="006F763B">
        <w:t>One significant explanation</w:t>
      </w:r>
      <w:r w:rsidRPr="00813250">
        <w:t xml:space="preserve"> </w:t>
      </w:r>
      <w:r w:rsidR="006F763B">
        <w:t xml:space="preserve">for this behavior </w:t>
      </w:r>
      <w:r w:rsidRPr="00813250">
        <w:t>is</w:t>
      </w:r>
      <w:r w:rsidR="006F763B">
        <w:t xml:space="preserve"> that</w:t>
      </w:r>
      <w:r w:rsidRPr="00813250">
        <w:t xml:space="preserve"> the </w:t>
      </w:r>
      <w:r w:rsidR="006F763B" w:rsidRPr="00813250">
        <w:t>change</w:t>
      </w:r>
      <w:r w:rsidRPr="00813250">
        <w:t xml:space="preserve"> in thermal comfort is </w:t>
      </w:r>
      <w:r w:rsidR="006F763B">
        <w:t>a transient process, not only determined by current environment (current room air temperature if homeowner is at home)</w:t>
      </w:r>
      <w:r w:rsidRPr="00813250">
        <w:t>,</w:t>
      </w:r>
      <w:r w:rsidR="006F763B">
        <w:t xml:space="preserve"> but </w:t>
      </w:r>
      <w:r w:rsidR="00E64809">
        <w:t xml:space="preserve">also influenced by </w:t>
      </w:r>
      <w:r w:rsidR="006F763B">
        <w:t>the previous environment (previous hot outdoor environment if homeowner come back from outside)</w:t>
      </w:r>
      <w:r w:rsidRPr="00813250">
        <w:t xml:space="preserve">. Homeowners </w:t>
      </w:r>
      <w:r w:rsidR="00E64809">
        <w:t>returning from</w:t>
      </w:r>
      <w:r w:rsidRPr="00813250">
        <w:t xml:space="preserve"> a very hot outdoor environment might </w:t>
      </w:r>
      <w:r w:rsidR="00E64809">
        <w:t>require</w:t>
      </w:r>
      <w:r w:rsidRPr="00813250">
        <w:t xml:space="preserve"> a lower temperature to remove the stored heat—this </w:t>
      </w:r>
      <w:r w:rsidR="00E64809">
        <w:t>could</w:t>
      </w:r>
      <w:r w:rsidRPr="00813250">
        <w:t xml:space="preserve"> </w:t>
      </w:r>
      <w:r w:rsidR="00E64809">
        <w:t>affect</w:t>
      </w:r>
      <w:r w:rsidRPr="00813250">
        <w:t xml:space="preserve"> the operation of the HVAC system as well. Therefore, </w:t>
      </w:r>
      <w:r w:rsidR="00E64809">
        <w:t xml:space="preserve">there is a need to integrate </w:t>
      </w:r>
      <w:r w:rsidRPr="00813250">
        <w:t>a personal thermal comfort model</w:t>
      </w:r>
      <w:r w:rsidR="00E64809">
        <w:t>,</w:t>
      </w:r>
      <w:r w:rsidRPr="00813250">
        <w:t xml:space="preserve"> which considered transient, non-uniform effects </w:t>
      </w:r>
      <w:r w:rsidR="00E64809">
        <w:t xml:space="preserve">in our proposed energy management framework </w:t>
      </w:r>
      <w:r w:rsidRPr="00813250">
        <w:t>in the future</w:t>
      </w:r>
      <w:r>
        <w:t>.</w:t>
      </w:r>
      <w:r w:rsidR="00440FEA">
        <w:t xml:space="preserve"> </w:t>
      </w:r>
    </w:p>
    <w:p w14:paraId="77BBEE70" w14:textId="16AC1997" w:rsidR="00D24440" w:rsidRDefault="00D24440" w:rsidP="00D24440">
      <w:pPr>
        <w:pStyle w:val="Heading2"/>
      </w:pPr>
      <w:bookmarkStart w:id="474" w:name="_Toc141991755"/>
      <w:r>
        <w:t>Future Studies</w:t>
      </w:r>
      <w:bookmarkEnd w:id="474"/>
      <w:r>
        <w:t xml:space="preserve"> </w:t>
      </w:r>
    </w:p>
    <w:p w14:paraId="74891363" w14:textId="6664CA75" w:rsidR="004821BA" w:rsidRDefault="00B573FB" w:rsidP="004821BA">
      <w:pPr>
        <w:pStyle w:val="Heading3"/>
      </w:pPr>
      <w:bookmarkStart w:id="475" w:name="_Toc141991756"/>
      <w:r>
        <w:t xml:space="preserve">Meta-model to quickly evaluate </w:t>
      </w:r>
      <w:r w:rsidR="004821BA">
        <w:t>energy flexibility potential of a home</w:t>
      </w:r>
      <w:bookmarkEnd w:id="475"/>
    </w:p>
    <w:p w14:paraId="110C7706" w14:textId="377A4AC0" w:rsidR="004F2001" w:rsidRDefault="00713D80" w:rsidP="00E26E50">
      <w:r>
        <w:t>Despite</w:t>
      </w:r>
      <w:r w:rsidR="00E64809" w:rsidRPr="00E64809">
        <w:t xml:space="preserve"> </w:t>
      </w:r>
      <w:r>
        <w:t>the</w:t>
      </w:r>
      <w:r w:rsidR="00E64809" w:rsidRPr="00E64809">
        <w:t xml:space="preserve"> impact analysis has </w:t>
      </w:r>
      <w:r>
        <w:t>concluded</w:t>
      </w:r>
      <w:r w:rsidRPr="00E64809">
        <w:t xml:space="preserve"> </w:t>
      </w:r>
      <w:r w:rsidR="00E64809" w:rsidRPr="00E64809">
        <w:t>dominat</w:t>
      </w:r>
      <w:r>
        <w:t>e</w:t>
      </w:r>
      <w:r w:rsidR="00E64809" w:rsidRPr="00E64809">
        <w:t xml:space="preserve"> impact factors </w:t>
      </w:r>
      <w:r w:rsidR="00E64809">
        <w:t xml:space="preserve">that </w:t>
      </w:r>
      <w:r w:rsidR="00E64809" w:rsidRPr="00E64809">
        <w:t>affect the optimal operation results</w:t>
      </w:r>
      <w:r>
        <w:t xml:space="preserve"> of the HEMS</w:t>
      </w:r>
      <w:r w:rsidR="00E64809" w:rsidRPr="00E64809">
        <w:t xml:space="preserve">, there is still a lack of a meta-model </w:t>
      </w:r>
      <w:r w:rsidR="00E64809">
        <w:t xml:space="preserve">that can </w:t>
      </w:r>
      <w:r w:rsidR="00E64809" w:rsidRPr="00E64809">
        <w:t xml:space="preserve">quickly evaluate load shifting potential of a home. </w:t>
      </w:r>
      <w:r w:rsidR="00E64809">
        <w:t>Once optimizations have been conducted in</w:t>
      </w:r>
      <w:r w:rsidR="00E64809" w:rsidRPr="00E64809">
        <w:t xml:space="preserve"> large </w:t>
      </w:r>
      <w:r w:rsidR="00E64809">
        <w:t xml:space="preserve">and diverse </w:t>
      </w:r>
      <w:r w:rsidR="00E64809" w:rsidRPr="00E64809">
        <w:t xml:space="preserve">enough residential buildings, </w:t>
      </w:r>
      <w:r w:rsidR="00E64809">
        <w:t xml:space="preserve">it would be possible to establish </w:t>
      </w:r>
      <w:r w:rsidR="00E64809" w:rsidRPr="00E64809">
        <w:t xml:space="preserve">a meta-model </w:t>
      </w:r>
      <w:r>
        <w:t>that connects</w:t>
      </w:r>
      <w:r w:rsidR="00E64809" w:rsidRPr="00E64809">
        <w:t xml:space="preserve"> building and homeowner characteristics to cost saving and energy flexibility under a specific demand response program. </w:t>
      </w:r>
      <w:r w:rsidR="00E64809">
        <w:t>Such a meta-model would allow</w:t>
      </w:r>
      <w:r w:rsidR="00E64809" w:rsidRPr="00E64809">
        <w:t xml:space="preserve"> the homeowner </w:t>
      </w:r>
      <w:r w:rsidR="00E64809">
        <w:t>to estimate their</w:t>
      </w:r>
      <w:r w:rsidR="00E64809" w:rsidRPr="00E64809">
        <w:t xml:space="preserve"> </w:t>
      </w:r>
      <w:r w:rsidR="00E64809" w:rsidRPr="00E64809">
        <w:lastRenderedPageBreak/>
        <w:t xml:space="preserve">average precooling potential </w:t>
      </w:r>
      <w:r w:rsidR="00E64809">
        <w:t>prior to implementing</w:t>
      </w:r>
      <w:r w:rsidR="00E64809" w:rsidRPr="00E64809">
        <w:t xml:space="preserve"> the energy management framework, and </w:t>
      </w:r>
      <w:r w:rsidR="00E64809">
        <w:t>it would also facilitate</w:t>
      </w:r>
      <w:r w:rsidR="00E64809" w:rsidRPr="00E64809">
        <w:t xml:space="preserve"> policymaker</w:t>
      </w:r>
      <w:r w:rsidR="00E64809">
        <w:t>s</w:t>
      </w:r>
      <w:r w:rsidR="00E64809" w:rsidRPr="00E64809">
        <w:t xml:space="preserve"> or grid</w:t>
      </w:r>
      <w:r w:rsidR="00E64809">
        <w:t xml:space="preserve"> operators</w:t>
      </w:r>
      <w:r w:rsidR="00E64809" w:rsidRPr="00E64809">
        <w:t xml:space="preserve"> </w:t>
      </w:r>
      <w:r w:rsidR="00E64809">
        <w:t>to</w:t>
      </w:r>
      <w:r w:rsidR="00E64809" w:rsidRPr="00E64809">
        <w:t xml:space="preserve"> quantify the energy flexibility of a group of buildings </w:t>
      </w:r>
      <w:r w:rsidR="00E64809">
        <w:t>with ease</w:t>
      </w:r>
      <w:r w:rsidR="00E64809" w:rsidRPr="00E64809">
        <w:t xml:space="preserve">. Although, there are already some researchers </w:t>
      </w:r>
      <w:r w:rsidR="00E64809">
        <w:t xml:space="preserve">discussed </w:t>
      </w:r>
      <w:r w:rsidR="00E64809" w:rsidRPr="00E64809">
        <w:t xml:space="preserve">about such a meta-model, developing </w:t>
      </w:r>
      <w:r w:rsidR="00E64809">
        <w:t>the meta-model</w:t>
      </w:r>
      <w:r w:rsidR="00E64809" w:rsidRPr="00E64809">
        <w:t xml:space="preserve"> requires a large and diverse set of residential buildings. In this </w:t>
      </w:r>
      <w:r w:rsidR="00E64809">
        <w:t>regard,</w:t>
      </w:r>
      <w:r w:rsidR="00E64809" w:rsidRPr="00E64809">
        <w:t xml:space="preserve"> some representative building stock, such as </w:t>
      </w:r>
      <w:r w:rsidR="00E64809" w:rsidRPr="00C86DF1">
        <w:t>ResStock</w:t>
      </w:r>
      <w:r w:rsidR="00F77E85">
        <w:t xml:space="preserve"> </w:t>
      </w:r>
      <w:r w:rsidR="00383E5A" w:rsidRPr="00C86DF1">
        <w:fldChar w:fldCharType="begin"/>
      </w:r>
      <w:r w:rsidR="0082416B">
        <w:instrText xml:space="preserve"> ADDIN ZOTERO_ITEM CSL_CITATION {"citationID":"a25n8qmh988","properties":{"formattedCitation":"[155]","plainCitation":"[155]","noteIndex":0},"citationItems":[{"id":1990,"uris":["http://zotero.org/users/5659608/items/86NUGY2D"],"itemData":{"id":1990,"type":"report","note":"Citation Key: reyna2022us","publisher":"National Renewable Energy Lab.(NREL), Golden, CO (United States)","title":"US building stock characterization study: A national typology for decarbonizing US buildings","author":[{"family":"Reyna","given":"Janet"},{"family":"Wilson","given":"Eric"},{"family":"Parker","given":"Andrew"},{"family":"Satre-Meloy","given":"Aven"},{"family":"Egerter","given":"Amy"},{"family":"Bianchi","given":"Carlo"},{"family":"Praprost","given":"Marlena"},{"family":"Speake","given":"Andrew"},{"family":"Liu","given":"Lixi"},{"family":"Horsey","given":"Ry"},{"literal":"others"}],"issued":{"date-parts":[["2022"]]},"citation-key":"reyna2022us"}}],"schema":"https://github.com/citation-style-language/schema/raw/master/csl-citation.json"} </w:instrText>
      </w:r>
      <w:r w:rsidR="00383E5A" w:rsidRPr="00C86DF1">
        <w:fldChar w:fldCharType="separate"/>
      </w:r>
      <w:r w:rsidR="0082416B" w:rsidRPr="0082416B">
        <w:t>[155]</w:t>
      </w:r>
      <w:r w:rsidR="00383E5A" w:rsidRPr="00C86DF1">
        <w:fldChar w:fldCharType="end"/>
      </w:r>
      <w:r w:rsidR="00E64809" w:rsidRPr="00E64809">
        <w:t xml:space="preserve">, can </w:t>
      </w:r>
      <w:r w:rsidR="00E64809">
        <w:t>serve as important tools.</w:t>
      </w:r>
      <w:r w:rsidR="00542A1F">
        <w:t xml:space="preserve"> </w:t>
      </w:r>
    </w:p>
    <w:p w14:paraId="0E060831" w14:textId="72E6A804" w:rsidR="000636AC" w:rsidRDefault="00952BF9" w:rsidP="00952BF9">
      <w:pPr>
        <w:pStyle w:val="Heading3"/>
      </w:pPr>
      <w:bookmarkStart w:id="476" w:name="_Toc141991757"/>
      <w:r>
        <w:t>Data-driven o</w:t>
      </w:r>
      <w:r w:rsidR="003E4453">
        <w:t xml:space="preserve">ccupancy </w:t>
      </w:r>
      <w:r w:rsidR="00A40038">
        <w:t>behavior model</w:t>
      </w:r>
      <w:bookmarkEnd w:id="476"/>
    </w:p>
    <w:p w14:paraId="48484F2E" w14:textId="74C07E70" w:rsidR="006E4778" w:rsidRDefault="00542A1F" w:rsidP="006E4778">
      <w:r>
        <w:t xml:space="preserve">As mentioned in </w:t>
      </w:r>
      <w:r w:rsidR="0056707B">
        <w:t xml:space="preserve">Section </w:t>
      </w:r>
      <w:r w:rsidR="0056707B">
        <w:fldChar w:fldCharType="begin"/>
      </w:r>
      <w:r w:rsidR="0056707B">
        <w:instrText xml:space="preserve"> REF _Ref139399263 \r \h </w:instrText>
      </w:r>
      <w:r w:rsidR="0056707B">
        <w:fldChar w:fldCharType="separate"/>
      </w:r>
      <w:r w:rsidR="000E1725">
        <w:t>6.2.3</w:t>
      </w:r>
      <w:r w:rsidR="0056707B">
        <w:fldChar w:fldCharType="end"/>
      </w:r>
      <w:r w:rsidR="0056707B">
        <w:t xml:space="preserve">, </w:t>
      </w:r>
      <w:r w:rsidR="006E4778">
        <w:t xml:space="preserve">a personal thermal comfort model, which considered a transient change in human skin and core temperature, is needed. Although individual differences have been considered in various physical-based transient thermal comfort modeling, most of these differences are primarily represented by variables such as human body mass or blood flow rate. This does not sufficiently encompass differences in personal preferences. In this regard, a hybrid model to predict dynamic, individual thermal comfort might </w:t>
      </w:r>
      <w:r w:rsidR="00DB7359">
        <w:t>also be</w:t>
      </w:r>
      <w:r w:rsidR="006E4778">
        <w:t xml:space="preserve"> necessary for future work. </w:t>
      </w:r>
    </w:p>
    <w:p w14:paraId="5A225296" w14:textId="52511D22" w:rsidR="000F1759" w:rsidRPr="00542A1F" w:rsidRDefault="006E4778" w:rsidP="006E4778">
      <w:r>
        <w:t xml:space="preserve">Apart from the thermal comfort, a data-driven model to predict the times when occupants arrive and leave home could also significantly enhance the widespread of energy management framework. An </w:t>
      </w:r>
      <w:r w:rsidR="00DB7359">
        <w:t>important application</w:t>
      </w:r>
      <w:r>
        <w:t xml:space="preserve"> of this would be integrating the Electrical Vehicle (EV) charging schedules into the energy management framework, which largely depend on the homeowner’s arrival and departure home times</w:t>
      </w:r>
      <w:r w:rsidR="00C46D74">
        <w:t xml:space="preserve">. </w:t>
      </w:r>
    </w:p>
    <w:p w14:paraId="45652160" w14:textId="0DE5151E" w:rsidR="00DA7E4A" w:rsidRPr="00063599" w:rsidRDefault="005F493C" w:rsidP="00161AC5">
      <w:pPr>
        <w:pStyle w:val="Heading3"/>
      </w:pPr>
      <w:bookmarkStart w:id="477" w:name="_Toc141991758"/>
      <w:r>
        <w:t xml:space="preserve">Stochastic </w:t>
      </w:r>
      <w:r w:rsidR="00A30377">
        <w:t>optimizations</w:t>
      </w:r>
      <w:r>
        <w:t xml:space="preserve"> </w:t>
      </w:r>
      <w:r w:rsidR="00A30377">
        <w:t>consider uncertainty</w:t>
      </w:r>
      <w:bookmarkEnd w:id="477"/>
      <w:r w:rsidR="00A30377">
        <w:t xml:space="preserve"> </w:t>
      </w:r>
    </w:p>
    <w:p w14:paraId="4E51CF6E" w14:textId="139280FB" w:rsidR="00DA1630" w:rsidRDefault="006E4778" w:rsidP="00C86DF1">
      <w:r w:rsidRPr="006E4778">
        <w:lastRenderedPageBreak/>
        <w:t>In the energy management framework, several resources involve uncertaint</w:t>
      </w:r>
      <w:r>
        <w:t>ies,</w:t>
      </w:r>
      <w:r w:rsidRPr="006E4778">
        <w:t xml:space="preserve"> including the prediction such as the PV-power generation, forecasted weather condition</w:t>
      </w:r>
      <w:r>
        <w:t>s</w:t>
      </w:r>
      <w:r w:rsidRPr="006E4778">
        <w:t xml:space="preserve">, and the user’s appliance </w:t>
      </w:r>
      <w:r>
        <w:t>usage time</w:t>
      </w:r>
      <w:r w:rsidRPr="006E4778">
        <w:t xml:space="preserve">. </w:t>
      </w:r>
      <w:r>
        <w:t>As these uncertainties</w:t>
      </w:r>
      <w:r w:rsidRPr="006E4778">
        <w:t xml:space="preserve"> </w:t>
      </w:r>
      <w:r>
        <w:t>increase</w:t>
      </w:r>
      <w:r w:rsidRPr="006E4778">
        <w:t xml:space="preserve">, it </w:t>
      </w:r>
      <w:r>
        <w:t xml:space="preserve">becomes </w:t>
      </w:r>
      <w:r w:rsidRPr="006E4778">
        <w:t>worth</w:t>
      </w:r>
      <w:r>
        <w:t>while</w:t>
      </w:r>
      <w:r w:rsidRPr="006E4778">
        <w:t xml:space="preserve"> </w:t>
      </w:r>
      <w:r>
        <w:t>to conduct</w:t>
      </w:r>
      <w:r w:rsidRPr="006E4778">
        <w:t xml:space="preserve"> robust optimization</w:t>
      </w:r>
      <w:r>
        <w:t xml:space="preserve"> techniques</w:t>
      </w:r>
      <w:r w:rsidRPr="006E4778">
        <w:t>, such that stochastic optimization</w:t>
      </w:r>
      <w:r>
        <w:t>,</w:t>
      </w:r>
      <w:r w:rsidRPr="006E4778">
        <w:t xml:space="preserve"> to coordinate multiple load-flexible resources. However, stochastic optimization</w:t>
      </w:r>
      <w:r>
        <w:t xml:space="preserve"> often depends on</w:t>
      </w:r>
      <w:r w:rsidRPr="006E4778">
        <w:t xml:space="preserve"> maximizing the expectation of the objective </w:t>
      </w:r>
      <w:r w:rsidR="00911C0A">
        <w:t>across</w:t>
      </w:r>
      <w:r w:rsidRPr="006E4778">
        <w:t xml:space="preserve"> different scenarios, </w:t>
      </w:r>
      <w:r>
        <w:t>which can</w:t>
      </w:r>
      <w:r w:rsidRPr="006E4778">
        <w:t xml:space="preserve"> require </w:t>
      </w:r>
      <w:r>
        <w:t>substantial</w:t>
      </w:r>
      <w:r w:rsidRPr="006E4778">
        <w:t xml:space="preserve"> computational resources</w:t>
      </w:r>
      <w:r w:rsidR="00911C0A">
        <w:t xml:space="preserve"> due to multiple uncertainties resources exists</w:t>
      </w:r>
      <w:r w:rsidRPr="006E4778">
        <w:t xml:space="preserve">. Therefore, </w:t>
      </w:r>
      <w:r w:rsidR="00911C0A">
        <w:t>it is important to utilize or develop an algorithm</w:t>
      </w:r>
      <w:r w:rsidRPr="006E4778">
        <w:t xml:space="preserve"> </w:t>
      </w:r>
      <w:r w:rsidR="00911C0A">
        <w:t>capable</w:t>
      </w:r>
      <w:r w:rsidRPr="006E4778">
        <w:t xml:space="preserve"> reduc</w:t>
      </w:r>
      <w:r w:rsidR="00911C0A">
        <w:t>ing</w:t>
      </w:r>
      <w:r w:rsidRPr="006E4778">
        <w:t xml:space="preserve"> the number of </w:t>
      </w:r>
      <w:r w:rsidR="00911C0A">
        <w:t>potential</w:t>
      </w:r>
      <w:r w:rsidRPr="006E4778">
        <w:t xml:space="preserve"> scenarios </w:t>
      </w:r>
      <w:r w:rsidR="00911C0A">
        <w:t>derived from</w:t>
      </w:r>
      <w:r w:rsidRPr="006E4778">
        <w:t xml:space="preserve"> </w:t>
      </w:r>
      <w:r w:rsidR="00911C0A">
        <w:t>these multiple sources of uncertainty. Ideally, this algorithm should identify the most representative scenario, the worse scenario, and the best scenario, thereby balancing computation efficiency and with the quality of optimization</w:t>
      </w:r>
      <w:r w:rsidR="00A00CFC">
        <w:t xml:space="preserve">. </w:t>
      </w:r>
      <w:r w:rsidR="00DA1630">
        <w:br w:type="page"/>
      </w:r>
    </w:p>
    <w:p w14:paraId="767BDB99" w14:textId="77777777" w:rsidR="00194B62" w:rsidRPr="00AD3D41" w:rsidRDefault="00194B62" w:rsidP="00194B62">
      <w:pPr>
        <w:rPr>
          <w:rFonts w:eastAsia="PMingLiU"/>
          <w:lang w:bidi="en-US"/>
        </w:rPr>
      </w:pPr>
      <w:r w:rsidRPr="0008625D">
        <w:rPr>
          <w:lang w:bidi="en-US"/>
        </w:rPr>
        <w:lastRenderedPageBreak/>
        <w:t>This material is based upon work supported by the U.S. Department of Energy’s Office of Energy Efficiency and Renewable Energy (EERE) under the Building Technologies Office Award Number DE</w:t>
      </w:r>
      <w:r w:rsidRPr="00144532">
        <w:rPr>
          <w:lang w:bidi="en-US"/>
        </w:rPr>
        <w:t>-EE0008697.</w:t>
      </w:r>
    </w:p>
    <w:p w14:paraId="08A46FFA" w14:textId="77777777" w:rsidR="00194B62" w:rsidRPr="00B6436D" w:rsidRDefault="00194B62" w:rsidP="00194B62">
      <w:pPr>
        <w:pStyle w:val="Title"/>
      </w:pPr>
      <w:r w:rsidRPr="00154C5D">
        <w:rPr>
          <w:rFonts w:hint="eastAsia"/>
        </w:rPr>
        <w:t xml:space="preserve"> </w:t>
      </w:r>
      <w:bookmarkStart w:id="478" w:name="_Toc141991759"/>
      <w:r w:rsidRPr="00B6436D">
        <w:rPr>
          <w:rFonts w:hint="eastAsia"/>
        </w:rPr>
        <w:t>A</w:t>
      </w:r>
      <w:r w:rsidRPr="00B6436D">
        <w:t>ppendix</w:t>
      </w:r>
      <w:bookmarkEnd w:id="478"/>
      <w:r w:rsidRPr="00B6436D">
        <w:t xml:space="preserve"> </w:t>
      </w:r>
    </w:p>
    <w:p w14:paraId="276872CF" w14:textId="3FCD2186" w:rsidR="00194B62" w:rsidRPr="00F22439" w:rsidRDefault="00194B62" w:rsidP="00194B62">
      <w:pPr>
        <w:pStyle w:val="Subtitle"/>
      </w:pPr>
      <w:bookmarkStart w:id="479" w:name="_Toc141991760"/>
      <w:r w:rsidRPr="00F22439">
        <w:t xml:space="preserve">Appendix </w:t>
      </w:r>
      <w:r>
        <w:fldChar w:fldCharType="begin"/>
      </w:r>
      <w:r>
        <w:instrText>SEQ Appendix \* ALPHABETIC</w:instrText>
      </w:r>
      <w:r>
        <w:fldChar w:fldCharType="separate"/>
      </w:r>
      <w:r w:rsidR="000E1725">
        <w:rPr>
          <w:noProof/>
        </w:rPr>
        <w:t>A</w:t>
      </w:r>
      <w:r>
        <w:fldChar w:fldCharType="end"/>
      </w:r>
      <w:r w:rsidRPr="00F22439">
        <w:t>:</w:t>
      </w:r>
      <w:r>
        <w:t xml:space="preserve"> Matrix Profile-based</w:t>
      </w:r>
      <w:r w:rsidRPr="00F22439">
        <w:t xml:space="preserve"> Weather Clustering Algorithm</w:t>
      </w:r>
      <w:bookmarkEnd w:id="479"/>
      <w:r w:rsidRPr="00F22439">
        <w:t xml:space="preserve"> </w:t>
      </w:r>
    </w:p>
    <w:p w14:paraId="6D093062" w14:textId="074C212B" w:rsidR="00194B62" w:rsidRPr="00862C98" w:rsidRDefault="00194B62" w:rsidP="00194B62">
      <w:r w:rsidRPr="00862C98">
        <w:t xml:space="preserve">In this </w:t>
      </w:r>
      <w:r>
        <w:rPr>
          <w:rFonts w:hint="eastAsia"/>
        </w:rPr>
        <w:t>paper</w:t>
      </w:r>
      <w:r w:rsidRPr="00862C98">
        <w:t xml:space="preserve">, we combine the </w:t>
      </w:r>
      <w:r>
        <w:t xml:space="preserve">matrix profile-based data </w:t>
      </w:r>
      <w:r w:rsidRPr="00862C98">
        <w:t>snippets</w:t>
      </w:r>
      <w:r>
        <w:t xml:space="preserve"> from </w:t>
      </w:r>
      <w:r>
        <w:fldChar w:fldCharType="begin"/>
      </w:r>
      <w:r w:rsidR="00435D81">
        <w:instrText xml:space="preserve"> ADDIN ZOTERO_ITEM CSL_CITATION {"citationID":"arrhn1c49a","properties":{"formattedCitation":"[130,156]","plainCitation":"[130,156]","noteIndex":0},"citationItems":[{"id":1250,"uris":["http://zotero.org/users/5659608/items/X7KDK899"],"itemData":{"id":1250,"type":"paper-conference","abstract":"Perhaps the most basic query made by a data analyst confronting a new data source is “Show me some representative/typical data.” Answering this question is trivial in many domains, but surprisingly, it is very difficult in large time series datasets. The major difficulty is not time or space complexity, but defining what it means to be representative data in this domain. In this work, we show that the obvious candidate definitions: motifs, shapelets, cluster centers, random samples etc., are all poor choices. Thus motivated, we introduce time series snippets, a novel representation of typical time series subsequences. Beyond their utility for visualizing and summarizing massive time series collections, we show that time series snippets have utility for high-level comparison of large time series collections.","container-title":"2018 IEEE International Conference on Big Knowledge (ICBK)","DOI":"10.1109/ICBK.2018.00058","event-place":"Singapore","event-title":"2018 IEEE International Conference on Big Knowledge (ICBK)","ISBN":"978-1-5386-9125-0","language":"en","page":"382-389","publisher":"IEEE","publisher-place":"Singapore","source":"DOI.org (Crossref)","title":"Matrix Profile XIII: Time Series Snippets: A New Primitive for Time Series Data Mining","title-short":"Matrix Profile XIII","URL":"https://ieeexplore.ieee.org/document/8588817/","author":[{"family":"Imani","given":"Shima"},{"family":"Madrid","given":"Frank"},{"family":"Ding","given":"Wei"},{"family":"Crouter","given":"Scott"},{"family":"Keogh","given":"Eamonn"}],"accessed":{"date-parts":[["2022",11,20]]},"issued":{"date-parts":[["2018",11]]},"citation-key":"imaniMatrixProfileXIII2018"}},{"id":1254,"uris":["http://zotero.org/users/5659608/items/QZ8875WU"],"itemData":{"id":1254,"type":"paper-conference","abstract":"The all-pairs-similarity-search (or similarity join) problem has been extensively studied for text and a handful of other datatypes. However, surprisingly little progress has been made on similarity joins for time series subsequences. The lack of progress probably stems from the daunting nature of the problem. For even modest sized datasets the obvious nested-loop algorithm can take months, and the typical speed-up techniques in this domain (i.e., indexing, lower-bounding, triangularinequality pruning and early abandoning) at best produce one or two orders of magnitude speedup. In this work we introduce a novel scalable algorithm for time series subsequence all-pairssimilarity-search. For exceptionally large datasets, the algorithm can be trivially cast as an anytime algorithm and produce highquality approximate solutions in reasonable time. The exact similarity join algorithm computes the answer to the time series motif and time series discord problem as a side-effect, and our algorithm incidentally provides the fastest known algorithm for both these extensively-studied problems. We demonstrate the utility of our ideas for many time series data mining problems, including motif discovery, novelty discovery, shapelet discovery, semantic segmentation, density estimation, and contrast set mining.","container-title":"2016 IEEE 16th International Conference on Data Mining (ICDM)","DOI":"10.1109/ICDM.2016.0179","event-place":"Barcelona, Spain","event-title":"2016 IEEE 16th International Conference on Data Mining (ICDM)","ISBN":"978-1-5090-5473-2","language":"en","page":"1317-1322","publisher":"IEEE","publisher-place":"Barcelona, Spain","source":"DOI.org (Crossref)","title":"Matrix Profile I: All Pairs Similarity Joins for Time Series: A Unifying View That Includes Motifs, Discords and Shapelets","title-short":"Matrix Profile I","URL":"http://ieeexplore.ieee.org/document/7837992/","author":[{"family":"Yeh","given":"Chin-Chia Michael"},{"family":"Zhu","given":"Yan"},{"family":"Ulanova","given":"Liudmila"},{"family":"Begum","given":"Nurjahan"},{"family":"Ding","given":"Yifei"},{"family":"Dau","given":"Hoang Anh"},{"family":"Silva","given":"Diego Furtado"},{"family":"Mueen","given":"Abdullah"},{"family":"Keogh","given":"Eamonn"}],"accessed":{"date-parts":[["2022",11,20]]},"issued":{"date-parts":[["2016",12]]},"citation-key":"yehMatrixProfileAll2016"}}],"schema":"https://github.com/citation-style-language/schema/raw/master/csl-citation.json"} </w:instrText>
      </w:r>
      <w:r>
        <w:fldChar w:fldCharType="separate"/>
      </w:r>
      <w:r w:rsidR="00435D81" w:rsidRPr="00435D81">
        <w:rPr>
          <w:kern w:val="0"/>
          <w:szCs w:val="24"/>
        </w:rPr>
        <w:t>[130,156]</w:t>
      </w:r>
      <w:r>
        <w:fldChar w:fldCharType="end"/>
      </w:r>
      <w:r w:rsidRPr="00862C98">
        <w:t xml:space="preserve"> (</w:t>
      </w:r>
      <w:r>
        <w:t>for</w:t>
      </w:r>
      <w:r w:rsidRPr="00862C98">
        <w:t xml:space="preserve"> find</w:t>
      </w:r>
      <w:r>
        <w:t>ing</w:t>
      </w:r>
      <w:r w:rsidRPr="00862C98">
        <w:t xml:space="preserve"> the most</w:t>
      </w:r>
      <w:r>
        <w:t xml:space="preserve"> representative subsequence</w:t>
      </w:r>
      <w:r w:rsidRPr="00862C98">
        <w:t xml:space="preserve">) </w:t>
      </w:r>
      <w:r>
        <w:t>with the</w:t>
      </w:r>
      <w:r w:rsidRPr="00862C98">
        <w:t xml:space="preserve"> MASS algorithm</w:t>
      </w:r>
      <w:r>
        <w:t xml:space="preserve"> from </w:t>
      </w:r>
      <w:r>
        <w:fldChar w:fldCharType="begin"/>
      </w:r>
      <w:r w:rsidR="00435D81">
        <w:instrText xml:space="preserve"> ADDIN ZOTERO_ITEM CSL_CITATION {"citationID":"a2f1i81m5l5","properties":{"formattedCitation":"[156,157]","plainCitation":"[156,157]","noteIndex":0},"citationItems":[{"id":1254,"uris":["http://zotero.org/users/5659608/items/QZ8875WU"],"itemData":{"id":1254,"type":"paper-conference","abstract":"The all-pairs-similarity-search (or similarity join) problem has been extensively studied for text and a handful of other datatypes. However, surprisingly little progress has been made on similarity joins for time series subsequences. The lack of progress probably stems from the daunting nature of the problem. For even modest sized datasets the obvious nested-loop algorithm can take months, and the typical speed-up techniques in this domain (i.e., indexing, lower-bounding, triangularinequality pruning and early abandoning) at best produce one or two orders of magnitude speedup. In this work we introduce a novel scalable algorithm for time series subsequence all-pairssimilarity-search. For exceptionally large datasets, the algorithm can be trivially cast as an anytime algorithm and produce highquality approximate solutions in reasonable time. The exact similarity join algorithm computes the answer to the time series motif and time series discord problem as a side-effect, and our algorithm incidentally provides the fastest known algorithm for both these extensively-studied problems. We demonstrate the utility of our ideas for many time series data mining problems, including motif discovery, novelty discovery, shapelet discovery, semantic segmentation, density estimation, and contrast set mining.","container-title":"2016 IEEE 16th International Conference on Data Mining (ICDM)","DOI":"10.1109/ICDM.2016.0179","event-place":"Barcelona, Spain","event-title":"2016 IEEE 16th International Conference on Data Mining (ICDM)","ISBN":"978-1-5090-5473-2","language":"en","page":"1317-1322","publisher":"IEEE","publisher-place":"Barcelona, Spain","source":"DOI.org (Crossref)","title":"Matrix Profile I: All Pairs Similarity Joins for Time Series: A Unifying View That Includes Motifs, Discords and Shapelets","title-short":"Matrix Profile I","URL":"http://ieeexplore.ieee.org/document/7837992/","author":[{"family":"Yeh","given":"Chin-Chia Michael"},{"family":"Zhu","given":"Yan"},{"family":"Ulanova","given":"Liudmila"},{"family":"Begum","given":"Nurjahan"},{"family":"Ding","given":"Yifei"},{"family":"Dau","given":"Hoang Anh"},{"family":"Silva","given":"Diego Furtado"},{"family":"Mueen","given":"Abdullah"},{"family":"Keogh","given":"Eamonn"}],"accessed":{"date-parts":[["2022",11,20]]},"issued":{"date-parts":[["2016",12]]},"citation-key":"yehMatrixProfileAll2016"}},{"id":1541,"uris":["http://zotero.org/users/5659608/items/EQIXFUG5"],"itemData":{"id":1541,"type":"paper-conference","title":"The Fastest Similarity Search Algorithm for Time Series Subsequences under Euclidean Distance","author":[{"family":"Mueen","given":"Abdullah"},{"family":"Zhing","given":"Sheng"},{"family":"Zhu","given":"Yan"},{"family":"Yeh","given":"Michael"},{"family":"Kamgar","given":"Kaveh"},{"family":"Viswanathan","given":"Krishnamurthy"},{"family":"Gupta","given":"Chetan"},{"family":"Keogh","given":"Eamonn"}],"issued":{"date-parts":[["2022",8]]},"citation-key":"mueenFastestSimilaritySearch2022"}}],"schema":"https://github.com/citation-style-language/schema/raw/master/csl-citation.json"} </w:instrText>
      </w:r>
      <w:r>
        <w:fldChar w:fldCharType="separate"/>
      </w:r>
      <w:r w:rsidR="00435D81" w:rsidRPr="00435D81">
        <w:rPr>
          <w:kern w:val="0"/>
          <w:szCs w:val="24"/>
        </w:rPr>
        <w:t>[156,157]</w:t>
      </w:r>
      <w:r>
        <w:fldChar w:fldCharType="end"/>
      </w:r>
      <w:r w:rsidRPr="00862C98">
        <w:t xml:space="preserve"> (for a fast pattern discovery search) and </w:t>
      </w:r>
      <w:r>
        <w:t xml:space="preserve">introduce </w:t>
      </w:r>
      <w:r w:rsidRPr="00862C98">
        <w:t xml:space="preserve">our </w:t>
      </w:r>
      <w:r>
        <w:t xml:space="preserve">own </w:t>
      </w:r>
      <w:r w:rsidRPr="00862C98">
        <w:t xml:space="preserve">modification to </w:t>
      </w:r>
      <w:r>
        <w:t>group</w:t>
      </w:r>
      <w:r w:rsidRPr="00862C98">
        <w:t xml:space="preserve"> </w:t>
      </w:r>
      <w:r>
        <w:t xml:space="preserve">similar </w:t>
      </w:r>
      <w:r w:rsidRPr="00862C98">
        <w:t xml:space="preserve">weather </w:t>
      </w:r>
      <w:r>
        <w:t>patterns into clusters</w:t>
      </w:r>
      <w:r w:rsidRPr="00862C98">
        <w:t xml:space="preserve">. </w:t>
      </w:r>
      <w:r w:rsidR="00BC5AD4">
        <w:fldChar w:fldCharType="begin"/>
      </w:r>
      <w:r w:rsidR="00BC5AD4">
        <w:instrText xml:space="preserve"> REF _Ref141443622 \h </w:instrText>
      </w:r>
      <w:r w:rsidR="00BC5AD4">
        <w:fldChar w:fldCharType="separate"/>
      </w:r>
      <w:r w:rsidR="000E1725">
        <w:t xml:space="preserve">Figure A. </w:t>
      </w:r>
      <w:r w:rsidR="000E1725">
        <w:rPr>
          <w:noProof/>
        </w:rPr>
        <w:t>1</w:t>
      </w:r>
      <w:r w:rsidR="00BC5AD4">
        <w:fldChar w:fldCharType="end"/>
      </w:r>
      <w:r w:rsidR="00BC5AD4">
        <w:t xml:space="preserve"> </w:t>
      </w:r>
      <w:r>
        <w:t>displays</w:t>
      </w:r>
      <w:r w:rsidRPr="00862C98">
        <w:t xml:space="preserve"> </w:t>
      </w:r>
      <w:r>
        <w:t xml:space="preserve">a </w:t>
      </w:r>
      <w:r w:rsidRPr="00862C98">
        <w:t xml:space="preserve">flowchart that </w:t>
      </w:r>
      <w:r>
        <w:t>describes</w:t>
      </w:r>
      <w:r w:rsidRPr="00862C98">
        <w:t xml:space="preserve"> </w:t>
      </w:r>
      <w:r>
        <w:t>the</w:t>
      </w:r>
      <w:r w:rsidRPr="00862C98">
        <w:t xml:space="preserve"> </w:t>
      </w:r>
      <w:r>
        <w:t>modified</w:t>
      </w:r>
      <w:r w:rsidRPr="00862C98">
        <w:t xml:space="preserve"> algorithm</w:t>
      </w:r>
      <w:r>
        <w:t>, which contains three stages.</w:t>
      </w:r>
      <w:r w:rsidRPr="00862C98">
        <w:t xml:space="preserve"> </w:t>
      </w:r>
      <w:r>
        <w:t>The first stage is the data</w:t>
      </w:r>
      <w:r w:rsidRPr="00862C98">
        <w:t xml:space="preserve"> processing</w:t>
      </w:r>
      <w:r>
        <w:t xml:space="preserve">, whereby we first query historical weather datasets from a local weather station. We then resample the data at 5-minute intervals, remove duplicate and missing data, and run different data imputations (linear or polynomial interpolation) to improve data quality. The second stage is the time series snippets stage, whereby we use the matrix profile-based data snippets in </w:t>
      </w:r>
      <w:r w:rsidR="00F14362">
        <w:rPr>
          <w:noProof/>
        </w:rPr>
        <w:fldChar w:fldCharType="begin"/>
      </w:r>
      <w:r w:rsidR="00435D81">
        <w:rPr>
          <w:noProof/>
        </w:rPr>
        <w:instrText xml:space="preserve"> ADDIN ZOTERO_ITEM CSL_CITATION {"citationID":"aimnhcnorb","properties":{"formattedCitation":"[130]","plainCitation":"[130]","noteIndex":0},"citationItems":[{"id":1250,"uris":["http://zotero.org/users/5659608/items/X7KDK899"],"itemData":{"id":1250,"type":"paper-conference","abstract":"Perhaps the most basic query made by a data analyst confronting a new data source is “Show me some representative/typical data.” Answering this question is trivial in many domains, but surprisingly, it is very difficult in large time series datasets. The major difficulty is not time or space complexity, but defining what it means to be representative data in this domain. In this work, we show that the obvious candidate definitions: motifs, shapelets, cluster centers, random samples etc., are all poor choices. Thus motivated, we introduce time series snippets, a novel representation of typical time series subsequences. Beyond their utility for visualizing and summarizing massive time series collections, we show that time series snippets have utility for high-level comparison of large time series collections.","container-title":"2018 IEEE International Conference on Big Knowledge (ICBK)","DOI":"10.1109/ICBK.2018.00058","event-place":"Singapore","event-title":"2018 IEEE International Conference on Big Knowledge (ICBK)","ISBN":"978-1-5386-9125-0","language":"en","page":"382-389","publisher":"IEEE","publisher-place":"Singapore","source":"DOI.org (Crossref)","title":"Matrix Profile XIII: Time Series Snippets: A New Primitive for Time Series Data Mining","title-short":"Matrix Profile XIII","URL":"https://ieeexplore.ieee.org/document/8588817/","author":[{"family":"Imani","given":"Shima"},{"family":"Madrid","given":"Frank"},{"family":"Ding","given":"Wei"},{"family":"Crouter","given":"Scott"},{"family":"Keogh","given":"Eamonn"}],"accessed":{"date-parts":[["2022",11,20]]},"issued":{"date-parts":[["2018",11]]},"citation-key":"imaniMatrixProfileXIII2018"}}],"schema":"https://github.com/citation-style-language/schema/raw/master/csl-citation.json"} </w:instrText>
      </w:r>
      <w:r w:rsidR="00F14362">
        <w:rPr>
          <w:noProof/>
        </w:rPr>
        <w:fldChar w:fldCharType="separate"/>
      </w:r>
      <w:r w:rsidR="00435D81" w:rsidRPr="00435D81">
        <w:rPr>
          <w:kern w:val="0"/>
          <w:szCs w:val="24"/>
        </w:rPr>
        <w:t>[130]</w:t>
      </w:r>
      <w:r w:rsidR="00F14362">
        <w:rPr>
          <w:noProof/>
        </w:rPr>
        <w:fldChar w:fldCharType="end"/>
      </w:r>
      <w:r>
        <w:rPr>
          <w:noProof/>
        </w:rPr>
        <w:t xml:space="preserve"> to identify three representative days</w:t>
      </w:r>
      <w:r>
        <w:rPr>
          <w:noProof/>
        </w:rPr>
        <w:softHyphen/>
        <w:t xml:space="preserve">—hot, mild, and cold days—from July to october. The third stage is the clustering stage, whereby we first calculate the distance profiles of outdoor air temperature, solar irradiation, and relative humidity between each representative day and each 24-hour subsequnce. To speed up calculation, the MASS algorithm from </w:t>
      </w:r>
      <w:r>
        <w:rPr>
          <w:noProof/>
        </w:rPr>
        <w:fldChar w:fldCharType="begin"/>
      </w:r>
      <w:r w:rsidR="00435D81">
        <w:rPr>
          <w:noProof/>
        </w:rPr>
        <w:instrText xml:space="preserve"> ADDIN ZOTERO_ITEM CSL_CITATION {"citationID":"avbmstunqb","properties":{"formattedCitation":"[157]","plainCitation":"[157]","noteIndex":0},"citationItems":[{"id":1541,"uris":["http://zotero.org/users/5659608/items/EQIXFUG5"],"itemData":{"id":1541,"type":"paper-conference","title":"The Fastest Similarity Search Algorithm for Time Series Subsequences under Euclidean Distance","author":[{"family":"Mueen","given":"Abdullah"},{"family":"Zhing","given":"Sheng"},{"family":"Zhu","given":"Yan"},{"family":"Yeh","given":"Michael"},{"family":"Kamgar","given":"Kaveh"},{"family":"Viswanathan","given":"Krishnamurthy"},{"family":"Gupta","given":"Chetan"},{"family":"Keogh","given":"Eamonn"}],"issued":{"date-parts":[["2022",8]]},"citation-key":"mueenFastestSimilaritySearch2022"}}],"schema":"https://github.com/citation-style-language/schema/raw/master/csl-citation.json"} </w:instrText>
      </w:r>
      <w:r>
        <w:rPr>
          <w:noProof/>
        </w:rPr>
        <w:fldChar w:fldCharType="separate"/>
      </w:r>
      <w:r w:rsidR="00435D81" w:rsidRPr="00435D81">
        <w:rPr>
          <w:kern w:val="0"/>
          <w:szCs w:val="24"/>
        </w:rPr>
        <w:t>[157]</w:t>
      </w:r>
      <w:r>
        <w:rPr>
          <w:noProof/>
        </w:rPr>
        <w:fldChar w:fldCharType="end"/>
      </w:r>
      <w:r>
        <w:rPr>
          <w:noProof/>
        </w:rPr>
        <w:t xml:space="preserve"> is utlized. We then calculate the normalized weighted average of the aforementioned distance profiles and find the </w:t>
      </w:r>
      <w:r>
        <w:rPr>
          <w:noProof/>
        </w:rPr>
        <w:lastRenderedPageBreak/>
        <w:t xml:space="preserve">top </w:t>
      </w:r>
      <w:r w:rsidRPr="00540723">
        <w:rPr>
          <w:i/>
          <w:iCs/>
          <w:noProof/>
        </w:rPr>
        <w:t>K</w:t>
      </w:r>
      <w:r>
        <w:rPr>
          <w:i/>
          <w:iCs/>
          <w:noProof/>
        </w:rPr>
        <w:t xml:space="preserve"> </w:t>
      </w:r>
      <w:r>
        <w:rPr>
          <w:noProof/>
        </w:rPr>
        <w:t xml:space="preserve">days that are most similar to the representative days. The latter is accomplished by selecting the top </w:t>
      </w:r>
      <w:r>
        <w:rPr>
          <w:i/>
          <w:iCs/>
          <w:noProof/>
        </w:rPr>
        <w:t>K</w:t>
      </w:r>
      <w:r>
        <w:rPr>
          <w:noProof/>
        </w:rPr>
        <w:t xml:space="preserve"> smallest points of the new distance profiles. In this paper, </w:t>
      </w:r>
      <w:r w:rsidRPr="00540723">
        <w:rPr>
          <w:i/>
          <w:iCs/>
          <w:noProof/>
        </w:rPr>
        <w:t>K</w:t>
      </w:r>
      <w:r>
        <w:rPr>
          <w:noProof/>
        </w:rPr>
        <w:t xml:space="preserve"> is selected to be 30. Since outdoor air dictates the heat transfer between indoor indoor and ourdoor enviorment, the weights assigned to the outdoor air temerpature, solar irradiation, and relative humidity are 0.6, 0.3, and 0.1. If a data point resides in multiple clusters, it is moved to the cluster from which it has the smallest new distance profile.</w:t>
      </w:r>
      <w:r w:rsidRPr="00862C98">
        <w:t xml:space="preserve"> </w:t>
      </w:r>
    </w:p>
    <w:p w14:paraId="149220DB" w14:textId="77777777" w:rsidR="00D31DE2" w:rsidRDefault="00194B62" w:rsidP="00D31DE2">
      <w:pPr>
        <w:pStyle w:val="12FigureFormatSelectafigureandclickonthisstyle"/>
      </w:pPr>
      <w:r w:rsidRPr="00194B62">
        <w:rPr>
          <w:noProof/>
        </w:rPr>
        <w:drawing>
          <wp:inline distT="0" distB="0" distL="0" distR="0" wp14:anchorId="269945F5" wp14:editId="611D975A">
            <wp:extent cx="4853525" cy="2500899"/>
            <wp:effectExtent l="0" t="0" r="0" b="1270"/>
            <wp:docPr id="240890429" name="Picture 240890429" descr="A diagram of a data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90429" name="Picture 240890429" descr="A diagram of a data flow&#10;&#10;Description automatically generated"/>
                    <pic:cNvPicPr/>
                  </pic:nvPicPr>
                  <pic:blipFill>
                    <a:blip r:embed="rId86" cstate="print">
                      <a:extLst>
                        <a:ext uri="{28A0092B-C50C-407E-A947-70E740481C1C}">
                          <a14:useLocalDpi xmlns:a14="http://schemas.microsoft.com/office/drawing/2010/main" val="0"/>
                        </a:ext>
                      </a:extLst>
                    </a:blip>
                    <a:stretch>
                      <a:fillRect/>
                    </a:stretch>
                  </pic:blipFill>
                  <pic:spPr>
                    <a:xfrm>
                      <a:off x="0" y="0"/>
                      <a:ext cx="4853525" cy="2500899"/>
                    </a:xfrm>
                    <a:prstGeom prst="rect">
                      <a:avLst/>
                    </a:prstGeom>
                  </pic:spPr>
                </pic:pic>
              </a:graphicData>
            </a:graphic>
          </wp:inline>
        </w:drawing>
      </w:r>
    </w:p>
    <w:p w14:paraId="1426C46A" w14:textId="1558EE87" w:rsidR="003725B3" w:rsidRDefault="00D31DE2" w:rsidP="00D31DE2">
      <w:pPr>
        <w:pStyle w:val="13FigureCaption"/>
      </w:pPr>
      <w:bookmarkStart w:id="480" w:name="_Ref141443622"/>
      <w:bookmarkStart w:id="481" w:name="_Toc141443570"/>
      <w:r>
        <w:t xml:space="preserve">Figure A. </w:t>
      </w:r>
      <w:fldSimple w:instr=" SEQ Figure_A. \* ARABIC ">
        <w:r w:rsidR="000E1725">
          <w:rPr>
            <w:noProof/>
          </w:rPr>
          <w:t>1</w:t>
        </w:r>
      </w:fldSimple>
      <w:bookmarkEnd w:id="480"/>
      <w:r>
        <w:t xml:space="preserve"> </w:t>
      </w:r>
      <w:r w:rsidR="00194B62">
        <w:t xml:space="preserve">Three stages of the modified matrix profile-based weather clustering </w:t>
      </w:r>
      <w:r w:rsidR="003725B3">
        <w:t>algorithm</w:t>
      </w:r>
      <w:bookmarkEnd w:id="481"/>
    </w:p>
    <w:p w14:paraId="7411ABF9" w14:textId="77777777" w:rsidR="003725B3" w:rsidRDefault="003725B3">
      <w:pPr>
        <w:widowControl/>
        <w:spacing w:line="240" w:lineRule="auto"/>
        <w:ind w:firstLine="0"/>
        <w:jc w:val="left"/>
        <w:rPr>
          <w:rFonts w:ascii="Garamond" w:eastAsia="Garamond" w:hAnsi="Garamond"/>
          <w:kern w:val="0"/>
          <w:sz w:val="20"/>
          <w:szCs w:val="20"/>
        </w:rPr>
      </w:pPr>
      <w:r>
        <w:br w:type="page"/>
      </w:r>
    </w:p>
    <w:p w14:paraId="51C058D4" w14:textId="6F4A0B21" w:rsidR="00475318" w:rsidRDefault="003725B3" w:rsidP="003725B3">
      <w:pPr>
        <w:pStyle w:val="Title"/>
        <w:rPr>
          <w:rFonts w:eastAsiaTheme="minorEastAsia"/>
        </w:rPr>
      </w:pPr>
      <w:bookmarkStart w:id="482" w:name="_Toc141991761"/>
      <w:r>
        <w:rPr>
          <w:rFonts w:eastAsiaTheme="minorEastAsia" w:hint="eastAsia"/>
        </w:rPr>
        <w:lastRenderedPageBreak/>
        <w:t>R</w:t>
      </w:r>
      <w:r>
        <w:rPr>
          <w:rFonts w:eastAsiaTheme="minorEastAsia"/>
        </w:rPr>
        <w:t>eferences</w:t>
      </w:r>
      <w:bookmarkEnd w:id="482"/>
      <w:r>
        <w:rPr>
          <w:rFonts w:eastAsiaTheme="minorEastAsia"/>
        </w:rPr>
        <w:t xml:space="preserve"> </w:t>
      </w:r>
    </w:p>
    <w:p w14:paraId="4823D744" w14:textId="77777777" w:rsidR="00435D81" w:rsidRPr="00435D81" w:rsidRDefault="00435D81" w:rsidP="00435D81">
      <w:pPr>
        <w:pStyle w:val="Bibliography"/>
      </w:pPr>
      <w:r>
        <w:fldChar w:fldCharType="begin"/>
      </w:r>
      <w:r>
        <w:instrText xml:space="preserve"> ADDIN ZOTERO_BIBL {"uncited":[],"omitted":[],"custom":[]} CSL_BIBLIOGRAPHY </w:instrText>
      </w:r>
      <w:r>
        <w:fldChar w:fldCharType="separate"/>
      </w:r>
      <w:r w:rsidRPr="00435D81">
        <w:t>[1]</w:t>
      </w:r>
      <w:r w:rsidRPr="00435D81">
        <w:tab/>
        <w:t>U.S. Energy Information Administration (EIA), “Frequently Asked Questions (FAQs) What Is U.S. Electricity Generation by Energy Source?” [Online]. Available: https://www.eia.gov/tools/faqs/faq.php. [Accessed: 07-Mar-2023].</w:t>
      </w:r>
    </w:p>
    <w:p w14:paraId="22063907" w14:textId="77777777" w:rsidR="00435D81" w:rsidRPr="00435D81" w:rsidRDefault="00435D81" w:rsidP="00435D81">
      <w:pPr>
        <w:pStyle w:val="Bibliography"/>
      </w:pPr>
      <w:r w:rsidRPr="00435D81">
        <w:t>[2]</w:t>
      </w:r>
      <w:r w:rsidRPr="00435D81">
        <w:tab/>
        <w:t>“Ten Years of Analyzing the Duck Chart: How an NREL Discovery in 2008 Is Helping Enable More Solar on the Grid Today” [Online]. Available: https://www.nrel.gov/news/program/2018/10-years-duck-curve.html. [Accessed: 08-Feb-2023].</w:t>
      </w:r>
    </w:p>
    <w:p w14:paraId="63C6758B" w14:textId="77777777" w:rsidR="00435D81" w:rsidRPr="00435D81" w:rsidRDefault="00435D81" w:rsidP="00435D81">
      <w:pPr>
        <w:pStyle w:val="Bibliography"/>
      </w:pPr>
      <w:r w:rsidRPr="00435D81">
        <w:t>[3]</w:t>
      </w:r>
      <w:r w:rsidRPr="00435D81">
        <w:tab/>
        <w:t>“California ISO - Renewables and Emissions Reports” [Online]. Available: https://www.caiso.com/market/Pages/ReportsBulletins/RenewablesReporting.aspx. [Accessed: 08-Feb-2023].</w:t>
      </w:r>
    </w:p>
    <w:p w14:paraId="4F983195" w14:textId="77777777" w:rsidR="00435D81" w:rsidRPr="00435D81" w:rsidRDefault="00435D81" w:rsidP="00435D81">
      <w:pPr>
        <w:pStyle w:val="Bibliography"/>
      </w:pPr>
      <w:r w:rsidRPr="00435D81">
        <w:t>[4]</w:t>
      </w:r>
      <w:r w:rsidRPr="00435D81">
        <w:tab/>
        <w:t xml:space="preserve">Sinsel, S. R., Riemke, R. L., and Hoffmann, V. H., 2020, “Challenges and Solution Technologies for the Integration of Variable Renewable Energy Sources—a Review,” renewable energy, </w:t>
      </w:r>
      <w:r w:rsidRPr="00435D81">
        <w:rPr>
          <w:b/>
          <w:bCs/>
        </w:rPr>
        <w:t>145</w:t>
      </w:r>
      <w:r w:rsidRPr="00435D81">
        <w:t>, pp. 2271–2285.</w:t>
      </w:r>
    </w:p>
    <w:p w14:paraId="1CB30409" w14:textId="77777777" w:rsidR="00435D81" w:rsidRPr="00435D81" w:rsidRDefault="00435D81" w:rsidP="00435D81">
      <w:pPr>
        <w:pStyle w:val="Bibliography"/>
      </w:pPr>
      <w:r w:rsidRPr="00435D81">
        <w:t>[5]</w:t>
      </w:r>
      <w:r w:rsidRPr="00435D81">
        <w:tab/>
        <w:t xml:space="preserve">Meyabadi, A. F., and Deihimi, M. H., 2017, “A Review of Demand-Side Management: Reconsidering Theoretical Framework,” Renewable and Sustainable Energy Reviews, </w:t>
      </w:r>
      <w:r w:rsidRPr="00435D81">
        <w:rPr>
          <w:b/>
          <w:bCs/>
        </w:rPr>
        <w:t>80</w:t>
      </w:r>
      <w:r w:rsidRPr="00435D81">
        <w:t>, pp. 367–379.</w:t>
      </w:r>
    </w:p>
    <w:p w14:paraId="1AAE9E1F" w14:textId="77777777" w:rsidR="00435D81" w:rsidRPr="00435D81" w:rsidRDefault="00435D81" w:rsidP="00435D81">
      <w:pPr>
        <w:pStyle w:val="Bibliography"/>
      </w:pPr>
      <w:r w:rsidRPr="00435D81">
        <w:t>[6]</w:t>
      </w:r>
      <w:r w:rsidRPr="00435D81">
        <w:tab/>
        <w:t xml:space="preserve">U.S. Energy Information Administration (EIA), 2022, </w:t>
      </w:r>
      <w:r w:rsidRPr="00435D81">
        <w:rPr>
          <w:i/>
          <w:iCs/>
        </w:rPr>
        <w:t>December 2022 Monthly Energy Review</w:t>
      </w:r>
      <w:r w:rsidRPr="00435D81">
        <w:t>, OE/EIA-0035.</w:t>
      </w:r>
    </w:p>
    <w:p w14:paraId="37F4BE5D" w14:textId="77777777" w:rsidR="00435D81" w:rsidRPr="00435D81" w:rsidRDefault="00435D81" w:rsidP="00435D81">
      <w:pPr>
        <w:pStyle w:val="Bibliography"/>
      </w:pPr>
      <w:r w:rsidRPr="00435D81">
        <w:t>[7]</w:t>
      </w:r>
      <w:r w:rsidRPr="00435D81">
        <w:tab/>
        <w:t xml:space="preserve">U.S. Energy Information Administration (EIA), 2022, </w:t>
      </w:r>
      <w:r w:rsidRPr="00435D81">
        <w:rPr>
          <w:i/>
          <w:iCs/>
        </w:rPr>
        <w:t>Annual Energy Outlook 2022 with Projections to 2050</w:t>
      </w:r>
      <w:r w:rsidRPr="00435D81">
        <w:t>, AEO2022 Narrative, Washington, D.C., USA.</w:t>
      </w:r>
    </w:p>
    <w:p w14:paraId="4337CAFB" w14:textId="77777777" w:rsidR="00435D81" w:rsidRPr="00435D81" w:rsidRDefault="00435D81" w:rsidP="00435D81">
      <w:pPr>
        <w:pStyle w:val="Bibliography"/>
      </w:pPr>
      <w:r w:rsidRPr="00435D81">
        <w:t>[8]</w:t>
      </w:r>
      <w:r w:rsidRPr="00435D81">
        <w:tab/>
        <w:t>“Residential Energy Consumption Survey (RECS) - Data - U.S. Energy Information Administration (EIA)” [Online]. Available: https://www.eia.gov/consumption/residential/data/2015/. [Accessed: 18-Feb-2021].</w:t>
      </w:r>
    </w:p>
    <w:p w14:paraId="4E72C6D1" w14:textId="77777777" w:rsidR="00435D81" w:rsidRPr="00435D81" w:rsidRDefault="00435D81" w:rsidP="00435D81">
      <w:pPr>
        <w:pStyle w:val="Bibliography"/>
      </w:pPr>
      <w:r w:rsidRPr="00435D81">
        <w:t>[9]</w:t>
      </w:r>
      <w:r w:rsidRPr="00435D81">
        <w:tab/>
        <w:t>“Reports on Demand Response and Advanced Metering | Federal Energy Regulatory Commission” [Online]. Available: https://www.ferc.gov/power-sales-and-markets/demand-response/reports-demand-response-and-advanced-metering. [Accessed: 23-Mar-2023].</w:t>
      </w:r>
    </w:p>
    <w:p w14:paraId="24420C48" w14:textId="77777777" w:rsidR="00435D81" w:rsidRPr="00435D81" w:rsidRDefault="00435D81" w:rsidP="00435D81">
      <w:pPr>
        <w:pStyle w:val="Bibliography"/>
      </w:pPr>
      <w:r w:rsidRPr="00435D81">
        <w:t>[10]</w:t>
      </w:r>
      <w:r w:rsidRPr="00435D81">
        <w:tab/>
        <w:t>“Demand Response and Time-Variable Pricing Programs,” Energy.gov [Online]. Available: https://www.energy.gov/eere/femp/demand-response-and-time-variable-pricing-programs. [Accessed: 31-Dec-2022].</w:t>
      </w:r>
    </w:p>
    <w:p w14:paraId="14DDDD28" w14:textId="77777777" w:rsidR="00435D81" w:rsidRPr="00435D81" w:rsidRDefault="00435D81" w:rsidP="00435D81">
      <w:pPr>
        <w:pStyle w:val="Bibliography"/>
      </w:pPr>
      <w:r w:rsidRPr="00435D81">
        <w:t>[11]</w:t>
      </w:r>
      <w:r w:rsidRPr="00435D81">
        <w:tab/>
        <w:t>Neukomm, M., Nubbe, V., and Fares, R., 2019, “Grid-Interactive Efficient Buildings Technical Report Series: Overview of Research Challenges and Gaps.”</w:t>
      </w:r>
    </w:p>
    <w:p w14:paraId="1E7A0773" w14:textId="77777777" w:rsidR="00435D81" w:rsidRPr="00435D81" w:rsidRDefault="00435D81" w:rsidP="00435D81">
      <w:pPr>
        <w:pStyle w:val="Bibliography"/>
      </w:pPr>
      <w:r w:rsidRPr="00435D81">
        <w:t>[12]</w:t>
      </w:r>
      <w:r w:rsidRPr="00435D81">
        <w:tab/>
        <w:t xml:space="preserve">Satchwell, A., Piette, M. A., Khandekar, A., Granderson, J., Frick, N. M., Hledik, R., Faruqui, A., Lam, L., Ross, S., Cohen, J., Wang, K., Urigwe, D., Delurey, D., Neukomm, M., and Nemtzow, D., 2021, </w:t>
      </w:r>
      <w:r w:rsidRPr="00435D81">
        <w:rPr>
          <w:i/>
          <w:iCs/>
        </w:rPr>
        <w:t>A National Roadmap for Grid-Interactive Efficient Buildings</w:t>
      </w:r>
      <w:r w:rsidRPr="00435D81">
        <w:t>, Lawrence Berkeley National Lab. (LBNL), Berkeley, CA (United States).</w:t>
      </w:r>
    </w:p>
    <w:p w14:paraId="4A7C77EE" w14:textId="77777777" w:rsidR="00435D81" w:rsidRPr="00435D81" w:rsidRDefault="00435D81" w:rsidP="00435D81">
      <w:pPr>
        <w:pStyle w:val="Bibliography"/>
      </w:pPr>
      <w:r w:rsidRPr="00435D81">
        <w:t>[13]</w:t>
      </w:r>
      <w:r w:rsidRPr="00435D81">
        <w:tab/>
        <w:t xml:space="preserve">Chen, Y., Xu, P., Gu, J., Schmidt, F., and Li, W., 2018, “Measures to Improve Energy Demand Flexibility in Buildings for Demand Response (DR): A Review,” Energy and </w:t>
      </w:r>
      <w:r w:rsidRPr="00435D81">
        <w:lastRenderedPageBreak/>
        <w:t xml:space="preserve">Buildings, </w:t>
      </w:r>
      <w:r w:rsidRPr="00435D81">
        <w:rPr>
          <w:b/>
          <w:bCs/>
        </w:rPr>
        <w:t>177</w:t>
      </w:r>
      <w:r w:rsidRPr="00435D81">
        <w:t>, pp. 125–139.</w:t>
      </w:r>
    </w:p>
    <w:p w14:paraId="2411C54C" w14:textId="77777777" w:rsidR="00435D81" w:rsidRPr="00435D81" w:rsidRDefault="00435D81" w:rsidP="00435D81">
      <w:pPr>
        <w:pStyle w:val="Bibliography"/>
      </w:pPr>
      <w:r w:rsidRPr="00435D81">
        <w:t>[14]</w:t>
      </w:r>
      <w:r w:rsidRPr="00435D81">
        <w:tab/>
        <w:t xml:space="preserve">Li, H., Wang, Z., Hong, T., and Piette, M. A., 2021, “Energy Flexibility of Residential Buildings: A Systematic Review of Characterization and Quantification Methods and Applications,” Advances in Applied Energy, </w:t>
      </w:r>
      <w:r w:rsidRPr="00435D81">
        <w:rPr>
          <w:b/>
          <w:bCs/>
        </w:rPr>
        <w:t>3</w:t>
      </w:r>
      <w:r w:rsidRPr="00435D81">
        <w:t>, p. 100054.</w:t>
      </w:r>
    </w:p>
    <w:p w14:paraId="58CAB44C" w14:textId="77777777" w:rsidR="00435D81" w:rsidRPr="00435D81" w:rsidRDefault="00435D81" w:rsidP="00435D81">
      <w:pPr>
        <w:pStyle w:val="Bibliography"/>
      </w:pPr>
      <w:r w:rsidRPr="00435D81">
        <w:t>[15]</w:t>
      </w:r>
      <w:r w:rsidRPr="00435D81">
        <w:tab/>
        <w:t>“Use of Electricity - U.S. Energy Information Administration (EIA)” [Online]. Available: https://www.eia.gov/energyexplained/electricity/use-of-electricity.php. [Accessed: 04-Apr-2023].</w:t>
      </w:r>
    </w:p>
    <w:p w14:paraId="7373B095" w14:textId="77777777" w:rsidR="00435D81" w:rsidRPr="00435D81" w:rsidRDefault="00435D81" w:rsidP="00435D81">
      <w:pPr>
        <w:pStyle w:val="Bibliography"/>
      </w:pPr>
      <w:r w:rsidRPr="00435D81">
        <w:t>[16]</w:t>
      </w:r>
      <w:r w:rsidRPr="00435D81">
        <w:tab/>
        <w:t>Turner, W. J., Roux, J., and Walker, I. S., 2014, “Reducing Residential Peak Electricity Demand with Mechanical Pre-Cooling of Building Thermal Mass.”</w:t>
      </w:r>
    </w:p>
    <w:p w14:paraId="384A3053" w14:textId="77777777" w:rsidR="00435D81" w:rsidRPr="00435D81" w:rsidRDefault="00435D81" w:rsidP="00435D81">
      <w:pPr>
        <w:pStyle w:val="Bibliography"/>
      </w:pPr>
      <w:r w:rsidRPr="00435D81">
        <w:t>[17]</w:t>
      </w:r>
      <w:r w:rsidRPr="00435D81">
        <w:tab/>
        <w:t xml:space="preserve">McQuiston, F. C., Parker, J. D., and Spitler, J. D., 2005, </w:t>
      </w:r>
      <w:r w:rsidRPr="00435D81">
        <w:rPr>
          <w:i/>
          <w:iCs/>
        </w:rPr>
        <w:t>Heating, Ventilating, and Air Conditioning: Analysis and Design</w:t>
      </w:r>
      <w:r w:rsidRPr="00435D81">
        <w:t>, John Wiley &amp; Sons, Hoboken, N.J.</w:t>
      </w:r>
    </w:p>
    <w:p w14:paraId="112CC515" w14:textId="77777777" w:rsidR="00435D81" w:rsidRPr="00435D81" w:rsidRDefault="00435D81" w:rsidP="00435D81">
      <w:pPr>
        <w:pStyle w:val="Bibliography"/>
      </w:pPr>
      <w:r w:rsidRPr="00435D81">
        <w:t>[18]</w:t>
      </w:r>
      <w:r w:rsidRPr="00435D81">
        <w:tab/>
        <w:t xml:space="preserve">Foucquier, A., Robert, S., Suard, F., Stéphan, L., and Jay, A., 2013, “State of the Art in Building Modelling and Energy Performances Prediction: A Review,” Renewable and Sustainable Energy Reviews, </w:t>
      </w:r>
      <w:r w:rsidRPr="00435D81">
        <w:rPr>
          <w:b/>
          <w:bCs/>
        </w:rPr>
        <w:t>23</w:t>
      </w:r>
      <w:r w:rsidRPr="00435D81">
        <w:t>, pp. 272–288.</w:t>
      </w:r>
    </w:p>
    <w:p w14:paraId="7D9183CD" w14:textId="77777777" w:rsidR="00435D81" w:rsidRPr="00435D81" w:rsidRDefault="00435D81" w:rsidP="00435D81">
      <w:pPr>
        <w:pStyle w:val="Bibliography"/>
      </w:pPr>
      <w:r w:rsidRPr="00435D81">
        <w:t>[19]</w:t>
      </w:r>
      <w:r w:rsidRPr="00435D81">
        <w:tab/>
        <w:t xml:space="preserve">Yao, Y., and Shekhar, D. K., 2021, “State of the Art Review on Model Predictive Control (MPC) in Heating Ventilation and Air-Conditioning (HVAC) Field,” Building and Environment, </w:t>
      </w:r>
      <w:r w:rsidRPr="00435D81">
        <w:rPr>
          <w:b/>
          <w:bCs/>
        </w:rPr>
        <w:t>200</w:t>
      </w:r>
      <w:r w:rsidRPr="00435D81">
        <w:t>, p. 107952.</w:t>
      </w:r>
    </w:p>
    <w:p w14:paraId="527A531F" w14:textId="77777777" w:rsidR="00435D81" w:rsidRPr="00435D81" w:rsidRDefault="00435D81" w:rsidP="00435D81">
      <w:pPr>
        <w:pStyle w:val="Bibliography"/>
      </w:pPr>
      <w:r w:rsidRPr="00435D81">
        <w:t>[20]</w:t>
      </w:r>
      <w:r w:rsidRPr="00435D81">
        <w:tab/>
        <w:t>Booysen, M. J., Engelbrecht, J. A. A., Ritchie, M., Apperley, M., and Cloete, A. H., “How Much Energy Can Optimal Control of Domestic Water Heating Save?,” p. 22.</w:t>
      </w:r>
    </w:p>
    <w:p w14:paraId="39D3ABA5" w14:textId="77777777" w:rsidR="00435D81" w:rsidRPr="00435D81" w:rsidRDefault="00435D81" w:rsidP="00435D81">
      <w:pPr>
        <w:pStyle w:val="Bibliography"/>
      </w:pPr>
      <w:r w:rsidRPr="00435D81">
        <w:t>[21]</w:t>
      </w:r>
      <w:r w:rsidRPr="00435D81">
        <w:tab/>
        <w:t xml:space="preserve">Naderi, S., Pignatta, G., Heslop, S., MacGill, I., and Chen, D., 2022, “Demand Response via Pre-Cooling and Solar Pre-Cooling: A Review,” Energy and Buildings, </w:t>
      </w:r>
      <w:r w:rsidRPr="00435D81">
        <w:rPr>
          <w:b/>
          <w:bCs/>
        </w:rPr>
        <w:t>272</w:t>
      </w:r>
      <w:r w:rsidRPr="00435D81">
        <w:t>, p. 112340.</w:t>
      </w:r>
    </w:p>
    <w:p w14:paraId="086CBB8D" w14:textId="77777777" w:rsidR="00435D81" w:rsidRPr="00435D81" w:rsidRDefault="00435D81" w:rsidP="00435D81">
      <w:pPr>
        <w:pStyle w:val="Bibliography"/>
      </w:pPr>
      <w:r w:rsidRPr="00435D81">
        <w:t>[22]</w:t>
      </w:r>
      <w:r w:rsidRPr="00435D81">
        <w:tab/>
        <w:t xml:space="preserve">Khezri, R., Mahmoudi, A., and Aki, H., 2022, “Optimal Planning of Solar Photovoltaic and Battery Storage Systems for Grid-Connected Residential Sector: Review, Challenges and New Perspectives,” Renewable and Sustainable Energy Reviews, </w:t>
      </w:r>
      <w:r w:rsidRPr="00435D81">
        <w:rPr>
          <w:b/>
          <w:bCs/>
        </w:rPr>
        <w:t>153</w:t>
      </w:r>
      <w:r w:rsidRPr="00435D81">
        <w:t>, p. 111763.</w:t>
      </w:r>
    </w:p>
    <w:p w14:paraId="4E63C532" w14:textId="77777777" w:rsidR="00435D81" w:rsidRPr="00435D81" w:rsidRDefault="00435D81" w:rsidP="00435D81">
      <w:pPr>
        <w:pStyle w:val="Bibliography"/>
      </w:pPr>
      <w:r w:rsidRPr="00435D81">
        <w:t>[23]</w:t>
      </w:r>
      <w:r w:rsidRPr="00435D81">
        <w:tab/>
        <w:t xml:space="preserve">Severson, K. A., Attia, P. M., Jin, N., Perkins, N., Jiang, B., Yang, Z., Chen, M. H., Aykol, M., Herring, P. K., Fraggedakis, D., Bazant, M. Z., Harris, S. J., Chueh, W. C., and Braatz, R. D., 2019, “Data-Driven Prediction of Battery Cycle Life before Capacity Degradation,” Nat Energy, </w:t>
      </w:r>
      <w:r w:rsidRPr="00435D81">
        <w:rPr>
          <w:b/>
          <w:bCs/>
        </w:rPr>
        <w:t>4</w:t>
      </w:r>
      <w:r w:rsidRPr="00435D81">
        <w:t>(5), pp. 383–391.</w:t>
      </w:r>
    </w:p>
    <w:p w14:paraId="6490F91C" w14:textId="77777777" w:rsidR="00435D81" w:rsidRPr="00435D81" w:rsidRDefault="00435D81" w:rsidP="00435D81">
      <w:pPr>
        <w:pStyle w:val="Bibliography"/>
      </w:pPr>
      <w:r w:rsidRPr="00435D81">
        <w:t>[24]</w:t>
      </w:r>
      <w:r w:rsidRPr="00435D81">
        <w:tab/>
        <w:t xml:space="preserve">Cai, J., Zhang, H., and Jin, X., 2019, “Aging-Aware Predictive Control of PV-Battery Assets in Buildings,” Applied Energy, </w:t>
      </w:r>
      <w:r w:rsidRPr="00435D81">
        <w:rPr>
          <w:b/>
          <w:bCs/>
        </w:rPr>
        <w:t>236</w:t>
      </w:r>
      <w:r w:rsidRPr="00435D81">
        <w:t>, pp. 478–488.</w:t>
      </w:r>
    </w:p>
    <w:p w14:paraId="28B1A13B" w14:textId="77777777" w:rsidR="00435D81" w:rsidRPr="00435D81" w:rsidRDefault="00435D81" w:rsidP="00435D81">
      <w:pPr>
        <w:pStyle w:val="Bibliography"/>
      </w:pPr>
      <w:r w:rsidRPr="00435D81">
        <w:t>[25]</w:t>
      </w:r>
      <w:r w:rsidRPr="00435D81">
        <w:tab/>
        <w:t>“Annual Electric Power Industry Report, Form EIA-861 Detailed Data Files” [Online]. Available: https://www.eia.gov/electricity/data/eia861/. [Accessed: 22-Mar-2023].</w:t>
      </w:r>
    </w:p>
    <w:p w14:paraId="41832A27" w14:textId="77777777" w:rsidR="00435D81" w:rsidRPr="00435D81" w:rsidRDefault="00435D81" w:rsidP="00435D81">
      <w:pPr>
        <w:pStyle w:val="Bibliography"/>
      </w:pPr>
      <w:r w:rsidRPr="00435D81">
        <w:t>[26]</w:t>
      </w:r>
      <w:r w:rsidRPr="00435D81">
        <w:tab/>
        <w:t xml:space="preserve">Reiss, P. C., and White, M. W., 2005, “Household Electricity Demand, Revisited,” The Review of Economic Studies, </w:t>
      </w:r>
      <w:r w:rsidRPr="00435D81">
        <w:rPr>
          <w:b/>
          <w:bCs/>
        </w:rPr>
        <w:t>72</w:t>
      </w:r>
      <w:r w:rsidRPr="00435D81">
        <w:t>(3), pp. 853–883.</w:t>
      </w:r>
    </w:p>
    <w:p w14:paraId="5FF4EC36" w14:textId="77777777" w:rsidR="00435D81" w:rsidRPr="00435D81" w:rsidRDefault="00435D81" w:rsidP="00435D81">
      <w:pPr>
        <w:pStyle w:val="Bibliography"/>
      </w:pPr>
      <w:r w:rsidRPr="00435D81">
        <w:t>[27]</w:t>
      </w:r>
      <w:r w:rsidRPr="00435D81">
        <w:tab/>
        <w:t xml:space="preserve">Pritoni, M., Meier, A. K., Aragon, C., Perry, D., and Peffer, T., 2015, “Energy Efficiency and the Misuse of Programmable Thermostats: The Effectiveness of Crowdsourcing for Understanding Household Behavior,” Energy Research &amp; Social Science, </w:t>
      </w:r>
      <w:r w:rsidRPr="00435D81">
        <w:rPr>
          <w:b/>
          <w:bCs/>
        </w:rPr>
        <w:t>8</w:t>
      </w:r>
      <w:r w:rsidRPr="00435D81">
        <w:t>, pp. 190–197.</w:t>
      </w:r>
    </w:p>
    <w:p w14:paraId="5216CFD9" w14:textId="77777777" w:rsidR="00435D81" w:rsidRPr="00435D81" w:rsidRDefault="00435D81" w:rsidP="00435D81">
      <w:pPr>
        <w:pStyle w:val="Bibliography"/>
      </w:pPr>
      <w:r w:rsidRPr="00435D81">
        <w:t>[28]</w:t>
      </w:r>
      <w:r w:rsidRPr="00435D81">
        <w:tab/>
        <w:t xml:space="preserve">Gyamfi, S., Krumdieck, S., and Urmee, T., 2013, “Residential Peak Electricity Demand Response—Highlights of Some Behavioural Issues,” Renewable and Sustainable Energy Reviews, </w:t>
      </w:r>
      <w:r w:rsidRPr="00435D81">
        <w:rPr>
          <w:b/>
          <w:bCs/>
        </w:rPr>
        <w:t>25</w:t>
      </w:r>
      <w:r w:rsidRPr="00435D81">
        <w:t>, pp. 71–77.</w:t>
      </w:r>
    </w:p>
    <w:p w14:paraId="503097D1" w14:textId="77777777" w:rsidR="00435D81" w:rsidRPr="00435D81" w:rsidRDefault="00435D81" w:rsidP="00435D81">
      <w:pPr>
        <w:pStyle w:val="Bibliography"/>
      </w:pPr>
      <w:r w:rsidRPr="00435D81">
        <w:lastRenderedPageBreak/>
        <w:t>[29]</w:t>
      </w:r>
      <w:r w:rsidRPr="00435D81">
        <w:tab/>
        <w:t xml:space="preserve">Nolan, S., and O’Malley, M., 2015, “Challenges and Barriers to Demand Response Deployment and Evaluation,” Applied Energy, </w:t>
      </w:r>
      <w:r w:rsidRPr="00435D81">
        <w:rPr>
          <w:b/>
          <w:bCs/>
        </w:rPr>
        <w:t>152</w:t>
      </w:r>
      <w:r w:rsidRPr="00435D81">
        <w:t>, pp. 1–10.</w:t>
      </w:r>
    </w:p>
    <w:p w14:paraId="733CFA8C" w14:textId="77777777" w:rsidR="00435D81" w:rsidRPr="00435D81" w:rsidRDefault="00435D81" w:rsidP="00435D81">
      <w:pPr>
        <w:pStyle w:val="Bibliography"/>
      </w:pPr>
      <w:r w:rsidRPr="00435D81">
        <w:t>[30]</w:t>
      </w:r>
      <w:r w:rsidRPr="00435D81">
        <w:tab/>
        <w:t xml:space="preserve">Good, N., Ellis, K. A., and Mancarella, P., 2017, “Review and Classification of Barriers and Enablers of Demand Response in the Smart Grid,” Renewable and Sustainable Energy Reviews, </w:t>
      </w:r>
      <w:r w:rsidRPr="00435D81">
        <w:rPr>
          <w:b/>
          <w:bCs/>
        </w:rPr>
        <w:t>72</w:t>
      </w:r>
      <w:r w:rsidRPr="00435D81">
        <w:t>, pp. 57–72.</w:t>
      </w:r>
    </w:p>
    <w:p w14:paraId="0564D3F6" w14:textId="77777777" w:rsidR="00435D81" w:rsidRPr="00435D81" w:rsidRDefault="00435D81" w:rsidP="00435D81">
      <w:pPr>
        <w:pStyle w:val="Bibliography"/>
      </w:pPr>
      <w:r w:rsidRPr="00435D81">
        <w:t>[31]</w:t>
      </w:r>
      <w:r w:rsidRPr="00435D81">
        <w:tab/>
        <w:t>Safdarian, A., Fotuhi-Firuzabad, M., and Lehtonen, M., 2019, “Demand Response from Residential Consumers: Potentials, Barriers, and Solutions,” Smart Grids and Their Communication Systems, pp. 255–279.</w:t>
      </w:r>
    </w:p>
    <w:p w14:paraId="082424AA" w14:textId="77777777" w:rsidR="00435D81" w:rsidRPr="00435D81" w:rsidRDefault="00435D81" w:rsidP="00435D81">
      <w:pPr>
        <w:pStyle w:val="Bibliography"/>
      </w:pPr>
      <w:r w:rsidRPr="00435D81">
        <w:t>[32]</w:t>
      </w:r>
      <w:r w:rsidRPr="00435D81">
        <w:tab/>
        <w:t xml:space="preserve">Parrish, B., Heptonstall, P., Gross, R., and Sovacool, B. K., 2020, “A Systematic Review of Motivations, Enablers and Barriers for Consumer Engagement with Residential Demand Response,” Energy Policy, </w:t>
      </w:r>
      <w:r w:rsidRPr="00435D81">
        <w:rPr>
          <w:b/>
          <w:bCs/>
        </w:rPr>
        <w:t>138</w:t>
      </w:r>
      <w:r w:rsidRPr="00435D81">
        <w:t>, p. 111221.</w:t>
      </w:r>
    </w:p>
    <w:p w14:paraId="6D9F4C3F" w14:textId="77777777" w:rsidR="00435D81" w:rsidRPr="00435D81" w:rsidRDefault="00435D81" w:rsidP="00435D81">
      <w:pPr>
        <w:pStyle w:val="Bibliography"/>
      </w:pPr>
      <w:r w:rsidRPr="00435D81">
        <w:t>[33]</w:t>
      </w:r>
      <w:r w:rsidRPr="00435D81">
        <w:tab/>
        <w:t xml:space="preserve">Walker, I. S., and Meier, A. K., 2008, “Residential Thermostats: Comfort Controls in California Homes,” Lawrence Berkeley National Laboratory, </w:t>
      </w:r>
      <w:r w:rsidRPr="00435D81">
        <w:rPr>
          <w:b/>
          <w:bCs/>
        </w:rPr>
        <w:t>7</w:t>
      </w:r>
      <w:r w:rsidRPr="00435D81">
        <w:t>.</w:t>
      </w:r>
    </w:p>
    <w:p w14:paraId="133CF976" w14:textId="77777777" w:rsidR="00435D81" w:rsidRPr="00435D81" w:rsidRDefault="00435D81" w:rsidP="00435D81">
      <w:pPr>
        <w:pStyle w:val="Bibliography"/>
      </w:pPr>
      <w:r w:rsidRPr="00435D81">
        <w:t>[34]</w:t>
      </w:r>
      <w:r w:rsidRPr="00435D81">
        <w:tab/>
        <w:t xml:space="preserve">Rotondo, J., Johnson, R., Gonzales, N., Waranowski, A., Badger, C., Lange, N., Goldman, E., and Foster, R., 2016, </w:t>
      </w:r>
      <w:r w:rsidRPr="00435D81">
        <w:rPr>
          <w:i/>
          <w:iCs/>
        </w:rPr>
        <w:t>Overview of Existing and Future Residential Use Cases for Connected Thermostats</w:t>
      </w:r>
      <w:r w:rsidRPr="00435D81">
        <w:t>, Energetics Inc., Washington, DC (United States); Vermont Energy Investment ….</w:t>
      </w:r>
    </w:p>
    <w:p w14:paraId="253ADEFD" w14:textId="77777777" w:rsidR="00435D81" w:rsidRPr="00435D81" w:rsidRDefault="00435D81" w:rsidP="00435D81">
      <w:pPr>
        <w:pStyle w:val="Bibliography"/>
      </w:pPr>
      <w:r w:rsidRPr="00435D81">
        <w:t>[35]</w:t>
      </w:r>
      <w:r w:rsidRPr="00435D81">
        <w:tab/>
        <w:t>“Smart Thermostats &amp; Smart Home Devices | Ecobee” [Online]. Available: https://www.ecobee.com/en-us/. [Accessed: 30-Mar-2023].</w:t>
      </w:r>
    </w:p>
    <w:p w14:paraId="5E894F73" w14:textId="77777777" w:rsidR="00435D81" w:rsidRPr="00435D81" w:rsidRDefault="00435D81" w:rsidP="00435D81">
      <w:pPr>
        <w:pStyle w:val="Bibliography"/>
      </w:pPr>
      <w:r w:rsidRPr="00435D81">
        <w:t>[36]</w:t>
      </w:r>
      <w:r w:rsidRPr="00435D81">
        <w:tab/>
        <w:t>“Nest Temperature Sensor - Google Store” [Online]. Available: https://store.google.com/product/nest_temperature_sensor?hl=en-US&amp;pli=1. [Accessed: 07-Apr-2023].</w:t>
      </w:r>
    </w:p>
    <w:p w14:paraId="54B9C9D0" w14:textId="77777777" w:rsidR="00435D81" w:rsidRPr="00435D81" w:rsidRDefault="00435D81" w:rsidP="00435D81">
      <w:pPr>
        <w:pStyle w:val="Bibliography"/>
      </w:pPr>
      <w:r w:rsidRPr="00435D81">
        <w:t>[37]</w:t>
      </w:r>
      <w:r w:rsidRPr="00435D81">
        <w:tab/>
        <w:t xml:space="preserve">Sparn, B., and Maguire, J., 2021, “Increasing the Number of Installed Residential Heat Pump Water Heaters in the USA through Improved Technology and Utility Programs,” Current Sustainable/Renewable Energy Reports, </w:t>
      </w:r>
      <w:r w:rsidRPr="00435D81">
        <w:rPr>
          <w:b/>
          <w:bCs/>
        </w:rPr>
        <w:t>8</w:t>
      </w:r>
      <w:r w:rsidRPr="00435D81">
        <w:t>, pp. 107–113.</w:t>
      </w:r>
    </w:p>
    <w:p w14:paraId="76802500" w14:textId="77777777" w:rsidR="00435D81" w:rsidRPr="00435D81" w:rsidRDefault="00435D81" w:rsidP="00435D81">
      <w:pPr>
        <w:pStyle w:val="Bibliography"/>
      </w:pPr>
      <w:r w:rsidRPr="00435D81">
        <w:t>[38]</w:t>
      </w:r>
      <w:r w:rsidRPr="00435D81">
        <w:tab/>
        <w:t>“Monitor Your Water Use | Stop Leaks Fast | Flume 2 Smart Water Monitor,” Flume [Online]. Available: https://flumewater.com/product/. [Accessed: 07-Apr-2023].</w:t>
      </w:r>
    </w:p>
    <w:p w14:paraId="2D18552E" w14:textId="77777777" w:rsidR="00435D81" w:rsidRPr="00435D81" w:rsidRDefault="00435D81" w:rsidP="00435D81">
      <w:pPr>
        <w:pStyle w:val="Bibliography"/>
      </w:pPr>
      <w:r w:rsidRPr="00435D81">
        <w:t>[39]</w:t>
      </w:r>
      <w:r w:rsidRPr="00435D81">
        <w:tab/>
        <w:t xml:space="preserve">Doris, E., and Krasko, V., 2012, </w:t>
      </w:r>
      <w:r w:rsidRPr="00435D81">
        <w:rPr>
          <w:i/>
          <w:iCs/>
        </w:rPr>
        <w:t>Strategic Sequencing for State Distributed PV Policies: A Quantitative Analysis of Policy Impacts and Interactions</w:t>
      </w:r>
      <w:r w:rsidRPr="00435D81">
        <w:t>, National Renewable Energy Lab.(NREL), Golden, CO (United States).</w:t>
      </w:r>
    </w:p>
    <w:p w14:paraId="19889A02" w14:textId="77777777" w:rsidR="00435D81" w:rsidRPr="00435D81" w:rsidRDefault="00435D81" w:rsidP="00435D81">
      <w:pPr>
        <w:pStyle w:val="Bibliography"/>
      </w:pPr>
      <w:r w:rsidRPr="00435D81">
        <w:t>[40]</w:t>
      </w:r>
      <w:r w:rsidRPr="00435D81">
        <w:tab/>
        <w:t xml:space="preserve">Feldman, D., Ramasamy, V., Fu, R., Ramdas, A., Desai, J., and Margolis, R., 2021, </w:t>
      </w:r>
      <w:r w:rsidRPr="00435D81">
        <w:rPr>
          <w:i/>
          <w:iCs/>
        </w:rPr>
        <w:t>US Solar Photovoltaic System and Energy Storage Cost Benchmark (Q1 2020)</w:t>
      </w:r>
      <w:r w:rsidRPr="00435D81">
        <w:t>, National Renewable Energy Lab.(NREL), Golden, CO (United States).</w:t>
      </w:r>
    </w:p>
    <w:p w14:paraId="2888FF77" w14:textId="77777777" w:rsidR="00435D81" w:rsidRPr="00435D81" w:rsidRDefault="00435D81" w:rsidP="00435D81">
      <w:pPr>
        <w:pStyle w:val="Bibliography"/>
      </w:pPr>
      <w:r w:rsidRPr="00435D81">
        <w:t>[41]</w:t>
      </w:r>
      <w:r w:rsidRPr="00435D81">
        <w:tab/>
        <w:t>“Powerwall,” Tesla [Online]. Available: https://www.tesla.com/powerwall. [Accessed: 07-Apr-2023].</w:t>
      </w:r>
    </w:p>
    <w:p w14:paraId="2ABD4FAC" w14:textId="77777777" w:rsidR="00435D81" w:rsidRPr="00435D81" w:rsidRDefault="00435D81" w:rsidP="00435D81">
      <w:pPr>
        <w:pStyle w:val="Bibliography"/>
      </w:pPr>
      <w:r w:rsidRPr="00435D81">
        <w:t>[42]</w:t>
      </w:r>
      <w:r w:rsidRPr="00435D81">
        <w:tab/>
        <w:t>Inc, G. P. S., “Powering Your Home, Your Business, Your World.” [Online]. Available: https://www.generac.com. [Accessed: 07-Apr-2023].</w:t>
      </w:r>
    </w:p>
    <w:p w14:paraId="3BA6525A" w14:textId="77777777" w:rsidR="00435D81" w:rsidRPr="00435D81" w:rsidRDefault="00435D81" w:rsidP="00435D81">
      <w:pPr>
        <w:pStyle w:val="Bibliography"/>
      </w:pPr>
      <w:r w:rsidRPr="00435D81">
        <w:t>[43]</w:t>
      </w:r>
      <w:r w:rsidRPr="00435D81">
        <w:tab/>
        <w:t>“Encharge 10, All-in-One Solar Battery for Your Solar Energy Storage Needs | Enphase Storage” [Online]. Available: https://enphase.com/store/storage/iq-battery-10t. [Accessed: 07-Apr-2023].</w:t>
      </w:r>
    </w:p>
    <w:p w14:paraId="76B20A81" w14:textId="77777777" w:rsidR="00435D81" w:rsidRPr="00435D81" w:rsidRDefault="00435D81" w:rsidP="00435D81">
      <w:pPr>
        <w:pStyle w:val="Bibliography"/>
      </w:pPr>
      <w:r w:rsidRPr="00435D81">
        <w:lastRenderedPageBreak/>
        <w:t>[44]</w:t>
      </w:r>
      <w:r w:rsidRPr="00435D81">
        <w:tab/>
        <w:t xml:space="preserve">Katrašnik, T., Mele, I., and Zelič, K., 2021, “Multi-Scale Modelling of Lithium-Ion Batteries: From Transport Phenomena to the Outbreak of Thermal Runaway,” Energy Conversion and Management, </w:t>
      </w:r>
      <w:r w:rsidRPr="00435D81">
        <w:rPr>
          <w:b/>
          <w:bCs/>
        </w:rPr>
        <w:t>236</w:t>
      </w:r>
      <w:r w:rsidRPr="00435D81">
        <w:t>, p. 114036.</w:t>
      </w:r>
    </w:p>
    <w:p w14:paraId="2749DF77" w14:textId="77777777" w:rsidR="00435D81" w:rsidRPr="00435D81" w:rsidRDefault="00435D81" w:rsidP="00435D81">
      <w:pPr>
        <w:pStyle w:val="Bibliography"/>
      </w:pPr>
      <w:r w:rsidRPr="00435D81">
        <w:t>[45]</w:t>
      </w:r>
      <w:r w:rsidRPr="00435D81">
        <w:tab/>
        <w:t xml:space="preserve">Shabani, M., Wallin, F., Dahlquist, E., and Yan, J., 2022, “Techno-Economic Assessment of Battery Storage Integrated into a Grid-Connected and Solar-Powered Residential Building under Different Battery Ageing Models,” Applied Energy, </w:t>
      </w:r>
      <w:r w:rsidRPr="00435D81">
        <w:rPr>
          <w:b/>
          <w:bCs/>
        </w:rPr>
        <w:t>318</w:t>
      </w:r>
      <w:r w:rsidRPr="00435D81">
        <w:t>, p. 119166.</w:t>
      </w:r>
    </w:p>
    <w:p w14:paraId="580EA196" w14:textId="77777777" w:rsidR="00435D81" w:rsidRPr="00435D81" w:rsidRDefault="00435D81" w:rsidP="00435D81">
      <w:pPr>
        <w:pStyle w:val="Bibliography"/>
      </w:pPr>
      <w:r w:rsidRPr="00435D81">
        <w:t>[46]</w:t>
      </w:r>
      <w:r w:rsidRPr="00435D81">
        <w:tab/>
        <w:t xml:space="preserve">Minoli, D., Sohraby, K., and Occhiogrosso, B., 2017, “IoT Considerations, Requirements, and Architectures for Smart Buildings—Energy Optimization and next-Generation Building Management Systems,” IEEE Internet of Things Journal, </w:t>
      </w:r>
      <w:r w:rsidRPr="00435D81">
        <w:rPr>
          <w:b/>
          <w:bCs/>
        </w:rPr>
        <w:t>4</w:t>
      </w:r>
      <w:r w:rsidRPr="00435D81">
        <w:t>(1), pp. 269–283.</w:t>
      </w:r>
    </w:p>
    <w:p w14:paraId="4459CAAA" w14:textId="77777777" w:rsidR="00435D81" w:rsidRPr="00435D81" w:rsidRDefault="00435D81" w:rsidP="00435D81">
      <w:pPr>
        <w:pStyle w:val="Bibliography"/>
      </w:pPr>
      <w:r w:rsidRPr="00435D81">
        <w:t>[47]</w:t>
      </w:r>
      <w:r w:rsidRPr="00435D81">
        <w:tab/>
        <w:t>Bird, J., 2015, “Developing the Smarter Grid: The Role of Domestic and Small and Medium Enterprise Customers,” Customer-Led Network Revolution.</w:t>
      </w:r>
    </w:p>
    <w:p w14:paraId="43C0A710" w14:textId="77777777" w:rsidR="00435D81" w:rsidRPr="00435D81" w:rsidRDefault="00435D81" w:rsidP="00435D81">
      <w:pPr>
        <w:pStyle w:val="Bibliography"/>
      </w:pPr>
      <w:r w:rsidRPr="00435D81">
        <w:t>[48]</w:t>
      </w:r>
      <w:r w:rsidRPr="00435D81">
        <w:tab/>
        <w:t xml:space="preserve">Nilsson, A., Bergstad, C. J., Thuvander, L., Andersson, D., Andersson, K., and Meiling, P., 2014, “Effects of Continuous Feedback on Households’ Electricity Consumption: Potentials and Barriers,” Applied Energy, </w:t>
      </w:r>
      <w:r w:rsidRPr="00435D81">
        <w:rPr>
          <w:b/>
          <w:bCs/>
        </w:rPr>
        <w:t>122</w:t>
      </w:r>
      <w:r w:rsidRPr="00435D81">
        <w:t>, pp. 17–23.</w:t>
      </w:r>
    </w:p>
    <w:p w14:paraId="50D5D958" w14:textId="77777777" w:rsidR="00435D81" w:rsidRPr="00435D81" w:rsidRDefault="00435D81" w:rsidP="00435D81">
      <w:pPr>
        <w:pStyle w:val="Bibliography"/>
      </w:pPr>
      <w:r w:rsidRPr="00435D81">
        <w:t>[49]</w:t>
      </w:r>
      <w:r w:rsidRPr="00435D81">
        <w:tab/>
        <w:t>Simon, H. A., 1986, “Rationality in Psychology and Economics,” Journal of Business, pp. S209–S224.</w:t>
      </w:r>
    </w:p>
    <w:p w14:paraId="36FFD837" w14:textId="77777777" w:rsidR="00435D81" w:rsidRPr="00435D81" w:rsidRDefault="00435D81" w:rsidP="00435D81">
      <w:pPr>
        <w:pStyle w:val="Bibliography"/>
      </w:pPr>
      <w:r w:rsidRPr="00435D81">
        <w:t>[50]</w:t>
      </w:r>
      <w:r w:rsidRPr="00435D81">
        <w:tab/>
        <w:t xml:space="preserve">Friis, F., and Christensen, T. H., 2016, “The Challenge of Time Shifting Energy Demand Practices: Insights from Denmark,” Energy Research &amp; Social Science, </w:t>
      </w:r>
      <w:r w:rsidRPr="00435D81">
        <w:rPr>
          <w:b/>
          <w:bCs/>
        </w:rPr>
        <w:t>19</w:t>
      </w:r>
      <w:r w:rsidRPr="00435D81">
        <w:t>, pp. 124–133.</w:t>
      </w:r>
    </w:p>
    <w:p w14:paraId="10168841" w14:textId="77777777" w:rsidR="00435D81" w:rsidRPr="00435D81" w:rsidRDefault="00435D81" w:rsidP="00435D81">
      <w:pPr>
        <w:pStyle w:val="Bibliography"/>
      </w:pPr>
      <w:r w:rsidRPr="00435D81">
        <w:t>[51]</w:t>
      </w:r>
      <w:r w:rsidRPr="00435D81">
        <w:tab/>
        <w:t xml:space="preserve">Keeney, K. R., and Braun, J. E., 1997, “Application of Building Precooling to Reduce Peak Cooling Requirements,” ASHRAE transactions, </w:t>
      </w:r>
      <w:r w:rsidRPr="00435D81">
        <w:rPr>
          <w:b/>
          <w:bCs/>
        </w:rPr>
        <w:t>103.1</w:t>
      </w:r>
      <w:r w:rsidRPr="00435D81">
        <w:t>, pp. 463–469.</w:t>
      </w:r>
    </w:p>
    <w:p w14:paraId="4B75EA06" w14:textId="77777777" w:rsidR="00435D81" w:rsidRPr="00435D81" w:rsidRDefault="00435D81" w:rsidP="00435D81">
      <w:pPr>
        <w:pStyle w:val="Bibliography"/>
      </w:pPr>
      <w:r w:rsidRPr="00435D81">
        <w:t>[52]</w:t>
      </w:r>
      <w:r w:rsidRPr="00435D81">
        <w:tab/>
        <w:t xml:space="preserve">Alimohammadisagvand, B., Jokisalo, J., and Sirén, K., 2018, “Comparison of Four Rule-Based Demand Response Control Algorithms in an Electrically and Heat Pump-Heated Residential Building,” Applied Energy, </w:t>
      </w:r>
      <w:r w:rsidRPr="00435D81">
        <w:rPr>
          <w:b/>
          <w:bCs/>
        </w:rPr>
        <w:t>209</w:t>
      </w:r>
      <w:r w:rsidRPr="00435D81">
        <w:t>, pp. 167–179.</w:t>
      </w:r>
    </w:p>
    <w:p w14:paraId="059FBBCE" w14:textId="77777777" w:rsidR="00435D81" w:rsidRPr="00435D81" w:rsidRDefault="00435D81" w:rsidP="00435D81">
      <w:pPr>
        <w:pStyle w:val="Bibliography"/>
      </w:pPr>
      <w:r w:rsidRPr="00435D81">
        <w:t>[53]</w:t>
      </w:r>
      <w:r w:rsidRPr="00435D81">
        <w:tab/>
        <w:t>Shi, H., Liu, J., and Chen, Q., 2019, “An RC-Network Approach for HVAC Precooling Optimization in Buildings,” IEEE Trans. Sustain. Comput., pp. 1–1.</w:t>
      </w:r>
    </w:p>
    <w:p w14:paraId="5BF47639" w14:textId="77777777" w:rsidR="00435D81" w:rsidRPr="00435D81" w:rsidRDefault="00435D81" w:rsidP="00435D81">
      <w:pPr>
        <w:pStyle w:val="Bibliography"/>
      </w:pPr>
      <w:r w:rsidRPr="00435D81">
        <w:t>[54]</w:t>
      </w:r>
      <w:r w:rsidRPr="00435D81">
        <w:tab/>
        <w:t xml:space="preserve">Kishore, R. A., Bianchi, M. V. A., Booten, C., Vidal, J., and Jackson, R., 2020, “Modulating Thermal Load through Lightweight Residential Building Walls Using Thermal Energy Storage and Controlled Precooling Strategy,” Applied Thermal Engineering, </w:t>
      </w:r>
      <w:r w:rsidRPr="00435D81">
        <w:rPr>
          <w:b/>
          <w:bCs/>
        </w:rPr>
        <w:t>180</w:t>
      </w:r>
      <w:r w:rsidRPr="00435D81">
        <w:t>, p. 115870.</w:t>
      </w:r>
    </w:p>
    <w:p w14:paraId="4C683EE0" w14:textId="77777777" w:rsidR="00435D81" w:rsidRPr="00435D81" w:rsidRDefault="00435D81" w:rsidP="00435D81">
      <w:pPr>
        <w:pStyle w:val="Bibliography"/>
      </w:pPr>
      <w:r w:rsidRPr="00435D81">
        <w:t>[55]</w:t>
      </w:r>
      <w:r w:rsidRPr="00435D81">
        <w:tab/>
        <w:t xml:space="preserve">Wang, J., Tang, C. Y., and Song, L., 2022, “Analysis of Precooling Optimization for Residential Buildings,” Applied Energy, </w:t>
      </w:r>
      <w:r w:rsidRPr="00435D81">
        <w:rPr>
          <w:b/>
          <w:bCs/>
        </w:rPr>
        <w:t>323</w:t>
      </w:r>
      <w:r w:rsidRPr="00435D81">
        <w:t>, p. 119574.</w:t>
      </w:r>
    </w:p>
    <w:p w14:paraId="5640ECDE" w14:textId="77777777" w:rsidR="00435D81" w:rsidRPr="00435D81" w:rsidRDefault="00435D81" w:rsidP="00435D81">
      <w:pPr>
        <w:pStyle w:val="Bibliography"/>
      </w:pPr>
      <w:r w:rsidRPr="00435D81">
        <w:t>[56]</w:t>
      </w:r>
      <w:r w:rsidRPr="00435D81">
        <w:tab/>
        <w:t xml:space="preserve">Vedullapalli, D. T., Hadidi, R., and Schroeder, B., 2019, “Combined HVAC and Battery Scheduling for Demand Response in a Building,” IEEE Transactions on Industry Applications, </w:t>
      </w:r>
      <w:r w:rsidRPr="00435D81">
        <w:rPr>
          <w:b/>
          <w:bCs/>
        </w:rPr>
        <w:t>55</w:t>
      </w:r>
      <w:r w:rsidRPr="00435D81">
        <w:t>(6), pp. 7008–7014.</w:t>
      </w:r>
    </w:p>
    <w:p w14:paraId="13CBE428" w14:textId="77777777" w:rsidR="00435D81" w:rsidRPr="00435D81" w:rsidRDefault="00435D81" w:rsidP="00435D81">
      <w:pPr>
        <w:pStyle w:val="Bibliography"/>
      </w:pPr>
      <w:r w:rsidRPr="00435D81">
        <w:t>[57]</w:t>
      </w:r>
      <w:r w:rsidRPr="00435D81">
        <w:tab/>
        <w:t xml:space="preserve">Jiang, Z., Risbeck, M. J., Ramamurti, V., Murugesan, S., Amores, J., Zhang, C., Lee, Y. M., and Drees, K. H., 2021, “Building HVAC Control with Reinforcement Learning for Reduction of Energy Cost and Demand Charge,” Energy and Buildings, </w:t>
      </w:r>
      <w:r w:rsidRPr="00435D81">
        <w:rPr>
          <w:b/>
          <w:bCs/>
        </w:rPr>
        <w:t>239</w:t>
      </w:r>
      <w:r w:rsidRPr="00435D81">
        <w:t>, p. 110833.</w:t>
      </w:r>
    </w:p>
    <w:p w14:paraId="0FFC8E67" w14:textId="77777777" w:rsidR="00435D81" w:rsidRPr="00435D81" w:rsidRDefault="00435D81" w:rsidP="00435D81">
      <w:pPr>
        <w:pStyle w:val="Bibliography"/>
      </w:pPr>
      <w:r w:rsidRPr="00435D81">
        <w:t>[58]</w:t>
      </w:r>
      <w:r w:rsidRPr="00435D81">
        <w:tab/>
        <w:t xml:space="preserve">Wang, Z., Chen, B., Li, H., and Hong, T., 2021, “AlphaBuilding ResCommunity: A Multi-Agent Virtual Testbed for Community-Level Load Coordination,” Advances in Applied Energy, </w:t>
      </w:r>
      <w:r w:rsidRPr="00435D81">
        <w:rPr>
          <w:b/>
          <w:bCs/>
        </w:rPr>
        <w:t>4</w:t>
      </w:r>
      <w:r w:rsidRPr="00435D81">
        <w:t>, p. 100061.</w:t>
      </w:r>
    </w:p>
    <w:p w14:paraId="66EFBDE9" w14:textId="77777777" w:rsidR="00435D81" w:rsidRPr="00435D81" w:rsidRDefault="00435D81" w:rsidP="00435D81">
      <w:pPr>
        <w:pStyle w:val="Bibliography"/>
      </w:pPr>
      <w:r w:rsidRPr="00435D81">
        <w:lastRenderedPageBreak/>
        <w:t>[59]</w:t>
      </w:r>
      <w:r w:rsidRPr="00435D81">
        <w:tab/>
        <w:t xml:space="preserve">Tabares-Velasco, P. C., Speake, A., Harris, M., Newman, A., Vincent, T., and Lanahan, M., 2019, “A Modeling Framework for Optimization-Based Control of a Residential Building Thermostat for Time-of-Use Pricing,” Applied Energy, </w:t>
      </w:r>
      <w:r w:rsidRPr="00435D81">
        <w:rPr>
          <w:b/>
          <w:bCs/>
        </w:rPr>
        <w:t>242</w:t>
      </w:r>
      <w:r w:rsidRPr="00435D81">
        <w:t>, pp. 1346–1357.</w:t>
      </w:r>
    </w:p>
    <w:p w14:paraId="16559234" w14:textId="77777777" w:rsidR="00435D81" w:rsidRPr="00435D81" w:rsidRDefault="00435D81" w:rsidP="00435D81">
      <w:pPr>
        <w:pStyle w:val="Bibliography"/>
      </w:pPr>
      <w:r w:rsidRPr="00435D81">
        <w:t>[60]</w:t>
      </w:r>
      <w:r w:rsidRPr="00435D81">
        <w:tab/>
        <w:t xml:space="preserve">Wang, J., Jiang, Y., Tang, C. Y., and Song, L., 2023, “Analysis of Predicted Mean Vote-Based Model Predictive Control for Residential HVAC Systems,” Building and Environment, </w:t>
      </w:r>
      <w:r w:rsidRPr="00435D81">
        <w:rPr>
          <w:b/>
          <w:bCs/>
        </w:rPr>
        <w:t>229</w:t>
      </w:r>
      <w:r w:rsidRPr="00435D81">
        <w:t>, p. 109952.</w:t>
      </w:r>
    </w:p>
    <w:p w14:paraId="6BD68059" w14:textId="77777777" w:rsidR="00435D81" w:rsidRPr="00435D81" w:rsidRDefault="00435D81" w:rsidP="00435D81">
      <w:pPr>
        <w:pStyle w:val="Bibliography"/>
      </w:pPr>
      <w:r w:rsidRPr="00435D81">
        <w:t>[61]</w:t>
      </w:r>
      <w:r w:rsidRPr="00435D81">
        <w:tab/>
        <w:t xml:space="preserve">Afram, A., and Janabi-Sharifi, F., 2017, “Supervisory Model Predictive Controller (MPC) for Residential HVAC Systems: Implementation and Experimentation on Archetype Sustainable House in Toronto,” Energy and Buildings, </w:t>
      </w:r>
      <w:r w:rsidRPr="00435D81">
        <w:rPr>
          <w:b/>
          <w:bCs/>
        </w:rPr>
        <w:t>154</w:t>
      </w:r>
      <w:r w:rsidRPr="00435D81">
        <w:t>, pp. 268–282.</w:t>
      </w:r>
    </w:p>
    <w:p w14:paraId="1F06BDA9" w14:textId="77777777" w:rsidR="00435D81" w:rsidRPr="00435D81" w:rsidRDefault="00435D81" w:rsidP="00435D81">
      <w:pPr>
        <w:pStyle w:val="Bibliography"/>
      </w:pPr>
      <w:r w:rsidRPr="00435D81">
        <w:t>[62]</w:t>
      </w:r>
      <w:r w:rsidRPr="00435D81">
        <w:tab/>
        <w:t xml:space="preserve">Baniasadi, A., Habibi, D., Bass, O., and Masoum, M. A. S., 2019, “Optimal Real-Time Residential Thermal Energy Management for Peak-Load Shifting With Experimental Verification,” IEEE Transactions on Smart Grid, </w:t>
      </w:r>
      <w:r w:rsidRPr="00435D81">
        <w:rPr>
          <w:b/>
          <w:bCs/>
        </w:rPr>
        <w:t>10</w:t>
      </w:r>
      <w:r w:rsidRPr="00435D81">
        <w:t>(5), pp. 5587–5599.</w:t>
      </w:r>
    </w:p>
    <w:p w14:paraId="60A6C273" w14:textId="77777777" w:rsidR="00435D81" w:rsidRPr="00435D81" w:rsidRDefault="00435D81" w:rsidP="00435D81">
      <w:pPr>
        <w:pStyle w:val="Bibliography"/>
      </w:pPr>
      <w:r w:rsidRPr="00435D81">
        <w:t>[63]</w:t>
      </w:r>
      <w:r w:rsidRPr="00435D81">
        <w:tab/>
        <w:t xml:space="preserve">Finck, C., Li, R., and Zeiler, W., 2019, “Economic Model Predictive Control for Demand Flexibility of a Residential Building,” Energy, </w:t>
      </w:r>
      <w:r w:rsidRPr="00435D81">
        <w:rPr>
          <w:b/>
          <w:bCs/>
        </w:rPr>
        <w:t>176</w:t>
      </w:r>
      <w:r w:rsidRPr="00435D81">
        <w:t>, pp. 365–379.</w:t>
      </w:r>
    </w:p>
    <w:p w14:paraId="787EAF9C" w14:textId="77777777" w:rsidR="00435D81" w:rsidRPr="00435D81" w:rsidRDefault="00435D81" w:rsidP="00435D81">
      <w:pPr>
        <w:pStyle w:val="Bibliography"/>
      </w:pPr>
      <w:r w:rsidRPr="00435D81">
        <w:t>[64]</w:t>
      </w:r>
      <w:r w:rsidRPr="00435D81">
        <w:tab/>
        <w:t xml:space="preserve">Merema, B., Saelens, D., and Breesch, H., 2022, “Demonstration of an MPC Framework for All-Air Systems in Non-Residential Buildings,” Building and Environment, </w:t>
      </w:r>
      <w:r w:rsidRPr="00435D81">
        <w:rPr>
          <w:b/>
          <w:bCs/>
        </w:rPr>
        <w:t>217</w:t>
      </w:r>
      <w:r w:rsidRPr="00435D81">
        <w:t>, p. 109053.</w:t>
      </w:r>
    </w:p>
    <w:p w14:paraId="2F23DAD9" w14:textId="77777777" w:rsidR="00435D81" w:rsidRPr="00435D81" w:rsidRDefault="00435D81" w:rsidP="00435D81">
      <w:pPr>
        <w:pStyle w:val="Bibliography"/>
      </w:pPr>
      <w:r w:rsidRPr="00435D81">
        <w:t>[65]</w:t>
      </w:r>
      <w:r w:rsidRPr="00435D81">
        <w:tab/>
        <w:t xml:space="preserve">Blum, D., Wang, Z., Weyandt, C., Kim, D., Wetter, M., Hong, T., and Piette, M. A., 2022, “Field Demonstration and Implementation Analysis of Model Predictive Control in an Office HVAC System,” Applied Energy, </w:t>
      </w:r>
      <w:r w:rsidRPr="00435D81">
        <w:rPr>
          <w:b/>
          <w:bCs/>
        </w:rPr>
        <w:t>318</w:t>
      </w:r>
      <w:r w:rsidRPr="00435D81">
        <w:t>, p. 119104.</w:t>
      </w:r>
    </w:p>
    <w:p w14:paraId="0D8F9552" w14:textId="77777777" w:rsidR="00435D81" w:rsidRPr="00435D81" w:rsidRDefault="00435D81" w:rsidP="00435D81">
      <w:pPr>
        <w:pStyle w:val="Bibliography"/>
      </w:pPr>
      <w:r w:rsidRPr="00435D81">
        <w:t>[66]</w:t>
      </w:r>
      <w:r w:rsidRPr="00435D81">
        <w:tab/>
        <w:t xml:space="preserve">Li, B., Wu, B., Peng, Y., and Cai, W., 2022, “Tube-Based Robust Model Predictive Control of Multi-Zone Demand-Controlled Ventilation Systems for Energy Saving and Indoor Air Quality,” Applied Energy, </w:t>
      </w:r>
      <w:r w:rsidRPr="00435D81">
        <w:rPr>
          <w:b/>
          <w:bCs/>
        </w:rPr>
        <w:t>307</w:t>
      </w:r>
      <w:r w:rsidRPr="00435D81">
        <w:t>, p. 118297.</w:t>
      </w:r>
    </w:p>
    <w:p w14:paraId="58602023" w14:textId="77777777" w:rsidR="00435D81" w:rsidRPr="00435D81" w:rsidRDefault="00435D81" w:rsidP="00435D81">
      <w:pPr>
        <w:pStyle w:val="Bibliography"/>
      </w:pPr>
      <w:r w:rsidRPr="00435D81">
        <w:t>[67]</w:t>
      </w:r>
      <w:r w:rsidRPr="00435D81">
        <w:tab/>
        <w:t xml:space="preserve">Sutton, R. S., and Barto, A. G., 2018, </w:t>
      </w:r>
      <w:r w:rsidRPr="00435D81">
        <w:rPr>
          <w:i/>
          <w:iCs/>
        </w:rPr>
        <w:t>Reinforcement Learning: An Introduction</w:t>
      </w:r>
      <w:r w:rsidRPr="00435D81">
        <w:t>, MIT press.</w:t>
      </w:r>
    </w:p>
    <w:p w14:paraId="7ABDC523" w14:textId="77777777" w:rsidR="00435D81" w:rsidRPr="00435D81" w:rsidRDefault="00435D81" w:rsidP="00435D81">
      <w:pPr>
        <w:pStyle w:val="Bibliography"/>
      </w:pPr>
      <w:r w:rsidRPr="00435D81">
        <w:t>[68]</w:t>
      </w:r>
      <w:r w:rsidRPr="00435D81">
        <w:tab/>
        <w:t xml:space="preserve">Borrelli, F., Bemporad, A., and Morari, M., 2017, </w:t>
      </w:r>
      <w:r w:rsidRPr="00435D81">
        <w:rPr>
          <w:i/>
          <w:iCs/>
        </w:rPr>
        <w:t>Predictive Control for Linear and Hybrid Systems</w:t>
      </w:r>
      <w:r w:rsidRPr="00435D81">
        <w:t>, Cambridge University Press.</w:t>
      </w:r>
    </w:p>
    <w:p w14:paraId="5D40DB88" w14:textId="77777777" w:rsidR="00435D81" w:rsidRPr="00435D81" w:rsidRDefault="00435D81" w:rsidP="00435D81">
      <w:pPr>
        <w:pStyle w:val="Bibliography"/>
      </w:pPr>
      <w:r w:rsidRPr="00435D81">
        <w:t>[69]</w:t>
      </w:r>
      <w:r w:rsidRPr="00435D81">
        <w:tab/>
        <w:t xml:space="preserve">Camacho, E. F., 2007, </w:t>
      </w:r>
      <w:r w:rsidRPr="00435D81">
        <w:rPr>
          <w:i/>
          <w:iCs/>
        </w:rPr>
        <w:t>Model Predictive Control by Eduardo F. Camacho, Carlos Bordons Alba.</w:t>
      </w:r>
    </w:p>
    <w:p w14:paraId="1C32C826" w14:textId="77777777" w:rsidR="00435D81" w:rsidRPr="00435D81" w:rsidRDefault="00435D81" w:rsidP="00435D81">
      <w:pPr>
        <w:pStyle w:val="Bibliography"/>
      </w:pPr>
      <w:r w:rsidRPr="00435D81">
        <w:t>[70]</w:t>
      </w:r>
      <w:r w:rsidRPr="00435D81">
        <w:tab/>
        <w:t xml:space="preserve">Huchuk, B., Sanner, S., and O’Brien, W., 2021, “Development and Evaluation of Data-Driven Controls for Residential Smart Thermostats,” Energy and Buildings, </w:t>
      </w:r>
      <w:r w:rsidRPr="00435D81">
        <w:rPr>
          <w:b/>
          <w:bCs/>
        </w:rPr>
        <w:t>249</w:t>
      </w:r>
      <w:r w:rsidRPr="00435D81">
        <w:t>, p. 111201.</w:t>
      </w:r>
    </w:p>
    <w:p w14:paraId="6335282E" w14:textId="77777777" w:rsidR="00435D81" w:rsidRPr="00435D81" w:rsidRDefault="00435D81" w:rsidP="00435D81">
      <w:pPr>
        <w:pStyle w:val="Bibliography"/>
      </w:pPr>
      <w:r w:rsidRPr="00435D81">
        <w:t>[71]</w:t>
      </w:r>
      <w:r w:rsidRPr="00435D81">
        <w:tab/>
        <w:t xml:space="preserve">Kim, D., Wang, Z., Brugger, J., Blum, D., Wetter, M., Hong, T., and Piette, M. A., 2022, “Site Demonstration and Performance Evaluation of MPC for a Large Chiller Plant with TES for Renewable Energy Integration and Grid Decarbonization,” Applied Energy, </w:t>
      </w:r>
      <w:r w:rsidRPr="00435D81">
        <w:rPr>
          <w:b/>
          <w:bCs/>
        </w:rPr>
        <w:t>321</w:t>
      </w:r>
      <w:r w:rsidRPr="00435D81">
        <w:t>, p. 119343.</w:t>
      </w:r>
    </w:p>
    <w:p w14:paraId="09534667" w14:textId="77777777" w:rsidR="00435D81" w:rsidRPr="00435D81" w:rsidRDefault="00435D81" w:rsidP="00435D81">
      <w:pPr>
        <w:pStyle w:val="Bibliography"/>
      </w:pPr>
      <w:r w:rsidRPr="00435D81">
        <w:t>[72]</w:t>
      </w:r>
      <w:r w:rsidRPr="00435D81">
        <w:tab/>
        <w:t xml:space="preserve">Lee, H., and Heo, Y., 2022, “Simplified Data-Driven Models for Model Predictive Control of Residential Buildings,” Energy and Buildings, </w:t>
      </w:r>
      <w:r w:rsidRPr="00435D81">
        <w:rPr>
          <w:b/>
          <w:bCs/>
        </w:rPr>
        <w:t>265</w:t>
      </w:r>
      <w:r w:rsidRPr="00435D81">
        <w:t>, p. 112067.</w:t>
      </w:r>
    </w:p>
    <w:p w14:paraId="5AC0A127" w14:textId="77777777" w:rsidR="00435D81" w:rsidRPr="00435D81" w:rsidRDefault="00435D81" w:rsidP="00435D81">
      <w:pPr>
        <w:pStyle w:val="Bibliography"/>
      </w:pPr>
      <w:r w:rsidRPr="00435D81">
        <w:t>[73]</w:t>
      </w:r>
      <w:r w:rsidRPr="00435D81">
        <w:tab/>
        <w:t xml:space="preserve">Xu, X., Wang, S., and Huang, G., 2010, “Robust MPC for Temperature Control of Air-Conditioning Systems Concerning on Constraints and Multitype Uncertainties,” Building </w:t>
      </w:r>
      <w:r w:rsidRPr="00435D81">
        <w:lastRenderedPageBreak/>
        <w:t xml:space="preserve">Services Engineering Research and Technology, </w:t>
      </w:r>
      <w:r w:rsidRPr="00435D81">
        <w:rPr>
          <w:b/>
          <w:bCs/>
        </w:rPr>
        <w:t>31</w:t>
      </w:r>
      <w:r w:rsidRPr="00435D81">
        <w:t>(1), pp. 39–55.</w:t>
      </w:r>
    </w:p>
    <w:p w14:paraId="2AF336CD" w14:textId="77777777" w:rsidR="00435D81" w:rsidRPr="00435D81" w:rsidRDefault="00435D81" w:rsidP="00435D81">
      <w:pPr>
        <w:pStyle w:val="Bibliography"/>
      </w:pPr>
      <w:r w:rsidRPr="00435D81">
        <w:t>[74]</w:t>
      </w:r>
      <w:r w:rsidRPr="00435D81">
        <w:tab/>
        <w:t xml:space="preserve">Maasoumy, M., Razmara, M., Shahbakhti, M., and Vincentelli, A. S., 2014, “Handling Model Uncertainty in Model Predictive Control for Energy Efficient Buildings,” Energy and Buildings, </w:t>
      </w:r>
      <w:r w:rsidRPr="00435D81">
        <w:rPr>
          <w:b/>
          <w:bCs/>
        </w:rPr>
        <w:t>77</w:t>
      </w:r>
      <w:r w:rsidRPr="00435D81">
        <w:t>, pp. 377–392.</w:t>
      </w:r>
    </w:p>
    <w:p w14:paraId="4F8A23F3" w14:textId="77777777" w:rsidR="00435D81" w:rsidRPr="00435D81" w:rsidRDefault="00435D81" w:rsidP="00435D81">
      <w:pPr>
        <w:pStyle w:val="Bibliography"/>
      </w:pPr>
      <w:r w:rsidRPr="00435D81">
        <w:t>[75]</w:t>
      </w:r>
      <w:r w:rsidRPr="00435D81">
        <w:tab/>
        <w:t xml:space="preserve">Afram, A., and Janabi-Sharifi, F., 2014, “Theory and Applications of HVAC Control Systems – A Review of Model Predictive Control (MPC),” Building and Environment, </w:t>
      </w:r>
      <w:r w:rsidRPr="00435D81">
        <w:rPr>
          <w:b/>
          <w:bCs/>
        </w:rPr>
        <w:t>72</w:t>
      </w:r>
      <w:r w:rsidRPr="00435D81">
        <w:t>, pp. 343–355.</w:t>
      </w:r>
    </w:p>
    <w:p w14:paraId="0191F414" w14:textId="77777777" w:rsidR="00435D81" w:rsidRPr="00435D81" w:rsidRDefault="00435D81" w:rsidP="00435D81">
      <w:pPr>
        <w:pStyle w:val="Bibliography"/>
      </w:pPr>
      <w:r w:rsidRPr="00435D81">
        <w:t>[76]</w:t>
      </w:r>
      <w:r w:rsidRPr="00435D81">
        <w:tab/>
        <w:t>Mayne, D. Q., Rawlings, J. B., Rao, C. V., and Scokaert, P. O. M., 2000, “Constrained Model Predictive Control: Stability and Optimality</w:t>
      </w:r>
      <w:r w:rsidRPr="00435D81">
        <w:rPr>
          <w:rFonts w:ascii="Nirmala UI" w:hAnsi="Nirmala UI" w:cs="Nirmala UI"/>
        </w:rPr>
        <w:t>ଝ</w:t>
      </w:r>
      <w:r w:rsidRPr="00435D81">
        <w:t xml:space="preserve">,” Automatica, </w:t>
      </w:r>
      <w:r w:rsidRPr="00435D81">
        <w:rPr>
          <w:b/>
          <w:bCs/>
        </w:rPr>
        <w:t>36</w:t>
      </w:r>
      <w:r w:rsidRPr="00435D81">
        <w:t>, pp. 789–814.</w:t>
      </w:r>
    </w:p>
    <w:p w14:paraId="574D4BBA" w14:textId="77777777" w:rsidR="00435D81" w:rsidRPr="00435D81" w:rsidRDefault="00435D81" w:rsidP="00435D81">
      <w:pPr>
        <w:pStyle w:val="Bibliography"/>
      </w:pPr>
      <w:r w:rsidRPr="00435D81">
        <w:t>[77]</w:t>
      </w:r>
      <w:r w:rsidRPr="00435D81">
        <w:tab/>
        <w:t xml:space="preserve">ENERNOC, 2009, </w:t>
      </w:r>
      <w:r w:rsidRPr="00435D81">
        <w:rPr>
          <w:i/>
          <w:iCs/>
        </w:rPr>
        <w:t>The Demand Response Baseline</w:t>
      </w:r>
      <w:r w:rsidRPr="00435D81">
        <w:t>, ENERNOC.</w:t>
      </w:r>
    </w:p>
    <w:p w14:paraId="4B5EFBB5" w14:textId="77777777" w:rsidR="00435D81" w:rsidRPr="00435D81" w:rsidRDefault="00435D81" w:rsidP="00435D81">
      <w:pPr>
        <w:pStyle w:val="Bibliography"/>
      </w:pPr>
      <w:r w:rsidRPr="00435D81">
        <w:t>[78]</w:t>
      </w:r>
      <w:r w:rsidRPr="00435D81">
        <w:tab/>
        <w:t xml:space="preserve">Zhang, L., Good, N., and Mancarella, P., 2019, “Building-to-Grid Flexibility: Modelling and Assessment Metrics for Residential Demand Response from Heat Pump Aggregations,” Applied Energy, </w:t>
      </w:r>
      <w:r w:rsidRPr="00435D81">
        <w:rPr>
          <w:b/>
          <w:bCs/>
        </w:rPr>
        <w:t>233–234</w:t>
      </w:r>
      <w:r w:rsidRPr="00435D81">
        <w:t>, pp. 709–723.</w:t>
      </w:r>
    </w:p>
    <w:p w14:paraId="15EB2B98" w14:textId="77777777" w:rsidR="00435D81" w:rsidRPr="00435D81" w:rsidRDefault="00435D81" w:rsidP="00435D81">
      <w:pPr>
        <w:pStyle w:val="Bibliography"/>
      </w:pPr>
      <w:r w:rsidRPr="00435D81">
        <w:t>[79]</w:t>
      </w:r>
      <w:r w:rsidRPr="00435D81">
        <w:tab/>
        <w:t xml:space="preserve">Wang, J., Tang, C. Y., and Song, L., 2020, “Design and Analysis of Optimal Pre-Cooling in Residential Buildings,” Energy and Buildings, </w:t>
      </w:r>
      <w:r w:rsidRPr="00435D81">
        <w:rPr>
          <w:b/>
          <w:bCs/>
        </w:rPr>
        <w:t>216</w:t>
      </w:r>
      <w:r w:rsidRPr="00435D81">
        <w:t>, p. 109951.</w:t>
      </w:r>
    </w:p>
    <w:p w14:paraId="79F41BB7" w14:textId="77777777" w:rsidR="00435D81" w:rsidRPr="00435D81" w:rsidRDefault="00435D81" w:rsidP="00435D81">
      <w:pPr>
        <w:pStyle w:val="Bibliography"/>
      </w:pPr>
      <w:r w:rsidRPr="00435D81">
        <w:t>[80]</w:t>
      </w:r>
      <w:r w:rsidRPr="00435D81">
        <w:tab/>
        <w:t xml:space="preserve">Joe, J., 2022, “Investigation on Pre-Cooling Potential of UFAD via Model-Based Predictive Control,” Energy and Buildings, </w:t>
      </w:r>
      <w:r w:rsidRPr="00435D81">
        <w:rPr>
          <w:b/>
          <w:bCs/>
        </w:rPr>
        <w:t>259</w:t>
      </w:r>
      <w:r w:rsidRPr="00435D81">
        <w:t>, p. 111898.</w:t>
      </w:r>
    </w:p>
    <w:p w14:paraId="24D82FD9" w14:textId="77777777" w:rsidR="00435D81" w:rsidRPr="00435D81" w:rsidRDefault="00435D81" w:rsidP="00435D81">
      <w:pPr>
        <w:pStyle w:val="Bibliography"/>
      </w:pPr>
      <w:r w:rsidRPr="00435D81">
        <w:t>[81]</w:t>
      </w:r>
      <w:r w:rsidRPr="00435D81">
        <w:tab/>
        <w:t xml:space="preserve">Lindelöf, D., Afshari, H., Alisafaee, M., Biswas, J., Caban, M., Mocellin, X., and Viaene, J., 2015, “Field Tests of an Adaptive, Model-Predictive Heating Controller for Residential Buildings,” Energy and Buildings, </w:t>
      </w:r>
      <w:r w:rsidRPr="00435D81">
        <w:rPr>
          <w:b/>
          <w:bCs/>
        </w:rPr>
        <w:t>99</w:t>
      </w:r>
      <w:r w:rsidRPr="00435D81">
        <w:t>, pp. 292–302.</w:t>
      </w:r>
    </w:p>
    <w:p w14:paraId="14B04EC2" w14:textId="77777777" w:rsidR="00435D81" w:rsidRPr="00435D81" w:rsidRDefault="00435D81" w:rsidP="00435D81">
      <w:pPr>
        <w:pStyle w:val="Bibliography"/>
      </w:pPr>
      <w:r w:rsidRPr="00435D81">
        <w:t>[82]</w:t>
      </w:r>
      <w:r w:rsidRPr="00435D81">
        <w:tab/>
        <w:t xml:space="preserve">Risteska Stojkoska, B. L., and Trivodaliev, K. V., 2017, “A Review of Internet of Things for Smart Home: Challenges and Solutions,” Journal of Cleaner Production, </w:t>
      </w:r>
      <w:r w:rsidRPr="00435D81">
        <w:rPr>
          <w:b/>
          <w:bCs/>
        </w:rPr>
        <w:t>140</w:t>
      </w:r>
      <w:r w:rsidRPr="00435D81">
        <w:t>, pp. 1454–1464.</w:t>
      </w:r>
    </w:p>
    <w:p w14:paraId="4ACA216C" w14:textId="77777777" w:rsidR="00435D81" w:rsidRPr="00435D81" w:rsidRDefault="00435D81" w:rsidP="00435D81">
      <w:pPr>
        <w:pStyle w:val="Bibliography"/>
      </w:pPr>
      <w:r w:rsidRPr="00435D81">
        <w:t>[83]</w:t>
      </w:r>
      <w:r w:rsidRPr="00435D81">
        <w:tab/>
        <w:t xml:space="preserve">Vielma, J. P., 2015, “Mixed Integer Linear Programming Formulation Techniques,” Siam Review, </w:t>
      </w:r>
      <w:r w:rsidRPr="00435D81">
        <w:rPr>
          <w:b/>
          <w:bCs/>
        </w:rPr>
        <w:t>57</w:t>
      </w:r>
      <w:r w:rsidRPr="00435D81">
        <w:t>(1), pp. 3–57.</w:t>
      </w:r>
    </w:p>
    <w:p w14:paraId="477107DF" w14:textId="77777777" w:rsidR="00435D81" w:rsidRPr="00435D81" w:rsidRDefault="00435D81" w:rsidP="00435D81">
      <w:pPr>
        <w:pStyle w:val="Bibliography"/>
      </w:pPr>
      <w:r w:rsidRPr="00435D81">
        <w:t>[84]</w:t>
      </w:r>
      <w:r w:rsidRPr="00435D81">
        <w:tab/>
        <w:t xml:space="preserve">Godina, R., Rodrigues, E., Pouresmaeil, E., Matias, J., and Catalão, J., 2018, “Model Predictive Control Home Energy Management and Optimization Strategy with Demand Response,” Applied Sciences, </w:t>
      </w:r>
      <w:r w:rsidRPr="00435D81">
        <w:rPr>
          <w:b/>
          <w:bCs/>
        </w:rPr>
        <w:t>8</w:t>
      </w:r>
      <w:r w:rsidRPr="00435D81">
        <w:t>(3), p. 408.</w:t>
      </w:r>
    </w:p>
    <w:p w14:paraId="5647D578" w14:textId="77777777" w:rsidR="00435D81" w:rsidRPr="00435D81" w:rsidRDefault="00435D81" w:rsidP="00435D81">
      <w:pPr>
        <w:pStyle w:val="Bibliography"/>
      </w:pPr>
      <w:r w:rsidRPr="00435D81">
        <w:t>[85]</w:t>
      </w:r>
      <w:r w:rsidRPr="00435D81">
        <w:tab/>
        <w:t xml:space="preserve">Izawa, A., and Fripp, M., 2018, “Multi-Objective Control of Air Conditioning Improves Cost, Comfort and System Energy Balance,” Energies, </w:t>
      </w:r>
      <w:r w:rsidRPr="00435D81">
        <w:rPr>
          <w:b/>
          <w:bCs/>
        </w:rPr>
        <w:t>11</w:t>
      </w:r>
      <w:r w:rsidRPr="00435D81">
        <w:t>(9), p. 2373.</w:t>
      </w:r>
    </w:p>
    <w:p w14:paraId="1CD5462C" w14:textId="77777777" w:rsidR="00435D81" w:rsidRPr="00435D81" w:rsidRDefault="00435D81" w:rsidP="00435D81">
      <w:pPr>
        <w:pStyle w:val="Bibliography"/>
      </w:pPr>
      <w:r w:rsidRPr="00435D81">
        <w:t>[86]</w:t>
      </w:r>
      <w:r w:rsidRPr="00435D81">
        <w:tab/>
        <w:t xml:space="preserve">Kampelis, N., Sifakis, N., Kolokotsa, D., Gobakis, K., Kalaitzakis, K., Isidori, D., and Cristalli, C., 2019, “HVAC Optimization Genetic Algorithm for Industrial Near-Zero-Energy Building Demand Response,” Energies, </w:t>
      </w:r>
      <w:r w:rsidRPr="00435D81">
        <w:rPr>
          <w:b/>
          <w:bCs/>
        </w:rPr>
        <w:t>12</w:t>
      </w:r>
      <w:r w:rsidRPr="00435D81">
        <w:t>(11), p. 2177.</w:t>
      </w:r>
    </w:p>
    <w:p w14:paraId="3CF1B6D7" w14:textId="77777777" w:rsidR="00435D81" w:rsidRPr="00435D81" w:rsidRDefault="00435D81" w:rsidP="00435D81">
      <w:pPr>
        <w:pStyle w:val="Bibliography"/>
      </w:pPr>
      <w:r w:rsidRPr="00435D81">
        <w:t>[87]</w:t>
      </w:r>
      <w:r w:rsidRPr="00435D81">
        <w:tab/>
        <w:t xml:space="preserve">Perez, K. X., Baldea, M., and Edgar, T. F., 2016, “Integrated HVAC Management and Optimal Scheduling of Smart Appliances for Community Peak Load Reduction,” Energy and Buildings, </w:t>
      </w:r>
      <w:r w:rsidRPr="00435D81">
        <w:rPr>
          <w:b/>
          <w:bCs/>
        </w:rPr>
        <w:t>123</w:t>
      </w:r>
      <w:r w:rsidRPr="00435D81">
        <w:t>, pp. 34–40.</w:t>
      </w:r>
    </w:p>
    <w:p w14:paraId="20001A11" w14:textId="77777777" w:rsidR="00435D81" w:rsidRPr="00435D81" w:rsidRDefault="00435D81" w:rsidP="00435D81">
      <w:pPr>
        <w:pStyle w:val="Bibliography"/>
      </w:pPr>
      <w:r w:rsidRPr="00435D81">
        <w:t>[88]</w:t>
      </w:r>
      <w:r w:rsidRPr="00435D81">
        <w:tab/>
        <w:t xml:space="preserve">Nagpal, H., Staino, A., and Basu, B., 2020, “Application of Predictive Control in Scheduling of Domestic Appliances,” Applied Sciences, </w:t>
      </w:r>
      <w:r w:rsidRPr="00435D81">
        <w:rPr>
          <w:b/>
          <w:bCs/>
        </w:rPr>
        <w:t>10</w:t>
      </w:r>
      <w:r w:rsidRPr="00435D81">
        <w:t>, p. 1627.</w:t>
      </w:r>
    </w:p>
    <w:p w14:paraId="3EF4CE59" w14:textId="77777777" w:rsidR="00435D81" w:rsidRPr="00435D81" w:rsidRDefault="00435D81" w:rsidP="00435D81">
      <w:pPr>
        <w:pStyle w:val="Bibliography"/>
      </w:pPr>
      <w:r w:rsidRPr="00435D81">
        <w:t>[89]</w:t>
      </w:r>
      <w:r w:rsidRPr="00435D81">
        <w:tab/>
        <w:t xml:space="preserve">Chen, C., Wang, J., Heo, Y., and Kishore, S., 2013, “MPC-Based Appliance Scheduling for Residential Building Energy Management Controller,” IEEE Transactions on Smart </w:t>
      </w:r>
      <w:r w:rsidRPr="00435D81">
        <w:lastRenderedPageBreak/>
        <w:t xml:space="preserve">Grid, </w:t>
      </w:r>
      <w:r w:rsidRPr="00435D81">
        <w:rPr>
          <w:b/>
          <w:bCs/>
        </w:rPr>
        <w:t>4</w:t>
      </w:r>
      <w:r w:rsidRPr="00435D81">
        <w:t>(3), pp. 1401–1410.</w:t>
      </w:r>
    </w:p>
    <w:p w14:paraId="509D13CF" w14:textId="77777777" w:rsidR="00435D81" w:rsidRPr="00435D81" w:rsidRDefault="00435D81" w:rsidP="00435D81">
      <w:pPr>
        <w:pStyle w:val="Bibliography"/>
      </w:pPr>
      <w:r w:rsidRPr="00435D81">
        <w:t>[90]</w:t>
      </w:r>
      <w:r w:rsidRPr="00435D81">
        <w:tab/>
        <w:t xml:space="preserve">Lorestani, A., Aghaee, S. S., Gharehpetian, G. B., and Ardehali, M. M., 2017, “Energy Management in Smart Home Including PV Panel, Battery, Electric Heater with Integration of Plug-in Electric Vehicle,” </w:t>
      </w:r>
      <w:r w:rsidRPr="00435D81">
        <w:rPr>
          <w:i/>
          <w:iCs/>
        </w:rPr>
        <w:t>2017 Smart Grid Conference (SGC)</w:t>
      </w:r>
      <w:r w:rsidRPr="00435D81">
        <w:t>, pp. 1–7.</w:t>
      </w:r>
    </w:p>
    <w:p w14:paraId="350DC01F" w14:textId="77777777" w:rsidR="00435D81" w:rsidRPr="00435D81" w:rsidRDefault="00435D81" w:rsidP="00435D81">
      <w:pPr>
        <w:pStyle w:val="Bibliography"/>
      </w:pPr>
      <w:r w:rsidRPr="00435D81">
        <w:t>[91]</w:t>
      </w:r>
      <w:r w:rsidRPr="00435D81">
        <w:tab/>
        <w:t xml:space="preserve">Iqbal, M. M., Sajjad, I. A., Nadeem Khan, M. F., Liaqat, R., Shah, M. A., and Muqeet, H. A., 2019, “Energy Management in Smart Homes with PV Generation, Energy Storage and Home to Grid Energy Exchange,” </w:t>
      </w:r>
      <w:r w:rsidRPr="00435D81">
        <w:rPr>
          <w:i/>
          <w:iCs/>
        </w:rPr>
        <w:t>2019 International Conference on Electrical, Communication, and Computer Engineering (ICECCE)</w:t>
      </w:r>
      <w:r w:rsidRPr="00435D81">
        <w:t>, pp. 1–7.</w:t>
      </w:r>
    </w:p>
    <w:p w14:paraId="6B902985" w14:textId="77777777" w:rsidR="00435D81" w:rsidRPr="00435D81" w:rsidRDefault="00435D81" w:rsidP="00435D81">
      <w:pPr>
        <w:pStyle w:val="Bibliography"/>
      </w:pPr>
      <w:r w:rsidRPr="00435D81">
        <w:t>[92]</w:t>
      </w:r>
      <w:r w:rsidRPr="00435D81">
        <w:tab/>
        <w:t xml:space="preserve">Lu, Q., Zhang, Z., and Lü, S., 2020, “Home Energy Management in Smart Households: Optimal Appliance Scheduling Model with Photovoltaic Energy Storage System,” Energy Reports, </w:t>
      </w:r>
      <w:r w:rsidRPr="00435D81">
        <w:rPr>
          <w:b/>
          <w:bCs/>
        </w:rPr>
        <w:t>6</w:t>
      </w:r>
      <w:r w:rsidRPr="00435D81">
        <w:t>, pp. 2450–2462.</w:t>
      </w:r>
    </w:p>
    <w:p w14:paraId="1495BF5E" w14:textId="77777777" w:rsidR="00435D81" w:rsidRPr="00435D81" w:rsidRDefault="00435D81" w:rsidP="00435D81">
      <w:pPr>
        <w:pStyle w:val="Bibliography"/>
      </w:pPr>
      <w:r w:rsidRPr="00435D81">
        <w:t>[93]</w:t>
      </w:r>
      <w:r w:rsidRPr="00435D81">
        <w:tab/>
        <w:t xml:space="preserve">Rocha, H. R. O., Honorato, I. H., Fiorotti, R., Celeste, W. C., Silvestre, L. J., and Silva, J. A. L., 2021, “An Artificial Intelligence Based Scheduling Algorithm for Demand-Side Energy Management in Smart Homes,” Applied Energy, </w:t>
      </w:r>
      <w:r w:rsidRPr="00435D81">
        <w:rPr>
          <w:b/>
          <w:bCs/>
        </w:rPr>
        <w:t>282</w:t>
      </w:r>
      <w:r w:rsidRPr="00435D81">
        <w:t>, p. 116145.</w:t>
      </w:r>
    </w:p>
    <w:p w14:paraId="4FDB29ED" w14:textId="77777777" w:rsidR="00435D81" w:rsidRPr="00435D81" w:rsidRDefault="00435D81" w:rsidP="00435D81">
      <w:pPr>
        <w:pStyle w:val="Bibliography"/>
      </w:pPr>
      <w:r w:rsidRPr="00435D81">
        <w:t>[94]</w:t>
      </w:r>
      <w:r w:rsidRPr="00435D81">
        <w:tab/>
        <w:t>zheng, “An Integrated Smart Home Energy Management Model Based on a Pyramid Taxonomy for Residential Houses with Photovoltaic-Battery Systems | Elsevier Enhanced Reader” [Online]. Available: https://reader.elsevier.com/reader/sd/pii/S0306261921005936?token=EAA5655C08C11384A0F10759BEDE85DEDA31A651FD1EF99BED411D29A0EAE53929AB18BFD4EC010C2FC1CD267149356E&amp;originRegion=us-east-1&amp;originCreation=20220403023848. [Accessed: 02-Apr-2022].</w:t>
      </w:r>
    </w:p>
    <w:p w14:paraId="25E44C74" w14:textId="77777777" w:rsidR="00435D81" w:rsidRPr="00435D81" w:rsidRDefault="00435D81" w:rsidP="00435D81">
      <w:pPr>
        <w:pStyle w:val="Bibliography"/>
      </w:pPr>
      <w:r w:rsidRPr="00435D81">
        <w:t>[95]</w:t>
      </w:r>
      <w:r w:rsidRPr="00435D81">
        <w:tab/>
        <w:t xml:space="preserve">Zheng, Z., Sun, Z., Pan, J., and Luo, X., 2021, “An Integrated Smart Home Energy Management Model Based on a Pyramid Taxonomy for Residential Houses with Photovoltaic-Battery Systems,” Applied Energy, </w:t>
      </w:r>
      <w:r w:rsidRPr="00435D81">
        <w:rPr>
          <w:b/>
          <w:bCs/>
        </w:rPr>
        <w:t>298</w:t>
      </w:r>
      <w:r w:rsidRPr="00435D81">
        <w:t>, p. 117159.</w:t>
      </w:r>
    </w:p>
    <w:p w14:paraId="4255D26F" w14:textId="77777777" w:rsidR="00435D81" w:rsidRPr="00435D81" w:rsidRDefault="00435D81" w:rsidP="00435D81">
      <w:pPr>
        <w:pStyle w:val="Bibliography"/>
      </w:pPr>
      <w:r w:rsidRPr="00435D81">
        <w:t>[96]</w:t>
      </w:r>
      <w:r w:rsidRPr="00435D81">
        <w:tab/>
        <w:t xml:space="preserve">Sou, K. C., Weimer, J., Sandberg, H., and Johansson, K. H., 2011, “Scheduling Smart Home Appliances Using Mixed Integer Linear Programming,” </w:t>
      </w:r>
      <w:r w:rsidRPr="00435D81">
        <w:rPr>
          <w:i/>
          <w:iCs/>
        </w:rPr>
        <w:t>IEEE Conference on Decision and Control and European Control Conference</w:t>
      </w:r>
      <w:r w:rsidRPr="00435D81">
        <w:t>, IEEE, Orlando, FL, USA, pp. 5144–5149.</w:t>
      </w:r>
    </w:p>
    <w:p w14:paraId="7176D36C" w14:textId="77777777" w:rsidR="00435D81" w:rsidRPr="00435D81" w:rsidRDefault="00435D81" w:rsidP="00435D81">
      <w:pPr>
        <w:pStyle w:val="Bibliography"/>
      </w:pPr>
      <w:r w:rsidRPr="00435D81">
        <w:t>[97]</w:t>
      </w:r>
      <w:r w:rsidRPr="00435D81">
        <w:tab/>
        <w:t xml:space="preserve">Veras, J., Silva, I., Pinheiro, P., Rabêlo, R., Veloso, A., Borges, F., and Rodrigues, J., 2018, “A Multi-Objective Demand Response Optimization Model for Scheduling Loads in a Home Energy Management System,” Sensors, </w:t>
      </w:r>
      <w:r w:rsidRPr="00435D81">
        <w:rPr>
          <w:b/>
          <w:bCs/>
        </w:rPr>
        <w:t>18</w:t>
      </w:r>
      <w:r w:rsidRPr="00435D81">
        <w:t>(10), p. 3207.</w:t>
      </w:r>
    </w:p>
    <w:p w14:paraId="7699D409" w14:textId="77777777" w:rsidR="00435D81" w:rsidRPr="00435D81" w:rsidRDefault="00435D81" w:rsidP="00435D81">
      <w:pPr>
        <w:pStyle w:val="Bibliography"/>
      </w:pPr>
      <w:r w:rsidRPr="00435D81">
        <w:t>[98]</w:t>
      </w:r>
      <w:r w:rsidRPr="00435D81">
        <w:tab/>
        <w:t xml:space="preserve">Yahia, Z., and Pradhan, A., 2020, “Multi-Objective Optimization of Household Appliance Scheduling Problem Considering Consumer Preference and Peak Load Reduction,” Sustainable Cities and Society, </w:t>
      </w:r>
      <w:r w:rsidRPr="00435D81">
        <w:rPr>
          <w:b/>
          <w:bCs/>
        </w:rPr>
        <w:t>55</w:t>
      </w:r>
      <w:r w:rsidRPr="00435D81">
        <w:t>, p. 102058.</w:t>
      </w:r>
    </w:p>
    <w:p w14:paraId="06685C94" w14:textId="77777777" w:rsidR="00435D81" w:rsidRPr="00435D81" w:rsidRDefault="00435D81" w:rsidP="00435D81">
      <w:pPr>
        <w:pStyle w:val="Bibliography"/>
      </w:pPr>
      <w:r w:rsidRPr="00435D81">
        <w:t>[99]</w:t>
      </w:r>
      <w:r w:rsidRPr="00435D81">
        <w:tab/>
        <w:t xml:space="preserve">Isermann, R., and Münchhof, M., 2011, </w:t>
      </w:r>
      <w:r w:rsidRPr="00435D81">
        <w:rPr>
          <w:i/>
          <w:iCs/>
        </w:rPr>
        <w:t>Identification of Dynamic Systems: An Introduction with Applications</w:t>
      </w:r>
      <w:r w:rsidRPr="00435D81">
        <w:t>, Springer.</w:t>
      </w:r>
    </w:p>
    <w:p w14:paraId="6CB43E41" w14:textId="77777777" w:rsidR="00435D81" w:rsidRPr="00435D81" w:rsidRDefault="00435D81" w:rsidP="00435D81">
      <w:pPr>
        <w:pStyle w:val="Bibliography"/>
      </w:pPr>
      <w:r w:rsidRPr="00435D81">
        <w:t>[100]</w:t>
      </w:r>
      <w:r w:rsidRPr="00435D81">
        <w:tab/>
        <w:t xml:space="preserve">Zhang, X., Rasmussen, C., Saelens, D., and Roels, S., 2022, “Time-Dependent Solar Aperture Estimation of a Building: Comparing Grey-Box and White-Box Approaches,” Renewable and Sustainable Energy Reviews, </w:t>
      </w:r>
      <w:r w:rsidRPr="00435D81">
        <w:rPr>
          <w:b/>
          <w:bCs/>
        </w:rPr>
        <w:t>161</w:t>
      </w:r>
      <w:r w:rsidRPr="00435D81">
        <w:t>, p. 112337.</w:t>
      </w:r>
    </w:p>
    <w:p w14:paraId="59C52F0F" w14:textId="77777777" w:rsidR="00435D81" w:rsidRPr="00435D81" w:rsidRDefault="00435D81" w:rsidP="00435D81">
      <w:pPr>
        <w:pStyle w:val="Bibliography"/>
      </w:pPr>
      <w:r w:rsidRPr="00435D81">
        <w:t>[101]</w:t>
      </w:r>
      <w:r w:rsidRPr="00435D81">
        <w:tab/>
        <w:t xml:space="preserve">Cai, J., and Braun, J., 2015, “Gray-Box Modeling of Multi-Stage Direct-Expansion </w:t>
      </w:r>
      <w:r w:rsidRPr="00435D81">
        <w:lastRenderedPageBreak/>
        <w:t xml:space="preserve">(DX) Units to Enable Control System Optimization,” ASHRAE Transactions, </w:t>
      </w:r>
      <w:r w:rsidRPr="00435D81">
        <w:rPr>
          <w:b/>
          <w:bCs/>
        </w:rPr>
        <w:t>121</w:t>
      </w:r>
      <w:r w:rsidRPr="00435D81">
        <w:t>, pp. 203–216.</w:t>
      </w:r>
    </w:p>
    <w:p w14:paraId="7CAB3E91" w14:textId="77777777" w:rsidR="00435D81" w:rsidRPr="00435D81" w:rsidRDefault="00435D81" w:rsidP="00435D81">
      <w:pPr>
        <w:pStyle w:val="Bibliography"/>
      </w:pPr>
      <w:r w:rsidRPr="00435D81">
        <w:t>[102]</w:t>
      </w:r>
      <w:r w:rsidRPr="00435D81">
        <w:tab/>
        <w:t xml:space="preserve">Kircher, K. J., and Max Zhang, K., 2015, “On the Lumped Capacitance Approximation Accuracy in RC Network Building Models,” Energy and Buildings, </w:t>
      </w:r>
      <w:r w:rsidRPr="00435D81">
        <w:rPr>
          <w:b/>
          <w:bCs/>
        </w:rPr>
        <w:t>108</w:t>
      </w:r>
      <w:r w:rsidRPr="00435D81">
        <w:t>, pp. 454–462.</w:t>
      </w:r>
    </w:p>
    <w:p w14:paraId="508C4500" w14:textId="77777777" w:rsidR="00435D81" w:rsidRPr="00435D81" w:rsidRDefault="00435D81" w:rsidP="00435D81">
      <w:pPr>
        <w:pStyle w:val="Bibliography"/>
      </w:pPr>
      <w:r w:rsidRPr="00435D81">
        <w:t>[103]</w:t>
      </w:r>
      <w:r w:rsidRPr="00435D81">
        <w:tab/>
        <w:t xml:space="preserve">Ogunsola, O. T., and Song, L., 2013, “Performance Analysis of a Simplified Model of Cooling Load for a Typical Office Building,” </w:t>
      </w:r>
      <w:r w:rsidRPr="00435D81">
        <w:rPr>
          <w:i/>
          <w:iCs/>
        </w:rPr>
        <w:t>ASME 2013 International Mechanical Engineering Congress and Exposition</w:t>
      </w:r>
      <w:r w:rsidRPr="00435D81">
        <w:t>.</w:t>
      </w:r>
    </w:p>
    <w:p w14:paraId="303FE273" w14:textId="77777777" w:rsidR="00435D81" w:rsidRPr="00435D81" w:rsidRDefault="00435D81" w:rsidP="00435D81">
      <w:pPr>
        <w:pStyle w:val="Bibliography"/>
      </w:pPr>
      <w:r w:rsidRPr="00435D81">
        <w:t>[104]</w:t>
      </w:r>
      <w:r w:rsidRPr="00435D81">
        <w:tab/>
        <w:t xml:space="preserve">Berthou, T., Stabat, P., Salvazet, R., and Marchio, D., 2014, “Development and Validation of a Gray Box Model to Predict Thermal Behavior of Occupied Office Buildings,” Energy and Buildings, </w:t>
      </w:r>
      <w:r w:rsidRPr="00435D81">
        <w:rPr>
          <w:b/>
          <w:bCs/>
        </w:rPr>
        <w:t>74</w:t>
      </w:r>
      <w:r w:rsidRPr="00435D81">
        <w:t>, pp. 91–100.</w:t>
      </w:r>
    </w:p>
    <w:p w14:paraId="1DDF1A44" w14:textId="77777777" w:rsidR="00435D81" w:rsidRPr="00435D81" w:rsidRDefault="00435D81" w:rsidP="00435D81">
      <w:pPr>
        <w:pStyle w:val="Bibliography"/>
      </w:pPr>
      <w:r w:rsidRPr="00435D81">
        <w:t>[105]</w:t>
      </w:r>
      <w:r w:rsidRPr="00435D81">
        <w:tab/>
        <w:t xml:space="preserve">Shaad, M., Momeni, A., Diduch, C. P., Kaye, M., and Chang, L., 2012, “Parameter Identification of Thermal Models for Domestic Electric Water Heaters in a Direct Load Control Program,” </w:t>
      </w:r>
      <w:r w:rsidRPr="00435D81">
        <w:rPr>
          <w:i/>
          <w:iCs/>
        </w:rPr>
        <w:t>2012 25th IEEE Canadian Conference on Electrical and Computer Engineering (CCECE)</w:t>
      </w:r>
      <w:r w:rsidRPr="00435D81">
        <w:t>, IEEE, Montreal, QC, pp. 1–5.</w:t>
      </w:r>
    </w:p>
    <w:p w14:paraId="12FF56EE" w14:textId="77777777" w:rsidR="00435D81" w:rsidRPr="00435D81" w:rsidRDefault="00435D81" w:rsidP="00435D81">
      <w:pPr>
        <w:pStyle w:val="Bibliography"/>
      </w:pPr>
      <w:r w:rsidRPr="00435D81">
        <w:t>[106]</w:t>
      </w:r>
      <w:r w:rsidRPr="00435D81">
        <w:tab/>
        <w:t xml:space="preserve">Lakshmanan, V., Sæle, H., and Degefa, M. Z., 2021, “Electric Water Heater Flexibility Potential and Activation Impact in System Operator Perspective – Norwegian Scenario Case Study,” Energy, </w:t>
      </w:r>
      <w:r w:rsidRPr="00435D81">
        <w:rPr>
          <w:b/>
          <w:bCs/>
        </w:rPr>
        <w:t>236</w:t>
      </w:r>
      <w:r w:rsidRPr="00435D81">
        <w:t>, p. 121490.</w:t>
      </w:r>
    </w:p>
    <w:p w14:paraId="68B6B316" w14:textId="77777777" w:rsidR="00435D81" w:rsidRPr="00435D81" w:rsidRDefault="00435D81" w:rsidP="00435D81">
      <w:pPr>
        <w:pStyle w:val="Bibliography"/>
      </w:pPr>
      <w:r w:rsidRPr="00435D81">
        <w:t>[107]</w:t>
      </w:r>
      <w:r w:rsidRPr="00435D81">
        <w:tab/>
        <w:t>Goh, C. H. K., and Apt, J., 2004, “Consumer Strategies for Controlling Electric Water Heaters under Dynamic Pricing,” Carnegie Mellon Electricity Industry Center Working Paper.</w:t>
      </w:r>
    </w:p>
    <w:p w14:paraId="44014FE6" w14:textId="77777777" w:rsidR="00435D81" w:rsidRPr="00435D81" w:rsidRDefault="00435D81" w:rsidP="00435D81">
      <w:pPr>
        <w:pStyle w:val="Bibliography"/>
      </w:pPr>
      <w:r w:rsidRPr="00435D81">
        <w:t>[108]</w:t>
      </w:r>
      <w:r w:rsidRPr="00435D81">
        <w:tab/>
        <w:t xml:space="preserve">Lundberg, S. M., and Lee, S.-I., 2017, “A Unified Approach to Interpreting Model Predictions,” </w:t>
      </w:r>
      <w:r w:rsidRPr="00435D81">
        <w:rPr>
          <w:i/>
          <w:iCs/>
        </w:rPr>
        <w:t>Advances in Neural Information Processing Systems 30</w:t>
      </w:r>
      <w:r w:rsidRPr="00435D81">
        <w:t>, I. Guyon, U.V. Luxburg, S. Bengio, H. Wallach, R. Fergus, S. Vishwanathan, and R. Garnett, eds., Curran Associates, Inc., pp. 4765–4774.</w:t>
      </w:r>
    </w:p>
    <w:p w14:paraId="0162FC88" w14:textId="77777777" w:rsidR="00435D81" w:rsidRPr="00435D81" w:rsidRDefault="00435D81" w:rsidP="00435D81">
      <w:pPr>
        <w:pStyle w:val="Bibliography"/>
      </w:pPr>
      <w:r w:rsidRPr="00435D81">
        <w:t>[109]</w:t>
      </w:r>
      <w:r w:rsidRPr="00435D81">
        <w:tab/>
        <w:t xml:space="preserve">Yu, X., and Ergan, S., 2021, “Key Variables in Determining Energy Shaving Capacity of Buildings during Demand Response Events,” Journal of Construction Engineering and Management, </w:t>
      </w:r>
      <w:r w:rsidRPr="00435D81">
        <w:rPr>
          <w:b/>
          <w:bCs/>
        </w:rPr>
        <w:t>147</w:t>
      </w:r>
      <w:r w:rsidRPr="00435D81">
        <w:t>(1), p. 04020146.</w:t>
      </w:r>
    </w:p>
    <w:p w14:paraId="4D7E95F1" w14:textId="77777777" w:rsidR="00435D81" w:rsidRPr="00435D81" w:rsidRDefault="00435D81" w:rsidP="00435D81">
      <w:pPr>
        <w:pStyle w:val="Bibliography"/>
      </w:pPr>
      <w:r w:rsidRPr="00435D81">
        <w:t>[110]</w:t>
      </w:r>
      <w:r w:rsidRPr="00435D81">
        <w:tab/>
        <w:t xml:space="preserve">Scavuzzo, C. M., Scavuzzo, J. M., Campero, M. N., Anegagrie, M., Aramendia, A. A., Benito, A., and Periago, V., 2022, “Feature Importance: Opening a Soil-Transmitted Helminth Machine Learning Model via SHAP,” Infectious Disease Modelling, </w:t>
      </w:r>
      <w:r w:rsidRPr="00435D81">
        <w:rPr>
          <w:b/>
          <w:bCs/>
        </w:rPr>
        <w:t>7</w:t>
      </w:r>
      <w:r w:rsidRPr="00435D81">
        <w:t>(1), pp. 262–276.</w:t>
      </w:r>
    </w:p>
    <w:p w14:paraId="0C4B22A9" w14:textId="77777777" w:rsidR="00435D81" w:rsidRPr="00435D81" w:rsidRDefault="00435D81" w:rsidP="00435D81">
      <w:pPr>
        <w:pStyle w:val="Bibliography"/>
      </w:pPr>
      <w:r w:rsidRPr="00435D81">
        <w:t>[111]</w:t>
      </w:r>
      <w:r w:rsidRPr="00435D81">
        <w:tab/>
        <w:t>Białek, J., Bujalski, W., Wojdan, K., Guzek, M., and Kurek, T., 2022, “Dataset Level Explanation of Heat Demand Forecasting Ann with Shap.”</w:t>
      </w:r>
    </w:p>
    <w:p w14:paraId="397D5FBF" w14:textId="77777777" w:rsidR="00435D81" w:rsidRPr="00435D81" w:rsidRDefault="00435D81" w:rsidP="00435D81">
      <w:pPr>
        <w:pStyle w:val="Bibliography"/>
      </w:pPr>
      <w:r w:rsidRPr="00435D81">
        <w:t>[112]</w:t>
      </w:r>
      <w:r w:rsidRPr="00435D81">
        <w:tab/>
        <w:t xml:space="preserve">Wang, Z., and Jia, L., 2020, “Short-Term Photovoltaic Power Generation Prediction Based on LightGBM-LSTM Model,” </w:t>
      </w:r>
      <w:r w:rsidRPr="00435D81">
        <w:rPr>
          <w:i/>
          <w:iCs/>
        </w:rPr>
        <w:t>2020 5th International Conference on Power and Renewable Energy (ICPRE)</w:t>
      </w:r>
      <w:r w:rsidRPr="00435D81">
        <w:t>, pp. 543–547.</w:t>
      </w:r>
    </w:p>
    <w:p w14:paraId="19CEFEA0" w14:textId="77777777" w:rsidR="00435D81" w:rsidRPr="00435D81" w:rsidRDefault="00435D81" w:rsidP="00435D81">
      <w:pPr>
        <w:pStyle w:val="Bibliography"/>
      </w:pPr>
      <w:r w:rsidRPr="00435D81">
        <w:t>[113]</w:t>
      </w:r>
      <w:r w:rsidRPr="00435D81">
        <w:tab/>
        <w:t>Ltd, R. P., “Raspberry Pi,” Raspberry Pi [Online]. Available: https://www.raspberrypi.com/. [Accessed: 24-Apr-2023].</w:t>
      </w:r>
    </w:p>
    <w:p w14:paraId="350B0A9B" w14:textId="77777777" w:rsidR="00435D81" w:rsidRPr="00435D81" w:rsidRDefault="00435D81" w:rsidP="00435D81">
      <w:pPr>
        <w:pStyle w:val="Bibliography"/>
      </w:pPr>
      <w:r w:rsidRPr="00435D81">
        <w:t>[114]</w:t>
      </w:r>
      <w:r w:rsidRPr="00435D81">
        <w:tab/>
        <w:t xml:space="preserve">McPherson, R. A., Fiebrich, C. A., Crawford, K. C., Kilby, J. R., Grimsley, D. L., Martinez, J. E., Basara, J. B., Illston, B. G., Morris, D. A., Kloesel, K. A., Melvin, A. D., </w:t>
      </w:r>
      <w:r w:rsidRPr="00435D81">
        <w:lastRenderedPageBreak/>
        <w:t xml:space="preserve">Shrivastava, H., Wolfinbarger, J. M., Bostic, J. P., Demko, D. B., Elliott, R. L., Stadler, S. J., Carlson, J. D., and Sutherland, A. J., 2007, “Statewide Monitoring of the Mesoscale Environment: A Technical Update on the Oklahoma Mesonet,” Journal of Atmospheric and Oceanic Technology, </w:t>
      </w:r>
      <w:r w:rsidRPr="00435D81">
        <w:rPr>
          <w:b/>
          <w:bCs/>
        </w:rPr>
        <w:t>24</w:t>
      </w:r>
      <w:r w:rsidRPr="00435D81">
        <w:t>(3), pp. 301–321.</w:t>
      </w:r>
    </w:p>
    <w:p w14:paraId="03A2A4EB" w14:textId="77777777" w:rsidR="00435D81" w:rsidRPr="00435D81" w:rsidRDefault="00435D81" w:rsidP="00435D81">
      <w:pPr>
        <w:pStyle w:val="Bibliography"/>
      </w:pPr>
      <w:r w:rsidRPr="00435D81">
        <w:t>[115]</w:t>
      </w:r>
      <w:r w:rsidRPr="00435D81">
        <w:tab/>
        <w:t xml:space="preserve">Brock, F. V., Crawford, K. C., Elliott, R. L., Cuperus, G. W., Stadler, S. J., Johnson, H. L., and Eilts, M. D., 1995, “The Oklahoma Mesonet: A Technical Overview,” Journal of Atmospheric and Oceanic Technology, </w:t>
      </w:r>
      <w:r w:rsidRPr="00435D81">
        <w:rPr>
          <w:b/>
          <w:bCs/>
        </w:rPr>
        <w:t>12</w:t>
      </w:r>
      <w:r w:rsidRPr="00435D81">
        <w:t>(1), pp. 5–19.</w:t>
      </w:r>
    </w:p>
    <w:p w14:paraId="119D7F3A" w14:textId="77777777" w:rsidR="00435D81" w:rsidRPr="00435D81" w:rsidRDefault="00435D81" w:rsidP="00435D81">
      <w:pPr>
        <w:pStyle w:val="Bibliography"/>
      </w:pPr>
      <w:r w:rsidRPr="00435D81">
        <w:t>[116]</w:t>
      </w:r>
      <w:r w:rsidRPr="00435D81">
        <w:tab/>
        <w:t>Solcast, 2018, “Solar Forecasting Data” [Online]. Available: https://solcast.com. [Accessed: 02-Mar-2023].</w:t>
      </w:r>
    </w:p>
    <w:p w14:paraId="62267BDB" w14:textId="77777777" w:rsidR="00435D81" w:rsidRPr="00435D81" w:rsidRDefault="00435D81" w:rsidP="00435D81">
      <w:pPr>
        <w:pStyle w:val="Bibliography"/>
      </w:pPr>
      <w:r w:rsidRPr="00435D81">
        <w:t>[117]</w:t>
      </w:r>
      <w:r w:rsidRPr="00435D81">
        <w:tab/>
        <w:t>OpenWeatherMap, 2018, “Weather API - OpenWeatherMap” [Online]. Available: https://openweathermap.org/api. [Accessed: 27-Jan-2023].</w:t>
      </w:r>
    </w:p>
    <w:p w14:paraId="796A6BB4" w14:textId="77777777" w:rsidR="00435D81" w:rsidRPr="00435D81" w:rsidRDefault="00435D81" w:rsidP="00435D81">
      <w:pPr>
        <w:pStyle w:val="Bibliography"/>
      </w:pPr>
      <w:r w:rsidRPr="00435D81">
        <w:t>[118]</w:t>
      </w:r>
      <w:r w:rsidRPr="00435D81">
        <w:tab/>
        <w:t>“Rheem Performance 50 Gal. Tall 6 Year 4500/4500-Watt Elements Electric Tank Water Heater XE50T06ST45U1,” The Home Depot [Online]. Available: https://www.homedepot.com/p/Rheem-Performance-50-Gal-Tall-6-Year-4500-4500-Watt-Elements-Electric-Tank-Water-Heater-XE50T06ST45U1/205810674. [Accessed: 24-Apr-2023].</w:t>
      </w:r>
    </w:p>
    <w:p w14:paraId="02B2CEDB" w14:textId="77777777" w:rsidR="00435D81" w:rsidRPr="00435D81" w:rsidRDefault="00435D81" w:rsidP="00435D81">
      <w:pPr>
        <w:pStyle w:val="Bibliography"/>
      </w:pPr>
      <w:r w:rsidRPr="00435D81">
        <w:t>[119]</w:t>
      </w:r>
      <w:r w:rsidRPr="00435D81">
        <w:tab/>
        <w:t>“Low Flow Polypropylene and TFE Liquid Flow Meters” [Online]. Available: https://in.omega.com/pptst/FPR301_302_303_304.html. [Accessed: 24-Apr-2023].</w:t>
      </w:r>
    </w:p>
    <w:p w14:paraId="20B661C8" w14:textId="77777777" w:rsidR="00435D81" w:rsidRPr="00435D81" w:rsidRDefault="00435D81" w:rsidP="00435D81">
      <w:pPr>
        <w:pStyle w:val="Bibliography"/>
      </w:pPr>
      <w:r w:rsidRPr="00435D81">
        <w:t>[120]</w:t>
      </w:r>
      <w:r w:rsidRPr="00435D81">
        <w:tab/>
        <w:t>“Open Energy Data Initiative (OEDI),” OpenEI [Online]. Available: https://data.openei.org/. [Accessed: 30-Apr-2023].</w:t>
      </w:r>
    </w:p>
    <w:p w14:paraId="0FD1EE4F" w14:textId="77777777" w:rsidR="00435D81" w:rsidRPr="00435D81" w:rsidRDefault="00435D81" w:rsidP="00435D81">
      <w:pPr>
        <w:pStyle w:val="Bibliography"/>
      </w:pPr>
      <w:r w:rsidRPr="00435D81">
        <w:t>[121]</w:t>
      </w:r>
      <w:r w:rsidRPr="00435D81">
        <w:tab/>
        <w:t xml:space="preserve">Finck, C., Li, R., Kramer, R., and Zeiler, W., 2018, “Quantifying Demand Flexibility of Power-to-Heat and Thermal Energy Storage in the Control of Building Heating Systems,” Applied Energy, </w:t>
      </w:r>
      <w:r w:rsidRPr="00435D81">
        <w:rPr>
          <w:b/>
          <w:bCs/>
        </w:rPr>
        <w:t>209</w:t>
      </w:r>
      <w:r w:rsidRPr="00435D81">
        <w:t>, pp. 409–425.</w:t>
      </w:r>
    </w:p>
    <w:p w14:paraId="03AFFD1B" w14:textId="77777777" w:rsidR="00435D81" w:rsidRPr="00435D81" w:rsidRDefault="00435D81" w:rsidP="00435D81">
      <w:pPr>
        <w:pStyle w:val="Bibliography"/>
      </w:pPr>
      <w:r w:rsidRPr="00435D81">
        <w:t>[122]</w:t>
      </w:r>
      <w:r w:rsidRPr="00435D81">
        <w:tab/>
        <w:t>InfluxDB, 2021, “InfluxDB OSS 2.0” [Online]. Available: https://docs.influxdata.com/influxdb/v2.0/get-started/. [Accessed: 27-Jan-2023].</w:t>
      </w:r>
    </w:p>
    <w:p w14:paraId="118DB553" w14:textId="77777777" w:rsidR="00435D81" w:rsidRPr="00435D81" w:rsidRDefault="00435D81" w:rsidP="00435D81">
      <w:pPr>
        <w:pStyle w:val="Bibliography"/>
      </w:pPr>
      <w:r w:rsidRPr="00435D81">
        <w:t>[123]</w:t>
      </w:r>
      <w:r w:rsidRPr="00435D81">
        <w:tab/>
        <w:t>Grafana, 2021, “Grafana: The Open Observability Platform,” Grafana Labs [Online]. Available: https://grafana.com/. [Accessed: 27-Jan-2023].</w:t>
      </w:r>
    </w:p>
    <w:p w14:paraId="0471F3B1" w14:textId="77777777" w:rsidR="00435D81" w:rsidRPr="00435D81" w:rsidRDefault="00435D81" w:rsidP="00435D81">
      <w:pPr>
        <w:pStyle w:val="Bibliography"/>
      </w:pPr>
      <w:r w:rsidRPr="00435D81">
        <w:t>[124]</w:t>
      </w:r>
      <w:r w:rsidRPr="00435D81">
        <w:tab/>
        <w:t>Emporia, 2022, “Emporia Vue: Gen 2 Whole Home Energy Monitor,” Emporia Energy [Online]. Available: https://shop.emporiaenergy.com/products/gen-2-emporia-vue-whole-home-energy-monitor. [Accessed: 26-Jan-2023].</w:t>
      </w:r>
    </w:p>
    <w:p w14:paraId="229E8C2B" w14:textId="77777777" w:rsidR="00435D81" w:rsidRPr="00435D81" w:rsidRDefault="00435D81" w:rsidP="00435D81">
      <w:pPr>
        <w:pStyle w:val="Bibliography"/>
      </w:pPr>
      <w:r w:rsidRPr="00435D81">
        <w:t>[125]</w:t>
      </w:r>
      <w:r w:rsidRPr="00435D81">
        <w:tab/>
        <w:t>Oklahoma Gas &amp; Electric, 2022, “OG&amp;E - SmartHours” [Online]. Available: https://www.oge.com/wps/portal/ord/residential/pricing-options/smart-hours. [Accessed: 27-Jan-2023].</w:t>
      </w:r>
    </w:p>
    <w:p w14:paraId="3774104F" w14:textId="77777777" w:rsidR="00435D81" w:rsidRPr="00435D81" w:rsidRDefault="00435D81" w:rsidP="00435D81">
      <w:pPr>
        <w:pStyle w:val="Bibliography"/>
      </w:pPr>
      <w:r w:rsidRPr="00435D81">
        <w:t>[126]</w:t>
      </w:r>
      <w:r w:rsidRPr="00435D81">
        <w:tab/>
        <w:t>Oklahoma Electric Corporate, 2022, “Time of Use Rate,” Oklahoma Electric Cooperative [Online]. Available: https://okcoop.org/time-of-use-rate/. [Accessed: 27-Jan-2023].</w:t>
      </w:r>
    </w:p>
    <w:p w14:paraId="7AA2737F" w14:textId="77777777" w:rsidR="00435D81" w:rsidRPr="00435D81" w:rsidRDefault="00435D81" w:rsidP="00435D81">
      <w:pPr>
        <w:pStyle w:val="Bibliography"/>
      </w:pPr>
      <w:r w:rsidRPr="00435D81">
        <w:t>[127]</w:t>
      </w:r>
      <w:r w:rsidRPr="00435D81">
        <w:tab/>
        <w:t>Florida Power &amp; Light, 2022, “Residential Time of Use Rate” [Online]. Available: https://www.fpl.com/rates/time-of-use.html. [Accessed: 27-Jan-2023].</w:t>
      </w:r>
    </w:p>
    <w:p w14:paraId="4535D64F" w14:textId="77777777" w:rsidR="00435D81" w:rsidRPr="00435D81" w:rsidRDefault="00435D81" w:rsidP="00435D81">
      <w:pPr>
        <w:pStyle w:val="Bibliography"/>
      </w:pPr>
      <w:r w:rsidRPr="00435D81">
        <w:t>[128]</w:t>
      </w:r>
      <w:r w:rsidRPr="00435D81">
        <w:tab/>
        <w:t xml:space="preserve">Yeh, C.-C. M., Kavantzas, N., and Keogh, E., 2017, “Matrix Profile VI: Meaningful Multidimensional Motif Discovery,” </w:t>
      </w:r>
      <w:r w:rsidRPr="00435D81">
        <w:rPr>
          <w:i/>
          <w:iCs/>
        </w:rPr>
        <w:t xml:space="preserve">2017 IEEE International Conference on Data </w:t>
      </w:r>
      <w:r w:rsidRPr="00435D81">
        <w:rPr>
          <w:i/>
          <w:iCs/>
        </w:rPr>
        <w:lastRenderedPageBreak/>
        <w:t>Mining (ICDM)</w:t>
      </w:r>
      <w:r w:rsidRPr="00435D81">
        <w:t>, IEEE, New Orleans, LA, pp. 565–574.</w:t>
      </w:r>
    </w:p>
    <w:p w14:paraId="3D6B6240" w14:textId="77777777" w:rsidR="00435D81" w:rsidRPr="00435D81" w:rsidRDefault="00435D81" w:rsidP="00435D81">
      <w:pPr>
        <w:pStyle w:val="Bibliography"/>
      </w:pPr>
      <w:r w:rsidRPr="00435D81">
        <w:t>[129]</w:t>
      </w:r>
      <w:r w:rsidRPr="00435D81">
        <w:tab/>
        <w:t xml:space="preserve">Gharghabi, S., Imani, S., Bagnall, A., Darvishzadeh, A., and Keogh, E., 2018, “Matrix Profile XII: MPdist: A Novel Time Series Distance Measure to Allow Data Mining in More Challenging Scenarios,” </w:t>
      </w:r>
      <w:r w:rsidRPr="00435D81">
        <w:rPr>
          <w:i/>
          <w:iCs/>
        </w:rPr>
        <w:t>2018 IEEE International Conference on Data Mining (ICDM)</w:t>
      </w:r>
      <w:r w:rsidRPr="00435D81">
        <w:t>, IEEE, Singapore, pp. 965–970.</w:t>
      </w:r>
    </w:p>
    <w:p w14:paraId="5BA50B03" w14:textId="77777777" w:rsidR="00435D81" w:rsidRPr="00435D81" w:rsidRDefault="00435D81" w:rsidP="00435D81">
      <w:pPr>
        <w:pStyle w:val="Bibliography"/>
      </w:pPr>
      <w:r w:rsidRPr="00435D81">
        <w:t>[130]</w:t>
      </w:r>
      <w:r w:rsidRPr="00435D81">
        <w:tab/>
        <w:t xml:space="preserve">Imani, S., Madrid, F., Ding, W., Crouter, S., and Keogh, E., 2018, “Matrix Profile XIII: Time Series Snippets: A New Primitive for Time Series Data Mining,” </w:t>
      </w:r>
      <w:r w:rsidRPr="00435D81">
        <w:rPr>
          <w:i/>
          <w:iCs/>
        </w:rPr>
        <w:t>2018 IEEE International Conference on Big Knowledge (ICBK)</w:t>
      </w:r>
      <w:r w:rsidRPr="00435D81">
        <w:t>, IEEE, Singapore, pp. 382–389.</w:t>
      </w:r>
    </w:p>
    <w:p w14:paraId="65A46328" w14:textId="77777777" w:rsidR="00435D81" w:rsidRPr="00435D81" w:rsidRDefault="00435D81" w:rsidP="00435D81">
      <w:pPr>
        <w:pStyle w:val="Bibliography"/>
      </w:pPr>
      <w:r w:rsidRPr="00435D81">
        <w:t>[131]</w:t>
      </w:r>
      <w:r w:rsidRPr="00435D81">
        <w:tab/>
        <w:t>Xie, L., 2022, “Development of Envelope Evaluation Benchmarks Using EnergyPlus and Data-Driven Thermal Model.”</w:t>
      </w:r>
    </w:p>
    <w:p w14:paraId="6E7CD30A" w14:textId="77777777" w:rsidR="00435D81" w:rsidRPr="00435D81" w:rsidRDefault="00435D81" w:rsidP="00435D81">
      <w:pPr>
        <w:pStyle w:val="Bibliography"/>
      </w:pPr>
      <w:r w:rsidRPr="00435D81">
        <w:t>[132]</w:t>
      </w:r>
      <w:r w:rsidRPr="00435D81">
        <w:tab/>
        <w:t xml:space="preserve">Cetin, K. S., Fathollahzadeh, M. H., Kunwar, N., Do, H., and Tabares-Velasco, P. C., 2019, “Development and Validation of an HVAC on/off Controller in EnergyPlus for Energy Simulation of Residential and Small Commercial Buildings,” Energy and Buildings, </w:t>
      </w:r>
      <w:r w:rsidRPr="00435D81">
        <w:rPr>
          <w:b/>
          <w:bCs/>
        </w:rPr>
        <w:t>183</w:t>
      </w:r>
      <w:r w:rsidRPr="00435D81">
        <w:t>, pp. 467–483.</w:t>
      </w:r>
    </w:p>
    <w:p w14:paraId="45B91AD9" w14:textId="77777777" w:rsidR="00435D81" w:rsidRPr="00435D81" w:rsidRDefault="00435D81" w:rsidP="00435D81">
      <w:pPr>
        <w:pStyle w:val="Bibliography"/>
      </w:pPr>
      <w:r w:rsidRPr="00435D81">
        <w:t>[133]</w:t>
      </w:r>
      <w:r w:rsidRPr="00435D81">
        <w:tab/>
        <w:t>Domanski, P. A., Henderson, H., and Payne, W. V., 2014, “Sensitivity Analysis of Installation Faults on Heat Pump Performance,” NIST.</w:t>
      </w:r>
    </w:p>
    <w:p w14:paraId="6947C62E" w14:textId="77777777" w:rsidR="00435D81" w:rsidRPr="00435D81" w:rsidRDefault="00435D81" w:rsidP="00435D81">
      <w:pPr>
        <w:pStyle w:val="Bibliography"/>
      </w:pPr>
      <w:r w:rsidRPr="00435D81">
        <w:t>[134]</w:t>
      </w:r>
      <w:r w:rsidRPr="00435D81">
        <w:tab/>
        <w:t>“EnergyPlus Version 22.2 Documents” [Online]. Available: https://bigladdersoftware.com/epx/docs/22-2/. [Accessed: 04-May-2023].</w:t>
      </w:r>
    </w:p>
    <w:p w14:paraId="018ABA44" w14:textId="77777777" w:rsidR="00435D81" w:rsidRPr="00435D81" w:rsidRDefault="00435D81" w:rsidP="00435D81">
      <w:pPr>
        <w:pStyle w:val="Bibliography"/>
      </w:pPr>
      <w:r w:rsidRPr="00435D81">
        <w:t>[135]</w:t>
      </w:r>
      <w:r w:rsidRPr="00435D81">
        <w:tab/>
        <w:t>“Application Guide for EMS.”</w:t>
      </w:r>
    </w:p>
    <w:p w14:paraId="4218773A" w14:textId="77777777" w:rsidR="00435D81" w:rsidRPr="00435D81" w:rsidRDefault="00435D81" w:rsidP="00435D81">
      <w:pPr>
        <w:pStyle w:val="Bibliography"/>
      </w:pPr>
      <w:r w:rsidRPr="00435D81">
        <w:t>[136]</w:t>
      </w:r>
      <w:r w:rsidRPr="00435D81">
        <w:tab/>
        <w:t xml:space="preserve">Lee, S. H., and Hong, T., 2018, </w:t>
      </w:r>
      <w:r w:rsidRPr="00435D81">
        <w:rPr>
          <w:i/>
          <w:iCs/>
        </w:rPr>
        <w:t>Leveraging Zone Air Temperature Data to Improve Physics-Based Energy Simulation of Existing Buildings</w:t>
      </w:r>
      <w:r w:rsidRPr="00435D81">
        <w:t>, Lawrence Berkeley National Lab. (LBNL), Berkeley, CA (United States).</w:t>
      </w:r>
    </w:p>
    <w:p w14:paraId="3FA2D293" w14:textId="77777777" w:rsidR="00435D81" w:rsidRPr="00435D81" w:rsidRDefault="00435D81" w:rsidP="00435D81">
      <w:pPr>
        <w:pStyle w:val="Bibliography"/>
      </w:pPr>
      <w:r w:rsidRPr="00435D81">
        <w:t>[137]</w:t>
      </w:r>
      <w:r w:rsidRPr="00435D81">
        <w:tab/>
        <w:t xml:space="preserve">Zhang, H., Cai, J., Fang, K., Zhao, F., and Sutherland, J. W., 2017, “Operational Optimization of a Grid-Connected Factory with Onsite Photovoltaic and Battery Storage Systems,” Applied Energy, </w:t>
      </w:r>
      <w:r w:rsidRPr="00435D81">
        <w:rPr>
          <w:b/>
          <w:bCs/>
        </w:rPr>
        <w:t>205</w:t>
      </w:r>
      <w:r w:rsidRPr="00435D81">
        <w:t>, pp. 1538–1547.</w:t>
      </w:r>
    </w:p>
    <w:p w14:paraId="647522EC" w14:textId="77777777" w:rsidR="00435D81" w:rsidRPr="00435D81" w:rsidRDefault="00435D81" w:rsidP="00435D81">
      <w:pPr>
        <w:pStyle w:val="Bibliography"/>
      </w:pPr>
      <w:r w:rsidRPr="00435D81">
        <w:t>[138]</w:t>
      </w:r>
      <w:r w:rsidRPr="00435D81">
        <w:tab/>
        <w:t>“American Time Use Survey—ATUS 2003‐2021 Multi‐Year Microdata Files : U.S. Bureau of Labor Statistics” [Online]. Available: https://www.bls.gov/tus/data/datafiles-0321.htm. [Accessed: 19-Jun-2023].</w:t>
      </w:r>
    </w:p>
    <w:p w14:paraId="7CC9A98C" w14:textId="77777777" w:rsidR="00435D81" w:rsidRPr="00435D81" w:rsidRDefault="00435D81" w:rsidP="00435D81">
      <w:pPr>
        <w:pStyle w:val="Bibliography"/>
      </w:pPr>
      <w:r w:rsidRPr="00435D81">
        <w:t>[139]</w:t>
      </w:r>
      <w:r w:rsidRPr="00435D81">
        <w:tab/>
        <w:t xml:space="preserve">Siegel, J., Das, A., Sun, Y., and Pratt, S., 2020, “Safe Energy Savings through Context-Aware Hot Water Demand Prediction,” Engineering Applications of Artificial Intelligence, </w:t>
      </w:r>
      <w:r w:rsidRPr="00435D81">
        <w:rPr>
          <w:b/>
          <w:bCs/>
        </w:rPr>
        <w:t>90</w:t>
      </w:r>
      <w:r w:rsidRPr="00435D81">
        <w:t>, p. 103481.</w:t>
      </w:r>
    </w:p>
    <w:p w14:paraId="5F7A5CB0" w14:textId="77777777" w:rsidR="00435D81" w:rsidRPr="00435D81" w:rsidRDefault="00435D81" w:rsidP="00435D81">
      <w:pPr>
        <w:pStyle w:val="Bibliography"/>
      </w:pPr>
      <w:r w:rsidRPr="00435D81">
        <w:t>[140]</w:t>
      </w:r>
      <w:r w:rsidRPr="00435D81">
        <w:tab/>
        <w:t>“AWS S3 Explorer for the Open Energy Data Initiative” [Online]. Available: https://data.openei.org/s3_viewer?bucket=oedi-data-lake&amp;prefix=pvdaq%2Fcsv%2Fpvdata%2Fsystem_id%3D2%2F. [Accessed: 13-Apr-2023].</w:t>
      </w:r>
    </w:p>
    <w:p w14:paraId="7442BD73" w14:textId="77777777" w:rsidR="00435D81" w:rsidRPr="00435D81" w:rsidRDefault="00435D81" w:rsidP="00435D81">
      <w:pPr>
        <w:pStyle w:val="Bibliography"/>
      </w:pPr>
      <w:r w:rsidRPr="00435D81">
        <w:t>[141]</w:t>
      </w:r>
      <w:r w:rsidRPr="00435D81">
        <w:tab/>
        <w:t>“Weather Data &amp; Weather API | Visual Crossing” [Online]. Available: https://www.visualcrossing.com/. [Accessed: 21-Jun-2023].</w:t>
      </w:r>
    </w:p>
    <w:p w14:paraId="3F6AEC19" w14:textId="77777777" w:rsidR="00435D81" w:rsidRPr="00435D81" w:rsidRDefault="00435D81" w:rsidP="00435D81">
      <w:pPr>
        <w:pStyle w:val="Bibliography"/>
      </w:pPr>
      <w:r w:rsidRPr="00435D81">
        <w:t>[142]</w:t>
      </w:r>
      <w:r w:rsidRPr="00435D81">
        <w:tab/>
        <w:t>“Enphase IQ Battery 3.36kwh ENCHARGE-3T,” Tandem Solar Systems.</w:t>
      </w:r>
    </w:p>
    <w:p w14:paraId="03F056B9" w14:textId="77777777" w:rsidR="00435D81" w:rsidRPr="00435D81" w:rsidRDefault="00435D81" w:rsidP="00435D81">
      <w:pPr>
        <w:pStyle w:val="Bibliography"/>
      </w:pPr>
      <w:r w:rsidRPr="00435D81">
        <w:t>[143]</w:t>
      </w:r>
      <w:r w:rsidRPr="00435D81">
        <w:tab/>
        <w:t xml:space="preserve">Ando, Y., Oku, T., Yasuda, M., Ushijima, K., Matsuo, H., and Murozono, M., 2020, “Dependence of Electric Power Flow on Solar Radiation Power in Compact Photovoltaic </w:t>
      </w:r>
      <w:r w:rsidRPr="00435D81">
        <w:lastRenderedPageBreak/>
        <w:t xml:space="preserve">System Containing SiC-Based Inverter with Spherical Si Solar Cells,” Heliyon, </w:t>
      </w:r>
      <w:r w:rsidRPr="00435D81">
        <w:rPr>
          <w:b/>
          <w:bCs/>
        </w:rPr>
        <w:t>6</w:t>
      </w:r>
      <w:r w:rsidRPr="00435D81">
        <w:t>, p. e03094.</w:t>
      </w:r>
    </w:p>
    <w:p w14:paraId="363BB04E" w14:textId="77777777" w:rsidR="00435D81" w:rsidRPr="00435D81" w:rsidRDefault="00435D81" w:rsidP="00435D81">
      <w:pPr>
        <w:pStyle w:val="Bibliography"/>
      </w:pPr>
      <w:r w:rsidRPr="00435D81">
        <w:t>[144]</w:t>
      </w:r>
      <w:r w:rsidRPr="00435D81">
        <w:tab/>
        <w:t xml:space="preserve">Hart, W. E., Watson, J.-P., and Woodruff, D. L., 2011, “Pyomo: Modeling and Solving Mathematical Programs in Python,” Math. Prog. Comp., </w:t>
      </w:r>
      <w:r w:rsidRPr="00435D81">
        <w:rPr>
          <w:b/>
          <w:bCs/>
        </w:rPr>
        <w:t>3</w:t>
      </w:r>
      <w:r w:rsidRPr="00435D81">
        <w:t>(3), p. 219.</w:t>
      </w:r>
    </w:p>
    <w:p w14:paraId="2AE7638C" w14:textId="77777777" w:rsidR="00435D81" w:rsidRPr="00435D81" w:rsidRDefault="00435D81" w:rsidP="00435D81">
      <w:pPr>
        <w:pStyle w:val="Bibliography"/>
      </w:pPr>
      <w:r w:rsidRPr="00435D81">
        <w:t>[145]</w:t>
      </w:r>
      <w:r w:rsidRPr="00435D81">
        <w:tab/>
        <w:t xml:space="preserve">Hart, W. E., Laird, C. D., Watson, J.-P., Woodruff, D. L., Hackebeil, G. A., Nicholson, B. L., and Siirola, J. D., 2017, </w:t>
      </w:r>
      <w:r w:rsidRPr="00435D81">
        <w:rPr>
          <w:i/>
          <w:iCs/>
        </w:rPr>
        <w:t>Pyomo–Optimization Modeling in Python</w:t>
      </w:r>
      <w:r w:rsidRPr="00435D81">
        <w:t>, Springer Science &amp; Business Media.</w:t>
      </w:r>
    </w:p>
    <w:p w14:paraId="09E2C914" w14:textId="77777777" w:rsidR="00435D81" w:rsidRPr="00435D81" w:rsidRDefault="00435D81" w:rsidP="00435D81">
      <w:pPr>
        <w:pStyle w:val="Bibliography"/>
      </w:pPr>
      <w:r w:rsidRPr="00435D81">
        <w:t>[146]</w:t>
      </w:r>
      <w:r w:rsidRPr="00435D81">
        <w:tab/>
        <w:t xml:space="preserve">Nicholson, B., Siirola, J. D., Watson, J.-P., Zavala, V. M., and Biegler, L. T., 2018, “Pyomo.Dae: A Modeling and Automatic Discretization Framework for Optimization with Differential and Algebraic Equations,” Mathematical Programming Computation, </w:t>
      </w:r>
      <w:r w:rsidRPr="00435D81">
        <w:rPr>
          <w:b/>
          <w:bCs/>
        </w:rPr>
        <w:t>10</w:t>
      </w:r>
      <w:r w:rsidRPr="00435D81">
        <w:t>(2), pp. 187–223.</w:t>
      </w:r>
    </w:p>
    <w:p w14:paraId="5C48C839" w14:textId="77777777" w:rsidR="00435D81" w:rsidRPr="00435D81" w:rsidRDefault="00435D81" w:rsidP="00435D81">
      <w:pPr>
        <w:pStyle w:val="Bibliography"/>
      </w:pPr>
      <w:r w:rsidRPr="00435D81">
        <w:t>[147]</w:t>
      </w:r>
      <w:r w:rsidRPr="00435D81">
        <w:tab/>
        <w:t>Gurobi Optimization, L., 2021, “Gurobi Optimizer Reference Manual,” p. 969.</w:t>
      </w:r>
    </w:p>
    <w:p w14:paraId="6F36293E" w14:textId="77777777" w:rsidR="00435D81" w:rsidRPr="00435D81" w:rsidRDefault="00435D81" w:rsidP="00435D81">
      <w:pPr>
        <w:pStyle w:val="Bibliography"/>
      </w:pPr>
      <w:r w:rsidRPr="00435D81">
        <w:t>[148]</w:t>
      </w:r>
      <w:r w:rsidRPr="00435D81">
        <w:tab/>
        <w:t xml:space="preserve">Ciocia, A., Amato, A., Di Leo, P., Fichera, S., Malgaroli, G., Spertino, F., and Tzanova, S., 2021, “Self-Consumption and Self-Sufficiency in Photovoltaic Systems: Effect of Grid Limitation and Storage Installation,” Energies, </w:t>
      </w:r>
      <w:r w:rsidRPr="00435D81">
        <w:rPr>
          <w:b/>
          <w:bCs/>
        </w:rPr>
        <w:t>14</w:t>
      </w:r>
      <w:r w:rsidRPr="00435D81">
        <w:t>(6), p. 1591.</w:t>
      </w:r>
    </w:p>
    <w:p w14:paraId="0BD91701" w14:textId="77777777" w:rsidR="00435D81" w:rsidRPr="00435D81" w:rsidRDefault="00435D81" w:rsidP="00435D81">
      <w:pPr>
        <w:pStyle w:val="Bibliography"/>
      </w:pPr>
      <w:r w:rsidRPr="00435D81">
        <w:t>[149]</w:t>
      </w:r>
      <w:r w:rsidRPr="00435D81">
        <w:tab/>
        <w:t xml:space="preserve">Beaudin, M., and Zareipour, H., 2015, “Home Energy Management Systems: A Review of Modelling and Complexity,” Renewable and Sustainable Energy Reviews, </w:t>
      </w:r>
      <w:r w:rsidRPr="00435D81">
        <w:rPr>
          <w:b/>
          <w:bCs/>
        </w:rPr>
        <w:t>45</w:t>
      </w:r>
      <w:r w:rsidRPr="00435D81">
        <w:t>, pp. 318–335.</w:t>
      </w:r>
    </w:p>
    <w:p w14:paraId="22542EFF" w14:textId="77777777" w:rsidR="00435D81" w:rsidRPr="00435D81" w:rsidRDefault="00435D81" w:rsidP="00435D81">
      <w:pPr>
        <w:pStyle w:val="Bibliography"/>
      </w:pPr>
      <w:r w:rsidRPr="00435D81">
        <w:t>[150]</w:t>
      </w:r>
      <w:r w:rsidRPr="00435D81">
        <w:tab/>
        <w:t>Fanger, P. O., 1972, “Thermal Comfort, Analysis and Application in Environmental Engineering.”</w:t>
      </w:r>
    </w:p>
    <w:p w14:paraId="129BB7DE" w14:textId="77777777" w:rsidR="00435D81" w:rsidRPr="00435D81" w:rsidRDefault="00435D81" w:rsidP="00435D81">
      <w:pPr>
        <w:pStyle w:val="Bibliography"/>
      </w:pPr>
      <w:r w:rsidRPr="00435D81">
        <w:t>[151]</w:t>
      </w:r>
      <w:r w:rsidRPr="00435D81">
        <w:tab/>
        <w:t xml:space="preserve">Fanger, P. O., 1973, “Assessment of Man’s Thermal Comfort in Practice,” Br J Ind Med, </w:t>
      </w:r>
      <w:r w:rsidRPr="00435D81">
        <w:rPr>
          <w:b/>
          <w:bCs/>
        </w:rPr>
        <w:t>30</w:t>
      </w:r>
      <w:r w:rsidRPr="00435D81">
        <w:t>(4), pp. 313–324.</w:t>
      </w:r>
    </w:p>
    <w:p w14:paraId="7AE98135" w14:textId="77777777" w:rsidR="00435D81" w:rsidRPr="00435D81" w:rsidRDefault="00435D81" w:rsidP="00435D81">
      <w:pPr>
        <w:pStyle w:val="Bibliography"/>
      </w:pPr>
      <w:r w:rsidRPr="00435D81">
        <w:t>[152]</w:t>
      </w:r>
      <w:r w:rsidRPr="00435D81">
        <w:tab/>
        <w:t>Zhang, H., 2003, “Human Thermal Sensation and Comfort in Transient and Non-Uniform Thermal Environments.”</w:t>
      </w:r>
    </w:p>
    <w:p w14:paraId="6B0ECBFB" w14:textId="77777777" w:rsidR="00435D81" w:rsidRPr="00435D81" w:rsidRDefault="00435D81" w:rsidP="00435D81">
      <w:pPr>
        <w:pStyle w:val="Bibliography"/>
      </w:pPr>
      <w:r w:rsidRPr="00435D81">
        <w:t>[153]</w:t>
      </w:r>
      <w:r w:rsidRPr="00435D81">
        <w:tab/>
        <w:t>Jones, N. L., Chaires, I., and Goehring, A., “Detailed Thermal Comfort Analysis from Preliminary to Final Design,” Rome, Italy, pp. 2675–2682.</w:t>
      </w:r>
    </w:p>
    <w:p w14:paraId="31B45498" w14:textId="77777777" w:rsidR="00435D81" w:rsidRPr="00435D81" w:rsidRDefault="00435D81" w:rsidP="00435D81">
      <w:pPr>
        <w:pStyle w:val="Bibliography"/>
      </w:pPr>
      <w:r w:rsidRPr="00435D81">
        <w:t>[154]</w:t>
      </w:r>
      <w:r w:rsidRPr="00435D81">
        <w:tab/>
        <w:t xml:space="preserve">Takahashi, Y., Nomoto, A., Yoda, S., Hisayama, R., Ogata, M., Ozeki, Y., and Tanabe, S., 2021, “Thermoregulation Model JOS-3 with New Open Source Code,” Energy and Buildings, </w:t>
      </w:r>
      <w:r w:rsidRPr="00435D81">
        <w:rPr>
          <w:b/>
          <w:bCs/>
        </w:rPr>
        <w:t>231</w:t>
      </w:r>
      <w:r w:rsidRPr="00435D81">
        <w:t>, p. 110575.</w:t>
      </w:r>
    </w:p>
    <w:p w14:paraId="6E1E2129" w14:textId="77777777" w:rsidR="00435D81" w:rsidRPr="00435D81" w:rsidRDefault="00435D81" w:rsidP="00435D81">
      <w:pPr>
        <w:pStyle w:val="Bibliography"/>
      </w:pPr>
      <w:r w:rsidRPr="00435D81">
        <w:t>[155]</w:t>
      </w:r>
      <w:r w:rsidRPr="00435D81">
        <w:tab/>
        <w:t xml:space="preserve">Reyna, J., Wilson, E., Parker, A., Satre-Meloy, A., Egerter, A., Bianchi, C., Praprost, M., Speake, A., Liu, L., Horsey, R., and others, 2022, </w:t>
      </w:r>
      <w:r w:rsidRPr="00435D81">
        <w:rPr>
          <w:i/>
          <w:iCs/>
        </w:rPr>
        <w:t>US Building Stock Characterization Study: A National Typology for Decarbonizing US Buildings</w:t>
      </w:r>
      <w:r w:rsidRPr="00435D81">
        <w:t>, National Renewable Energy Lab.(NREL), Golden, CO (United States).</w:t>
      </w:r>
    </w:p>
    <w:p w14:paraId="14EB08D9" w14:textId="77777777" w:rsidR="00435D81" w:rsidRPr="00435D81" w:rsidRDefault="00435D81" w:rsidP="00435D81">
      <w:pPr>
        <w:pStyle w:val="Bibliography"/>
      </w:pPr>
      <w:r w:rsidRPr="00435D81">
        <w:t>[156]</w:t>
      </w:r>
      <w:r w:rsidRPr="00435D81">
        <w:tab/>
        <w:t xml:space="preserve">Yeh, C.-C. M., Zhu, Y., Ulanova, L., Begum, N., Ding, Y., Dau, H. A., Silva, D. F., Mueen, A., and Keogh, E., 2016, “Matrix Profile I: All Pairs Similarity Joins for Time Series: A Unifying View That Includes Motifs, Discords and Shapelets,” </w:t>
      </w:r>
      <w:r w:rsidRPr="00435D81">
        <w:rPr>
          <w:i/>
          <w:iCs/>
        </w:rPr>
        <w:t>2016 IEEE 16th International Conference on Data Mining (ICDM)</w:t>
      </w:r>
      <w:r w:rsidRPr="00435D81">
        <w:t>, IEEE, Barcelona, Spain, pp. 1317–1322.</w:t>
      </w:r>
    </w:p>
    <w:p w14:paraId="17BF367D" w14:textId="77777777" w:rsidR="00435D81" w:rsidRPr="00435D81" w:rsidRDefault="00435D81" w:rsidP="00435D81">
      <w:pPr>
        <w:pStyle w:val="Bibliography"/>
      </w:pPr>
      <w:r w:rsidRPr="00435D81">
        <w:t>[157]</w:t>
      </w:r>
      <w:r w:rsidRPr="00435D81">
        <w:tab/>
        <w:t xml:space="preserve">Mueen, A., Zhing, S., Zhu, Y., Yeh, M., Kamgar, K., Viswanathan, K., Gupta, C., and Keogh, E., 2022, “The Fastest Similarity Search Algorithm for Time Series Subsequences </w:t>
      </w:r>
      <w:r w:rsidRPr="00435D81">
        <w:lastRenderedPageBreak/>
        <w:t>under Euclidean Distance.”</w:t>
      </w:r>
    </w:p>
    <w:p w14:paraId="1092731D" w14:textId="5D949A2B" w:rsidR="0083183F" w:rsidRPr="0083183F" w:rsidRDefault="00435D81" w:rsidP="00BC518D">
      <w:r>
        <w:fldChar w:fldCharType="end"/>
      </w:r>
    </w:p>
    <w:sectPr w:rsidR="0083183F" w:rsidRPr="0083183F" w:rsidSect="00C02E1D">
      <w:footerReference w:type="first" r:id="rId87"/>
      <w:pgSz w:w="11906" w:h="16838"/>
      <w:pgMar w:top="1440" w:right="1440" w:bottom="1440" w:left="1440" w:header="851" w:footer="992"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B14DB" w14:textId="77777777" w:rsidR="00EC0D8C" w:rsidRDefault="00EC0D8C" w:rsidP="00F028F0">
      <w:r>
        <w:separator/>
      </w:r>
    </w:p>
  </w:endnote>
  <w:endnote w:type="continuationSeparator" w:id="0">
    <w:p w14:paraId="450D45BD" w14:textId="77777777" w:rsidR="00EC0D8C" w:rsidRDefault="00EC0D8C" w:rsidP="00F028F0">
      <w:r>
        <w:continuationSeparator/>
      </w:r>
    </w:p>
  </w:endnote>
  <w:endnote w:type="continuationNotice" w:id="1">
    <w:p w14:paraId="159436AE" w14:textId="77777777" w:rsidR="00EC0D8C" w:rsidRDefault="00EC0D8C" w:rsidP="000B3A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TLiti">
    <w:panose1 w:val="02010800040101010101"/>
    <w:charset w:val="86"/>
    <w:family w:val="auto"/>
    <w:pitch w:val="variable"/>
    <w:sig w:usb0="00000001" w:usb1="080F0000" w:usb2="00000010" w:usb3="00000000" w:csb0="00040000"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ACFF"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time">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Times New Roman PS MT">
    <w:altName w:val="Times New Roman"/>
    <w:panose1 w:val="020B0604020202020204"/>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10002FF" w:usb1="4000FCFF" w:usb2="00000009" w:usb3="00000000" w:csb0="0000019F" w:csb1="00000000"/>
  </w:font>
  <w:font w:name="Franklin Gothic Book">
    <w:panose1 w:val="020B0503020102020204"/>
    <w:charset w:val="00"/>
    <w:family w:val="swiss"/>
    <w:pitch w:val="variable"/>
    <w:sig w:usb0="00000287" w:usb1="00000000" w:usb2="00000000" w:usb3="00000000" w:csb0="0000009F" w:csb1="00000000"/>
  </w:font>
  <w:font w:name="TeXGyreTermes">
    <w:altName w:val="Calibri"/>
    <w:panose1 w:val="020B0604020202020204"/>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06158504"/>
      <w:docPartObj>
        <w:docPartGallery w:val="Page Numbers (Bottom of Page)"/>
        <w:docPartUnique/>
      </w:docPartObj>
    </w:sdtPr>
    <w:sdtContent>
      <w:p w14:paraId="430AA108" w14:textId="1A3228B1" w:rsidR="007714AF" w:rsidRDefault="007714AF" w:rsidP="007714AF">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7C1B134D" w14:textId="77777777" w:rsidR="007714AF" w:rsidRDefault="007714AF" w:rsidP="007714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DCB32" w14:textId="39BA3DB6" w:rsidR="004D59E9" w:rsidRDefault="004D59E9" w:rsidP="007714AF">
    <w:pPr>
      <w:pStyle w:val="Footer"/>
      <w:ind w:firstLine="0"/>
    </w:pPr>
  </w:p>
  <w:p w14:paraId="7A04F249" w14:textId="77777777" w:rsidR="00B40105" w:rsidRDefault="00B401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31EB2" w14:textId="77777777" w:rsidR="00AC10D4" w:rsidRDefault="00AC10D4" w:rsidP="007714AF">
    <w:pPr>
      <w:pStyle w:val="Footer"/>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4"/>
        <w:szCs w:val="24"/>
      </w:rPr>
      <w:id w:val="2025594995"/>
      <w:docPartObj>
        <w:docPartGallery w:val="Page Numbers (Bottom of Page)"/>
        <w:docPartUnique/>
      </w:docPartObj>
    </w:sdtPr>
    <w:sdtContent>
      <w:p w14:paraId="114FD470" w14:textId="21A08B24" w:rsidR="007714AF" w:rsidRPr="00EC4542" w:rsidRDefault="007714AF" w:rsidP="007714AF">
        <w:pPr>
          <w:pStyle w:val="Footer"/>
          <w:framePr w:wrap="none" w:vAnchor="text" w:hAnchor="margin" w:y="1"/>
          <w:rPr>
            <w:rStyle w:val="PageNumber"/>
            <w:sz w:val="24"/>
            <w:szCs w:val="24"/>
          </w:rPr>
        </w:pPr>
        <w:r w:rsidRPr="00EC4542">
          <w:rPr>
            <w:rStyle w:val="PageNumber"/>
            <w:sz w:val="24"/>
            <w:szCs w:val="24"/>
          </w:rPr>
          <w:fldChar w:fldCharType="begin"/>
        </w:r>
        <w:r w:rsidRPr="00EC4542">
          <w:rPr>
            <w:rStyle w:val="PageNumber"/>
            <w:sz w:val="24"/>
            <w:szCs w:val="24"/>
          </w:rPr>
          <w:instrText xml:space="preserve"> PAGE </w:instrText>
        </w:r>
        <w:r w:rsidRPr="00EC4542">
          <w:rPr>
            <w:rStyle w:val="PageNumber"/>
            <w:sz w:val="24"/>
            <w:szCs w:val="24"/>
          </w:rPr>
          <w:fldChar w:fldCharType="separate"/>
        </w:r>
        <w:r w:rsidRPr="00EC4542">
          <w:rPr>
            <w:rStyle w:val="PageNumber"/>
            <w:noProof/>
            <w:sz w:val="24"/>
            <w:szCs w:val="24"/>
          </w:rPr>
          <w:t>v</w:t>
        </w:r>
        <w:r w:rsidRPr="00EC4542">
          <w:rPr>
            <w:rStyle w:val="PageNumber"/>
            <w:sz w:val="24"/>
            <w:szCs w:val="24"/>
          </w:rPr>
          <w:fldChar w:fldCharType="end"/>
        </w:r>
      </w:p>
    </w:sdtContent>
  </w:sdt>
  <w:p w14:paraId="285B03CB" w14:textId="77777777" w:rsidR="007714AF" w:rsidRDefault="007714AF" w:rsidP="007714AF">
    <w:pPr>
      <w:pStyle w:val="Footer"/>
      <w:ind w:right="360" w:firstLine="360"/>
    </w:pPr>
  </w:p>
  <w:p w14:paraId="46AD4EE0" w14:textId="77777777" w:rsidR="007714AF" w:rsidRDefault="007714A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E60AE" w14:textId="193EEA28" w:rsidR="00F56DC9" w:rsidRPr="00EC4542" w:rsidRDefault="00F56DC9" w:rsidP="000B3A87">
    <w:pPr>
      <w:pStyle w:val="Footer"/>
      <w:rPr>
        <w:sz w:val="24"/>
        <w:szCs w:val="24"/>
      </w:rPr>
    </w:pPr>
    <w:r w:rsidRPr="00EC4542">
      <w:rPr>
        <w:sz w:val="24"/>
        <w:szCs w:val="24"/>
      </w:rPr>
      <w:fldChar w:fldCharType="begin"/>
    </w:r>
    <w:r w:rsidRPr="00EC4542">
      <w:rPr>
        <w:sz w:val="24"/>
        <w:szCs w:val="24"/>
      </w:rPr>
      <w:instrText xml:space="preserve"> PAGE   \* MERGEFORMAT </w:instrText>
    </w:r>
    <w:r w:rsidRPr="00EC4542">
      <w:rPr>
        <w:sz w:val="24"/>
        <w:szCs w:val="24"/>
      </w:rPr>
      <w:fldChar w:fldCharType="separate"/>
    </w:r>
    <w:r w:rsidRPr="00EC4542">
      <w:rPr>
        <w:noProof/>
        <w:sz w:val="24"/>
        <w:szCs w:val="24"/>
      </w:rPr>
      <w:t>2</w:t>
    </w:r>
    <w:r w:rsidRPr="00EC4542">
      <w:rPr>
        <w:noProof/>
        <w:sz w:val="24"/>
        <w:szCs w:val="24"/>
      </w:rPr>
      <w:fldChar w:fldCharType="end"/>
    </w:r>
  </w:p>
  <w:p w14:paraId="001FD30C" w14:textId="77777777" w:rsidR="00F56DC9" w:rsidRDefault="00F56DC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E5041" w14:textId="1DA9BF66" w:rsidR="00E16F05" w:rsidRPr="00EC4542" w:rsidRDefault="00E16F05" w:rsidP="000B3A87">
    <w:pPr>
      <w:pStyle w:val="Footer"/>
      <w:rPr>
        <w:sz w:val="24"/>
        <w:szCs w:val="24"/>
      </w:rPr>
    </w:pPr>
    <w:r w:rsidRPr="00EC4542">
      <w:rPr>
        <w:sz w:val="24"/>
        <w:szCs w:val="24"/>
      </w:rPr>
      <w:fldChar w:fldCharType="begin"/>
    </w:r>
    <w:r w:rsidRPr="00EC4542">
      <w:rPr>
        <w:sz w:val="24"/>
        <w:szCs w:val="24"/>
      </w:rPr>
      <w:instrText xml:space="preserve"> PAGE   \* MERGEFORMAT </w:instrText>
    </w:r>
    <w:r w:rsidRPr="00EC4542">
      <w:rPr>
        <w:sz w:val="24"/>
        <w:szCs w:val="24"/>
      </w:rPr>
      <w:fldChar w:fldCharType="separate"/>
    </w:r>
    <w:r w:rsidRPr="00EC4542">
      <w:rPr>
        <w:noProof/>
        <w:sz w:val="24"/>
        <w:szCs w:val="24"/>
      </w:rPr>
      <w:t>2</w:t>
    </w:r>
    <w:r w:rsidRPr="00EC4542">
      <w:rPr>
        <w:noProof/>
        <w:sz w:val="24"/>
        <w:szCs w:val="24"/>
      </w:rPr>
      <w:fldChar w:fldCharType="end"/>
    </w:r>
  </w:p>
  <w:p w14:paraId="5E09D6CE" w14:textId="77777777" w:rsidR="00E16F05" w:rsidRDefault="00E16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F0D13" w14:textId="77777777" w:rsidR="00EC0D8C" w:rsidRDefault="00EC0D8C" w:rsidP="00F028F0">
      <w:r>
        <w:separator/>
      </w:r>
    </w:p>
  </w:footnote>
  <w:footnote w:type="continuationSeparator" w:id="0">
    <w:p w14:paraId="7B98058E" w14:textId="77777777" w:rsidR="00EC0D8C" w:rsidRDefault="00EC0D8C" w:rsidP="00F028F0">
      <w:r>
        <w:continuationSeparator/>
      </w:r>
    </w:p>
  </w:footnote>
  <w:footnote w:type="continuationNotice" w:id="1">
    <w:p w14:paraId="0EBCE921" w14:textId="77777777" w:rsidR="00EC0D8C" w:rsidRDefault="00EC0D8C" w:rsidP="000B3A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D23B7" w14:textId="65C66E95" w:rsidR="00B40105" w:rsidRDefault="00B40105" w:rsidP="000B3A87">
    <w:pPr>
      <w:pStyle w:val="Header"/>
    </w:pPr>
  </w:p>
  <w:p w14:paraId="35FFC82A" w14:textId="77777777" w:rsidR="00B40105" w:rsidRDefault="00B40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62A89C"/>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B33ECDE0"/>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A1D04C9E"/>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2A2C5704"/>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1BE68AB4"/>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7F267D30"/>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E6E7C6A"/>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12F6D940"/>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7F36C69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CC569D32"/>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1A00B2"/>
    <w:multiLevelType w:val="hybridMultilevel"/>
    <w:tmpl w:val="1B24B728"/>
    <w:lvl w:ilvl="0" w:tplc="AC6E727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00E33886"/>
    <w:multiLevelType w:val="hybridMultilevel"/>
    <w:tmpl w:val="C9EAAFBA"/>
    <w:lvl w:ilvl="0" w:tplc="01C2B7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5F7D2F"/>
    <w:multiLevelType w:val="hybridMultilevel"/>
    <w:tmpl w:val="4FA83F96"/>
    <w:lvl w:ilvl="0" w:tplc="0C0ECE0C">
      <w:start w:val="1"/>
      <w:numFmt w:val="lowerLetter"/>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06313073"/>
    <w:multiLevelType w:val="hybridMultilevel"/>
    <w:tmpl w:val="CE80C18E"/>
    <w:lvl w:ilvl="0" w:tplc="A9EAEBE2">
      <w:start w:val="34"/>
      <w:numFmt w:val="bullet"/>
      <w:lvlText w:val=""/>
      <w:lvlJc w:val="left"/>
      <w:pPr>
        <w:ind w:left="800" w:hanging="360"/>
      </w:pPr>
      <w:rPr>
        <w:rFonts w:ascii="Wingdings" w:eastAsia="DengXian" w:hAnsi="Wingdings" w:cs="Times New Roman"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4" w15:restartNumberingAfterBreak="0">
    <w:nsid w:val="06DF420F"/>
    <w:multiLevelType w:val="hybridMultilevel"/>
    <w:tmpl w:val="D4F8E42A"/>
    <w:lvl w:ilvl="0" w:tplc="EF320220">
      <w:start w:val="1"/>
      <w:numFmt w:val="decimal"/>
      <w:lvlText w:val="%1."/>
      <w:lvlJc w:val="left"/>
      <w:pPr>
        <w:ind w:left="806" w:hanging="360"/>
      </w:pPr>
      <w:rPr>
        <w:rFonts w:hint="default"/>
        <w:color w:val="00000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5" w15:restartNumberingAfterBreak="0">
    <w:nsid w:val="086F4361"/>
    <w:multiLevelType w:val="hybridMultilevel"/>
    <w:tmpl w:val="84867CFE"/>
    <w:lvl w:ilvl="0" w:tplc="FE6E7C6A">
      <w:start w:val="1"/>
      <w:numFmt w:val="bullet"/>
      <w:lvlText w:val=""/>
      <w:lvlJc w:val="left"/>
      <w:pPr>
        <w:ind w:left="902" w:hanging="420"/>
      </w:pPr>
      <w:rPr>
        <w:rFonts w:ascii="Wingdings" w:hAnsi="Wingdings" w:hint="default"/>
      </w:rPr>
    </w:lvl>
    <w:lvl w:ilvl="1" w:tplc="FFFFFFFF" w:tentative="1">
      <w:start w:val="1"/>
      <w:numFmt w:val="bullet"/>
      <w:lvlText w:val=""/>
      <w:lvlJc w:val="left"/>
      <w:pPr>
        <w:ind w:left="1322" w:hanging="420"/>
      </w:pPr>
      <w:rPr>
        <w:rFonts w:ascii="Wingdings" w:hAnsi="Wingdings" w:hint="default"/>
      </w:rPr>
    </w:lvl>
    <w:lvl w:ilvl="2" w:tplc="FFFFFFFF" w:tentative="1">
      <w:start w:val="1"/>
      <w:numFmt w:val="bullet"/>
      <w:lvlText w:val=""/>
      <w:lvlJc w:val="left"/>
      <w:pPr>
        <w:ind w:left="1742" w:hanging="420"/>
      </w:pPr>
      <w:rPr>
        <w:rFonts w:ascii="Wingdings" w:hAnsi="Wingdings" w:hint="default"/>
      </w:rPr>
    </w:lvl>
    <w:lvl w:ilvl="3" w:tplc="FFFFFFFF" w:tentative="1">
      <w:start w:val="1"/>
      <w:numFmt w:val="bullet"/>
      <w:lvlText w:val=""/>
      <w:lvlJc w:val="left"/>
      <w:pPr>
        <w:ind w:left="2162" w:hanging="420"/>
      </w:pPr>
      <w:rPr>
        <w:rFonts w:ascii="Wingdings" w:hAnsi="Wingdings" w:hint="default"/>
      </w:rPr>
    </w:lvl>
    <w:lvl w:ilvl="4" w:tplc="FFFFFFFF" w:tentative="1">
      <w:start w:val="1"/>
      <w:numFmt w:val="bullet"/>
      <w:lvlText w:val=""/>
      <w:lvlJc w:val="left"/>
      <w:pPr>
        <w:ind w:left="2582" w:hanging="420"/>
      </w:pPr>
      <w:rPr>
        <w:rFonts w:ascii="Wingdings" w:hAnsi="Wingdings" w:hint="default"/>
      </w:rPr>
    </w:lvl>
    <w:lvl w:ilvl="5" w:tplc="FFFFFFFF" w:tentative="1">
      <w:start w:val="1"/>
      <w:numFmt w:val="bullet"/>
      <w:lvlText w:val=""/>
      <w:lvlJc w:val="left"/>
      <w:pPr>
        <w:ind w:left="3002" w:hanging="420"/>
      </w:pPr>
      <w:rPr>
        <w:rFonts w:ascii="Wingdings" w:hAnsi="Wingdings" w:hint="default"/>
      </w:rPr>
    </w:lvl>
    <w:lvl w:ilvl="6" w:tplc="FFFFFFFF" w:tentative="1">
      <w:start w:val="1"/>
      <w:numFmt w:val="bullet"/>
      <w:lvlText w:val=""/>
      <w:lvlJc w:val="left"/>
      <w:pPr>
        <w:ind w:left="3422" w:hanging="420"/>
      </w:pPr>
      <w:rPr>
        <w:rFonts w:ascii="Wingdings" w:hAnsi="Wingdings" w:hint="default"/>
      </w:rPr>
    </w:lvl>
    <w:lvl w:ilvl="7" w:tplc="FFFFFFFF" w:tentative="1">
      <w:start w:val="1"/>
      <w:numFmt w:val="bullet"/>
      <w:lvlText w:val=""/>
      <w:lvlJc w:val="left"/>
      <w:pPr>
        <w:ind w:left="3842" w:hanging="420"/>
      </w:pPr>
      <w:rPr>
        <w:rFonts w:ascii="Wingdings" w:hAnsi="Wingdings" w:hint="default"/>
      </w:rPr>
    </w:lvl>
    <w:lvl w:ilvl="8" w:tplc="FFFFFFFF" w:tentative="1">
      <w:start w:val="1"/>
      <w:numFmt w:val="bullet"/>
      <w:lvlText w:val=""/>
      <w:lvlJc w:val="left"/>
      <w:pPr>
        <w:ind w:left="4262" w:hanging="420"/>
      </w:pPr>
      <w:rPr>
        <w:rFonts w:ascii="Wingdings" w:hAnsi="Wingdings" w:hint="default"/>
      </w:rPr>
    </w:lvl>
  </w:abstractNum>
  <w:abstractNum w:abstractNumId="16" w15:restartNumberingAfterBreak="0">
    <w:nsid w:val="093E52DF"/>
    <w:multiLevelType w:val="hybridMultilevel"/>
    <w:tmpl w:val="0EFC554C"/>
    <w:lvl w:ilvl="0" w:tplc="DA326C4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7" w15:restartNumberingAfterBreak="0">
    <w:nsid w:val="09C16A4A"/>
    <w:multiLevelType w:val="hybridMultilevel"/>
    <w:tmpl w:val="5FBE5EFC"/>
    <w:lvl w:ilvl="0" w:tplc="A3324F2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0C524843"/>
    <w:multiLevelType w:val="hybridMultilevel"/>
    <w:tmpl w:val="F9DACFBC"/>
    <w:lvl w:ilvl="0" w:tplc="BA9EBC48">
      <w:start w:val="1"/>
      <w:numFmt w:val="low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F1967B6"/>
    <w:multiLevelType w:val="hybridMultilevel"/>
    <w:tmpl w:val="71EE4716"/>
    <w:lvl w:ilvl="0" w:tplc="267A71D4">
      <w:start w:val="1"/>
      <w:numFmt w:val="decimal"/>
      <w:lvlText w:val="%1."/>
      <w:lvlJc w:val="left"/>
      <w:pPr>
        <w:ind w:left="842" w:hanging="360"/>
      </w:pPr>
      <w:rPr>
        <w:rFonts w:hint="default"/>
      </w:rPr>
    </w:lvl>
    <w:lvl w:ilvl="1" w:tplc="04090019">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15:restartNumberingAfterBreak="0">
    <w:nsid w:val="110F26B9"/>
    <w:multiLevelType w:val="hybridMultilevel"/>
    <w:tmpl w:val="0D9439F0"/>
    <w:lvl w:ilvl="0" w:tplc="4EE6475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131A001F"/>
    <w:multiLevelType w:val="hybridMultilevel"/>
    <w:tmpl w:val="C4C67840"/>
    <w:lvl w:ilvl="0" w:tplc="E200C376">
      <w:start w:val="1"/>
      <w:numFmt w:val="decimal"/>
      <w:lvlText w:val="%1."/>
      <w:lvlJc w:val="left"/>
      <w:pPr>
        <w:ind w:left="197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22" w15:restartNumberingAfterBreak="0">
    <w:nsid w:val="16101414"/>
    <w:multiLevelType w:val="hybridMultilevel"/>
    <w:tmpl w:val="01C65944"/>
    <w:lvl w:ilvl="0" w:tplc="1554A3D4">
      <w:start w:val="1"/>
      <w:numFmt w:val="bullet"/>
      <w:pStyle w:val="mycomment"/>
      <w:lvlText w:val="%"/>
      <w:lvlJc w:val="left"/>
      <w:pPr>
        <w:ind w:left="862" w:hanging="420"/>
      </w:pPr>
      <w:rPr>
        <w:rFonts w:ascii="Courier New" w:hAnsi="Courier New" w:hint="default"/>
      </w:rPr>
    </w:lvl>
    <w:lvl w:ilvl="1" w:tplc="04090003" w:tentative="1">
      <w:start w:val="1"/>
      <w:numFmt w:val="bullet"/>
      <w:lvlText w:val=""/>
      <w:lvlJc w:val="left"/>
      <w:pPr>
        <w:ind w:left="1282" w:hanging="420"/>
      </w:pPr>
      <w:rPr>
        <w:rFonts w:ascii="Wingdings" w:hAnsi="Wingdings" w:hint="default"/>
      </w:rPr>
    </w:lvl>
    <w:lvl w:ilvl="2" w:tplc="04090005" w:tentative="1">
      <w:start w:val="1"/>
      <w:numFmt w:val="bullet"/>
      <w:lvlText w:val=""/>
      <w:lvlJc w:val="left"/>
      <w:pPr>
        <w:ind w:left="1702" w:hanging="420"/>
      </w:pPr>
      <w:rPr>
        <w:rFonts w:ascii="Wingdings" w:hAnsi="Wingdings" w:hint="default"/>
      </w:rPr>
    </w:lvl>
    <w:lvl w:ilvl="3" w:tplc="04090001" w:tentative="1">
      <w:start w:val="1"/>
      <w:numFmt w:val="bullet"/>
      <w:lvlText w:val=""/>
      <w:lvlJc w:val="left"/>
      <w:pPr>
        <w:ind w:left="2122" w:hanging="420"/>
      </w:pPr>
      <w:rPr>
        <w:rFonts w:ascii="Wingdings" w:hAnsi="Wingdings" w:hint="default"/>
      </w:rPr>
    </w:lvl>
    <w:lvl w:ilvl="4" w:tplc="04090003" w:tentative="1">
      <w:start w:val="1"/>
      <w:numFmt w:val="bullet"/>
      <w:lvlText w:val=""/>
      <w:lvlJc w:val="left"/>
      <w:pPr>
        <w:ind w:left="2542" w:hanging="420"/>
      </w:pPr>
      <w:rPr>
        <w:rFonts w:ascii="Wingdings" w:hAnsi="Wingdings" w:hint="default"/>
      </w:rPr>
    </w:lvl>
    <w:lvl w:ilvl="5" w:tplc="04090005" w:tentative="1">
      <w:start w:val="1"/>
      <w:numFmt w:val="bullet"/>
      <w:lvlText w:val=""/>
      <w:lvlJc w:val="left"/>
      <w:pPr>
        <w:ind w:left="2962" w:hanging="420"/>
      </w:pPr>
      <w:rPr>
        <w:rFonts w:ascii="Wingdings" w:hAnsi="Wingdings" w:hint="default"/>
      </w:rPr>
    </w:lvl>
    <w:lvl w:ilvl="6" w:tplc="04090001" w:tentative="1">
      <w:start w:val="1"/>
      <w:numFmt w:val="bullet"/>
      <w:lvlText w:val=""/>
      <w:lvlJc w:val="left"/>
      <w:pPr>
        <w:ind w:left="3382" w:hanging="420"/>
      </w:pPr>
      <w:rPr>
        <w:rFonts w:ascii="Wingdings" w:hAnsi="Wingdings" w:hint="default"/>
      </w:rPr>
    </w:lvl>
    <w:lvl w:ilvl="7" w:tplc="04090003" w:tentative="1">
      <w:start w:val="1"/>
      <w:numFmt w:val="bullet"/>
      <w:lvlText w:val=""/>
      <w:lvlJc w:val="left"/>
      <w:pPr>
        <w:ind w:left="3802" w:hanging="420"/>
      </w:pPr>
      <w:rPr>
        <w:rFonts w:ascii="Wingdings" w:hAnsi="Wingdings" w:hint="default"/>
      </w:rPr>
    </w:lvl>
    <w:lvl w:ilvl="8" w:tplc="04090005" w:tentative="1">
      <w:start w:val="1"/>
      <w:numFmt w:val="bullet"/>
      <w:lvlText w:val=""/>
      <w:lvlJc w:val="left"/>
      <w:pPr>
        <w:ind w:left="4222" w:hanging="420"/>
      </w:pPr>
      <w:rPr>
        <w:rFonts w:ascii="Wingdings" w:hAnsi="Wingdings" w:hint="default"/>
      </w:rPr>
    </w:lvl>
  </w:abstractNum>
  <w:abstractNum w:abstractNumId="23" w15:restartNumberingAfterBreak="0">
    <w:nsid w:val="189F327B"/>
    <w:multiLevelType w:val="hybridMultilevel"/>
    <w:tmpl w:val="00AAC960"/>
    <w:lvl w:ilvl="0" w:tplc="D7BE124C">
      <w:start w:val="1"/>
      <w:numFmt w:val="bullet"/>
      <w:lvlText w:val=""/>
      <w:lvlJc w:val="left"/>
      <w:pPr>
        <w:ind w:left="840" w:hanging="420"/>
      </w:pPr>
      <w:rPr>
        <w:rFonts w:ascii="Wingdings" w:hAnsi="Wingdings" w:hint="default"/>
        <w:sz w:val="10"/>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4" w15:restartNumberingAfterBreak="0">
    <w:nsid w:val="19DA015D"/>
    <w:multiLevelType w:val="hybridMultilevel"/>
    <w:tmpl w:val="1AFA47B2"/>
    <w:lvl w:ilvl="0" w:tplc="0409000F">
      <w:start w:val="1"/>
      <w:numFmt w:val="decimal"/>
      <w:lvlText w:val="%1."/>
      <w:lvlJc w:val="left"/>
      <w:pPr>
        <w:ind w:left="80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25" w15:restartNumberingAfterBreak="0">
    <w:nsid w:val="1DAF704B"/>
    <w:multiLevelType w:val="hybridMultilevel"/>
    <w:tmpl w:val="88688B06"/>
    <w:lvl w:ilvl="0" w:tplc="3FA62AC0">
      <w:start w:val="1"/>
      <w:numFmt w:val="lowerRoman"/>
      <w:lvlText w:val="%1."/>
      <w:lvlJc w:val="righ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6" w15:restartNumberingAfterBreak="0">
    <w:nsid w:val="1EB82E21"/>
    <w:multiLevelType w:val="hybridMultilevel"/>
    <w:tmpl w:val="0A40AA32"/>
    <w:lvl w:ilvl="0" w:tplc="1C9E4958">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7" w15:restartNumberingAfterBreak="0">
    <w:nsid w:val="1EF2592F"/>
    <w:multiLevelType w:val="hybridMultilevel"/>
    <w:tmpl w:val="3F46AEC4"/>
    <w:lvl w:ilvl="0" w:tplc="F272A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F7047AC"/>
    <w:multiLevelType w:val="hybridMultilevel"/>
    <w:tmpl w:val="93689ABE"/>
    <w:lvl w:ilvl="0" w:tplc="0409000F">
      <w:start w:val="1"/>
      <w:numFmt w:val="decimal"/>
      <w:lvlText w:val="%1."/>
      <w:lvlJc w:val="left"/>
      <w:pPr>
        <w:ind w:left="440" w:hanging="440"/>
      </w:p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9" w15:restartNumberingAfterBreak="0">
    <w:nsid w:val="23ED6717"/>
    <w:multiLevelType w:val="hybridMultilevel"/>
    <w:tmpl w:val="4ECA000E"/>
    <w:lvl w:ilvl="0" w:tplc="04090011">
      <w:start w:val="1"/>
      <w:numFmt w:val="decimal"/>
      <w:lvlText w:val="%1)"/>
      <w:lvlJc w:val="left"/>
      <w:pPr>
        <w:ind w:left="1160" w:hanging="440"/>
      </w:pPr>
    </w:lvl>
    <w:lvl w:ilvl="1" w:tplc="04090019" w:tentative="1">
      <w:start w:val="1"/>
      <w:numFmt w:val="low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low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lowerLetter"/>
      <w:lvlText w:val="%8)"/>
      <w:lvlJc w:val="left"/>
      <w:pPr>
        <w:ind w:left="4240" w:hanging="440"/>
      </w:pPr>
    </w:lvl>
    <w:lvl w:ilvl="8" w:tplc="0409001B" w:tentative="1">
      <w:start w:val="1"/>
      <w:numFmt w:val="lowerRoman"/>
      <w:lvlText w:val="%9."/>
      <w:lvlJc w:val="right"/>
      <w:pPr>
        <w:ind w:left="4680" w:hanging="440"/>
      </w:pPr>
    </w:lvl>
  </w:abstractNum>
  <w:abstractNum w:abstractNumId="30" w15:restartNumberingAfterBreak="0">
    <w:nsid w:val="24796EAB"/>
    <w:multiLevelType w:val="hybridMultilevel"/>
    <w:tmpl w:val="8A2090F6"/>
    <w:lvl w:ilvl="0" w:tplc="B5425A26">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1" w15:restartNumberingAfterBreak="0">
    <w:nsid w:val="24EA6AA3"/>
    <w:multiLevelType w:val="hybridMultilevel"/>
    <w:tmpl w:val="1E2CFEE4"/>
    <w:lvl w:ilvl="0" w:tplc="FB30E2B6">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2" w15:restartNumberingAfterBreak="0">
    <w:nsid w:val="2696109B"/>
    <w:multiLevelType w:val="hybridMultilevel"/>
    <w:tmpl w:val="BC882D38"/>
    <w:lvl w:ilvl="0" w:tplc="BAB67070">
      <w:start w:val="1"/>
      <w:numFmt w:val="bullet"/>
      <w:lvlText w:val=""/>
      <w:lvlJc w:val="left"/>
      <w:pPr>
        <w:ind w:left="922" w:hanging="440"/>
      </w:pPr>
      <w:rPr>
        <w:rFonts w:ascii="Wingdings" w:hAnsi="Wingdings" w:hint="default"/>
        <w:sz w:val="16"/>
      </w:rPr>
    </w:lvl>
    <w:lvl w:ilvl="1" w:tplc="FFFFFFFF" w:tentative="1">
      <w:start w:val="1"/>
      <w:numFmt w:val="bullet"/>
      <w:lvlText w:val=""/>
      <w:lvlJc w:val="left"/>
      <w:pPr>
        <w:ind w:left="1362" w:hanging="440"/>
      </w:pPr>
      <w:rPr>
        <w:rFonts w:ascii="Wingdings" w:hAnsi="Wingdings" w:hint="default"/>
      </w:rPr>
    </w:lvl>
    <w:lvl w:ilvl="2" w:tplc="FFFFFFFF" w:tentative="1">
      <w:start w:val="1"/>
      <w:numFmt w:val="bullet"/>
      <w:lvlText w:val=""/>
      <w:lvlJc w:val="left"/>
      <w:pPr>
        <w:ind w:left="1802" w:hanging="440"/>
      </w:pPr>
      <w:rPr>
        <w:rFonts w:ascii="Wingdings" w:hAnsi="Wingdings" w:hint="default"/>
      </w:rPr>
    </w:lvl>
    <w:lvl w:ilvl="3" w:tplc="FFFFFFFF" w:tentative="1">
      <w:start w:val="1"/>
      <w:numFmt w:val="bullet"/>
      <w:lvlText w:val=""/>
      <w:lvlJc w:val="left"/>
      <w:pPr>
        <w:ind w:left="2242" w:hanging="440"/>
      </w:pPr>
      <w:rPr>
        <w:rFonts w:ascii="Wingdings" w:hAnsi="Wingdings" w:hint="default"/>
      </w:rPr>
    </w:lvl>
    <w:lvl w:ilvl="4" w:tplc="FFFFFFFF" w:tentative="1">
      <w:start w:val="1"/>
      <w:numFmt w:val="bullet"/>
      <w:lvlText w:val=""/>
      <w:lvlJc w:val="left"/>
      <w:pPr>
        <w:ind w:left="2682" w:hanging="440"/>
      </w:pPr>
      <w:rPr>
        <w:rFonts w:ascii="Wingdings" w:hAnsi="Wingdings" w:hint="default"/>
      </w:rPr>
    </w:lvl>
    <w:lvl w:ilvl="5" w:tplc="FFFFFFFF" w:tentative="1">
      <w:start w:val="1"/>
      <w:numFmt w:val="bullet"/>
      <w:lvlText w:val=""/>
      <w:lvlJc w:val="left"/>
      <w:pPr>
        <w:ind w:left="3122" w:hanging="440"/>
      </w:pPr>
      <w:rPr>
        <w:rFonts w:ascii="Wingdings" w:hAnsi="Wingdings" w:hint="default"/>
      </w:rPr>
    </w:lvl>
    <w:lvl w:ilvl="6" w:tplc="FFFFFFFF" w:tentative="1">
      <w:start w:val="1"/>
      <w:numFmt w:val="bullet"/>
      <w:lvlText w:val=""/>
      <w:lvlJc w:val="left"/>
      <w:pPr>
        <w:ind w:left="3562" w:hanging="440"/>
      </w:pPr>
      <w:rPr>
        <w:rFonts w:ascii="Wingdings" w:hAnsi="Wingdings" w:hint="default"/>
      </w:rPr>
    </w:lvl>
    <w:lvl w:ilvl="7" w:tplc="FFFFFFFF" w:tentative="1">
      <w:start w:val="1"/>
      <w:numFmt w:val="bullet"/>
      <w:lvlText w:val=""/>
      <w:lvlJc w:val="left"/>
      <w:pPr>
        <w:ind w:left="4002" w:hanging="440"/>
      </w:pPr>
      <w:rPr>
        <w:rFonts w:ascii="Wingdings" w:hAnsi="Wingdings" w:hint="default"/>
      </w:rPr>
    </w:lvl>
    <w:lvl w:ilvl="8" w:tplc="FFFFFFFF" w:tentative="1">
      <w:start w:val="1"/>
      <w:numFmt w:val="bullet"/>
      <w:lvlText w:val=""/>
      <w:lvlJc w:val="left"/>
      <w:pPr>
        <w:ind w:left="4442" w:hanging="440"/>
      </w:pPr>
      <w:rPr>
        <w:rFonts w:ascii="Wingdings" w:hAnsi="Wingdings" w:hint="default"/>
      </w:rPr>
    </w:lvl>
  </w:abstractNum>
  <w:abstractNum w:abstractNumId="33" w15:restartNumberingAfterBreak="0">
    <w:nsid w:val="2AEC6104"/>
    <w:multiLevelType w:val="hybridMultilevel"/>
    <w:tmpl w:val="4A32E904"/>
    <w:lvl w:ilvl="0" w:tplc="B9BCD16A">
      <w:start w:val="1"/>
      <w:numFmt w:val="lowerLetter"/>
      <w:lvlText w:val="%1."/>
      <w:lvlJc w:val="left"/>
      <w:pPr>
        <w:ind w:left="1080" w:hanging="360"/>
      </w:pPr>
      <w:rPr>
        <w:rFonts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F3F5154"/>
    <w:multiLevelType w:val="hybridMultilevel"/>
    <w:tmpl w:val="9DB484F6"/>
    <w:lvl w:ilvl="0" w:tplc="309C52A2">
      <w:start w:val="1"/>
      <w:numFmt w:val="lowerLetter"/>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15:restartNumberingAfterBreak="0">
    <w:nsid w:val="31942643"/>
    <w:multiLevelType w:val="hybridMultilevel"/>
    <w:tmpl w:val="DA4C1DB2"/>
    <w:lvl w:ilvl="0" w:tplc="D5F22C74">
      <w:start w:val="1"/>
      <w:numFmt w:val="upperLetter"/>
      <w:lvlText w:val="%1."/>
      <w:lvlJc w:val="left"/>
      <w:pPr>
        <w:ind w:left="922" w:hanging="440"/>
      </w:p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36" w15:restartNumberingAfterBreak="0">
    <w:nsid w:val="337D0B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495648D"/>
    <w:multiLevelType w:val="hybridMultilevel"/>
    <w:tmpl w:val="930CA5C0"/>
    <w:lvl w:ilvl="0" w:tplc="04090001">
      <w:start w:val="1"/>
      <w:numFmt w:val="bullet"/>
      <w:lvlText w:val=""/>
      <w:lvlJc w:val="left"/>
      <w:pPr>
        <w:ind w:left="902" w:hanging="420"/>
      </w:pPr>
      <w:rPr>
        <w:rFonts w:ascii="Wingdings" w:hAnsi="Wingdings" w:hint="default"/>
      </w:rPr>
    </w:lvl>
    <w:lvl w:ilvl="1" w:tplc="04090003" w:tentative="1">
      <w:start w:val="1"/>
      <w:numFmt w:val="bullet"/>
      <w:lvlText w:val=""/>
      <w:lvlJc w:val="left"/>
      <w:pPr>
        <w:ind w:left="1322" w:hanging="420"/>
      </w:pPr>
      <w:rPr>
        <w:rFonts w:ascii="Wingdings" w:hAnsi="Wingdings" w:hint="default"/>
      </w:rPr>
    </w:lvl>
    <w:lvl w:ilvl="2" w:tplc="04090005"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3" w:tentative="1">
      <w:start w:val="1"/>
      <w:numFmt w:val="bullet"/>
      <w:lvlText w:val=""/>
      <w:lvlJc w:val="left"/>
      <w:pPr>
        <w:ind w:left="2582" w:hanging="420"/>
      </w:pPr>
      <w:rPr>
        <w:rFonts w:ascii="Wingdings" w:hAnsi="Wingdings" w:hint="default"/>
      </w:rPr>
    </w:lvl>
    <w:lvl w:ilvl="5" w:tplc="04090005"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3" w:tentative="1">
      <w:start w:val="1"/>
      <w:numFmt w:val="bullet"/>
      <w:lvlText w:val=""/>
      <w:lvlJc w:val="left"/>
      <w:pPr>
        <w:ind w:left="3842" w:hanging="420"/>
      </w:pPr>
      <w:rPr>
        <w:rFonts w:ascii="Wingdings" w:hAnsi="Wingdings" w:hint="default"/>
      </w:rPr>
    </w:lvl>
    <w:lvl w:ilvl="8" w:tplc="04090005" w:tentative="1">
      <w:start w:val="1"/>
      <w:numFmt w:val="bullet"/>
      <w:lvlText w:val=""/>
      <w:lvlJc w:val="left"/>
      <w:pPr>
        <w:ind w:left="4262" w:hanging="420"/>
      </w:pPr>
      <w:rPr>
        <w:rFonts w:ascii="Wingdings" w:hAnsi="Wingdings" w:hint="default"/>
      </w:rPr>
    </w:lvl>
  </w:abstractNum>
  <w:abstractNum w:abstractNumId="38" w15:restartNumberingAfterBreak="0">
    <w:nsid w:val="37690270"/>
    <w:multiLevelType w:val="hybridMultilevel"/>
    <w:tmpl w:val="348081B2"/>
    <w:lvl w:ilvl="0" w:tplc="AC6E727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15:restartNumberingAfterBreak="0">
    <w:nsid w:val="383756D8"/>
    <w:multiLevelType w:val="hybridMultilevel"/>
    <w:tmpl w:val="BB4C0658"/>
    <w:lvl w:ilvl="0" w:tplc="AC6E7274">
      <w:start w:val="1"/>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A050187"/>
    <w:multiLevelType w:val="hybridMultilevel"/>
    <w:tmpl w:val="89949474"/>
    <w:lvl w:ilvl="0" w:tplc="04090001">
      <w:start w:val="1"/>
      <w:numFmt w:val="bullet"/>
      <w:lvlText w:val=""/>
      <w:lvlJc w:val="left"/>
      <w:pPr>
        <w:ind w:left="902" w:hanging="420"/>
      </w:pPr>
      <w:rPr>
        <w:rFonts w:ascii="Wingdings" w:hAnsi="Wingdings" w:hint="default"/>
      </w:rPr>
    </w:lvl>
    <w:lvl w:ilvl="1" w:tplc="04090003" w:tentative="1">
      <w:start w:val="1"/>
      <w:numFmt w:val="bullet"/>
      <w:lvlText w:val=""/>
      <w:lvlJc w:val="left"/>
      <w:pPr>
        <w:ind w:left="1322" w:hanging="420"/>
      </w:pPr>
      <w:rPr>
        <w:rFonts w:ascii="Wingdings" w:hAnsi="Wingdings" w:hint="default"/>
      </w:rPr>
    </w:lvl>
    <w:lvl w:ilvl="2" w:tplc="04090005"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3" w:tentative="1">
      <w:start w:val="1"/>
      <w:numFmt w:val="bullet"/>
      <w:lvlText w:val=""/>
      <w:lvlJc w:val="left"/>
      <w:pPr>
        <w:ind w:left="2582" w:hanging="420"/>
      </w:pPr>
      <w:rPr>
        <w:rFonts w:ascii="Wingdings" w:hAnsi="Wingdings" w:hint="default"/>
      </w:rPr>
    </w:lvl>
    <w:lvl w:ilvl="5" w:tplc="04090005"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3" w:tentative="1">
      <w:start w:val="1"/>
      <w:numFmt w:val="bullet"/>
      <w:lvlText w:val=""/>
      <w:lvlJc w:val="left"/>
      <w:pPr>
        <w:ind w:left="3842" w:hanging="420"/>
      </w:pPr>
      <w:rPr>
        <w:rFonts w:ascii="Wingdings" w:hAnsi="Wingdings" w:hint="default"/>
      </w:rPr>
    </w:lvl>
    <w:lvl w:ilvl="8" w:tplc="04090005" w:tentative="1">
      <w:start w:val="1"/>
      <w:numFmt w:val="bullet"/>
      <w:lvlText w:val=""/>
      <w:lvlJc w:val="left"/>
      <w:pPr>
        <w:ind w:left="4262" w:hanging="420"/>
      </w:pPr>
      <w:rPr>
        <w:rFonts w:ascii="Wingdings" w:hAnsi="Wingdings" w:hint="default"/>
      </w:rPr>
    </w:lvl>
  </w:abstractNum>
  <w:abstractNum w:abstractNumId="41" w15:restartNumberingAfterBreak="0">
    <w:nsid w:val="3A3B20BC"/>
    <w:multiLevelType w:val="hybridMultilevel"/>
    <w:tmpl w:val="2240676A"/>
    <w:lvl w:ilvl="0" w:tplc="E4D2EB74">
      <w:start w:val="6"/>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2" w15:restartNumberingAfterBreak="0">
    <w:nsid w:val="3B271935"/>
    <w:multiLevelType w:val="hybridMultilevel"/>
    <w:tmpl w:val="2FA05760"/>
    <w:lvl w:ilvl="0" w:tplc="94FC2A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3C1D5565"/>
    <w:multiLevelType w:val="hybridMultilevel"/>
    <w:tmpl w:val="842035A4"/>
    <w:lvl w:ilvl="0" w:tplc="4ECA1B5C">
      <w:start w:val="1"/>
      <w:numFmt w:val="lowerLetter"/>
      <w:pStyle w:val="21Subfigurecaption"/>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F9B56A4"/>
    <w:multiLevelType w:val="hybridMultilevel"/>
    <w:tmpl w:val="8D2EACB8"/>
    <w:lvl w:ilvl="0" w:tplc="AE7EB23E">
      <w:start w:val="1"/>
      <w:numFmt w:val="decimal"/>
      <w:lvlText w:val="%1）"/>
      <w:lvlJc w:val="left"/>
      <w:pPr>
        <w:ind w:left="360" w:hanging="360"/>
      </w:pPr>
      <w:rPr>
        <w:rFonts w:hint="default"/>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6" w15:restartNumberingAfterBreak="0">
    <w:nsid w:val="406062FD"/>
    <w:multiLevelType w:val="hybridMultilevel"/>
    <w:tmpl w:val="76FC18C4"/>
    <w:lvl w:ilvl="0" w:tplc="E0DAAF88">
      <w:start w:val="1"/>
      <w:numFmt w:val="decimal"/>
      <w:lvlText w:val="%1."/>
      <w:lvlJc w:val="left"/>
      <w:pPr>
        <w:ind w:left="780"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15:restartNumberingAfterBreak="0">
    <w:nsid w:val="411C1407"/>
    <w:multiLevelType w:val="multilevel"/>
    <w:tmpl w:val="E2DC8F68"/>
    <w:lvl w:ilvl="0">
      <w:start w:val="1"/>
      <w:numFmt w:val="decimal"/>
      <w:lvlText w:val="%1"/>
      <w:lvlJc w:val="left"/>
      <w:pPr>
        <w:ind w:left="999" w:hanging="432"/>
      </w:pPr>
      <w:rPr>
        <w:rFonts w:hint="eastAsia"/>
        <w:b w:val="0"/>
        <w:bCs/>
      </w:rPr>
    </w:lvl>
    <w:lvl w:ilvl="1">
      <w:start w:val="1"/>
      <w:numFmt w:val="decimal"/>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48" w15:restartNumberingAfterBreak="0">
    <w:nsid w:val="42B13B14"/>
    <w:multiLevelType w:val="hybridMultilevel"/>
    <w:tmpl w:val="85FEFC72"/>
    <w:lvl w:ilvl="0" w:tplc="A8BA8B10">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9" w15:restartNumberingAfterBreak="0">
    <w:nsid w:val="44FE0435"/>
    <w:multiLevelType w:val="hybridMultilevel"/>
    <w:tmpl w:val="DA384A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5371F61"/>
    <w:multiLevelType w:val="hybridMultilevel"/>
    <w:tmpl w:val="1268A5F8"/>
    <w:lvl w:ilvl="0" w:tplc="04090001">
      <w:start w:val="1"/>
      <w:numFmt w:val="bullet"/>
      <w:lvlText w:val=""/>
      <w:lvlJc w:val="left"/>
      <w:pPr>
        <w:ind w:left="922" w:hanging="440"/>
      </w:pPr>
      <w:rPr>
        <w:rFonts w:ascii="Wingdings" w:hAnsi="Wingdings" w:hint="default"/>
      </w:rPr>
    </w:lvl>
    <w:lvl w:ilvl="1" w:tplc="04090003" w:tentative="1">
      <w:start w:val="1"/>
      <w:numFmt w:val="bullet"/>
      <w:lvlText w:val=""/>
      <w:lvlJc w:val="left"/>
      <w:pPr>
        <w:ind w:left="1362" w:hanging="440"/>
      </w:pPr>
      <w:rPr>
        <w:rFonts w:ascii="Wingdings" w:hAnsi="Wingdings" w:hint="default"/>
      </w:rPr>
    </w:lvl>
    <w:lvl w:ilvl="2" w:tplc="04090005" w:tentative="1">
      <w:start w:val="1"/>
      <w:numFmt w:val="bullet"/>
      <w:lvlText w:val=""/>
      <w:lvlJc w:val="left"/>
      <w:pPr>
        <w:ind w:left="1802" w:hanging="440"/>
      </w:pPr>
      <w:rPr>
        <w:rFonts w:ascii="Wingdings" w:hAnsi="Wingdings" w:hint="default"/>
      </w:rPr>
    </w:lvl>
    <w:lvl w:ilvl="3" w:tplc="04090001" w:tentative="1">
      <w:start w:val="1"/>
      <w:numFmt w:val="bullet"/>
      <w:lvlText w:val=""/>
      <w:lvlJc w:val="left"/>
      <w:pPr>
        <w:ind w:left="2242" w:hanging="440"/>
      </w:pPr>
      <w:rPr>
        <w:rFonts w:ascii="Wingdings" w:hAnsi="Wingdings" w:hint="default"/>
      </w:rPr>
    </w:lvl>
    <w:lvl w:ilvl="4" w:tplc="04090003" w:tentative="1">
      <w:start w:val="1"/>
      <w:numFmt w:val="bullet"/>
      <w:lvlText w:val=""/>
      <w:lvlJc w:val="left"/>
      <w:pPr>
        <w:ind w:left="2682" w:hanging="440"/>
      </w:pPr>
      <w:rPr>
        <w:rFonts w:ascii="Wingdings" w:hAnsi="Wingdings" w:hint="default"/>
      </w:rPr>
    </w:lvl>
    <w:lvl w:ilvl="5" w:tplc="04090005" w:tentative="1">
      <w:start w:val="1"/>
      <w:numFmt w:val="bullet"/>
      <w:lvlText w:val=""/>
      <w:lvlJc w:val="left"/>
      <w:pPr>
        <w:ind w:left="3122" w:hanging="440"/>
      </w:pPr>
      <w:rPr>
        <w:rFonts w:ascii="Wingdings" w:hAnsi="Wingdings" w:hint="default"/>
      </w:rPr>
    </w:lvl>
    <w:lvl w:ilvl="6" w:tplc="04090001" w:tentative="1">
      <w:start w:val="1"/>
      <w:numFmt w:val="bullet"/>
      <w:lvlText w:val=""/>
      <w:lvlJc w:val="left"/>
      <w:pPr>
        <w:ind w:left="3562" w:hanging="440"/>
      </w:pPr>
      <w:rPr>
        <w:rFonts w:ascii="Wingdings" w:hAnsi="Wingdings" w:hint="default"/>
      </w:rPr>
    </w:lvl>
    <w:lvl w:ilvl="7" w:tplc="04090003" w:tentative="1">
      <w:start w:val="1"/>
      <w:numFmt w:val="bullet"/>
      <w:lvlText w:val=""/>
      <w:lvlJc w:val="left"/>
      <w:pPr>
        <w:ind w:left="4002" w:hanging="440"/>
      </w:pPr>
      <w:rPr>
        <w:rFonts w:ascii="Wingdings" w:hAnsi="Wingdings" w:hint="default"/>
      </w:rPr>
    </w:lvl>
    <w:lvl w:ilvl="8" w:tplc="04090005" w:tentative="1">
      <w:start w:val="1"/>
      <w:numFmt w:val="bullet"/>
      <w:lvlText w:val=""/>
      <w:lvlJc w:val="left"/>
      <w:pPr>
        <w:ind w:left="4442" w:hanging="440"/>
      </w:pPr>
      <w:rPr>
        <w:rFonts w:ascii="Wingdings" w:hAnsi="Wingdings" w:hint="default"/>
      </w:rPr>
    </w:lvl>
  </w:abstractNum>
  <w:abstractNum w:abstractNumId="51" w15:restartNumberingAfterBreak="0">
    <w:nsid w:val="47A00BD7"/>
    <w:multiLevelType w:val="hybridMultilevel"/>
    <w:tmpl w:val="E83CDE6A"/>
    <w:lvl w:ilvl="0" w:tplc="E200C376">
      <w:start w:val="1"/>
      <w:numFmt w:val="decimal"/>
      <w:lvlText w:val="%1."/>
      <w:lvlJc w:val="left"/>
      <w:pPr>
        <w:ind w:left="197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52" w15:restartNumberingAfterBreak="0">
    <w:nsid w:val="47E86062"/>
    <w:multiLevelType w:val="hybridMultilevel"/>
    <w:tmpl w:val="1E8C5812"/>
    <w:lvl w:ilvl="0" w:tplc="E200C37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3" w15:restartNumberingAfterBreak="0">
    <w:nsid w:val="499F14EB"/>
    <w:multiLevelType w:val="hybridMultilevel"/>
    <w:tmpl w:val="133EB34E"/>
    <w:lvl w:ilvl="0" w:tplc="5260B952">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A2F2769"/>
    <w:multiLevelType w:val="hybridMultilevel"/>
    <w:tmpl w:val="7F34713A"/>
    <w:lvl w:ilvl="0" w:tplc="410CFB08">
      <w:start w:val="1"/>
      <w:numFmt w:val="bullet"/>
      <w:pStyle w:val="comment"/>
      <w:lvlText w:val="%"/>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5" w15:restartNumberingAfterBreak="0">
    <w:nsid w:val="4C9525C5"/>
    <w:multiLevelType w:val="hybridMultilevel"/>
    <w:tmpl w:val="42F6545A"/>
    <w:lvl w:ilvl="0" w:tplc="AC6E7274">
      <w:start w:val="1"/>
      <w:numFmt w:val="decimal"/>
      <w:lvlText w:val="%1."/>
      <w:lvlJc w:val="left"/>
      <w:pPr>
        <w:ind w:left="126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6" w15:restartNumberingAfterBreak="0">
    <w:nsid w:val="4D9A5F20"/>
    <w:multiLevelType w:val="hybridMultilevel"/>
    <w:tmpl w:val="245AD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EEF7F2A"/>
    <w:multiLevelType w:val="hybridMultilevel"/>
    <w:tmpl w:val="850813F4"/>
    <w:lvl w:ilvl="0" w:tplc="04090001">
      <w:start w:val="1"/>
      <w:numFmt w:val="bullet"/>
      <w:lvlText w:val=""/>
      <w:lvlJc w:val="left"/>
      <w:pPr>
        <w:ind w:left="1202" w:hanging="360"/>
      </w:pPr>
      <w:rPr>
        <w:rFonts w:ascii="Symbol" w:hAnsi="Symbol" w:hint="default"/>
      </w:rPr>
    </w:lvl>
    <w:lvl w:ilvl="1" w:tplc="04090003" w:tentative="1">
      <w:start w:val="1"/>
      <w:numFmt w:val="bullet"/>
      <w:lvlText w:val="o"/>
      <w:lvlJc w:val="left"/>
      <w:pPr>
        <w:ind w:left="1922" w:hanging="360"/>
      </w:pPr>
      <w:rPr>
        <w:rFonts w:ascii="Courier New" w:hAnsi="Courier New" w:cs="Courier New" w:hint="default"/>
      </w:rPr>
    </w:lvl>
    <w:lvl w:ilvl="2" w:tplc="04090005" w:tentative="1">
      <w:start w:val="1"/>
      <w:numFmt w:val="bullet"/>
      <w:lvlText w:val=""/>
      <w:lvlJc w:val="left"/>
      <w:pPr>
        <w:ind w:left="2642" w:hanging="360"/>
      </w:pPr>
      <w:rPr>
        <w:rFonts w:ascii="Wingdings" w:hAnsi="Wingdings" w:hint="default"/>
      </w:rPr>
    </w:lvl>
    <w:lvl w:ilvl="3" w:tplc="04090001" w:tentative="1">
      <w:start w:val="1"/>
      <w:numFmt w:val="bullet"/>
      <w:lvlText w:val=""/>
      <w:lvlJc w:val="left"/>
      <w:pPr>
        <w:ind w:left="3362" w:hanging="360"/>
      </w:pPr>
      <w:rPr>
        <w:rFonts w:ascii="Symbol" w:hAnsi="Symbol" w:hint="default"/>
      </w:rPr>
    </w:lvl>
    <w:lvl w:ilvl="4" w:tplc="04090003" w:tentative="1">
      <w:start w:val="1"/>
      <w:numFmt w:val="bullet"/>
      <w:lvlText w:val="o"/>
      <w:lvlJc w:val="left"/>
      <w:pPr>
        <w:ind w:left="4082" w:hanging="360"/>
      </w:pPr>
      <w:rPr>
        <w:rFonts w:ascii="Courier New" w:hAnsi="Courier New" w:cs="Courier New" w:hint="default"/>
      </w:rPr>
    </w:lvl>
    <w:lvl w:ilvl="5" w:tplc="04090005" w:tentative="1">
      <w:start w:val="1"/>
      <w:numFmt w:val="bullet"/>
      <w:lvlText w:val=""/>
      <w:lvlJc w:val="left"/>
      <w:pPr>
        <w:ind w:left="4802" w:hanging="360"/>
      </w:pPr>
      <w:rPr>
        <w:rFonts w:ascii="Wingdings" w:hAnsi="Wingdings" w:hint="default"/>
      </w:rPr>
    </w:lvl>
    <w:lvl w:ilvl="6" w:tplc="04090001" w:tentative="1">
      <w:start w:val="1"/>
      <w:numFmt w:val="bullet"/>
      <w:lvlText w:val=""/>
      <w:lvlJc w:val="left"/>
      <w:pPr>
        <w:ind w:left="5522" w:hanging="360"/>
      </w:pPr>
      <w:rPr>
        <w:rFonts w:ascii="Symbol" w:hAnsi="Symbol" w:hint="default"/>
      </w:rPr>
    </w:lvl>
    <w:lvl w:ilvl="7" w:tplc="04090003" w:tentative="1">
      <w:start w:val="1"/>
      <w:numFmt w:val="bullet"/>
      <w:lvlText w:val="o"/>
      <w:lvlJc w:val="left"/>
      <w:pPr>
        <w:ind w:left="6242" w:hanging="360"/>
      </w:pPr>
      <w:rPr>
        <w:rFonts w:ascii="Courier New" w:hAnsi="Courier New" w:cs="Courier New" w:hint="default"/>
      </w:rPr>
    </w:lvl>
    <w:lvl w:ilvl="8" w:tplc="04090005" w:tentative="1">
      <w:start w:val="1"/>
      <w:numFmt w:val="bullet"/>
      <w:lvlText w:val=""/>
      <w:lvlJc w:val="left"/>
      <w:pPr>
        <w:ind w:left="6962" w:hanging="360"/>
      </w:pPr>
      <w:rPr>
        <w:rFonts w:ascii="Wingdings" w:hAnsi="Wingdings" w:hint="default"/>
      </w:rPr>
    </w:lvl>
  </w:abstractNum>
  <w:abstractNum w:abstractNumId="58" w15:restartNumberingAfterBreak="0">
    <w:nsid w:val="50120E7A"/>
    <w:multiLevelType w:val="hybridMultilevel"/>
    <w:tmpl w:val="640A50D4"/>
    <w:lvl w:ilvl="0" w:tplc="312A9784">
      <w:start w:val="1"/>
      <w:numFmt w:val="decimal"/>
      <w:lvlText w:val="%1"/>
      <w:lvlJc w:val="left"/>
      <w:pPr>
        <w:ind w:left="987" w:hanging="420"/>
      </w:pPr>
      <w:rPr>
        <w:rFonts w:hint="eastAsia"/>
      </w:rPr>
    </w:lvl>
    <w:lvl w:ilvl="1" w:tplc="04090019" w:tentative="1">
      <w:start w:val="1"/>
      <w:numFmt w:val="lowerLetter"/>
      <w:lvlText w:val="%2)"/>
      <w:lvlJc w:val="left"/>
      <w:pPr>
        <w:ind w:left="1407" w:hanging="420"/>
      </w:pPr>
    </w:lvl>
    <w:lvl w:ilvl="2" w:tplc="29667746">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59" w15:restartNumberingAfterBreak="0">
    <w:nsid w:val="50AB6EC2"/>
    <w:multiLevelType w:val="multilevel"/>
    <w:tmpl w:val="D2C21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2DA372A"/>
    <w:multiLevelType w:val="hybridMultilevel"/>
    <w:tmpl w:val="E1D09374"/>
    <w:lvl w:ilvl="0" w:tplc="CBACFDF8">
      <w:start w:val="1"/>
      <w:numFmt w:val="lowerLetter"/>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61" w15:restartNumberingAfterBreak="0">
    <w:nsid w:val="56BE6CB6"/>
    <w:multiLevelType w:val="hybridMultilevel"/>
    <w:tmpl w:val="CDDC1F38"/>
    <w:lvl w:ilvl="0" w:tplc="D7BE124C">
      <w:start w:val="1"/>
      <w:numFmt w:val="bullet"/>
      <w:lvlText w:val=""/>
      <w:lvlJc w:val="left"/>
      <w:pPr>
        <w:ind w:left="902" w:hanging="420"/>
      </w:pPr>
      <w:rPr>
        <w:rFonts w:ascii="Wingdings" w:hAnsi="Wingdings" w:hint="default"/>
        <w:sz w:val="10"/>
      </w:rPr>
    </w:lvl>
    <w:lvl w:ilvl="1" w:tplc="FFFFFFFF" w:tentative="1">
      <w:start w:val="1"/>
      <w:numFmt w:val="bullet"/>
      <w:lvlText w:val=""/>
      <w:lvlJc w:val="left"/>
      <w:pPr>
        <w:ind w:left="1322" w:hanging="420"/>
      </w:pPr>
      <w:rPr>
        <w:rFonts w:ascii="Wingdings" w:hAnsi="Wingdings" w:hint="default"/>
      </w:rPr>
    </w:lvl>
    <w:lvl w:ilvl="2" w:tplc="FFFFFFFF" w:tentative="1">
      <w:start w:val="1"/>
      <w:numFmt w:val="bullet"/>
      <w:lvlText w:val=""/>
      <w:lvlJc w:val="left"/>
      <w:pPr>
        <w:ind w:left="1742" w:hanging="420"/>
      </w:pPr>
      <w:rPr>
        <w:rFonts w:ascii="Wingdings" w:hAnsi="Wingdings" w:hint="default"/>
      </w:rPr>
    </w:lvl>
    <w:lvl w:ilvl="3" w:tplc="FFFFFFFF" w:tentative="1">
      <w:start w:val="1"/>
      <w:numFmt w:val="bullet"/>
      <w:lvlText w:val=""/>
      <w:lvlJc w:val="left"/>
      <w:pPr>
        <w:ind w:left="2162" w:hanging="420"/>
      </w:pPr>
      <w:rPr>
        <w:rFonts w:ascii="Wingdings" w:hAnsi="Wingdings" w:hint="default"/>
      </w:rPr>
    </w:lvl>
    <w:lvl w:ilvl="4" w:tplc="FFFFFFFF" w:tentative="1">
      <w:start w:val="1"/>
      <w:numFmt w:val="bullet"/>
      <w:lvlText w:val=""/>
      <w:lvlJc w:val="left"/>
      <w:pPr>
        <w:ind w:left="2582" w:hanging="420"/>
      </w:pPr>
      <w:rPr>
        <w:rFonts w:ascii="Wingdings" w:hAnsi="Wingdings" w:hint="default"/>
      </w:rPr>
    </w:lvl>
    <w:lvl w:ilvl="5" w:tplc="FFFFFFFF" w:tentative="1">
      <w:start w:val="1"/>
      <w:numFmt w:val="bullet"/>
      <w:lvlText w:val=""/>
      <w:lvlJc w:val="left"/>
      <w:pPr>
        <w:ind w:left="3002" w:hanging="420"/>
      </w:pPr>
      <w:rPr>
        <w:rFonts w:ascii="Wingdings" w:hAnsi="Wingdings" w:hint="default"/>
      </w:rPr>
    </w:lvl>
    <w:lvl w:ilvl="6" w:tplc="FFFFFFFF" w:tentative="1">
      <w:start w:val="1"/>
      <w:numFmt w:val="bullet"/>
      <w:lvlText w:val=""/>
      <w:lvlJc w:val="left"/>
      <w:pPr>
        <w:ind w:left="3422" w:hanging="420"/>
      </w:pPr>
      <w:rPr>
        <w:rFonts w:ascii="Wingdings" w:hAnsi="Wingdings" w:hint="default"/>
      </w:rPr>
    </w:lvl>
    <w:lvl w:ilvl="7" w:tplc="FFFFFFFF" w:tentative="1">
      <w:start w:val="1"/>
      <w:numFmt w:val="bullet"/>
      <w:lvlText w:val=""/>
      <w:lvlJc w:val="left"/>
      <w:pPr>
        <w:ind w:left="3842" w:hanging="420"/>
      </w:pPr>
      <w:rPr>
        <w:rFonts w:ascii="Wingdings" w:hAnsi="Wingdings" w:hint="default"/>
      </w:rPr>
    </w:lvl>
    <w:lvl w:ilvl="8" w:tplc="FFFFFFFF" w:tentative="1">
      <w:start w:val="1"/>
      <w:numFmt w:val="bullet"/>
      <w:lvlText w:val=""/>
      <w:lvlJc w:val="left"/>
      <w:pPr>
        <w:ind w:left="4262" w:hanging="420"/>
      </w:pPr>
      <w:rPr>
        <w:rFonts w:ascii="Wingdings" w:hAnsi="Wingdings" w:hint="default"/>
      </w:rPr>
    </w:lvl>
  </w:abstractNum>
  <w:abstractNum w:abstractNumId="62" w15:restartNumberingAfterBreak="0">
    <w:nsid w:val="599F783E"/>
    <w:multiLevelType w:val="hybridMultilevel"/>
    <w:tmpl w:val="DD908D7E"/>
    <w:lvl w:ilvl="0" w:tplc="04090001">
      <w:start w:val="1"/>
      <w:numFmt w:val="bullet"/>
      <w:lvlText w:val=""/>
      <w:lvlJc w:val="left"/>
      <w:pPr>
        <w:ind w:left="922" w:hanging="440"/>
      </w:pPr>
      <w:rPr>
        <w:rFonts w:ascii="Wingdings" w:hAnsi="Wingdings" w:hint="default"/>
      </w:rPr>
    </w:lvl>
    <w:lvl w:ilvl="1" w:tplc="FFFFFFFF" w:tentative="1">
      <w:start w:val="1"/>
      <w:numFmt w:val="bullet"/>
      <w:lvlText w:val=""/>
      <w:lvlJc w:val="left"/>
      <w:pPr>
        <w:ind w:left="1362" w:hanging="440"/>
      </w:pPr>
      <w:rPr>
        <w:rFonts w:ascii="Wingdings" w:hAnsi="Wingdings" w:hint="default"/>
      </w:rPr>
    </w:lvl>
    <w:lvl w:ilvl="2" w:tplc="FFFFFFFF" w:tentative="1">
      <w:start w:val="1"/>
      <w:numFmt w:val="bullet"/>
      <w:lvlText w:val=""/>
      <w:lvlJc w:val="left"/>
      <w:pPr>
        <w:ind w:left="1802" w:hanging="440"/>
      </w:pPr>
      <w:rPr>
        <w:rFonts w:ascii="Wingdings" w:hAnsi="Wingdings" w:hint="default"/>
      </w:rPr>
    </w:lvl>
    <w:lvl w:ilvl="3" w:tplc="FFFFFFFF" w:tentative="1">
      <w:start w:val="1"/>
      <w:numFmt w:val="bullet"/>
      <w:lvlText w:val=""/>
      <w:lvlJc w:val="left"/>
      <w:pPr>
        <w:ind w:left="2242" w:hanging="440"/>
      </w:pPr>
      <w:rPr>
        <w:rFonts w:ascii="Wingdings" w:hAnsi="Wingdings" w:hint="default"/>
      </w:rPr>
    </w:lvl>
    <w:lvl w:ilvl="4" w:tplc="FFFFFFFF" w:tentative="1">
      <w:start w:val="1"/>
      <w:numFmt w:val="bullet"/>
      <w:lvlText w:val=""/>
      <w:lvlJc w:val="left"/>
      <w:pPr>
        <w:ind w:left="2682" w:hanging="440"/>
      </w:pPr>
      <w:rPr>
        <w:rFonts w:ascii="Wingdings" w:hAnsi="Wingdings" w:hint="default"/>
      </w:rPr>
    </w:lvl>
    <w:lvl w:ilvl="5" w:tplc="FFFFFFFF" w:tentative="1">
      <w:start w:val="1"/>
      <w:numFmt w:val="bullet"/>
      <w:lvlText w:val=""/>
      <w:lvlJc w:val="left"/>
      <w:pPr>
        <w:ind w:left="3122" w:hanging="440"/>
      </w:pPr>
      <w:rPr>
        <w:rFonts w:ascii="Wingdings" w:hAnsi="Wingdings" w:hint="default"/>
      </w:rPr>
    </w:lvl>
    <w:lvl w:ilvl="6" w:tplc="FFFFFFFF" w:tentative="1">
      <w:start w:val="1"/>
      <w:numFmt w:val="bullet"/>
      <w:lvlText w:val=""/>
      <w:lvlJc w:val="left"/>
      <w:pPr>
        <w:ind w:left="3562" w:hanging="440"/>
      </w:pPr>
      <w:rPr>
        <w:rFonts w:ascii="Wingdings" w:hAnsi="Wingdings" w:hint="default"/>
      </w:rPr>
    </w:lvl>
    <w:lvl w:ilvl="7" w:tplc="FFFFFFFF" w:tentative="1">
      <w:start w:val="1"/>
      <w:numFmt w:val="bullet"/>
      <w:lvlText w:val=""/>
      <w:lvlJc w:val="left"/>
      <w:pPr>
        <w:ind w:left="4002" w:hanging="440"/>
      </w:pPr>
      <w:rPr>
        <w:rFonts w:ascii="Wingdings" w:hAnsi="Wingdings" w:hint="default"/>
      </w:rPr>
    </w:lvl>
    <w:lvl w:ilvl="8" w:tplc="FFFFFFFF" w:tentative="1">
      <w:start w:val="1"/>
      <w:numFmt w:val="bullet"/>
      <w:lvlText w:val=""/>
      <w:lvlJc w:val="left"/>
      <w:pPr>
        <w:ind w:left="4442" w:hanging="440"/>
      </w:pPr>
      <w:rPr>
        <w:rFonts w:ascii="Wingdings" w:hAnsi="Wingdings" w:hint="default"/>
      </w:rPr>
    </w:lvl>
  </w:abstractNum>
  <w:abstractNum w:abstractNumId="63" w15:restartNumberingAfterBreak="0">
    <w:nsid w:val="5A1B7C16"/>
    <w:multiLevelType w:val="multilevel"/>
    <w:tmpl w:val="8B0E234C"/>
    <w:lvl w:ilvl="0">
      <w:start w:val="1"/>
      <w:numFmt w:val="decimal"/>
      <w:pStyle w:val="Heading1"/>
      <w:lvlText w:val="%1"/>
      <w:lvlJc w:val="left"/>
      <w:pPr>
        <w:ind w:left="2977" w:hanging="425"/>
      </w:pPr>
      <w:rPr>
        <w:rFonts w:hint="eastAsia"/>
      </w:rPr>
    </w:lvl>
    <w:lvl w:ilvl="1">
      <w:start w:val="1"/>
      <w:numFmt w:val="decimal"/>
      <w:pStyle w:val="Heading2"/>
      <w:lvlText w:val="%1.%2"/>
      <w:lvlJc w:val="left"/>
      <w:pPr>
        <w:ind w:left="0" w:firstLine="0"/>
      </w:pPr>
      <w:rPr>
        <w:rFonts w:hint="eastAsia"/>
      </w:rPr>
    </w:lvl>
    <w:lvl w:ilvl="2">
      <w:start w:val="1"/>
      <w:numFmt w:val="decimal"/>
      <w:pStyle w:val="Heading3"/>
      <w:lvlText w:val="%1.%2.%3"/>
      <w:lvlJc w:val="left"/>
      <w:pPr>
        <w:ind w:left="-284" w:firstLine="284"/>
      </w:pPr>
      <w:rPr>
        <w:rFonts w:hint="eastAsia"/>
      </w:rPr>
    </w:lvl>
    <w:lvl w:ilvl="3">
      <w:start w:val="1"/>
      <w:numFmt w:val="decimal"/>
      <w:pStyle w:val="Heading4"/>
      <w:lvlText w:val="%1.%2.%3.%4"/>
      <w:lvlJc w:val="left"/>
      <w:pPr>
        <w:ind w:left="0" w:firstLine="0"/>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4" w15:restartNumberingAfterBreak="0">
    <w:nsid w:val="61287F2F"/>
    <w:multiLevelType w:val="hybridMultilevel"/>
    <w:tmpl w:val="4E6046C8"/>
    <w:lvl w:ilvl="0" w:tplc="A5A8A1D8">
      <w:start w:val="1"/>
      <w:numFmt w:val="decimal"/>
      <w:lvlText w:val="%1)"/>
      <w:lvlJc w:val="left"/>
      <w:pPr>
        <w:ind w:left="1080" w:hanging="360"/>
      </w:pPr>
      <w:rPr>
        <w:rFonts w:hint="default"/>
      </w:rPr>
    </w:lvl>
    <w:lvl w:ilvl="1" w:tplc="04090019" w:tentative="1">
      <w:start w:val="1"/>
      <w:numFmt w:val="low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low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lowerLetter"/>
      <w:lvlText w:val="%8)"/>
      <w:lvlJc w:val="left"/>
      <w:pPr>
        <w:ind w:left="4240" w:hanging="440"/>
      </w:pPr>
    </w:lvl>
    <w:lvl w:ilvl="8" w:tplc="0409001B" w:tentative="1">
      <w:start w:val="1"/>
      <w:numFmt w:val="lowerRoman"/>
      <w:lvlText w:val="%9."/>
      <w:lvlJc w:val="right"/>
      <w:pPr>
        <w:ind w:left="4680" w:hanging="440"/>
      </w:pPr>
    </w:lvl>
  </w:abstractNum>
  <w:abstractNum w:abstractNumId="65" w15:restartNumberingAfterBreak="0">
    <w:nsid w:val="61485CC7"/>
    <w:multiLevelType w:val="hybridMultilevel"/>
    <w:tmpl w:val="0AFCCFA4"/>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6" w15:restartNumberingAfterBreak="0">
    <w:nsid w:val="641F3ECC"/>
    <w:multiLevelType w:val="multilevel"/>
    <w:tmpl w:val="D0B8CF72"/>
    <w:lvl w:ilvl="0">
      <w:start w:val="1"/>
      <w:numFmt w:val="decimal"/>
      <w:pStyle w:val="EEREHead01Numbered"/>
      <w:lvlText w:val="%1"/>
      <w:lvlJc w:val="left"/>
      <w:pPr>
        <w:tabs>
          <w:tab w:val="num" w:pos="432"/>
        </w:tabs>
        <w:ind w:left="432" w:hanging="432"/>
      </w:pPr>
      <w:rPr>
        <w:rFonts w:hint="default"/>
      </w:rPr>
    </w:lvl>
    <w:lvl w:ilvl="1">
      <w:start w:val="1"/>
      <w:numFmt w:val="decimal"/>
      <w:pStyle w:val="EEREHead02Numbered"/>
      <w:lvlText w:val="%1.%2"/>
      <w:lvlJc w:val="left"/>
      <w:pPr>
        <w:tabs>
          <w:tab w:val="num" w:pos="576"/>
        </w:tabs>
        <w:ind w:left="576" w:hanging="576"/>
      </w:pPr>
      <w:rPr>
        <w:rFonts w:hint="default"/>
      </w:rPr>
    </w:lvl>
    <w:lvl w:ilvl="2">
      <w:start w:val="1"/>
      <w:numFmt w:val="decimal"/>
      <w:pStyle w:val="EEREHead03Numbered"/>
      <w:lvlText w:val="%1.%2.%3"/>
      <w:lvlJc w:val="left"/>
      <w:pPr>
        <w:tabs>
          <w:tab w:val="num" w:pos="720"/>
        </w:tabs>
        <w:ind w:left="720" w:hanging="720"/>
      </w:pPr>
      <w:rPr>
        <w:rFonts w:hint="default"/>
      </w:rPr>
    </w:lvl>
    <w:lvl w:ilvl="3">
      <w:start w:val="1"/>
      <w:numFmt w:val="decimal"/>
      <w:pStyle w:val="EEREHead04Numbered"/>
      <w:lvlText w:val="%1.%2.%3.%4"/>
      <w:lvlJc w:val="left"/>
      <w:pPr>
        <w:tabs>
          <w:tab w:val="num" w:pos="864"/>
        </w:tabs>
        <w:ind w:left="864" w:hanging="864"/>
      </w:pPr>
      <w:rPr>
        <w:rFonts w:hint="default"/>
      </w:rPr>
    </w:lvl>
    <w:lvl w:ilvl="4">
      <w:start w:val="1"/>
      <w:numFmt w:val="decimal"/>
      <w:pStyle w:val="EEREHead05Numbered"/>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7" w15:restartNumberingAfterBreak="0">
    <w:nsid w:val="64FC56FF"/>
    <w:multiLevelType w:val="hybridMultilevel"/>
    <w:tmpl w:val="EA263BC6"/>
    <w:lvl w:ilvl="0" w:tplc="BA9EBC48">
      <w:start w:val="1"/>
      <w:numFmt w:val="low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652D4E82"/>
    <w:multiLevelType w:val="hybridMultilevel"/>
    <w:tmpl w:val="3DCE94B0"/>
    <w:lvl w:ilvl="0" w:tplc="AC6E7274">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57A5091"/>
    <w:multiLevelType w:val="hybridMultilevel"/>
    <w:tmpl w:val="1F38182E"/>
    <w:lvl w:ilvl="0" w:tplc="04090011">
      <w:start w:val="1"/>
      <w:numFmt w:val="decimal"/>
      <w:lvlText w:val="%1)"/>
      <w:lvlJc w:val="left"/>
      <w:pPr>
        <w:ind w:left="440" w:hanging="440"/>
      </w:p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0" w15:restartNumberingAfterBreak="0">
    <w:nsid w:val="65AC3F42"/>
    <w:multiLevelType w:val="hybridMultilevel"/>
    <w:tmpl w:val="F38604D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1" w15:restartNumberingAfterBreak="0">
    <w:nsid w:val="67197DF3"/>
    <w:multiLevelType w:val="hybridMultilevel"/>
    <w:tmpl w:val="27FC5EDC"/>
    <w:lvl w:ilvl="0" w:tplc="B366EBE4">
      <w:start w:val="1"/>
      <w:numFmt w:val="decimal"/>
      <w:lvlText w:val="%1."/>
      <w:lvlJc w:val="left"/>
      <w:pPr>
        <w:ind w:left="780" w:hanging="360"/>
      </w:pPr>
      <w:rPr>
        <w:rFonts w:hint="default"/>
      </w:rPr>
    </w:lvl>
    <w:lvl w:ilvl="1" w:tplc="FFFFFFFF">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72" w15:restartNumberingAfterBreak="0">
    <w:nsid w:val="683E6F14"/>
    <w:multiLevelType w:val="hybridMultilevel"/>
    <w:tmpl w:val="713805A8"/>
    <w:lvl w:ilvl="0" w:tplc="B8A888F4">
      <w:start w:val="1"/>
      <w:numFmt w:val="lowerLetter"/>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3" w15:restartNumberingAfterBreak="0">
    <w:nsid w:val="6A7B4C31"/>
    <w:multiLevelType w:val="hybridMultilevel"/>
    <w:tmpl w:val="AE76839A"/>
    <w:lvl w:ilvl="0" w:tplc="56BA79B6">
      <w:start w:val="1"/>
      <w:numFmt w:val="lowerLetter"/>
      <w:lvlText w:val="(%1)"/>
      <w:lvlJc w:val="left"/>
      <w:pPr>
        <w:ind w:left="360" w:hanging="360"/>
      </w:pPr>
      <w:rPr>
        <w:rFonts w:ascii="MS Gothic" w:eastAsia="STLiti" w:hAnsi="MS Gothic" w:cs="MS Gothic"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4" w15:restartNumberingAfterBreak="0">
    <w:nsid w:val="6D1811C3"/>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5" w15:restartNumberingAfterBreak="0">
    <w:nsid w:val="6D726F05"/>
    <w:multiLevelType w:val="hybridMultilevel"/>
    <w:tmpl w:val="91CE2408"/>
    <w:lvl w:ilvl="0" w:tplc="AC6E7274">
      <w:start w:val="1"/>
      <w:numFmt w:val="decimal"/>
      <w:lvlText w:val="%1."/>
      <w:lvlJc w:val="left"/>
      <w:pPr>
        <w:ind w:left="198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76" w15:restartNumberingAfterBreak="0">
    <w:nsid w:val="705F4C04"/>
    <w:multiLevelType w:val="hybridMultilevel"/>
    <w:tmpl w:val="C3120EF2"/>
    <w:lvl w:ilvl="0" w:tplc="8806B5EC">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7" w15:restartNumberingAfterBreak="0">
    <w:nsid w:val="706A6555"/>
    <w:multiLevelType w:val="hybridMultilevel"/>
    <w:tmpl w:val="274AC4C4"/>
    <w:lvl w:ilvl="0" w:tplc="A3600AB6">
      <w:start w:val="1"/>
      <w:numFmt w:val="lowerLetter"/>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8" w15:restartNumberingAfterBreak="0">
    <w:nsid w:val="7102320C"/>
    <w:multiLevelType w:val="hybridMultilevel"/>
    <w:tmpl w:val="545CBDF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72AE429B"/>
    <w:multiLevelType w:val="multilevel"/>
    <w:tmpl w:val="DAD26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3C65108"/>
    <w:multiLevelType w:val="hybridMultilevel"/>
    <w:tmpl w:val="9B9C2E90"/>
    <w:lvl w:ilvl="0" w:tplc="AC6E727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1" w15:restartNumberingAfterBreak="0">
    <w:nsid w:val="76A55C51"/>
    <w:multiLevelType w:val="hybridMultilevel"/>
    <w:tmpl w:val="ED300080"/>
    <w:lvl w:ilvl="0" w:tplc="9B22E85E">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7A463576"/>
    <w:multiLevelType w:val="hybridMultilevel"/>
    <w:tmpl w:val="EDBA9960"/>
    <w:lvl w:ilvl="0" w:tplc="E244D9B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3" w15:restartNumberingAfterBreak="0">
    <w:nsid w:val="7A931EB4"/>
    <w:multiLevelType w:val="hybridMultilevel"/>
    <w:tmpl w:val="66C649B0"/>
    <w:lvl w:ilvl="0" w:tplc="C97E6850">
      <w:start w:val="34"/>
      <w:numFmt w:val="bullet"/>
      <w:lvlText w:val=""/>
      <w:lvlJc w:val="left"/>
      <w:pPr>
        <w:ind w:left="800" w:hanging="360"/>
      </w:pPr>
      <w:rPr>
        <w:rFonts w:ascii="Wingdings" w:eastAsia="DengXian" w:hAnsi="Wingdings" w:cs="Times New Roman"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84" w15:restartNumberingAfterBreak="0">
    <w:nsid w:val="7C7A2058"/>
    <w:multiLevelType w:val="hybridMultilevel"/>
    <w:tmpl w:val="C8B8CF5A"/>
    <w:lvl w:ilvl="0" w:tplc="D7BE124C">
      <w:start w:val="1"/>
      <w:numFmt w:val="bullet"/>
      <w:lvlText w:val=""/>
      <w:lvlJc w:val="left"/>
      <w:pPr>
        <w:ind w:left="902" w:hanging="420"/>
      </w:pPr>
      <w:rPr>
        <w:rFonts w:ascii="Wingdings" w:hAnsi="Wingdings" w:hint="default"/>
        <w:sz w:val="10"/>
      </w:rPr>
    </w:lvl>
    <w:lvl w:ilvl="1" w:tplc="FFFFFFFF" w:tentative="1">
      <w:start w:val="1"/>
      <w:numFmt w:val="bullet"/>
      <w:lvlText w:val=""/>
      <w:lvlJc w:val="left"/>
      <w:pPr>
        <w:ind w:left="1322" w:hanging="420"/>
      </w:pPr>
      <w:rPr>
        <w:rFonts w:ascii="Wingdings" w:hAnsi="Wingdings" w:hint="default"/>
      </w:rPr>
    </w:lvl>
    <w:lvl w:ilvl="2" w:tplc="FFFFFFFF" w:tentative="1">
      <w:start w:val="1"/>
      <w:numFmt w:val="bullet"/>
      <w:lvlText w:val=""/>
      <w:lvlJc w:val="left"/>
      <w:pPr>
        <w:ind w:left="1742" w:hanging="420"/>
      </w:pPr>
      <w:rPr>
        <w:rFonts w:ascii="Wingdings" w:hAnsi="Wingdings" w:hint="default"/>
      </w:rPr>
    </w:lvl>
    <w:lvl w:ilvl="3" w:tplc="FFFFFFFF" w:tentative="1">
      <w:start w:val="1"/>
      <w:numFmt w:val="bullet"/>
      <w:lvlText w:val=""/>
      <w:lvlJc w:val="left"/>
      <w:pPr>
        <w:ind w:left="2162" w:hanging="420"/>
      </w:pPr>
      <w:rPr>
        <w:rFonts w:ascii="Wingdings" w:hAnsi="Wingdings" w:hint="default"/>
      </w:rPr>
    </w:lvl>
    <w:lvl w:ilvl="4" w:tplc="FFFFFFFF" w:tentative="1">
      <w:start w:val="1"/>
      <w:numFmt w:val="bullet"/>
      <w:lvlText w:val=""/>
      <w:lvlJc w:val="left"/>
      <w:pPr>
        <w:ind w:left="2582" w:hanging="420"/>
      </w:pPr>
      <w:rPr>
        <w:rFonts w:ascii="Wingdings" w:hAnsi="Wingdings" w:hint="default"/>
      </w:rPr>
    </w:lvl>
    <w:lvl w:ilvl="5" w:tplc="FFFFFFFF" w:tentative="1">
      <w:start w:val="1"/>
      <w:numFmt w:val="bullet"/>
      <w:lvlText w:val=""/>
      <w:lvlJc w:val="left"/>
      <w:pPr>
        <w:ind w:left="3002" w:hanging="420"/>
      </w:pPr>
      <w:rPr>
        <w:rFonts w:ascii="Wingdings" w:hAnsi="Wingdings" w:hint="default"/>
      </w:rPr>
    </w:lvl>
    <w:lvl w:ilvl="6" w:tplc="FFFFFFFF" w:tentative="1">
      <w:start w:val="1"/>
      <w:numFmt w:val="bullet"/>
      <w:lvlText w:val=""/>
      <w:lvlJc w:val="left"/>
      <w:pPr>
        <w:ind w:left="3422" w:hanging="420"/>
      </w:pPr>
      <w:rPr>
        <w:rFonts w:ascii="Wingdings" w:hAnsi="Wingdings" w:hint="default"/>
      </w:rPr>
    </w:lvl>
    <w:lvl w:ilvl="7" w:tplc="FFFFFFFF" w:tentative="1">
      <w:start w:val="1"/>
      <w:numFmt w:val="bullet"/>
      <w:lvlText w:val=""/>
      <w:lvlJc w:val="left"/>
      <w:pPr>
        <w:ind w:left="3842" w:hanging="420"/>
      </w:pPr>
      <w:rPr>
        <w:rFonts w:ascii="Wingdings" w:hAnsi="Wingdings" w:hint="default"/>
      </w:rPr>
    </w:lvl>
    <w:lvl w:ilvl="8" w:tplc="FFFFFFFF" w:tentative="1">
      <w:start w:val="1"/>
      <w:numFmt w:val="bullet"/>
      <w:lvlText w:val=""/>
      <w:lvlJc w:val="left"/>
      <w:pPr>
        <w:ind w:left="4262" w:hanging="420"/>
      </w:pPr>
      <w:rPr>
        <w:rFonts w:ascii="Wingdings" w:hAnsi="Wingdings" w:hint="default"/>
      </w:rPr>
    </w:lvl>
  </w:abstractNum>
  <w:abstractNum w:abstractNumId="85" w15:restartNumberingAfterBreak="0">
    <w:nsid w:val="7EAC6C08"/>
    <w:multiLevelType w:val="hybridMultilevel"/>
    <w:tmpl w:val="56543424"/>
    <w:lvl w:ilvl="0" w:tplc="AC6E7274">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F356DCE"/>
    <w:multiLevelType w:val="hybridMultilevel"/>
    <w:tmpl w:val="A9DCE6BE"/>
    <w:lvl w:ilvl="0" w:tplc="BA9EBC48">
      <w:start w:val="1"/>
      <w:numFmt w:val="lowerLetter"/>
      <w:lvlText w:val="%1."/>
      <w:lvlJc w:val="left"/>
      <w:pPr>
        <w:ind w:left="80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num w:numId="1" w16cid:durableId="575748981">
    <w:abstractNumId w:val="9"/>
  </w:num>
  <w:num w:numId="2" w16cid:durableId="18967556">
    <w:abstractNumId w:val="7"/>
  </w:num>
  <w:num w:numId="3" w16cid:durableId="192622575">
    <w:abstractNumId w:val="6"/>
  </w:num>
  <w:num w:numId="4" w16cid:durableId="112868818">
    <w:abstractNumId w:val="5"/>
  </w:num>
  <w:num w:numId="5" w16cid:durableId="86467418">
    <w:abstractNumId w:val="4"/>
  </w:num>
  <w:num w:numId="6" w16cid:durableId="1243492295">
    <w:abstractNumId w:val="8"/>
  </w:num>
  <w:num w:numId="7" w16cid:durableId="1025131148">
    <w:abstractNumId w:val="3"/>
  </w:num>
  <w:num w:numId="8" w16cid:durableId="23024376">
    <w:abstractNumId w:val="2"/>
  </w:num>
  <w:num w:numId="9" w16cid:durableId="733088582">
    <w:abstractNumId w:val="1"/>
  </w:num>
  <w:num w:numId="10" w16cid:durableId="1343164079">
    <w:abstractNumId w:val="0"/>
  </w:num>
  <w:num w:numId="11" w16cid:durableId="1935091786">
    <w:abstractNumId w:val="63"/>
  </w:num>
  <w:num w:numId="12" w16cid:durableId="1875190832">
    <w:abstractNumId w:val="59"/>
  </w:num>
  <w:num w:numId="13" w16cid:durableId="1118837326">
    <w:abstractNumId w:val="63"/>
    <w:lvlOverride w:ilvl="0">
      <w:lvl w:ilvl="0">
        <w:start w:val="1"/>
        <w:numFmt w:val="decimal"/>
        <w:pStyle w:val="Heading1"/>
        <w:lvlText w:val="%1"/>
        <w:lvlJc w:val="left"/>
        <w:pPr>
          <w:ind w:left="2977" w:hanging="425"/>
        </w:pPr>
        <w:rPr>
          <w:rFonts w:hint="eastAsia"/>
        </w:rPr>
      </w:lvl>
    </w:lvlOverride>
    <w:lvlOverride w:ilvl="1">
      <w:lvl w:ilvl="1">
        <w:start w:val="1"/>
        <w:numFmt w:val="decimal"/>
        <w:pStyle w:val="Heading2"/>
        <w:lvlText w:val="%1.%2"/>
        <w:lvlJc w:val="left"/>
        <w:pPr>
          <w:ind w:left="567" w:firstLine="0"/>
        </w:pPr>
        <w:rPr>
          <w:rFonts w:hint="eastAsia"/>
        </w:rPr>
      </w:lvl>
    </w:lvlOverride>
    <w:lvlOverride w:ilvl="2">
      <w:lvl w:ilvl="2">
        <w:start w:val="1"/>
        <w:numFmt w:val="decimal"/>
        <w:pStyle w:val="Heading3"/>
        <w:lvlText w:val="%1.%2.%3"/>
        <w:lvlJc w:val="left"/>
        <w:pPr>
          <w:ind w:left="0" w:firstLine="0"/>
        </w:pPr>
        <w:rPr>
          <w:rFonts w:hint="eastAsia"/>
        </w:rPr>
      </w:lvl>
    </w:lvlOverride>
    <w:lvlOverride w:ilvl="3">
      <w:lvl w:ilvl="3">
        <w:start w:val="1"/>
        <w:numFmt w:val="decimal"/>
        <w:pStyle w:val="Heading4"/>
        <w:lvlText w:val="%1.%2.%3.%4"/>
        <w:lvlJc w:val="left"/>
        <w:pPr>
          <w:ind w:left="0" w:firstLine="0"/>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4" w16cid:durableId="1049231431">
    <w:abstractNumId w:val="54"/>
  </w:num>
  <w:num w:numId="15" w16cid:durableId="550845379">
    <w:abstractNumId w:val="40"/>
  </w:num>
  <w:num w:numId="16" w16cid:durableId="1495225000">
    <w:abstractNumId w:val="15"/>
  </w:num>
  <w:num w:numId="17" w16cid:durableId="435685298">
    <w:abstractNumId w:val="61"/>
  </w:num>
  <w:num w:numId="18" w16cid:durableId="2005623503">
    <w:abstractNumId w:val="79"/>
  </w:num>
  <w:num w:numId="19" w16cid:durableId="626663825">
    <w:abstractNumId w:val="23"/>
  </w:num>
  <w:num w:numId="20" w16cid:durableId="954598979">
    <w:abstractNumId w:val="37"/>
  </w:num>
  <w:num w:numId="21" w16cid:durableId="90395032">
    <w:abstractNumId w:val="84"/>
  </w:num>
  <w:num w:numId="22" w16cid:durableId="776022835">
    <w:abstractNumId w:val="17"/>
  </w:num>
  <w:num w:numId="23" w16cid:durableId="1380861236">
    <w:abstractNumId w:val="60"/>
  </w:num>
  <w:num w:numId="24" w16cid:durableId="1859735586">
    <w:abstractNumId w:val="66"/>
  </w:num>
  <w:num w:numId="25" w16cid:durableId="368191279">
    <w:abstractNumId w:val="20"/>
  </w:num>
  <w:num w:numId="26" w16cid:durableId="479271280">
    <w:abstractNumId w:val="73"/>
  </w:num>
  <w:num w:numId="27" w16cid:durableId="2004770339">
    <w:abstractNumId w:val="77"/>
  </w:num>
  <w:num w:numId="28" w16cid:durableId="1373075618">
    <w:abstractNumId w:val="34"/>
  </w:num>
  <w:num w:numId="29" w16cid:durableId="1868987236">
    <w:abstractNumId w:val="72"/>
  </w:num>
  <w:num w:numId="30" w16cid:durableId="347558633">
    <w:abstractNumId w:val="42"/>
  </w:num>
  <w:num w:numId="31" w16cid:durableId="802650039">
    <w:abstractNumId w:val="22"/>
  </w:num>
  <w:num w:numId="32" w16cid:durableId="2140027212">
    <w:abstractNumId w:val="12"/>
  </w:num>
  <w:num w:numId="33" w16cid:durableId="1833643116">
    <w:abstractNumId w:val="31"/>
  </w:num>
  <w:num w:numId="34" w16cid:durableId="625040989">
    <w:abstractNumId w:val="76"/>
  </w:num>
  <w:num w:numId="35" w16cid:durableId="800268279">
    <w:abstractNumId w:val="46"/>
  </w:num>
  <w:num w:numId="36" w16cid:durableId="175964405">
    <w:abstractNumId w:val="71"/>
  </w:num>
  <w:num w:numId="37" w16cid:durableId="1484590861">
    <w:abstractNumId w:val="26"/>
  </w:num>
  <w:num w:numId="38" w16cid:durableId="1967198754">
    <w:abstractNumId w:val="19"/>
  </w:num>
  <w:num w:numId="39" w16cid:durableId="652636085">
    <w:abstractNumId w:val="45"/>
  </w:num>
  <w:num w:numId="40" w16cid:durableId="2111579729">
    <w:abstractNumId w:val="28"/>
  </w:num>
  <w:num w:numId="41" w16cid:durableId="1128620336">
    <w:abstractNumId w:val="29"/>
  </w:num>
  <w:num w:numId="42" w16cid:durableId="1957562018">
    <w:abstractNumId w:val="69"/>
  </w:num>
  <w:num w:numId="43" w16cid:durableId="751699367">
    <w:abstractNumId w:val="64"/>
  </w:num>
  <w:num w:numId="44" w16cid:durableId="1460799755">
    <w:abstractNumId w:val="82"/>
  </w:num>
  <w:num w:numId="45" w16cid:durableId="1136948915">
    <w:abstractNumId w:val="63"/>
    <w:lvlOverride w:ilvl="0">
      <w:lvl w:ilvl="0">
        <w:start w:val="1"/>
        <w:numFmt w:val="decimal"/>
        <w:pStyle w:val="Heading1"/>
        <w:lvlText w:val="%1"/>
        <w:lvlJc w:val="left"/>
        <w:pPr>
          <w:ind w:left="2977" w:hanging="425"/>
        </w:pPr>
        <w:rPr>
          <w:rFonts w:hint="eastAsia"/>
        </w:rPr>
      </w:lvl>
    </w:lvlOverride>
    <w:lvlOverride w:ilvl="1">
      <w:lvl w:ilvl="1">
        <w:start w:val="1"/>
        <w:numFmt w:val="decimal"/>
        <w:pStyle w:val="Heading2"/>
        <w:lvlText w:val="%1.%2"/>
        <w:lvlJc w:val="left"/>
        <w:pPr>
          <w:ind w:left="567" w:firstLine="0"/>
        </w:pPr>
        <w:rPr>
          <w:rFonts w:hint="eastAsia"/>
        </w:rPr>
      </w:lvl>
    </w:lvlOverride>
    <w:lvlOverride w:ilvl="2">
      <w:lvl w:ilvl="2">
        <w:start w:val="1"/>
        <w:numFmt w:val="decimal"/>
        <w:pStyle w:val="Heading3"/>
        <w:lvlText w:val="%1.%2.%3"/>
        <w:lvlJc w:val="left"/>
        <w:pPr>
          <w:ind w:left="0" w:firstLine="0"/>
        </w:pPr>
        <w:rPr>
          <w:rFonts w:hint="eastAsia"/>
        </w:rPr>
      </w:lvl>
    </w:lvlOverride>
    <w:lvlOverride w:ilvl="3">
      <w:lvl w:ilvl="3">
        <w:start w:val="1"/>
        <w:numFmt w:val="decimal"/>
        <w:pStyle w:val="Heading4"/>
        <w:lvlText w:val="%1.%2.%3.%4"/>
        <w:lvlJc w:val="left"/>
        <w:pPr>
          <w:ind w:left="0" w:firstLine="0"/>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46" w16cid:durableId="2115785237">
    <w:abstractNumId w:val="63"/>
    <w:lvlOverride w:ilvl="0">
      <w:lvl w:ilvl="0">
        <w:start w:val="1"/>
        <w:numFmt w:val="decimal"/>
        <w:pStyle w:val="Heading1"/>
        <w:lvlText w:val="%1"/>
        <w:lvlJc w:val="left"/>
        <w:pPr>
          <w:ind w:left="2977" w:hanging="425"/>
        </w:pPr>
        <w:rPr>
          <w:rFonts w:hint="eastAsia"/>
        </w:rPr>
      </w:lvl>
    </w:lvlOverride>
    <w:lvlOverride w:ilvl="1">
      <w:lvl w:ilvl="1">
        <w:start w:val="1"/>
        <w:numFmt w:val="decimal"/>
        <w:pStyle w:val="Heading2"/>
        <w:lvlText w:val="%1.%2"/>
        <w:lvlJc w:val="left"/>
        <w:pPr>
          <w:ind w:left="567" w:firstLine="0"/>
        </w:pPr>
        <w:rPr>
          <w:rFonts w:hint="eastAsia"/>
        </w:rPr>
      </w:lvl>
    </w:lvlOverride>
    <w:lvlOverride w:ilvl="2">
      <w:lvl w:ilvl="2">
        <w:start w:val="1"/>
        <w:numFmt w:val="decimal"/>
        <w:pStyle w:val="Heading3"/>
        <w:lvlText w:val="%1.%2.%3"/>
        <w:lvlJc w:val="left"/>
        <w:pPr>
          <w:ind w:left="0" w:firstLine="0"/>
        </w:pPr>
        <w:rPr>
          <w:rFonts w:hint="eastAsia"/>
        </w:rPr>
      </w:lvl>
    </w:lvlOverride>
    <w:lvlOverride w:ilvl="3">
      <w:lvl w:ilvl="3">
        <w:start w:val="1"/>
        <w:numFmt w:val="decimal"/>
        <w:pStyle w:val="Heading4"/>
        <w:lvlText w:val="%1.%2.%3.%4"/>
        <w:lvlJc w:val="left"/>
        <w:pPr>
          <w:ind w:left="0" w:firstLine="0"/>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47" w16cid:durableId="296837273">
    <w:abstractNumId w:val="63"/>
    <w:lvlOverride w:ilvl="0">
      <w:lvl w:ilvl="0">
        <w:start w:val="1"/>
        <w:numFmt w:val="decimal"/>
        <w:pStyle w:val="Heading1"/>
        <w:lvlText w:val="%1"/>
        <w:lvlJc w:val="left"/>
        <w:pPr>
          <w:ind w:left="2977" w:hanging="425"/>
        </w:pPr>
        <w:rPr>
          <w:rFonts w:hint="eastAsia"/>
        </w:rPr>
      </w:lvl>
    </w:lvlOverride>
    <w:lvlOverride w:ilvl="1">
      <w:lvl w:ilvl="1">
        <w:start w:val="1"/>
        <w:numFmt w:val="decimal"/>
        <w:pStyle w:val="Heading2"/>
        <w:lvlText w:val="%1.%2"/>
        <w:lvlJc w:val="left"/>
        <w:pPr>
          <w:ind w:left="567" w:firstLine="0"/>
        </w:pPr>
        <w:rPr>
          <w:rFonts w:hint="eastAsia"/>
        </w:rPr>
      </w:lvl>
    </w:lvlOverride>
    <w:lvlOverride w:ilvl="2">
      <w:lvl w:ilvl="2">
        <w:start w:val="1"/>
        <w:numFmt w:val="decimal"/>
        <w:pStyle w:val="Heading3"/>
        <w:lvlText w:val="%1.%2.%3"/>
        <w:lvlJc w:val="left"/>
        <w:pPr>
          <w:ind w:left="0" w:firstLine="0"/>
        </w:pPr>
        <w:rPr>
          <w:rFonts w:hint="eastAsia"/>
        </w:rPr>
      </w:lvl>
    </w:lvlOverride>
    <w:lvlOverride w:ilvl="3">
      <w:lvl w:ilvl="3">
        <w:start w:val="1"/>
        <w:numFmt w:val="decimal"/>
        <w:pStyle w:val="Heading4"/>
        <w:lvlText w:val="%1.%2.%3.%4"/>
        <w:lvlJc w:val="left"/>
        <w:pPr>
          <w:ind w:left="0" w:firstLine="0"/>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48" w16cid:durableId="1180464631">
    <w:abstractNumId w:val="57"/>
  </w:num>
  <w:num w:numId="49" w16cid:durableId="1484272023">
    <w:abstractNumId w:val="43"/>
  </w:num>
  <w:num w:numId="50" w16cid:durableId="1041712855">
    <w:abstractNumId w:val="58"/>
  </w:num>
  <w:num w:numId="51" w16cid:durableId="1654604886">
    <w:abstractNumId w:val="50"/>
  </w:num>
  <w:num w:numId="52" w16cid:durableId="1540629724">
    <w:abstractNumId w:val="62"/>
  </w:num>
  <w:num w:numId="53" w16cid:durableId="1416049997">
    <w:abstractNumId w:val="32"/>
  </w:num>
  <w:num w:numId="54" w16cid:durableId="72708727">
    <w:abstractNumId w:val="47"/>
  </w:num>
  <w:num w:numId="55" w16cid:durableId="1628582012">
    <w:abstractNumId w:val="35"/>
  </w:num>
  <w:num w:numId="56" w16cid:durableId="881476291">
    <w:abstractNumId w:val="25"/>
  </w:num>
  <w:num w:numId="57" w16cid:durableId="1577015957">
    <w:abstractNumId w:val="65"/>
  </w:num>
  <w:num w:numId="58" w16cid:durableId="1372456533">
    <w:abstractNumId w:val="30"/>
  </w:num>
  <w:num w:numId="59" w16cid:durableId="143817410">
    <w:abstractNumId w:val="30"/>
    <w:lvlOverride w:ilvl="0">
      <w:startOverride w:val="1"/>
    </w:lvlOverride>
  </w:num>
  <w:num w:numId="60" w16cid:durableId="1267038627">
    <w:abstractNumId w:val="48"/>
  </w:num>
  <w:num w:numId="61" w16cid:durableId="703944844">
    <w:abstractNumId w:val="38"/>
  </w:num>
  <w:num w:numId="62" w16cid:durableId="792358813">
    <w:abstractNumId w:val="55"/>
  </w:num>
  <w:num w:numId="63" w16cid:durableId="770468569">
    <w:abstractNumId w:val="39"/>
  </w:num>
  <w:num w:numId="64" w16cid:durableId="1616328491">
    <w:abstractNumId w:val="53"/>
  </w:num>
  <w:num w:numId="65" w16cid:durableId="467672154">
    <w:abstractNumId w:val="10"/>
  </w:num>
  <w:num w:numId="66" w16cid:durableId="1721322387">
    <w:abstractNumId w:val="80"/>
  </w:num>
  <w:num w:numId="67" w16cid:durableId="308481554">
    <w:abstractNumId w:val="52"/>
  </w:num>
  <w:num w:numId="68" w16cid:durableId="1887764819">
    <w:abstractNumId w:val="75"/>
  </w:num>
  <w:num w:numId="69" w16cid:durableId="1880705861">
    <w:abstractNumId w:val="85"/>
  </w:num>
  <w:num w:numId="70" w16cid:durableId="1432626586">
    <w:abstractNumId w:val="68"/>
  </w:num>
  <w:num w:numId="71" w16cid:durableId="1171137872">
    <w:abstractNumId w:val="21"/>
  </w:num>
  <w:num w:numId="72" w16cid:durableId="967056154">
    <w:abstractNumId w:val="51"/>
  </w:num>
  <w:num w:numId="73" w16cid:durableId="1705204506">
    <w:abstractNumId w:val="16"/>
  </w:num>
  <w:num w:numId="74" w16cid:durableId="1160274995">
    <w:abstractNumId w:val="14"/>
  </w:num>
  <w:num w:numId="75" w16cid:durableId="986710162">
    <w:abstractNumId w:val="49"/>
  </w:num>
  <w:num w:numId="76" w16cid:durableId="364406529">
    <w:abstractNumId w:val="74"/>
  </w:num>
  <w:num w:numId="77" w16cid:durableId="1886015314">
    <w:abstractNumId w:val="36"/>
  </w:num>
  <w:num w:numId="78" w16cid:durableId="1384527348">
    <w:abstractNumId w:val="27"/>
  </w:num>
  <w:num w:numId="79" w16cid:durableId="175271536">
    <w:abstractNumId w:val="78"/>
  </w:num>
  <w:num w:numId="80" w16cid:durableId="450784447">
    <w:abstractNumId w:val="81"/>
  </w:num>
  <w:num w:numId="81" w16cid:durableId="403530957">
    <w:abstractNumId w:val="33"/>
  </w:num>
  <w:num w:numId="82" w16cid:durableId="1404910773">
    <w:abstractNumId w:val="67"/>
  </w:num>
  <w:num w:numId="83" w16cid:durableId="691682937">
    <w:abstractNumId w:val="11"/>
  </w:num>
  <w:num w:numId="84" w16cid:durableId="1713918204">
    <w:abstractNumId w:val="18"/>
  </w:num>
  <w:num w:numId="85" w16cid:durableId="589195996">
    <w:abstractNumId w:val="86"/>
  </w:num>
  <w:num w:numId="86" w16cid:durableId="1198155744">
    <w:abstractNumId w:val="24"/>
  </w:num>
  <w:num w:numId="87" w16cid:durableId="1069961234">
    <w:abstractNumId w:val="41"/>
  </w:num>
  <w:num w:numId="88" w16cid:durableId="206840781">
    <w:abstractNumId w:val="70"/>
  </w:num>
  <w:num w:numId="89" w16cid:durableId="790168633">
    <w:abstractNumId w:val="13"/>
  </w:num>
  <w:num w:numId="90" w16cid:durableId="885721351">
    <w:abstractNumId w:val="83"/>
  </w:num>
  <w:num w:numId="91" w16cid:durableId="327026117">
    <w:abstractNumId w:val="44"/>
  </w:num>
  <w:num w:numId="92" w16cid:durableId="1836992905">
    <w:abstractNumId w:val="5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LQ0NDUwMDe0NLY0NDRX0lEKTi0uzszPAykwsqwFAL15VActAAAA"/>
  </w:docVars>
  <w:rsids>
    <w:rsidRoot w:val="00825F41"/>
    <w:rsid w:val="000003C0"/>
    <w:rsid w:val="000005A7"/>
    <w:rsid w:val="0000069D"/>
    <w:rsid w:val="000009C4"/>
    <w:rsid w:val="0000108B"/>
    <w:rsid w:val="00001919"/>
    <w:rsid w:val="00001EA3"/>
    <w:rsid w:val="0000254B"/>
    <w:rsid w:val="00002BD1"/>
    <w:rsid w:val="00002D74"/>
    <w:rsid w:val="00003DC5"/>
    <w:rsid w:val="00004006"/>
    <w:rsid w:val="00004766"/>
    <w:rsid w:val="00005CF7"/>
    <w:rsid w:val="00006237"/>
    <w:rsid w:val="00006A87"/>
    <w:rsid w:val="00006E26"/>
    <w:rsid w:val="00010247"/>
    <w:rsid w:val="000109E6"/>
    <w:rsid w:val="00010BB8"/>
    <w:rsid w:val="00011900"/>
    <w:rsid w:val="00011A51"/>
    <w:rsid w:val="00011AD6"/>
    <w:rsid w:val="00011F5D"/>
    <w:rsid w:val="00012041"/>
    <w:rsid w:val="00012448"/>
    <w:rsid w:val="00012903"/>
    <w:rsid w:val="0001318F"/>
    <w:rsid w:val="0001367A"/>
    <w:rsid w:val="00013E60"/>
    <w:rsid w:val="00014872"/>
    <w:rsid w:val="00015738"/>
    <w:rsid w:val="0001575F"/>
    <w:rsid w:val="00015AA7"/>
    <w:rsid w:val="00015D64"/>
    <w:rsid w:val="0001634C"/>
    <w:rsid w:val="00017B67"/>
    <w:rsid w:val="00017BBB"/>
    <w:rsid w:val="000203B7"/>
    <w:rsid w:val="000207E6"/>
    <w:rsid w:val="000215B4"/>
    <w:rsid w:val="000216C1"/>
    <w:rsid w:val="000228BB"/>
    <w:rsid w:val="00022C20"/>
    <w:rsid w:val="00022C5B"/>
    <w:rsid w:val="000231C0"/>
    <w:rsid w:val="000233E8"/>
    <w:rsid w:val="00023989"/>
    <w:rsid w:val="00023BC6"/>
    <w:rsid w:val="00024C7B"/>
    <w:rsid w:val="0002524C"/>
    <w:rsid w:val="00025744"/>
    <w:rsid w:val="000262AD"/>
    <w:rsid w:val="00026968"/>
    <w:rsid w:val="00027B3D"/>
    <w:rsid w:val="00030212"/>
    <w:rsid w:val="00030400"/>
    <w:rsid w:val="00030B76"/>
    <w:rsid w:val="00030C94"/>
    <w:rsid w:val="00031186"/>
    <w:rsid w:val="000317E5"/>
    <w:rsid w:val="000322F0"/>
    <w:rsid w:val="000335F0"/>
    <w:rsid w:val="00033C90"/>
    <w:rsid w:val="0003403E"/>
    <w:rsid w:val="000344F9"/>
    <w:rsid w:val="00034870"/>
    <w:rsid w:val="00034ADD"/>
    <w:rsid w:val="00036166"/>
    <w:rsid w:val="00036486"/>
    <w:rsid w:val="00036771"/>
    <w:rsid w:val="00036984"/>
    <w:rsid w:val="00036AC4"/>
    <w:rsid w:val="00036C33"/>
    <w:rsid w:val="00037011"/>
    <w:rsid w:val="000374C4"/>
    <w:rsid w:val="0004038B"/>
    <w:rsid w:val="000406A2"/>
    <w:rsid w:val="00040799"/>
    <w:rsid w:val="000408BB"/>
    <w:rsid w:val="00041115"/>
    <w:rsid w:val="000416DD"/>
    <w:rsid w:val="00042477"/>
    <w:rsid w:val="00042C90"/>
    <w:rsid w:val="00043421"/>
    <w:rsid w:val="00043758"/>
    <w:rsid w:val="00043E9A"/>
    <w:rsid w:val="00044603"/>
    <w:rsid w:val="00044CD7"/>
    <w:rsid w:val="00044D3A"/>
    <w:rsid w:val="000451B7"/>
    <w:rsid w:val="00045C4B"/>
    <w:rsid w:val="0004639E"/>
    <w:rsid w:val="000463FB"/>
    <w:rsid w:val="00046D06"/>
    <w:rsid w:val="00047A38"/>
    <w:rsid w:val="00047CE3"/>
    <w:rsid w:val="0005044D"/>
    <w:rsid w:val="00050537"/>
    <w:rsid w:val="000507A3"/>
    <w:rsid w:val="00050C2F"/>
    <w:rsid w:val="00050EA4"/>
    <w:rsid w:val="000521E6"/>
    <w:rsid w:val="00053033"/>
    <w:rsid w:val="00053416"/>
    <w:rsid w:val="000536A1"/>
    <w:rsid w:val="00053D2D"/>
    <w:rsid w:val="000547A8"/>
    <w:rsid w:val="0005482A"/>
    <w:rsid w:val="000548AE"/>
    <w:rsid w:val="000548F6"/>
    <w:rsid w:val="00054E79"/>
    <w:rsid w:val="000553C9"/>
    <w:rsid w:val="000556AC"/>
    <w:rsid w:val="00055E9A"/>
    <w:rsid w:val="00056011"/>
    <w:rsid w:val="00056425"/>
    <w:rsid w:val="00056545"/>
    <w:rsid w:val="0005656B"/>
    <w:rsid w:val="00056816"/>
    <w:rsid w:val="00056D70"/>
    <w:rsid w:val="00056EDB"/>
    <w:rsid w:val="000570AC"/>
    <w:rsid w:val="0005731F"/>
    <w:rsid w:val="000573D3"/>
    <w:rsid w:val="0006047C"/>
    <w:rsid w:val="00060BB8"/>
    <w:rsid w:val="000612C3"/>
    <w:rsid w:val="00061A0A"/>
    <w:rsid w:val="00062141"/>
    <w:rsid w:val="0006223D"/>
    <w:rsid w:val="000631E5"/>
    <w:rsid w:val="0006344C"/>
    <w:rsid w:val="00063599"/>
    <w:rsid w:val="000636AC"/>
    <w:rsid w:val="0006377C"/>
    <w:rsid w:val="000641C6"/>
    <w:rsid w:val="0006456C"/>
    <w:rsid w:val="00064A2A"/>
    <w:rsid w:val="000652DB"/>
    <w:rsid w:val="0006609D"/>
    <w:rsid w:val="00066300"/>
    <w:rsid w:val="00066381"/>
    <w:rsid w:val="00066448"/>
    <w:rsid w:val="0006703F"/>
    <w:rsid w:val="0006724D"/>
    <w:rsid w:val="00070129"/>
    <w:rsid w:val="0007012A"/>
    <w:rsid w:val="00071424"/>
    <w:rsid w:val="00071F10"/>
    <w:rsid w:val="00071FC4"/>
    <w:rsid w:val="00072BAF"/>
    <w:rsid w:val="00072D92"/>
    <w:rsid w:val="00075411"/>
    <w:rsid w:val="000759F5"/>
    <w:rsid w:val="00075A57"/>
    <w:rsid w:val="00075CEB"/>
    <w:rsid w:val="00075D31"/>
    <w:rsid w:val="0007649D"/>
    <w:rsid w:val="00076505"/>
    <w:rsid w:val="000777B4"/>
    <w:rsid w:val="00080138"/>
    <w:rsid w:val="000801B7"/>
    <w:rsid w:val="000801B8"/>
    <w:rsid w:val="000805D5"/>
    <w:rsid w:val="00081A5A"/>
    <w:rsid w:val="00081F4E"/>
    <w:rsid w:val="00082240"/>
    <w:rsid w:val="0008290E"/>
    <w:rsid w:val="00082E30"/>
    <w:rsid w:val="00083915"/>
    <w:rsid w:val="00083F12"/>
    <w:rsid w:val="00084204"/>
    <w:rsid w:val="000845C0"/>
    <w:rsid w:val="00085363"/>
    <w:rsid w:val="000853A8"/>
    <w:rsid w:val="00085C0E"/>
    <w:rsid w:val="00086C1E"/>
    <w:rsid w:val="00086EFA"/>
    <w:rsid w:val="00087147"/>
    <w:rsid w:val="0008769D"/>
    <w:rsid w:val="00087E35"/>
    <w:rsid w:val="000901AB"/>
    <w:rsid w:val="00090363"/>
    <w:rsid w:val="000903AC"/>
    <w:rsid w:val="00090AB1"/>
    <w:rsid w:val="00090C3A"/>
    <w:rsid w:val="0009128D"/>
    <w:rsid w:val="0009217A"/>
    <w:rsid w:val="00092514"/>
    <w:rsid w:val="00093A2F"/>
    <w:rsid w:val="00093AD8"/>
    <w:rsid w:val="0009496A"/>
    <w:rsid w:val="00094B40"/>
    <w:rsid w:val="00094FF5"/>
    <w:rsid w:val="00095CE6"/>
    <w:rsid w:val="000A0C90"/>
    <w:rsid w:val="000A0DC8"/>
    <w:rsid w:val="000A0E85"/>
    <w:rsid w:val="000A1181"/>
    <w:rsid w:val="000A1955"/>
    <w:rsid w:val="000A1CCC"/>
    <w:rsid w:val="000A28EC"/>
    <w:rsid w:val="000A2BD4"/>
    <w:rsid w:val="000A3430"/>
    <w:rsid w:val="000A3CCF"/>
    <w:rsid w:val="000A4857"/>
    <w:rsid w:val="000A4BB9"/>
    <w:rsid w:val="000A57B6"/>
    <w:rsid w:val="000A5EEC"/>
    <w:rsid w:val="000A7993"/>
    <w:rsid w:val="000A7BC7"/>
    <w:rsid w:val="000B081C"/>
    <w:rsid w:val="000B0BF3"/>
    <w:rsid w:val="000B1315"/>
    <w:rsid w:val="000B1424"/>
    <w:rsid w:val="000B1F06"/>
    <w:rsid w:val="000B228B"/>
    <w:rsid w:val="000B29EB"/>
    <w:rsid w:val="000B2A89"/>
    <w:rsid w:val="000B3172"/>
    <w:rsid w:val="000B3313"/>
    <w:rsid w:val="000B3332"/>
    <w:rsid w:val="000B3A87"/>
    <w:rsid w:val="000B431D"/>
    <w:rsid w:val="000B4F5E"/>
    <w:rsid w:val="000B51ED"/>
    <w:rsid w:val="000B567E"/>
    <w:rsid w:val="000B596C"/>
    <w:rsid w:val="000B5A07"/>
    <w:rsid w:val="000B5C40"/>
    <w:rsid w:val="000B5C48"/>
    <w:rsid w:val="000B5D4C"/>
    <w:rsid w:val="000B5F7E"/>
    <w:rsid w:val="000B6F86"/>
    <w:rsid w:val="000B735B"/>
    <w:rsid w:val="000B7886"/>
    <w:rsid w:val="000C03D2"/>
    <w:rsid w:val="000C0FFE"/>
    <w:rsid w:val="000C1105"/>
    <w:rsid w:val="000C17A0"/>
    <w:rsid w:val="000C187E"/>
    <w:rsid w:val="000C2391"/>
    <w:rsid w:val="000C2D5C"/>
    <w:rsid w:val="000C381C"/>
    <w:rsid w:val="000C4065"/>
    <w:rsid w:val="000C4947"/>
    <w:rsid w:val="000C4A90"/>
    <w:rsid w:val="000C57C0"/>
    <w:rsid w:val="000C5BEA"/>
    <w:rsid w:val="000C6630"/>
    <w:rsid w:val="000C75E1"/>
    <w:rsid w:val="000C78A7"/>
    <w:rsid w:val="000C7CA8"/>
    <w:rsid w:val="000D06AD"/>
    <w:rsid w:val="000D1026"/>
    <w:rsid w:val="000D1BCA"/>
    <w:rsid w:val="000D1F18"/>
    <w:rsid w:val="000D28FD"/>
    <w:rsid w:val="000D33F3"/>
    <w:rsid w:val="000D3435"/>
    <w:rsid w:val="000D39E7"/>
    <w:rsid w:val="000D43D1"/>
    <w:rsid w:val="000D4495"/>
    <w:rsid w:val="000D4D27"/>
    <w:rsid w:val="000D4FB0"/>
    <w:rsid w:val="000D51B8"/>
    <w:rsid w:val="000D525A"/>
    <w:rsid w:val="000D577E"/>
    <w:rsid w:val="000D6C25"/>
    <w:rsid w:val="000D6E1C"/>
    <w:rsid w:val="000D700C"/>
    <w:rsid w:val="000E0199"/>
    <w:rsid w:val="000E047C"/>
    <w:rsid w:val="000E0522"/>
    <w:rsid w:val="000E05F9"/>
    <w:rsid w:val="000E07AF"/>
    <w:rsid w:val="000E14A7"/>
    <w:rsid w:val="000E16FB"/>
    <w:rsid w:val="000E1725"/>
    <w:rsid w:val="000E3453"/>
    <w:rsid w:val="000E3DFF"/>
    <w:rsid w:val="000E3FDD"/>
    <w:rsid w:val="000E4166"/>
    <w:rsid w:val="000E4296"/>
    <w:rsid w:val="000E4CD9"/>
    <w:rsid w:val="000E568B"/>
    <w:rsid w:val="000E5B3D"/>
    <w:rsid w:val="000F01C9"/>
    <w:rsid w:val="000F0424"/>
    <w:rsid w:val="000F09C8"/>
    <w:rsid w:val="000F0DA4"/>
    <w:rsid w:val="000F1759"/>
    <w:rsid w:val="000F2628"/>
    <w:rsid w:val="000F2FDE"/>
    <w:rsid w:val="000F306A"/>
    <w:rsid w:val="000F3124"/>
    <w:rsid w:val="000F384D"/>
    <w:rsid w:val="000F3C01"/>
    <w:rsid w:val="000F4540"/>
    <w:rsid w:val="000F5368"/>
    <w:rsid w:val="000F56F2"/>
    <w:rsid w:val="000F5B5B"/>
    <w:rsid w:val="000F5D5B"/>
    <w:rsid w:val="000F60D8"/>
    <w:rsid w:val="000F6312"/>
    <w:rsid w:val="000F6DB8"/>
    <w:rsid w:val="000F6FC9"/>
    <w:rsid w:val="000F77F2"/>
    <w:rsid w:val="00100008"/>
    <w:rsid w:val="00100952"/>
    <w:rsid w:val="0010165B"/>
    <w:rsid w:val="001017F4"/>
    <w:rsid w:val="00101E32"/>
    <w:rsid w:val="0010292A"/>
    <w:rsid w:val="00102AF0"/>
    <w:rsid w:val="00102DB2"/>
    <w:rsid w:val="00102DD6"/>
    <w:rsid w:val="00102EC2"/>
    <w:rsid w:val="00103308"/>
    <w:rsid w:val="001037C9"/>
    <w:rsid w:val="00104008"/>
    <w:rsid w:val="001055B4"/>
    <w:rsid w:val="001062C2"/>
    <w:rsid w:val="00106E7E"/>
    <w:rsid w:val="00107893"/>
    <w:rsid w:val="00107939"/>
    <w:rsid w:val="00107957"/>
    <w:rsid w:val="00107DF1"/>
    <w:rsid w:val="00107F10"/>
    <w:rsid w:val="001103AE"/>
    <w:rsid w:val="001115AA"/>
    <w:rsid w:val="00111D77"/>
    <w:rsid w:val="00112119"/>
    <w:rsid w:val="0011248E"/>
    <w:rsid w:val="00112812"/>
    <w:rsid w:val="001136A2"/>
    <w:rsid w:val="001136A5"/>
    <w:rsid w:val="001138E3"/>
    <w:rsid w:val="001147B1"/>
    <w:rsid w:val="00115CBA"/>
    <w:rsid w:val="00115CBB"/>
    <w:rsid w:val="00116517"/>
    <w:rsid w:val="00117520"/>
    <w:rsid w:val="0011755A"/>
    <w:rsid w:val="001200DD"/>
    <w:rsid w:val="00120980"/>
    <w:rsid w:val="00120B5B"/>
    <w:rsid w:val="001211D6"/>
    <w:rsid w:val="0012186F"/>
    <w:rsid w:val="001226E5"/>
    <w:rsid w:val="001233A3"/>
    <w:rsid w:val="00123886"/>
    <w:rsid w:val="00123A24"/>
    <w:rsid w:val="00123B7B"/>
    <w:rsid w:val="00123D37"/>
    <w:rsid w:val="00123FB5"/>
    <w:rsid w:val="001249A1"/>
    <w:rsid w:val="00124AB7"/>
    <w:rsid w:val="00124C38"/>
    <w:rsid w:val="001255D5"/>
    <w:rsid w:val="00125BFA"/>
    <w:rsid w:val="001264C6"/>
    <w:rsid w:val="001264E9"/>
    <w:rsid w:val="0012650D"/>
    <w:rsid w:val="00126EA8"/>
    <w:rsid w:val="00127437"/>
    <w:rsid w:val="00127873"/>
    <w:rsid w:val="00130148"/>
    <w:rsid w:val="00130267"/>
    <w:rsid w:val="00130B52"/>
    <w:rsid w:val="00130FEB"/>
    <w:rsid w:val="00131452"/>
    <w:rsid w:val="001319F0"/>
    <w:rsid w:val="001329EE"/>
    <w:rsid w:val="0013321A"/>
    <w:rsid w:val="00133408"/>
    <w:rsid w:val="00133468"/>
    <w:rsid w:val="00133903"/>
    <w:rsid w:val="00133FC9"/>
    <w:rsid w:val="001343E9"/>
    <w:rsid w:val="00134C15"/>
    <w:rsid w:val="00134C8B"/>
    <w:rsid w:val="0013545B"/>
    <w:rsid w:val="00136815"/>
    <w:rsid w:val="001369A7"/>
    <w:rsid w:val="001371CF"/>
    <w:rsid w:val="00137E72"/>
    <w:rsid w:val="00141662"/>
    <w:rsid w:val="00141943"/>
    <w:rsid w:val="00142112"/>
    <w:rsid w:val="001424CF"/>
    <w:rsid w:val="00142592"/>
    <w:rsid w:val="00142A7B"/>
    <w:rsid w:val="00142B38"/>
    <w:rsid w:val="00143936"/>
    <w:rsid w:val="00143F63"/>
    <w:rsid w:val="00144A78"/>
    <w:rsid w:val="00144EE2"/>
    <w:rsid w:val="001453AF"/>
    <w:rsid w:val="00145448"/>
    <w:rsid w:val="00145E87"/>
    <w:rsid w:val="00145EE6"/>
    <w:rsid w:val="00146798"/>
    <w:rsid w:val="001469DD"/>
    <w:rsid w:val="00146A55"/>
    <w:rsid w:val="00146A81"/>
    <w:rsid w:val="00146EB3"/>
    <w:rsid w:val="00147839"/>
    <w:rsid w:val="00147A00"/>
    <w:rsid w:val="00147BBA"/>
    <w:rsid w:val="00147E1C"/>
    <w:rsid w:val="00147F88"/>
    <w:rsid w:val="001500EA"/>
    <w:rsid w:val="0015030E"/>
    <w:rsid w:val="00150564"/>
    <w:rsid w:val="0015070E"/>
    <w:rsid w:val="00150A33"/>
    <w:rsid w:val="00151381"/>
    <w:rsid w:val="00151B09"/>
    <w:rsid w:val="00151EBD"/>
    <w:rsid w:val="00152CCD"/>
    <w:rsid w:val="00153147"/>
    <w:rsid w:val="00153207"/>
    <w:rsid w:val="00153EAD"/>
    <w:rsid w:val="0015404E"/>
    <w:rsid w:val="00154C41"/>
    <w:rsid w:val="001550C3"/>
    <w:rsid w:val="00155157"/>
    <w:rsid w:val="001558DF"/>
    <w:rsid w:val="00155D63"/>
    <w:rsid w:val="00156101"/>
    <w:rsid w:val="00156261"/>
    <w:rsid w:val="00156824"/>
    <w:rsid w:val="00156E7B"/>
    <w:rsid w:val="00157A1E"/>
    <w:rsid w:val="001605F5"/>
    <w:rsid w:val="00160CCF"/>
    <w:rsid w:val="00161AC5"/>
    <w:rsid w:val="00161C12"/>
    <w:rsid w:val="00162002"/>
    <w:rsid w:val="00162090"/>
    <w:rsid w:val="0016276C"/>
    <w:rsid w:val="001629FF"/>
    <w:rsid w:val="00162AB2"/>
    <w:rsid w:val="00163BD9"/>
    <w:rsid w:val="001641ED"/>
    <w:rsid w:val="0016512A"/>
    <w:rsid w:val="00165A38"/>
    <w:rsid w:val="00166918"/>
    <w:rsid w:val="001703BD"/>
    <w:rsid w:val="001706A9"/>
    <w:rsid w:val="00170CE5"/>
    <w:rsid w:val="00170D7A"/>
    <w:rsid w:val="001711E5"/>
    <w:rsid w:val="001716C5"/>
    <w:rsid w:val="00171894"/>
    <w:rsid w:val="00172CED"/>
    <w:rsid w:val="001736A2"/>
    <w:rsid w:val="0017391F"/>
    <w:rsid w:val="00173A95"/>
    <w:rsid w:val="00173CF1"/>
    <w:rsid w:val="00174371"/>
    <w:rsid w:val="00174DA2"/>
    <w:rsid w:val="00175074"/>
    <w:rsid w:val="00175C9E"/>
    <w:rsid w:val="001762F2"/>
    <w:rsid w:val="00177187"/>
    <w:rsid w:val="001776BF"/>
    <w:rsid w:val="00177B37"/>
    <w:rsid w:val="00180871"/>
    <w:rsid w:val="00180C52"/>
    <w:rsid w:val="00181520"/>
    <w:rsid w:val="0018154B"/>
    <w:rsid w:val="00181893"/>
    <w:rsid w:val="00181B74"/>
    <w:rsid w:val="00182167"/>
    <w:rsid w:val="00182A82"/>
    <w:rsid w:val="00182AB6"/>
    <w:rsid w:val="00182EB9"/>
    <w:rsid w:val="00183031"/>
    <w:rsid w:val="00183875"/>
    <w:rsid w:val="00183EE1"/>
    <w:rsid w:val="00184259"/>
    <w:rsid w:val="0018491B"/>
    <w:rsid w:val="00185865"/>
    <w:rsid w:val="001858D9"/>
    <w:rsid w:val="001863A5"/>
    <w:rsid w:val="00186417"/>
    <w:rsid w:val="00186FAC"/>
    <w:rsid w:val="00187816"/>
    <w:rsid w:val="00187C81"/>
    <w:rsid w:val="00187E70"/>
    <w:rsid w:val="00190724"/>
    <w:rsid w:val="00190A88"/>
    <w:rsid w:val="00190AB2"/>
    <w:rsid w:val="00190BFA"/>
    <w:rsid w:val="00191A2E"/>
    <w:rsid w:val="00191A3D"/>
    <w:rsid w:val="00192616"/>
    <w:rsid w:val="00192720"/>
    <w:rsid w:val="0019290F"/>
    <w:rsid w:val="0019297B"/>
    <w:rsid w:val="00192C77"/>
    <w:rsid w:val="00192F2E"/>
    <w:rsid w:val="001938D7"/>
    <w:rsid w:val="00193C01"/>
    <w:rsid w:val="001944C6"/>
    <w:rsid w:val="00194658"/>
    <w:rsid w:val="0019495F"/>
    <w:rsid w:val="001949AA"/>
    <w:rsid w:val="00194B62"/>
    <w:rsid w:val="001950F8"/>
    <w:rsid w:val="001957E7"/>
    <w:rsid w:val="001961D8"/>
    <w:rsid w:val="0019631D"/>
    <w:rsid w:val="00196471"/>
    <w:rsid w:val="001964B4"/>
    <w:rsid w:val="00197363"/>
    <w:rsid w:val="00197678"/>
    <w:rsid w:val="00197828"/>
    <w:rsid w:val="001A0578"/>
    <w:rsid w:val="001A0963"/>
    <w:rsid w:val="001A1355"/>
    <w:rsid w:val="001A20BA"/>
    <w:rsid w:val="001A2480"/>
    <w:rsid w:val="001A2BF5"/>
    <w:rsid w:val="001A2F1C"/>
    <w:rsid w:val="001A3494"/>
    <w:rsid w:val="001A355C"/>
    <w:rsid w:val="001A5BA0"/>
    <w:rsid w:val="001A76D3"/>
    <w:rsid w:val="001B0959"/>
    <w:rsid w:val="001B19A6"/>
    <w:rsid w:val="001B1AD9"/>
    <w:rsid w:val="001B1AF5"/>
    <w:rsid w:val="001B366C"/>
    <w:rsid w:val="001B3732"/>
    <w:rsid w:val="001B456C"/>
    <w:rsid w:val="001B466C"/>
    <w:rsid w:val="001B4D6E"/>
    <w:rsid w:val="001B4FA6"/>
    <w:rsid w:val="001B503A"/>
    <w:rsid w:val="001B58D1"/>
    <w:rsid w:val="001B6692"/>
    <w:rsid w:val="001B695F"/>
    <w:rsid w:val="001B75BC"/>
    <w:rsid w:val="001C04B3"/>
    <w:rsid w:val="001C0B1E"/>
    <w:rsid w:val="001C13A0"/>
    <w:rsid w:val="001C1A23"/>
    <w:rsid w:val="001C2055"/>
    <w:rsid w:val="001C272F"/>
    <w:rsid w:val="001C2A63"/>
    <w:rsid w:val="001C34EF"/>
    <w:rsid w:val="001C3FC3"/>
    <w:rsid w:val="001C5A98"/>
    <w:rsid w:val="001C5D8F"/>
    <w:rsid w:val="001C5DDA"/>
    <w:rsid w:val="001C5E34"/>
    <w:rsid w:val="001C7489"/>
    <w:rsid w:val="001C74D5"/>
    <w:rsid w:val="001C7901"/>
    <w:rsid w:val="001D0244"/>
    <w:rsid w:val="001D04B5"/>
    <w:rsid w:val="001D225D"/>
    <w:rsid w:val="001D27A4"/>
    <w:rsid w:val="001D33CC"/>
    <w:rsid w:val="001D33CF"/>
    <w:rsid w:val="001D370E"/>
    <w:rsid w:val="001D427F"/>
    <w:rsid w:val="001D445F"/>
    <w:rsid w:val="001D49DE"/>
    <w:rsid w:val="001D6DB8"/>
    <w:rsid w:val="001D77A3"/>
    <w:rsid w:val="001E0266"/>
    <w:rsid w:val="001E039C"/>
    <w:rsid w:val="001E0865"/>
    <w:rsid w:val="001E0971"/>
    <w:rsid w:val="001E0B0C"/>
    <w:rsid w:val="001E0EBF"/>
    <w:rsid w:val="001E12C9"/>
    <w:rsid w:val="001E15D4"/>
    <w:rsid w:val="001E18AA"/>
    <w:rsid w:val="001E21A9"/>
    <w:rsid w:val="001E2B9E"/>
    <w:rsid w:val="001E43D3"/>
    <w:rsid w:val="001E5652"/>
    <w:rsid w:val="001E570D"/>
    <w:rsid w:val="001E63CD"/>
    <w:rsid w:val="001E6601"/>
    <w:rsid w:val="001E665F"/>
    <w:rsid w:val="001E6A0C"/>
    <w:rsid w:val="001E6EA5"/>
    <w:rsid w:val="001E711A"/>
    <w:rsid w:val="001E76A7"/>
    <w:rsid w:val="001F0902"/>
    <w:rsid w:val="001F0B98"/>
    <w:rsid w:val="001F2656"/>
    <w:rsid w:val="001F2B09"/>
    <w:rsid w:val="001F2CD9"/>
    <w:rsid w:val="001F4314"/>
    <w:rsid w:val="001F45BE"/>
    <w:rsid w:val="001F4A3E"/>
    <w:rsid w:val="001F4A88"/>
    <w:rsid w:val="001F5054"/>
    <w:rsid w:val="001F65B9"/>
    <w:rsid w:val="001F6F88"/>
    <w:rsid w:val="001F7419"/>
    <w:rsid w:val="001F7D89"/>
    <w:rsid w:val="00200702"/>
    <w:rsid w:val="00200AFA"/>
    <w:rsid w:val="00200BFA"/>
    <w:rsid w:val="002011C6"/>
    <w:rsid w:val="00201AA8"/>
    <w:rsid w:val="00201B23"/>
    <w:rsid w:val="002023DB"/>
    <w:rsid w:val="00202C08"/>
    <w:rsid w:val="0020365A"/>
    <w:rsid w:val="00203ACF"/>
    <w:rsid w:val="00203F95"/>
    <w:rsid w:val="002044CE"/>
    <w:rsid w:val="002047B3"/>
    <w:rsid w:val="00205237"/>
    <w:rsid w:val="00206B53"/>
    <w:rsid w:val="00206EAC"/>
    <w:rsid w:val="0020756F"/>
    <w:rsid w:val="00210DAB"/>
    <w:rsid w:val="002113A0"/>
    <w:rsid w:val="00211DB8"/>
    <w:rsid w:val="00211FC2"/>
    <w:rsid w:val="0021244A"/>
    <w:rsid w:val="002127C7"/>
    <w:rsid w:val="00212CC4"/>
    <w:rsid w:val="00212F46"/>
    <w:rsid w:val="00214A59"/>
    <w:rsid w:val="0021545C"/>
    <w:rsid w:val="002158EF"/>
    <w:rsid w:val="00215F0C"/>
    <w:rsid w:val="002164D3"/>
    <w:rsid w:val="002178C6"/>
    <w:rsid w:val="0021798C"/>
    <w:rsid w:val="00217E34"/>
    <w:rsid w:val="00220004"/>
    <w:rsid w:val="00221379"/>
    <w:rsid w:val="00222120"/>
    <w:rsid w:val="002226FE"/>
    <w:rsid w:val="00222EBB"/>
    <w:rsid w:val="00223805"/>
    <w:rsid w:val="00223974"/>
    <w:rsid w:val="0022406C"/>
    <w:rsid w:val="002241BE"/>
    <w:rsid w:val="00224BD0"/>
    <w:rsid w:val="0022507B"/>
    <w:rsid w:val="00226ED6"/>
    <w:rsid w:val="00227DF6"/>
    <w:rsid w:val="00230057"/>
    <w:rsid w:val="002302A4"/>
    <w:rsid w:val="00230DDD"/>
    <w:rsid w:val="00230F62"/>
    <w:rsid w:val="00231552"/>
    <w:rsid w:val="00231D09"/>
    <w:rsid w:val="00232D04"/>
    <w:rsid w:val="00233453"/>
    <w:rsid w:val="002343A1"/>
    <w:rsid w:val="002346A8"/>
    <w:rsid w:val="002349E5"/>
    <w:rsid w:val="00234FB4"/>
    <w:rsid w:val="00235474"/>
    <w:rsid w:val="00236153"/>
    <w:rsid w:val="002363AC"/>
    <w:rsid w:val="00236820"/>
    <w:rsid w:val="0023692E"/>
    <w:rsid w:val="00236938"/>
    <w:rsid w:val="00236DD9"/>
    <w:rsid w:val="0023795E"/>
    <w:rsid w:val="00237A22"/>
    <w:rsid w:val="00240151"/>
    <w:rsid w:val="0024051E"/>
    <w:rsid w:val="00240799"/>
    <w:rsid w:val="0024146E"/>
    <w:rsid w:val="00241A80"/>
    <w:rsid w:val="00241E30"/>
    <w:rsid w:val="0024246B"/>
    <w:rsid w:val="0024260C"/>
    <w:rsid w:val="00242DC3"/>
    <w:rsid w:val="00242F6C"/>
    <w:rsid w:val="00243677"/>
    <w:rsid w:val="00243902"/>
    <w:rsid w:val="002444AE"/>
    <w:rsid w:val="0024536D"/>
    <w:rsid w:val="00245F1D"/>
    <w:rsid w:val="00246524"/>
    <w:rsid w:val="00246BB6"/>
    <w:rsid w:val="00246E15"/>
    <w:rsid w:val="0024753C"/>
    <w:rsid w:val="0024780A"/>
    <w:rsid w:val="00247B99"/>
    <w:rsid w:val="00247DB9"/>
    <w:rsid w:val="0025105D"/>
    <w:rsid w:val="0025110E"/>
    <w:rsid w:val="002512D5"/>
    <w:rsid w:val="00251C29"/>
    <w:rsid w:val="0025209B"/>
    <w:rsid w:val="00252DB1"/>
    <w:rsid w:val="0025451F"/>
    <w:rsid w:val="00254592"/>
    <w:rsid w:val="00255763"/>
    <w:rsid w:val="00255A62"/>
    <w:rsid w:val="00255C55"/>
    <w:rsid w:val="00256260"/>
    <w:rsid w:val="002563C3"/>
    <w:rsid w:val="00256F3A"/>
    <w:rsid w:val="0025717B"/>
    <w:rsid w:val="002573A5"/>
    <w:rsid w:val="0025778A"/>
    <w:rsid w:val="00257902"/>
    <w:rsid w:val="00257BEB"/>
    <w:rsid w:val="0026034E"/>
    <w:rsid w:val="00260980"/>
    <w:rsid w:val="002611E7"/>
    <w:rsid w:val="00261367"/>
    <w:rsid w:val="00261ED8"/>
    <w:rsid w:val="00262457"/>
    <w:rsid w:val="0026256B"/>
    <w:rsid w:val="0026265B"/>
    <w:rsid w:val="002628E2"/>
    <w:rsid w:val="00262BC3"/>
    <w:rsid w:val="00262CC2"/>
    <w:rsid w:val="00263427"/>
    <w:rsid w:val="002637BE"/>
    <w:rsid w:val="00263A7A"/>
    <w:rsid w:val="00263BE8"/>
    <w:rsid w:val="00265397"/>
    <w:rsid w:val="002653E0"/>
    <w:rsid w:val="00265A2B"/>
    <w:rsid w:val="00265F07"/>
    <w:rsid w:val="00266946"/>
    <w:rsid w:val="002671D9"/>
    <w:rsid w:val="00267496"/>
    <w:rsid w:val="00267E51"/>
    <w:rsid w:val="00270AF5"/>
    <w:rsid w:val="0027158A"/>
    <w:rsid w:val="0027188C"/>
    <w:rsid w:val="002719E8"/>
    <w:rsid w:val="00271BB4"/>
    <w:rsid w:val="00272B1F"/>
    <w:rsid w:val="0027308E"/>
    <w:rsid w:val="002731D0"/>
    <w:rsid w:val="00273CB2"/>
    <w:rsid w:val="002749E5"/>
    <w:rsid w:val="00275EAE"/>
    <w:rsid w:val="002765F5"/>
    <w:rsid w:val="002768EF"/>
    <w:rsid w:val="002770B0"/>
    <w:rsid w:val="0027719D"/>
    <w:rsid w:val="00277F37"/>
    <w:rsid w:val="00277FCB"/>
    <w:rsid w:val="00280732"/>
    <w:rsid w:val="00280D84"/>
    <w:rsid w:val="0028171C"/>
    <w:rsid w:val="00281784"/>
    <w:rsid w:val="00282256"/>
    <w:rsid w:val="002824D2"/>
    <w:rsid w:val="00282583"/>
    <w:rsid w:val="00282DBA"/>
    <w:rsid w:val="0028311D"/>
    <w:rsid w:val="002832B1"/>
    <w:rsid w:val="00284105"/>
    <w:rsid w:val="002846D7"/>
    <w:rsid w:val="00284FEC"/>
    <w:rsid w:val="0028509B"/>
    <w:rsid w:val="002851FC"/>
    <w:rsid w:val="00285662"/>
    <w:rsid w:val="00285E72"/>
    <w:rsid w:val="00286319"/>
    <w:rsid w:val="0028664F"/>
    <w:rsid w:val="00286B86"/>
    <w:rsid w:val="00290218"/>
    <w:rsid w:val="0029088C"/>
    <w:rsid w:val="00290DDA"/>
    <w:rsid w:val="00291346"/>
    <w:rsid w:val="00292130"/>
    <w:rsid w:val="00292AD6"/>
    <w:rsid w:val="002938B4"/>
    <w:rsid w:val="0029394D"/>
    <w:rsid w:val="0029426B"/>
    <w:rsid w:val="00295055"/>
    <w:rsid w:val="00295438"/>
    <w:rsid w:val="00295D97"/>
    <w:rsid w:val="00295E21"/>
    <w:rsid w:val="00296332"/>
    <w:rsid w:val="00297A9E"/>
    <w:rsid w:val="00297AE4"/>
    <w:rsid w:val="00297B2C"/>
    <w:rsid w:val="002A030C"/>
    <w:rsid w:val="002A102D"/>
    <w:rsid w:val="002A11BD"/>
    <w:rsid w:val="002A1FE6"/>
    <w:rsid w:val="002A2690"/>
    <w:rsid w:val="002A2825"/>
    <w:rsid w:val="002A2F3E"/>
    <w:rsid w:val="002A32A1"/>
    <w:rsid w:val="002A3695"/>
    <w:rsid w:val="002A378C"/>
    <w:rsid w:val="002A3B19"/>
    <w:rsid w:val="002A3C30"/>
    <w:rsid w:val="002A3D3D"/>
    <w:rsid w:val="002A4AC1"/>
    <w:rsid w:val="002A545B"/>
    <w:rsid w:val="002A59E3"/>
    <w:rsid w:val="002A5A28"/>
    <w:rsid w:val="002A62E3"/>
    <w:rsid w:val="002A6346"/>
    <w:rsid w:val="002A64D6"/>
    <w:rsid w:val="002A6656"/>
    <w:rsid w:val="002A6815"/>
    <w:rsid w:val="002A6856"/>
    <w:rsid w:val="002A697A"/>
    <w:rsid w:val="002A6A6E"/>
    <w:rsid w:val="002B0945"/>
    <w:rsid w:val="002B0F32"/>
    <w:rsid w:val="002B161F"/>
    <w:rsid w:val="002B2275"/>
    <w:rsid w:val="002B2353"/>
    <w:rsid w:val="002B24F4"/>
    <w:rsid w:val="002B25E9"/>
    <w:rsid w:val="002B3694"/>
    <w:rsid w:val="002B3A30"/>
    <w:rsid w:val="002B3DCD"/>
    <w:rsid w:val="002B40C2"/>
    <w:rsid w:val="002B427F"/>
    <w:rsid w:val="002B4957"/>
    <w:rsid w:val="002B5389"/>
    <w:rsid w:val="002B546C"/>
    <w:rsid w:val="002B5F20"/>
    <w:rsid w:val="002B6D23"/>
    <w:rsid w:val="002B7266"/>
    <w:rsid w:val="002C0796"/>
    <w:rsid w:val="002C0873"/>
    <w:rsid w:val="002C1851"/>
    <w:rsid w:val="002C27F3"/>
    <w:rsid w:val="002C28E8"/>
    <w:rsid w:val="002C3461"/>
    <w:rsid w:val="002C457D"/>
    <w:rsid w:val="002C4618"/>
    <w:rsid w:val="002C46C0"/>
    <w:rsid w:val="002C4709"/>
    <w:rsid w:val="002C4C7B"/>
    <w:rsid w:val="002C5B54"/>
    <w:rsid w:val="002C65D2"/>
    <w:rsid w:val="002C662A"/>
    <w:rsid w:val="002C7EFE"/>
    <w:rsid w:val="002D050F"/>
    <w:rsid w:val="002D104D"/>
    <w:rsid w:val="002D1741"/>
    <w:rsid w:val="002D1C46"/>
    <w:rsid w:val="002D1ECD"/>
    <w:rsid w:val="002D2EAF"/>
    <w:rsid w:val="002D3178"/>
    <w:rsid w:val="002D3AA1"/>
    <w:rsid w:val="002D3E09"/>
    <w:rsid w:val="002D3E6B"/>
    <w:rsid w:val="002D4DF4"/>
    <w:rsid w:val="002D559A"/>
    <w:rsid w:val="002D56A8"/>
    <w:rsid w:val="002D56C1"/>
    <w:rsid w:val="002D5B09"/>
    <w:rsid w:val="002D76D5"/>
    <w:rsid w:val="002D787D"/>
    <w:rsid w:val="002E04EF"/>
    <w:rsid w:val="002E071C"/>
    <w:rsid w:val="002E0FD6"/>
    <w:rsid w:val="002E1070"/>
    <w:rsid w:val="002E1198"/>
    <w:rsid w:val="002E14F8"/>
    <w:rsid w:val="002E155C"/>
    <w:rsid w:val="002E170A"/>
    <w:rsid w:val="002E2442"/>
    <w:rsid w:val="002E24CE"/>
    <w:rsid w:val="002E2535"/>
    <w:rsid w:val="002E268D"/>
    <w:rsid w:val="002E2BC7"/>
    <w:rsid w:val="002E3307"/>
    <w:rsid w:val="002E3E30"/>
    <w:rsid w:val="002E52C9"/>
    <w:rsid w:val="002E5714"/>
    <w:rsid w:val="002E5ECF"/>
    <w:rsid w:val="002E6CF5"/>
    <w:rsid w:val="002E75E1"/>
    <w:rsid w:val="002F0578"/>
    <w:rsid w:val="002F0E3B"/>
    <w:rsid w:val="002F1726"/>
    <w:rsid w:val="002F17BD"/>
    <w:rsid w:val="002F29A1"/>
    <w:rsid w:val="002F2D6F"/>
    <w:rsid w:val="002F3D97"/>
    <w:rsid w:val="002F4473"/>
    <w:rsid w:val="002F53B2"/>
    <w:rsid w:val="002F5AB5"/>
    <w:rsid w:val="002F6DF4"/>
    <w:rsid w:val="002F7284"/>
    <w:rsid w:val="002F7853"/>
    <w:rsid w:val="00300419"/>
    <w:rsid w:val="003021EC"/>
    <w:rsid w:val="00302E25"/>
    <w:rsid w:val="003031DC"/>
    <w:rsid w:val="0030335E"/>
    <w:rsid w:val="00303472"/>
    <w:rsid w:val="003039C6"/>
    <w:rsid w:val="00303CA1"/>
    <w:rsid w:val="003054D8"/>
    <w:rsid w:val="00305606"/>
    <w:rsid w:val="00306BAF"/>
    <w:rsid w:val="00307674"/>
    <w:rsid w:val="003079F5"/>
    <w:rsid w:val="00310775"/>
    <w:rsid w:val="00310D5F"/>
    <w:rsid w:val="00311353"/>
    <w:rsid w:val="00311887"/>
    <w:rsid w:val="00312DD6"/>
    <w:rsid w:val="00312E86"/>
    <w:rsid w:val="00313227"/>
    <w:rsid w:val="003134EE"/>
    <w:rsid w:val="00313706"/>
    <w:rsid w:val="00313A44"/>
    <w:rsid w:val="00313BC6"/>
    <w:rsid w:val="00315115"/>
    <w:rsid w:val="00316625"/>
    <w:rsid w:val="00316E85"/>
    <w:rsid w:val="00317151"/>
    <w:rsid w:val="00320858"/>
    <w:rsid w:val="00321190"/>
    <w:rsid w:val="00321A1E"/>
    <w:rsid w:val="00321C6C"/>
    <w:rsid w:val="003222DF"/>
    <w:rsid w:val="003224BA"/>
    <w:rsid w:val="003229AC"/>
    <w:rsid w:val="00322E19"/>
    <w:rsid w:val="003233DC"/>
    <w:rsid w:val="00323706"/>
    <w:rsid w:val="00324A55"/>
    <w:rsid w:val="003253AB"/>
    <w:rsid w:val="0032541C"/>
    <w:rsid w:val="0032551C"/>
    <w:rsid w:val="00325728"/>
    <w:rsid w:val="003263F6"/>
    <w:rsid w:val="003265E0"/>
    <w:rsid w:val="003273FA"/>
    <w:rsid w:val="003275CD"/>
    <w:rsid w:val="0032798F"/>
    <w:rsid w:val="0033092C"/>
    <w:rsid w:val="003313D8"/>
    <w:rsid w:val="00331C85"/>
    <w:rsid w:val="00331EA6"/>
    <w:rsid w:val="00332707"/>
    <w:rsid w:val="00332811"/>
    <w:rsid w:val="00332FB0"/>
    <w:rsid w:val="00333385"/>
    <w:rsid w:val="00333685"/>
    <w:rsid w:val="00333CC4"/>
    <w:rsid w:val="00333EED"/>
    <w:rsid w:val="003341D4"/>
    <w:rsid w:val="00335A58"/>
    <w:rsid w:val="00335C50"/>
    <w:rsid w:val="00335CE6"/>
    <w:rsid w:val="00336BA3"/>
    <w:rsid w:val="003373AA"/>
    <w:rsid w:val="00340CF4"/>
    <w:rsid w:val="00340D1B"/>
    <w:rsid w:val="00341837"/>
    <w:rsid w:val="00341D25"/>
    <w:rsid w:val="00342000"/>
    <w:rsid w:val="00342341"/>
    <w:rsid w:val="003427AD"/>
    <w:rsid w:val="00343E13"/>
    <w:rsid w:val="00344A25"/>
    <w:rsid w:val="00344D09"/>
    <w:rsid w:val="00344F71"/>
    <w:rsid w:val="00345200"/>
    <w:rsid w:val="0034662A"/>
    <w:rsid w:val="00346769"/>
    <w:rsid w:val="00347318"/>
    <w:rsid w:val="00347349"/>
    <w:rsid w:val="00347E4E"/>
    <w:rsid w:val="00350372"/>
    <w:rsid w:val="0035044D"/>
    <w:rsid w:val="003504D8"/>
    <w:rsid w:val="0035053E"/>
    <w:rsid w:val="00351606"/>
    <w:rsid w:val="003519B7"/>
    <w:rsid w:val="00351C4E"/>
    <w:rsid w:val="003521A1"/>
    <w:rsid w:val="003524F1"/>
    <w:rsid w:val="00353773"/>
    <w:rsid w:val="00353CAE"/>
    <w:rsid w:val="00353CE9"/>
    <w:rsid w:val="0035428C"/>
    <w:rsid w:val="00354BC3"/>
    <w:rsid w:val="003559E6"/>
    <w:rsid w:val="00355A08"/>
    <w:rsid w:val="0035600F"/>
    <w:rsid w:val="00356A24"/>
    <w:rsid w:val="00356A55"/>
    <w:rsid w:val="003574FD"/>
    <w:rsid w:val="00357D7B"/>
    <w:rsid w:val="00357E13"/>
    <w:rsid w:val="00357E96"/>
    <w:rsid w:val="00360247"/>
    <w:rsid w:val="003606D6"/>
    <w:rsid w:val="00360B5A"/>
    <w:rsid w:val="0036192B"/>
    <w:rsid w:val="00361D5D"/>
    <w:rsid w:val="00361D9A"/>
    <w:rsid w:val="00362206"/>
    <w:rsid w:val="0036223B"/>
    <w:rsid w:val="00362DCE"/>
    <w:rsid w:val="00363072"/>
    <w:rsid w:val="00363AD5"/>
    <w:rsid w:val="00363B6A"/>
    <w:rsid w:val="00364186"/>
    <w:rsid w:val="0036447B"/>
    <w:rsid w:val="0036480A"/>
    <w:rsid w:val="00364E4B"/>
    <w:rsid w:val="003651CB"/>
    <w:rsid w:val="00365429"/>
    <w:rsid w:val="003657B8"/>
    <w:rsid w:val="003657C9"/>
    <w:rsid w:val="00365F8D"/>
    <w:rsid w:val="00366347"/>
    <w:rsid w:val="00366D80"/>
    <w:rsid w:val="00367670"/>
    <w:rsid w:val="003678FE"/>
    <w:rsid w:val="00370270"/>
    <w:rsid w:val="003707B1"/>
    <w:rsid w:val="00370A12"/>
    <w:rsid w:val="00371998"/>
    <w:rsid w:val="003725B3"/>
    <w:rsid w:val="003728C8"/>
    <w:rsid w:val="00372B5E"/>
    <w:rsid w:val="003740E8"/>
    <w:rsid w:val="00374464"/>
    <w:rsid w:val="00374852"/>
    <w:rsid w:val="00374D66"/>
    <w:rsid w:val="00374FC2"/>
    <w:rsid w:val="00375604"/>
    <w:rsid w:val="003765D0"/>
    <w:rsid w:val="00377110"/>
    <w:rsid w:val="00381526"/>
    <w:rsid w:val="00381553"/>
    <w:rsid w:val="003818A7"/>
    <w:rsid w:val="003826B6"/>
    <w:rsid w:val="00383514"/>
    <w:rsid w:val="00383E5A"/>
    <w:rsid w:val="0038432F"/>
    <w:rsid w:val="00384BD8"/>
    <w:rsid w:val="003863BF"/>
    <w:rsid w:val="00386702"/>
    <w:rsid w:val="0038694D"/>
    <w:rsid w:val="00386AC6"/>
    <w:rsid w:val="00386D99"/>
    <w:rsid w:val="00386E02"/>
    <w:rsid w:val="00386F0F"/>
    <w:rsid w:val="00386FA8"/>
    <w:rsid w:val="00387281"/>
    <w:rsid w:val="003872B7"/>
    <w:rsid w:val="00387689"/>
    <w:rsid w:val="00387802"/>
    <w:rsid w:val="00387E9B"/>
    <w:rsid w:val="00387F31"/>
    <w:rsid w:val="003901C6"/>
    <w:rsid w:val="00390BFE"/>
    <w:rsid w:val="00390D7C"/>
    <w:rsid w:val="00391272"/>
    <w:rsid w:val="00391DD9"/>
    <w:rsid w:val="003928F8"/>
    <w:rsid w:val="00393D26"/>
    <w:rsid w:val="00394156"/>
    <w:rsid w:val="0039478D"/>
    <w:rsid w:val="00394868"/>
    <w:rsid w:val="003961EA"/>
    <w:rsid w:val="0039650B"/>
    <w:rsid w:val="00397CB1"/>
    <w:rsid w:val="00397CF3"/>
    <w:rsid w:val="00397E17"/>
    <w:rsid w:val="003A0613"/>
    <w:rsid w:val="003A084E"/>
    <w:rsid w:val="003A08EE"/>
    <w:rsid w:val="003A0A3B"/>
    <w:rsid w:val="003A0A70"/>
    <w:rsid w:val="003A18CD"/>
    <w:rsid w:val="003A2309"/>
    <w:rsid w:val="003A23D9"/>
    <w:rsid w:val="003A24E3"/>
    <w:rsid w:val="003A31B2"/>
    <w:rsid w:val="003A332D"/>
    <w:rsid w:val="003A442B"/>
    <w:rsid w:val="003A4B46"/>
    <w:rsid w:val="003A4D3D"/>
    <w:rsid w:val="003A59A0"/>
    <w:rsid w:val="003A5A0F"/>
    <w:rsid w:val="003A5F1B"/>
    <w:rsid w:val="003A6154"/>
    <w:rsid w:val="003A623E"/>
    <w:rsid w:val="003A6465"/>
    <w:rsid w:val="003A6C3C"/>
    <w:rsid w:val="003A6D21"/>
    <w:rsid w:val="003B056E"/>
    <w:rsid w:val="003B05CE"/>
    <w:rsid w:val="003B09B2"/>
    <w:rsid w:val="003B0CB9"/>
    <w:rsid w:val="003B0D50"/>
    <w:rsid w:val="003B175C"/>
    <w:rsid w:val="003B24C4"/>
    <w:rsid w:val="003B41EC"/>
    <w:rsid w:val="003B47F6"/>
    <w:rsid w:val="003B4889"/>
    <w:rsid w:val="003B50BD"/>
    <w:rsid w:val="003B538A"/>
    <w:rsid w:val="003B59C9"/>
    <w:rsid w:val="003B60DD"/>
    <w:rsid w:val="003B74AB"/>
    <w:rsid w:val="003B74FE"/>
    <w:rsid w:val="003B76A4"/>
    <w:rsid w:val="003C0176"/>
    <w:rsid w:val="003C2BF2"/>
    <w:rsid w:val="003C3140"/>
    <w:rsid w:val="003C3D8A"/>
    <w:rsid w:val="003C3FD9"/>
    <w:rsid w:val="003C4AE7"/>
    <w:rsid w:val="003C4E2C"/>
    <w:rsid w:val="003C5141"/>
    <w:rsid w:val="003C5B41"/>
    <w:rsid w:val="003C6B4C"/>
    <w:rsid w:val="003C726A"/>
    <w:rsid w:val="003C7283"/>
    <w:rsid w:val="003C751A"/>
    <w:rsid w:val="003C790B"/>
    <w:rsid w:val="003C7C99"/>
    <w:rsid w:val="003D00D5"/>
    <w:rsid w:val="003D0586"/>
    <w:rsid w:val="003D0607"/>
    <w:rsid w:val="003D129B"/>
    <w:rsid w:val="003D1609"/>
    <w:rsid w:val="003D1DB5"/>
    <w:rsid w:val="003D22C3"/>
    <w:rsid w:val="003D283C"/>
    <w:rsid w:val="003D2AD6"/>
    <w:rsid w:val="003D2D57"/>
    <w:rsid w:val="003D335D"/>
    <w:rsid w:val="003D3481"/>
    <w:rsid w:val="003D3A48"/>
    <w:rsid w:val="003D47A6"/>
    <w:rsid w:val="003D496A"/>
    <w:rsid w:val="003D5659"/>
    <w:rsid w:val="003D761A"/>
    <w:rsid w:val="003D7647"/>
    <w:rsid w:val="003E0086"/>
    <w:rsid w:val="003E0370"/>
    <w:rsid w:val="003E0647"/>
    <w:rsid w:val="003E066C"/>
    <w:rsid w:val="003E07B5"/>
    <w:rsid w:val="003E273B"/>
    <w:rsid w:val="003E29F3"/>
    <w:rsid w:val="003E2E46"/>
    <w:rsid w:val="003E325E"/>
    <w:rsid w:val="003E3390"/>
    <w:rsid w:val="003E3506"/>
    <w:rsid w:val="003E354B"/>
    <w:rsid w:val="003E3B81"/>
    <w:rsid w:val="003E3C8B"/>
    <w:rsid w:val="003E3CF1"/>
    <w:rsid w:val="003E3D37"/>
    <w:rsid w:val="003E4453"/>
    <w:rsid w:val="003E499D"/>
    <w:rsid w:val="003E6060"/>
    <w:rsid w:val="003E656A"/>
    <w:rsid w:val="003E67EE"/>
    <w:rsid w:val="003E6B53"/>
    <w:rsid w:val="003E746F"/>
    <w:rsid w:val="003E7588"/>
    <w:rsid w:val="003E7881"/>
    <w:rsid w:val="003E7D94"/>
    <w:rsid w:val="003F0CEA"/>
    <w:rsid w:val="003F1264"/>
    <w:rsid w:val="003F2340"/>
    <w:rsid w:val="003F2DC3"/>
    <w:rsid w:val="003F2EC9"/>
    <w:rsid w:val="003F3845"/>
    <w:rsid w:val="003F3895"/>
    <w:rsid w:val="003F3D7B"/>
    <w:rsid w:val="003F3FCC"/>
    <w:rsid w:val="003F48C0"/>
    <w:rsid w:val="003F5336"/>
    <w:rsid w:val="003F5C2A"/>
    <w:rsid w:val="003F5F10"/>
    <w:rsid w:val="003F6F5A"/>
    <w:rsid w:val="003F7C5C"/>
    <w:rsid w:val="003F7ED8"/>
    <w:rsid w:val="00400771"/>
    <w:rsid w:val="00401857"/>
    <w:rsid w:val="00401A44"/>
    <w:rsid w:val="00401C0B"/>
    <w:rsid w:val="004022C6"/>
    <w:rsid w:val="00402567"/>
    <w:rsid w:val="00403C74"/>
    <w:rsid w:val="00404201"/>
    <w:rsid w:val="00404CBE"/>
    <w:rsid w:val="00405676"/>
    <w:rsid w:val="00407866"/>
    <w:rsid w:val="004102CE"/>
    <w:rsid w:val="004105A5"/>
    <w:rsid w:val="004108B2"/>
    <w:rsid w:val="00410CB0"/>
    <w:rsid w:val="00411BD1"/>
    <w:rsid w:val="00411E1B"/>
    <w:rsid w:val="00412720"/>
    <w:rsid w:val="004129A9"/>
    <w:rsid w:val="0041336B"/>
    <w:rsid w:val="004134F0"/>
    <w:rsid w:val="004148E6"/>
    <w:rsid w:val="00414EF1"/>
    <w:rsid w:val="00415A6D"/>
    <w:rsid w:val="00415D7A"/>
    <w:rsid w:val="00415E1E"/>
    <w:rsid w:val="00416C70"/>
    <w:rsid w:val="00417BDA"/>
    <w:rsid w:val="00417C70"/>
    <w:rsid w:val="00420152"/>
    <w:rsid w:val="004205C8"/>
    <w:rsid w:val="004207C3"/>
    <w:rsid w:val="004208C9"/>
    <w:rsid w:val="004219A2"/>
    <w:rsid w:val="004220AE"/>
    <w:rsid w:val="004223E6"/>
    <w:rsid w:val="00422B7F"/>
    <w:rsid w:val="004230F7"/>
    <w:rsid w:val="004233F9"/>
    <w:rsid w:val="004237A7"/>
    <w:rsid w:val="0042407F"/>
    <w:rsid w:val="00424291"/>
    <w:rsid w:val="00424413"/>
    <w:rsid w:val="00424852"/>
    <w:rsid w:val="004248C3"/>
    <w:rsid w:val="00424AAC"/>
    <w:rsid w:val="0042570F"/>
    <w:rsid w:val="00426133"/>
    <w:rsid w:val="00426170"/>
    <w:rsid w:val="0042621B"/>
    <w:rsid w:val="00426C12"/>
    <w:rsid w:val="004272FD"/>
    <w:rsid w:val="00427608"/>
    <w:rsid w:val="00427BE0"/>
    <w:rsid w:val="00427FFD"/>
    <w:rsid w:val="004305AB"/>
    <w:rsid w:val="00430F7E"/>
    <w:rsid w:val="004314BA"/>
    <w:rsid w:val="00431610"/>
    <w:rsid w:val="00431918"/>
    <w:rsid w:val="00431A61"/>
    <w:rsid w:val="00431AA4"/>
    <w:rsid w:val="0043218F"/>
    <w:rsid w:val="00432806"/>
    <w:rsid w:val="00432DC9"/>
    <w:rsid w:val="004330FD"/>
    <w:rsid w:val="00433245"/>
    <w:rsid w:val="00434B99"/>
    <w:rsid w:val="00434DB5"/>
    <w:rsid w:val="00434E73"/>
    <w:rsid w:val="0043531E"/>
    <w:rsid w:val="00435D81"/>
    <w:rsid w:val="00436738"/>
    <w:rsid w:val="00436798"/>
    <w:rsid w:val="0043795B"/>
    <w:rsid w:val="00437992"/>
    <w:rsid w:val="00437E41"/>
    <w:rsid w:val="00440879"/>
    <w:rsid w:val="00440DF2"/>
    <w:rsid w:val="00440FEA"/>
    <w:rsid w:val="00442083"/>
    <w:rsid w:val="00442427"/>
    <w:rsid w:val="004424E0"/>
    <w:rsid w:val="004434C5"/>
    <w:rsid w:val="004439F1"/>
    <w:rsid w:val="00444309"/>
    <w:rsid w:val="0044437C"/>
    <w:rsid w:val="00444C36"/>
    <w:rsid w:val="00444DD7"/>
    <w:rsid w:val="00444E09"/>
    <w:rsid w:val="00445229"/>
    <w:rsid w:val="0044655B"/>
    <w:rsid w:val="0044658A"/>
    <w:rsid w:val="0044668C"/>
    <w:rsid w:val="00446BEF"/>
    <w:rsid w:val="00447125"/>
    <w:rsid w:val="00447216"/>
    <w:rsid w:val="00447D95"/>
    <w:rsid w:val="00447DE1"/>
    <w:rsid w:val="00450205"/>
    <w:rsid w:val="00450629"/>
    <w:rsid w:val="00450E3D"/>
    <w:rsid w:val="004512FA"/>
    <w:rsid w:val="00451AD0"/>
    <w:rsid w:val="00451B44"/>
    <w:rsid w:val="0045236B"/>
    <w:rsid w:val="00452565"/>
    <w:rsid w:val="00452AC8"/>
    <w:rsid w:val="00452DD5"/>
    <w:rsid w:val="00453174"/>
    <w:rsid w:val="0045353C"/>
    <w:rsid w:val="0045371A"/>
    <w:rsid w:val="00453F02"/>
    <w:rsid w:val="0045463A"/>
    <w:rsid w:val="00454997"/>
    <w:rsid w:val="00454BD5"/>
    <w:rsid w:val="00454CBC"/>
    <w:rsid w:val="004550A2"/>
    <w:rsid w:val="00455524"/>
    <w:rsid w:val="00456E7A"/>
    <w:rsid w:val="00457D71"/>
    <w:rsid w:val="00457DD9"/>
    <w:rsid w:val="00460223"/>
    <w:rsid w:val="004605DC"/>
    <w:rsid w:val="0046119C"/>
    <w:rsid w:val="004618B1"/>
    <w:rsid w:val="00462842"/>
    <w:rsid w:val="00462A0A"/>
    <w:rsid w:val="00463018"/>
    <w:rsid w:val="00464001"/>
    <w:rsid w:val="00464476"/>
    <w:rsid w:val="0046603E"/>
    <w:rsid w:val="00466E0E"/>
    <w:rsid w:val="00467913"/>
    <w:rsid w:val="00467A6A"/>
    <w:rsid w:val="00467BD7"/>
    <w:rsid w:val="00470748"/>
    <w:rsid w:val="00470FAD"/>
    <w:rsid w:val="0047151F"/>
    <w:rsid w:val="00471941"/>
    <w:rsid w:val="00471D89"/>
    <w:rsid w:val="0047215B"/>
    <w:rsid w:val="004734D2"/>
    <w:rsid w:val="004738D7"/>
    <w:rsid w:val="00475318"/>
    <w:rsid w:val="004754FF"/>
    <w:rsid w:val="00475810"/>
    <w:rsid w:val="00475812"/>
    <w:rsid w:val="00475C2E"/>
    <w:rsid w:val="0047688D"/>
    <w:rsid w:val="0047691E"/>
    <w:rsid w:val="00476DCB"/>
    <w:rsid w:val="00477569"/>
    <w:rsid w:val="0048013B"/>
    <w:rsid w:val="00480E6D"/>
    <w:rsid w:val="00480E8B"/>
    <w:rsid w:val="00480FDA"/>
    <w:rsid w:val="00481180"/>
    <w:rsid w:val="00481600"/>
    <w:rsid w:val="00481DF7"/>
    <w:rsid w:val="00482005"/>
    <w:rsid w:val="004821BA"/>
    <w:rsid w:val="0048232D"/>
    <w:rsid w:val="004823BA"/>
    <w:rsid w:val="004825FE"/>
    <w:rsid w:val="00482BBF"/>
    <w:rsid w:val="00482F19"/>
    <w:rsid w:val="004839E5"/>
    <w:rsid w:val="00483C7C"/>
    <w:rsid w:val="00483D40"/>
    <w:rsid w:val="00483F7C"/>
    <w:rsid w:val="00484109"/>
    <w:rsid w:val="00484ACF"/>
    <w:rsid w:val="004853E6"/>
    <w:rsid w:val="00485A3F"/>
    <w:rsid w:val="00486E8F"/>
    <w:rsid w:val="00487968"/>
    <w:rsid w:val="00487DBE"/>
    <w:rsid w:val="0049025E"/>
    <w:rsid w:val="0049190A"/>
    <w:rsid w:val="00491CDC"/>
    <w:rsid w:val="00491DB7"/>
    <w:rsid w:val="00491E27"/>
    <w:rsid w:val="0049209F"/>
    <w:rsid w:val="00492E17"/>
    <w:rsid w:val="00492FEF"/>
    <w:rsid w:val="004932EE"/>
    <w:rsid w:val="004944C8"/>
    <w:rsid w:val="004949E9"/>
    <w:rsid w:val="00495508"/>
    <w:rsid w:val="00495932"/>
    <w:rsid w:val="00496BFB"/>
    <w:rsid w:val="00496CAA"/>
    <w:rsid w:val="00497061"/>
    <w:rsid w:val="004970EF"/>
    <w:rsid w:val="0049736F"/>
    <w:rsid w:val="004977E9"/>
    <w:rsid w:val="0049793A"/>
    <w:rsid w:val="004A1463"/>
    <w:rsid w:val="004A200E"/>
    <w:rsid w:val="004A231C"/>
    <w:rsid w:val="004A25AE"/>
    <w:rsid w:val="004A29F6"/>
    <w:rsid w:val="004A2ED8"/>
    <w:rsid w:val="004A30BB"/>
    <w:rsid w:val="004A33B0"/>
    <w:rsid w:val="004A3460"/>
    <w:rsid w:val="004A3D5F"/>
    <w:rsid w:val="004A410D"/>
    <w:rsid w:val="004A4DAE"/>
    <w:rsid w:val="004A5891"/>
    <w:rsid w:val="004A674A"/>
    <w:rsid w:val="004A6D31"/>
    <w:rsid w:val="004A6E6E"/>
    <w:rsid w:val="004A7D66"/>
    <w:rsid w:val="004B0440"/>
    <w:rsid w:val="004B16C3"/>
    <w:rsid w:val="004B1CB6"/>
    <w:rsid w:val="004B20AE"/>
    <w:rsid w:val="004B2686"/>
    <w:rsid w:val="004B2A5C"/>
    <w:rsid w:val="004B392F"/>
    <w:rsid w:val="004B6B9C"/>
    <w:rsid w:val="004B7838"/>
    <w:rsid w:val="004B7A18"/>
    <w:rsid w:val="004C0DA8"/>
    <w:rsid w:val="004C0E89"/>
    <w:rsid w:val="004C16EA"/>
    <w:rsid w:val="004C2507"/>
    <w:rsid w:val="004C2ECD"/>
    <w:rsid w:val="004C2FFE"/>
    <w:rsid w:val="004C3341"/>
    <w:rsid w:val="004C3632"/>
    <w:rsid w:val="004C3E1B"/>
    <w:rsid w:val="004C4F4B"/>
    <w:rsid w:val="004C520C"/>
    <w:rsid w:val="004C57FC"/>
    <w:rsid w:val="004C5811"/>
    <w:rsid w:val="004C6119"/>
    <w:rsid w:val="004C694D"/>
    <w:rsid w:val="004C6E8A"/>
    <w:rsid w:val="004C7DA1"/>
    <w:rsid w:val="004D0119"/>
    <w:rsid w:val="004D0768"/>
    <w:rsid w:val="004D0A8D"/>
    <w:rsid w:val="004D0CD8"/>
    <w:rsid w:val="004D10CB"/>
    <w:rsid w:val="004D1A7A"/>
    <w:rsid w:val="004D1B0B"/>
    <w:rsid w:val="004D1FE1"/>
    <w:rsid w:val="004D22A8"/>
    <w:rsid w:val="004D26F6"/>
    <w:rsid w:val="004D2C1F"/>
    <w:rsid w:val="004D3161"/>
    <w:rsid w:val="004D344C"/>
    <w:rsid w:val="004D40FC"/>
    <w:rsid w:val="004D41C4"/>
    <w:rsid w:val="004D44F9"/>
    <w:rsid w:val="004D4832"/>
    <w:rsid w:val="004D54FD"/>
    <w:rsid w:val="004D59E9"/>
    <w:rsid w:val="004D6888"/>
    <w:rsid w:val="004D69A0"/>
    <w:rsid w:val="004D6B21"/>
    <w:rsid w:val="004D792F"/>
    <w:rsid w:val="004E001D"/>
    <w:rsid w:val="004E00D3"/>
    <w:rsid w:val="004E0789"/>
    <w:rsid w:val="004E2145"/>
    <w:rsid w:val="004E21CF"/>
    <w:rsid w:val="004E2408"/>
    <w:rsid w:val="004E24A2"/>
    <w:rsid w:val="004E27B6"/>
    <w:rsid w:val="004E306E"/>
    <w:rsid w:val="004E316A"/>
    <w:rsid w:val="004E330E"/>
    <w:rsid w:val="004E3898"/>
    <w:rsid w:val="004E39E5"/>
    <w:rsid w:val="004E4902"/>
    <w:rsid w:val="004E5BBB"/>
    <w:rsid w:val="004E5EB9"/>
    <w:rsid w:val="004E656C"/>
    <w:rsid w:val="004E6A70"/>
    <w:rsid w:val="004E77A4"/>
    <w:rsid w:val="004E795E"/>
    <w:rsid w:val="004F1583"/>
    <w:rsid w:val="004F15D6"/>
    <w:rsid w:val="004F2001"/>
    <w:rsid w:val="004F215A"/>
    <w:rsid w:val="004F22FF"/>
    <w:rsid w:val="004F26FE"/>
    <w:rsid w:val="004F29F3"/>
    <w:rsid w:val="004F3174"/>
    <w:rsid w:val="004F4B49"/>
    <w:rsid w:val="004F4CDC"/>
    <w:rsid w:val="004F5BF6"/>
    <w:rsid w:val="004F78B7"/>
    <w:rsid w:val="00500FD4"/>
    <w:rsid w:val="005017A8"/>
    <w:rsid w:val="00503402"/>
    <w:rsid w:val="00503627"/>
    <w:rsid w:val="005038AC"/>
    <w:rsid w:val="005045AC"/>
    <w:rsid w:val="00505B95"/>
    <w:rsid w:val="005067FA"/>
    <w:rsid w:val="0050791D"/>
    <w:rsid w:val="005108E6"/>
    <w:rsid w:val="00511114"/>
    <w:rsid w:val="0051159C"/>
    <w:rsid w:val="0051219E"/>
    <w:rsid w:val="0051268E"/>
    <w:rsid w:val="005137E8"/>
    <w:rsid w:val="0051389C"/>
    <w:rsid w:val="00513A05"/>
    <w:rsid w:val="00513BC8"/>
    <w:rsid w:val="005150E4"/>
    <w:rsid w:val="00515291"/>
    <w:rsid w:val="00515521"/>
    <w:rsid w:val="00515530"/>
    <w:rsid w:val="00515EDB"/>
    <w:rsid w:val="00515EF5"/>
    <w:rsid w:val="005163D9"/>
    <w:rsid w:val="00516613"/>
    <w:rsid w:val="00516A5D"/>
    <w:rsid w:val="005177D8"/>
    <w:rsid w:val="0052044F"/>
    <w:rsid w:val="0052084F"/>
    <w:rsid w:val="00520D01"/>
    <w:rsid w:val="0052248F"/>
    <w:rsid w:val="005236E4"/>
    <w:rsid w:val="0052416D"/>
    <w:rsid w:val="0052550E"/>
    <w:rsid w:val="00525AA5"/>
    <w:rsid w:val="0052654F"/>
    <w:rsid w:val="00527388"/>
    <w:rsid w:val="00527E46"/>
    <w:rsid w:val="00527FE4"/>
    <w:rsid w:val="00530032"/>
    <w:rsid w:val="0053045C"/>
    <w:rsid w:val="00530763"/>
    <w:rsid w:val="00530775"/>
    <w:rsid w:val="00530C24"/>
    <w:rsid w:val="005310D8"/>
    <w:rsid w:val="00531587"/>
    <w:rsid w:val="00531BD3"/>
    <w:rsid w:val="00532716"/>
    <w:rsid w:val="005331B8"/>
    <w:rsid w:val="00534493"/>
    <w:rsid w:val="00534496"/>
    <w:rsid w:val="00534FB7"/>
    <w:rsid w:val="005368B4"/>
    <w:rsid w:val="00536A39"/>
    <w:rsid w:val="00536B01"/>
    <w:rsid w:val="00536EE6"/>
    <w:rsid w:val="00537198"/>
    <w:rsid w:val="00537644"/>
    <w:rsid w:val="0053798C"/>
    <w:rsid w:val="005404EF"/>
    <w:rsid w:val="00540D5C"/>
    <w:rsid w:val="00541004"/>
    <w:rsid w:val="005413A2"/>
    <w:rsid w:val="00542A1F"/>
    <w:rsid w:val="005440A5"/>
    <w:rsid w:val="0054426C"/>
    <w:rsid w:val="00544486"/>
    <w:rsid w:val="005445E0"/>
    <w:rsid w:val="00544808"/>
    <w:rsid w:val="0054553B"/>
    <w:rsid w:val="00546525"/>
    <w:rsid w:val="0054673C"/>
    <w:rsid w:val="005467AB"/>
    <w:rsid w:val="00546841"/>
    <w:rsid w:val="0054719B"/>
    <w:rsid w:val="005471EA"/>
    <w:rsid w:val="0054788C"/>
    <w:rsid w:val="005506BF"/>
    <w:rsid w:val="005518C8"/>
    <w:rsid w:val="00551D61"/>
    <w:rsid w:val="00552AD8"/>
    <w:rsid w:val="00553494"/>
    <w:rsid w:val="005548BE"/>
    <w:rsid w:val="00554C27"/>
    <w:rsid w:val="00554DFD"/>
    <w:rsid w:val="00554EF1"/>
    <w:rsid w:val="005556DC"/>
    <w:rsid w:val="00555FAA"/>
    <w:rsid w:val="005563A2"/>
    <w:rsid w:val="00556BBB"/>
    <w:rsid w:val="00556C0F"/>
    <w:rsid w:val="00557486"/>
    <w:rsid w:val="00557999"/>
    <w:rsid w:val="00557CCD"/>
    <w:rsid w:val="00560262"/>
    <w:rsid w:val="005620BB"/>
    <w:rsid w:val="00562C5A"/>
    <w:rsid w:val="00563173"/>
    <w:rsid w:val="005632D3"/>
    <w:rsid w:val="00563686"/>
    <w:rsid w:val="00563A0E"/>
    <w:rsid w:val="00563B97"/>
    <w:rsid w:val="005651D9"/>
    <w:rsid w:val="00565860"/>
    <w:rsid w:val="00566B60"/>
    <w:rsid w:val="0056707B"/>
    <w:rsid w:val="005674C4"/>
    <w:rsid w:val="0056796E"/>
    <w:rsid w:val="005700D1"/>
    <w:rsid w:val="00570AF5"/>
    <w:rsid w:val="0057192B"/>
    <w:rsid w:val="00571FF6"/>
    <w:rsid w:val="00572B00"/>
    <w:rsid w:val="00573793"/>
    <w:rsid w:val="00573E1B"/>
    <w:rsid w:val="00574FD5"/>
    <w:rsid w:val="00575112"/>
    <w:rsid w:val="0057530B"/>
    <w:rsid w:val="00575679"/>
    <w:rsid w:val="005766DC"/>
    <w:rsid w:val="00577118"/>
    <w:rsid w:val="00577BE7"/>
    <w:rsid w:val="00577E06"/>
    <w:rsid w:val="005804F8"/>
    <w:rsid w:val="005806A8"/>
    <w:rsid w:val="00580CC4"/>
    <w:rsid w:val="00581521"/>
    <w:rsid w:val="00581549"/>
    <w:rsid w:val="00581945"/>
    <w:rsid w:val="005819E2"/>
    <w:rsid w:val="00581BA3"/>
    <w:rsid w:val="00581E88"/>
    <w:rsid w:val="005820D0"/>
    <w:rsid w:val="005823A9"/>
    <w:rsid w:val="005834CD"/>
    <w:rsid w:val="00583FEF"/>
    <w:rsid w:val="005845D2"/>
    <w:rsid w:val="00584773"/>
    <w:rsid w:val="00584E55"/>
    <w:rsid w:val="00584EDC"/>
    <w:rsid w:val="0058558E"/>
    <w:rsid w:val="00585621"/>
    <w:rsid w:val="005856BB"/>
    <w:rsid w:val="00586269"/>
    <w:rsid w:val="00586712"/>
    <w:rsid w:val="005868A0"/>
    <w:rsid w:val="00586D0C"/>
    <w:rsid w:val="005871FE"/>
    <w:rsid w:val="00587504"/>
    <w:rsid w:val="005875B6"/>
    <w:rsid w:val="00587B3A"/>
    <w:rsid w:val="00590390"/>
    <w:rsid w:val="00590635"/>
    <w:rsid w:val="00590796"/>
    <w:rsid w:val="00590ACE"/>
    <w:rsid w:val="00591330"/>
    <w:rsid w:val="00591546"/>
    <w:rsid w:val="00591874"/>
    <w:rsid w:val="00592232"/>
    <w:rsid w:val="00592CA9"/>
    <w:rsid w:val="0059329E"/>
    <w:rsid w:val="00594596"/>
    <w:rsid w:val="005959CC"/>
    <w:rsid w:val="00595DD8"/>
    <w:rsid w:val="00596831"/>
    <w:rsid w:val="00596887"/>
    <w:rsid w:val="005977C5"/>
    <w:rsid w:val="005A02CA"/>
    <w:rsid w:val="005A03FC"/>
    <w:rsid w:val="005A176A"/>
    <w:rsid w:val="005A22F9"/>
    <w:rsid w:val="005A247E"/>
    <w:rsid w:val="005A27FB"/>
    <w:rsid w:val="005A3650"/>
    <w:rsid w:val="005A43DC"/>
    <w:rsid w:val="005A4735"/>
    <w:rsid w:val="005A4927"/>
    <w:rsid w:val="005A4CF9"/>
    <w:rsid w:val="005A4E92"/>
    <w:rsid w:val="005A5A73"/>
    <w:rsid w:val="005A668B"/>
    <w:rsid w:val="005A7C72"/>
    <w:rsid w:val="005A7E92"/>
    <w:rsid w:val="005B03E0"/>
    <w:rsid w:val="005B1201"/>
    <w:rsid w:val="005B172C"/>
    <w:rsid w:val="005B1758"/>
    <w:rsid w:val="005B188C"/>
    <w:rsid w:val="005B2A29"/>
    <w:rsid w:val="005B2BBF"/>
    <w:rsid w:val="005B31E5"/>
    <w:rsid w:val="005B3F01"/>
    <w:rsid w:val="005B4053"/>
    <w:rsid w:val="005B4AC9"/>
    <w:rsid w:val="005B57D6"/>
    <w:rsid w:val="005B646A"/>
    <w:rsid w:val="005B6DDD"/>
    <w:rsid w:val="005B713C"/>
    <w:rsid w:val="005B72ED"/>
    <w:rsid w:val="005C2176"/>
    <w:rsid w:val="005C22DE"/>
    <w:rsid w:val="005C27BB"/>
    <w:rsid w:val="005C4DDC"/>
    <w:rsid w:val="005C52A6"/>
    <w:rsid w:val="005C5B49"/>
    <w:rsid w:val="005C6E83"/>
    <w:rsid w:val="005C719D"/>
    <w:rsid w:val="005D0049"/>
    <w:rsid w:val="005D01B3"/>
    <w:rsid w:val="005D045D"/>
    <w:rsid w:val="005D0493"/>
    <w:rsid w:val="005D0771"/>
    <w:rsid w:val="005D213D"/>
    <w:rsid w:val="005D247C"/>
    <w:rsid w:val="005D2583"/>
    <w:rsid w:val="005D2B57"/>
    <w:rsid w:val="005D3661"/>
    <w:rsid w:val="005D39ED"/>
    <w:rsid w:val="005D48B2"/>
    <w:rsid w:val="005D5251"/>
    <w:rsid w:val="005D53B5"/>
    <w:rsid w:val="005D59B9"/>
    <w:rsid w:val="005D5BD5"/>
    <w:rsid w:val="005D6753"/>
    <w:rsid w:val="005D6811"/>
    <w:rsid w:val="005D6CD0"/>
    <w:rsid w:val="005D72DB"/>
    <w:rsid w:val="005E09EB"/>
    <w:rsid w:val="005E0A53"/>
    <w:rsid w:val="005E0F13"/>
    <w:rsid w:val="005E1D78"/>
    <w:rsid w:val="005E1E95"/>
    <w:rsid w:val="005E2202"/>
    <w:rsid w:val="005E4374"/>
    <w:rsid w:val="005E4823"/>
    <w:rsid w:val="005E4C06"/>
    <w:rsid w:val="005E4E7B"/>
    <w:rsid w:val="005E5383"/>
    <w:rsid w:val="005E53F4"/>
    <w:rsid w:val="005E54D6"/>
    <w:rsid w:val="005E5F41"/>
    <w:rsid w:val="005E5FD0"/>
    <w:rsid w:val="005E6683"/>
    <w:rsid w:val="005E6B2D"/>
    <w:rsid w:val="005E7188"/>
    <w:rsid w:val="005E7BBC"/>
    <w:rsid w:val="005F1308"/>
    <w:rsid w:val="005F1516"/>
    <w:rsid w:val="005F212E"/>
    <w:rsid w:val="005F26B3"/>
    <w:rsid w:val="005F320E"/>
    <w:rsid w:val="005F352D"/>
    <w:rsid w:val="005F3A6A"/>
    <w:rsid w:val="005F3B76"/>
    <w:rsid w:val="005F3DE3"/>
    <w:rsid w:val="005F470C"/>
    <w:rsid w:val="005F4827"/>
    <w:rsid w:val="005F493C"/>
    <w:rsid w:val="005F49B4"/>
    <w:rsid w:val="005F558C"/>
    <w:rsid w:val="005F60F0"/>
    <w:rsid w:val="005F72F4"/>
    <w:rsid w:val="005F7420"/>
    <w:rsid w:val="005F7AD7"/>
    <w:rsid w:val="00600DE8"/>
    <w:rsid w:val="00601208"/>
    <w:rsid w:val="00601821"/>
    <w:rsid w:val="00601FAE"/>
    <w:rsid w:val="00601FB7"/>
    <w:rsid w:val="00602017"/>
    <w:rsid w:val="006027E7"/>
    <w:rsid w:val="00602DBA"/>
    <w:rsid w:val="00603501"/>
    <w:rsid w:val="00603812"/>
    <w:rsid w:val="00603B0A"/>
    <w:rsid w:val="00603F26"/>
    <w:rsid w:val="00604208"/>
    <w:rsid w:val="0060448F"/>
    <w:rsid w:val="00604B71"/>
    <w:rsid w:val="006052B4"/>
    <w:rsid w:val="00605342"/>
    <w:rsid w:val="00605429"/>
    <w:rsid w:val="00605A23"/>
    <w:rsid w:val="00605C95"/>
    <w:rsid w:val="00606679"/>
    <w:rsid w:val="00606F48"/>
    <w:rsid w:val="006079B4"/>
    <w:rsid w:val="0061004A"/>
    <w:rsid w:val="00611A89"/>
    <w:rsid w:val="00611BBB"/>
    <w:rsid w:val="00612345"/>
    <w:rsid w:val="0061245F"/>
    <w:rsid w:val="006136EF"/>
    <w:rsid w:val="006137EE"/>
    <w:rsid w:val="00613A13"/>
    <w:rsid w:val="00614672"/>
    <w:rsid w:val="0061510F"/>
    <w:rsid w:val="0061515F"/>
    <w:rsid w:val="00615B49"/>
    <w:rsid w:val="00615C04"/>
    <w:rsid w:val="00615CE9"/>
    <w:rsid w:val="00616E03"/>
    <w:rsid w:val="006174D2"/>
    <w:rsid w:val="00617923"/>
    <w:rsid w:val="00617F8A"/>
    <w:rsid w:val="00620AC7"/>
    <w:rsid w:val="0062137C"/>
    <w:rsid w:val="00622903"/>
    <w:rsid w:val="00622CE6"/>
    <w:rsid w:val="0062300A"/>
    <w:rsid w:val="00623535"/>
    <w:rsid w:val="00623E4A"/>
    <w:rsid w:val="006251F2"/>
    <w:rsid w:val="0062520B"/>
    <w:rsid w:val="006259C4"/>
    <w:rsid w:val="00626243"/>
    <w:rsid w:val="00626421"/>
    <w:rsid w:val="0062726B"/>
    <w:rsid w:val="0062759F"/>
    <w:rsid w:val="0062781E"/>
    <w:rsid w:val="00627D2B"/>
    <w:rsid w:val="00627FF0"/>
    <w:rsid w:val="006301BE"/>
    <w:rsid w:val="0063050D"/>
    <w:rsid w:val="00630D50"/>
    <w:rsid w:val="00631414"/>
    <w:rsid w:val="00632336"/>
    <w:rsid w:val="0063252B"/>
    <w:rsid w:val="00632704"/>
    <w:rsid w:val="00632CFB"/>
    <w:rsid w:val="00633184"/>
    <w:rsid w:val="00634B49"/>
    <w:rsid w:val="00635FD4"/>
    <w:rsid w:val="00636023"/>
    <w:rsid w:val="0063632E"/>
    <w:rsid w:val="00636726"/>
    <w:rsid w:val="00636E3F"/>
    <w:rsid w:val="00637184"/>
    <w:rsid w:val="00637B8D"/>
    <w:rsid w:val="00640261"/>
    <w:rsid w:val="00640A86"/>
    <w:rsid w:val="00640AFF"/>
    <w:rsid w:val="00640E9D"/>
    <w:rsid w:val="0064141E"/>
    <w:rsid w:val="00641527"/>
    <w:rsid w:val="00641657"/>
    <w:rsid w:val="00642121"/>
    <w:rsid w:val="006434AE"/>
    <w:rsid w:val="00643B5E"/>
    <w:rsid w:val="006443AF"/>
    <w:rsid w:val="00644A8E"/>
    <w:rsid w:val="0064548B"/>
    <w:rsid w:val="006459C0"/>
    <w:rsid w:val="00645BF6"/>
    <w:rsid w:val="00645D46"/>
    <w:rsid w:val="006466B1"/>
    <w:rsid w:val="006471A2"/>
    <w:rsid w:val="006474CB"/>
    <w:rsid w:val="006476B7"/>
    <w:rsid w:val="00647840"/>
    <w:rsid w:val="00650254"/>
    <w:rsid w:val="006505CC"/>
    <w:rsid w:val="0065208E"/>
    <w:rsid w:val="00652588"/>
    <w:rsid w:val="00652A78"/>
    <w:rsid w:val="00652AED"/>
    <w:rsid w:val="00652D83"/>
    <w:rsid w:val="006534F1"/>
    <w:rsid w:val="00653AFB"/>
    <w:rsid w:val="00653CE6"/>
    <w:rsid w:val="00654F2F"/>
    <w:rsid w:val="0065683E"/>
    <w:rsid w:val="0065695F"/>
    <w:rsid w:val="006570E8"/>
    <w:rsid w:val="00657E55"/>
    <w:rsid w:val="00657FE7"/>
    <w:rsid w:val="00660086"/>
    <w:rsid w:val="006601AC"/>
    <w:rsid w:val="006604A0"/>
    <w:rsid w:val="00660A18"/>
    <w:rsid w:val="00660A55"/>
    <w:rsid w:val="00660E12"/>
    <w:rsid w:val="00660E6B"/>
    <w:rsid w:val="0066114F"/>
    <w:rsid w:val="00661B09"/>
    <w:rsid w:val="00662227"/>
    <w:rsid w:val="0066287E"/>
    <w:rsid w:val="006634CB"/>
    <w:rsid w:val="00663807"/>
    <w:rsid w:val="00663BA6"/>
    <w:rsid w:val="00663DA0"/>
    <w:rsid w:val="0066471E"/>
    <w:rsid w:val="00664F1E"/>
    <w:rsid w:val="00665275"/>
    <w:rsid w:val="00665BD8"/>
    <w:rsid w:val="00665D0A"/>
    <w:rsid w:val="00666122"/>
    <w:rsid w:val="0066683B"/>
    <w:rsid w:val="00666940"/>
    <w:rsid w:val="00666D03"/>
    <w:rsid w:val="00666DA9"/>
    <w:rsid w:val="006676D6"/>
    <w:rsid w:val="00670ECE"/>
    <w:rsid w:val="00671237"/>
    <w:rsid w:val="0067188D"/>
    <w:rsid w:val="00671D83"/>
    <w:rsid w:val="006720FC"/>
    <w:rsid w:val="006723F4"/>
    <w:rsid w:val="00673350"/>
    <w:rsid w:val="006736D4"/>
    <w:rsid w:val="006738C2"/>
    <w:rsid w:val="00673ECA"/>
    <w:rsid w:val="00674727"/>
    <w:rsid w:val="006750B1"/>
    <w:rsid w:val="006750E1"/>
    <w:rsid w:val="00675423"/>
    <w:rsid w:val="006755F2"/>
    <w:rsid w:val="00675C37"/>
    <w:rsid w:val="00676250"/>
    <w:rsid w:val="00677E58"/>
    <w:rsid w:val="006801C3"/>
    <w:rsid w:val="006812EF"/>
    <w:rsid w:val="00681534"/>
    <w:rsid w:val="0068163D"/>
    <w:rsid w:val="0068192B"/>
    <w:rsid w:val="00681A2F"/>
    <w:rsid w:val="0068314F"/>
    <w:rsid w:val="00683482"/>
    <w:rsid w:val="00683CE2"/>
    <w:rsid w:val="00683D5B"/>
    <w:rsid w:val="00684825"/>
    <w:rsid w:val="00684B29"/>
    <w:rsid w:val="00685425"/>
    <w:rsid w:val="00685644"/>
    <w:rsid w:val="006858D7"/>
    <w:rsid w:val="00685BB3"/>
    <w:rsid w:val="00687031"/>
    <w:rsid w:val="006879DC"/>
    <w:rsid w:val="00687B74"/>
    <w:rsid w:val="00687C64"/>
    <w:rsid w:val="00687E7A"/>
    <w:rsid w:val="0069024E"/>
    <w:rsid w:val="00690323"/>
    <w:rsid w:val="006905AD"/>
    <w:rsid w:val="006908E1"/>
    <w:rsid w:val="00692A59"/>
    <w:rsid w:val="006930E3"/>
    <w:rsid w:val="0069396A"/>
    <w:rsid w:val="00693C35"/>
    <w:rsid w:val="00694C2A"/>
    <w:rsid w:val="006957C0"/>
    <w:rsid w:val="00695840"/>
    <w:rsid w:val="0069590C"/>
    <w:rsid w:val="00695ACB"/>
    <w:rsid w:val="00695E53"/>
    <w:rsid w:val="00695EA9"/>
    <w:rsid w:val="00696547"/>
    <w:rsid w:val="00696728"/>
    <w:rsid w:val="00696FB9"/>
    <w:rsid w:val="0069744B"/>
    <w:rsid w:val="006976C6"/>
    <w:rsid w:val="00697809"/>
    <w:rsid w:val="006979E5"/>
    <w:rsid w:val="006A06D8"/>
    <w:rsid w:val="006A08FC"/>
    <w:rsid w:val="006A0F88"/>
    <w:rsid w:val="006A1D2F"/>
    <w:rsid w:val="006A2378"/>
    <w:rsid w:val="006A3516"/>
    <w:rsid w:val="006A435C"/>
    <w:rsid w:val="006A4735"/>
    <w:rsid w:val="006A50E9"/>
    <w:rsid w:val="006A52AB"/>
    <w:rsid w:val="006A53F7"/>
    <w:rsid w:val="006A5D21"/>
    <w:rsid w:val="006A5DDE"/>
    <w:rsid w:val="006A5F31"/>
    <w:rsid w:val="006A6268"/>
    <w:rsid w:val="006A7458"/>
    <w:rsid w:val="006B01C7"/>
    <w:rsid w:val="006B02D3"/>
    <w:rsid w:val="006B0612"/>
    <w:rsid w:val="006B072D"/>
    <w:rsid w:val="006B2173"/>
    <w:rsid w:val="006B237D"/>
    <w:rsid w:val="006B323A"/>
    <w:rsid w:val="006B3B14"/>
    <w:rsid w:val="006B3CC8"/>
    <w:rsid w:val="006B4182"/>
    <w:rsid w:val="006B541E"/>
    <w:rsid w:val="006B5E32"/>
    <w:rsid w:val="006B5FE8"/>
    <w:rsid w:val="006B6092"/>
    <w:rsid w:val="006B635D"/>
    <w:rsid w:val="006B739A"/>
    <w:rsid w:val="006B7626"/>
    <w:rsid w:val="006C0203"/>
    <w:rsid w:val="006C0E4D"/>
    <w:rsid w:val="006C103B"/>
    <w:rsid w:val="006C1ED8"/>
    <w:rsid w:val="006C2628"/>
    <w:rsid w:val="006C314D"/>
    <w:rsid w:val="006C3842"/>
    <w:rsid w:val="006C3C11"/>
    <w:rsid w:val="006C4C5A"/>
    <w:rsid w:val="006C4E21"/>
    <w:rsid w:val="006C59D7"/>
    <w:rsid w:val="006C61DB"/>
    <w:rsid w:val="006C625A"/>
    <w:rsid w:val="006C6AB4"/>
    <w:rsid w:val="006C728C"/>
    <w:rsid w:val="006C739B"/>
    <w:rsid w:val="006C7DF2"/>
    <w:rsid w:val="006D0084"/>
    <w:rsid w:val="006D03BC"/>
    <w:rsid w:val="006D0D11"/>
    <w:rsid w:val="006D0D12"/>
    <w:rsid w:val="006D2CE1"/>
    <w:rsid w:val="006D2D5B"/>
    <w:rsid w:val="006D3224"/>
    <w:rsid w:val="006D3E5B"/>
    <w:rsid w:val="006D40CE"/>
    <w:rsid w:val="006D4280"/>
    <w:rsid w:val="006D42EA"/>
    <w:rsid w:val="006D4B58"/>
    <w:rsid w:val="006D4DF5"/>
    <w:rsid w:val="006D50C8"/>
    <w:rsid w:val="006D5F22"/>
    <w:rsid w:val="006D6533"/>
    <w:rsid w:val="006D6881"/>
    <w:rsid w:val="006D6AB4"/>
    <w:rsid w:val="006D6E0F"/>
    <w:rsid w:val="006D731C"/>
    <w:rsid w:val="006D7A67"/>
    <w:rsid w:val="006D7B34"/>
    <w:rsid w:val="006D7BC3"/>
    <w:rsid w:val="006E09F7"/>
    <w:rsid w:val="006E0BCA"/>
    <w:rsid w:val="006E10BC"/>
    <w:rsid w:val="006E157D"/>
    <w:rsid w:val="006E170C"/>
    <w:rsid w:val="006E1A77"/>
    <w:rsid w:val="006E3824"/>
    <w:rsid w:val="006E408D"/>
    <w:rsid w:val="006E4778"/>
    <w:rsid w:val="006E4968"/>
    <w:rsid w:val="006E49BA"/>
    <w:rsid w:val="006E4FF6"/>
    <w:rsid w:val="006E5891"/>
    <w:rsid w:val="006E58C5"/>
    <w:rsid w:val="006E5A39"/>
    <w:rsid w:val="006E5AF8"/>
    <w:rsid w:val="006E6966"/>
    <w:rsid w:val="006E6B25"/>
    <w:rsid w:val="006E7165"/>
    <w:rsid w:val="006E750C"/>
    <w:rsid w:val="006E7884"/>
    <w:rsid w:val="006E79FF"/>
    <w:rsid w:val="006E7CB2"/>
    <w:rsid w:val="006F019E"/>
    <w:rsid w:val="006F0253"/>
    <w:rsid w:val="006F06B7"/>
    <w:rsid w:val="006F09E7"/>
    <w:rsid w:val="006F0A51"/>
    <w:rsid w:val="006F0FDB"/>
    <w:rsid w:val="006F234A"/>
    <w:rsid w:val="006F29EC"/>
    <w:rsid w:val="006F3C93"/>
    <w:rsid w:val="006F3DBB"/>
    <w:rsid w:val="006F4453"/>
    <w:rsid w:val="006F4528"/>
    <w:rsid w:val="006F4F7E"/>
    <w:rsid w:val="006F5EA9"/>
    <w:rsid w:val="006F6761"/>
    <w:rsid w:val="006F763B"/>
    <w:rsid w:val="00700CA9"/>
    <w:rsid w:val="007014BF"/>
    <w:rsid w:val="0070250E"/>
    <w:rsid w:val="00702B49"/>
    <w:rsid w:val="00702F0A"/>
    <w:rsid w:val="00703319"/>
    <w:rsid w:val="00703769"/>
    <w:rsid w:val="007049A1"/>
    <w:rsid w:val="00704E8C"/>
    <w:rsid w:val="007052AE"/>
    <w:rsid w:val="00706966"/>
    <w:rsid w:val="00706B42"/>
    <w:rsid w:val="007071CA"/>
    <w:rsid w:val="007075CA"/>
    <w:rsid w:val="00707DFF"/>
    <w:rsid w:val="007100D4"/>
    <w:rsid w:val="0071029E"/>
    <w:rsid w:val="007108CE"/>
    <w:rsid w:val="007109BB"/>
    <w:rsid w:val="0071187E"/>
    <w:rsid w:val="0071188F"/>
    <w:rsid w:val="00712AA6"/>
    <w:rsid w:val="007133EF"/>
    <w:rsid w:val="007136F8"/>
    <w:rsid w:val="007137D0"/>
    <w:rsid w:val="00713D80"/>
    <w:rsid w:val="00714947"/>
    <w:rsid w:val="00715079"/>
    <w:rsid w:val="007158D7"/>
    <w:rsid w:val="00715F58"/>
    <w:rsid w:val="0071607C"/>
    <w:rsid w:val="00717A97"/>
    <w:rsid w:val="00720DD6"/>
    <w:rsid w:val="00721572"/>
    <w:rsid w:val="007215EE"/>
    <w:rsid w:val="00721B57"/>
    <w:rsid w:val="00722615"/>
    <w:rsid w:val="00722A52"/>
    <w:rsid w:val="00722DBF"/>
    <w:rsid w:val="0072326F"/>
    <w:rsid w:val="007234EE"/>
    <w:rsid w:val="00723722"/>
    <w:rsid w:val="00723781"/>
    <w:rsid w:val="0072390F"/>
    <w:rsid w:val="0072429C"/>
    <w:rsid w:val="00724B15"/>
    <w:rsid w:val="00724DAA"/>
    <w:rsid w:val="007250C3"/>
    <w:rsid w:val="00725C60"/>
    <w:rsid w:val="00725CE1"/>
    <w:rsid w:val="00726A75"/>
    <w:rsid w:val="007273E5"/>
    <w:rsid w:val="00727ECC"/>
    <w:rsid w:val="00730469"/>
    <w:rsid w:val="00730AE4"/>
    <w:rsid w:val="00730EDA"/>
    <w:rsid w:val="007314D7"/>
    <w:rsid w:val="0073160D"/>
    <w:rsid w:val="007319C6"/>
    <w:rsid w:val="00731BE2"/>
    <w:rsid w:val="007327D2"/>
    <w:rsid w:val="00732824"/>
    <w:rsid w:val="00732A3D"/>
    <w:rsid w:val="00732D12"/>
    <w:rsid w:val="00733158"/>
    <w:rsid w:val="0073375A"/>
    <w:rsid w:val="00733DBE"/>
    <w:rsid w:val="007348EC"/>
    <w:rsid w:val="00734CFF"/>
    <w:rsid w:val="00735368"/>
    <w:rsid w:val="0073550D"/>
    <w:rsid w:val="00735AC3"/>
    <w:rsid w:val="00735E64"/>
    <w:rsid w:val="00736797"/>
    <w:rsid w:val="00736B80"/>
    <w:rsid w:val="0073766B"/>
    <w:rsid w:val="00737848"/>
    <w:rsid w:val="00737CBE"/>
    <w:rsid w:val="00737D50"/>
    <w:rsid w:val="00740067"/>
    <w:rsid w:val="00740A67"/>
    <w:rsid w:val="00740C3B"/>
    <w:rsid w:val="00740F75"/>
    <w:rsid w:val="00741C6E"/>
    <w:rsid w:val="00741CC1"/>
    <w:rsid w:val="0074238A"/>
    <w:rsid w:val="00743078"/>
    <w:rsid w:val="00744AF5"/>
    <w:rsid w:val="00744C35"/>
    <w:rsid w:val="0074550E"/>
    <w:rsid w:val="0074572B"/>
    <w:rsid w:val="00745F1E"/>
    <w:rsid w:val="00746271"/>
    <w:rsid w:val="00746A16"/>
    <w:rsid w:val="00746A93"/>
    <w:rsid w:val="00747018"/>
    <w:rsid w:val="007472E3"/>
    <w:rsid w:val="0074740A"/>
    <w:rsid w:val="00747604"/>
    <w:rsid w:val="0074769E"/>
    <w:rsid w:val="007478D7"/>
    <w:rsid w:val="00750070"/>
    <w:rsid w:val="00750D8B"/>
    <w:rsid w:val="007513C5"/>
    <w:rsid w:val="00751AE0"/>
    <w:rsid w:val="00751C00"/>
    <w:rsid w:val="007522DC"/>
    <w:rsid w:val="007529A1"/>
    <w:rsid w:val="00752D80"/>
    <w:rsid w:val="00752F9A"/>
    <w:rsid w:val="00753A49"/>
    <w:rsid w:val="00753D99"/>
    <w:rsid w:val="00753F12"/>
    <w:rsid w:val="0075476A"/>
    <w:rsid w:val="007554EC"/>
    <w:rsid w:val="007556D8"/>
    <w:rsid w:val="00756A9A"/>
    <w:rsid w:val="00757077"/>
    <w:rsid w:val="007572C3"/>
    <w:rsid w:val="00757EFD"/>
    <w:rsid w:val="0076094C"/>
    <w:rsid w:val="00760D8E"/>
    <w:rsid w:val="007610D8"/>
    <w:rsid w:val="00761305"/>
    <w:rsid w:val="007614A4"/>
    <w:rsid w:val="00761F04"/>
    <w:rsid w:val="0076223F"/>
    <w:rsid w:val="00763326"/>
    <w:rsid w:val="00763451"/>
    <w:rsid w:val="00763696"/>
    <w:rsid w:val="00763727"/>
    <w:rsid w:val="00764184"/>
    <w:rsid w:val="007646B8"/>
    <w:rsid w:val="0076492F"/>
    <w:rsid w:val="00764EFE"/>
    <w:rsid w:val="007652CB"/>
    <w:rsid w:val="00765EAE"/>
    <w:rsid w:val="00766756"/>
    <w:rsid w:val="00767E95"/>
    <w:rsid w:val="00770645"/>
    <w:rsid w:val="00770B8D"/>
    <w:rsid w:val="00770FB9"/>
    <w:rsid w:val="007710DA"/>
    <w:rsid w:val="007713FC"/>
    <w:rsid w:val="007714AF"/>
    <w:rsid w:val="0077282D"/>
    <w:rsid w:val="00772C22"/>
    <w:rsid w:val="00773167"/>
    <w:rsid w:val="00773203"/>
    <w:rsid w:val="0077321C"/>
    <w:rsid w:val="00773775"/>
    <w:rsid w:val="0077378A"/>
    <w:rsid w:val="00773996"/>
    <w:rsid w:val="007745B0"/>
    <w:rsid w:val="00774DCF"/>
    <w:rsid w:val="00774F54"/>
    <w:rsid w:val="007751F3"/>
    <w:rsid w:val="00775D39"/>
    <w:rsid w:val="00776587"/>
    <w:rsid w:val="00776594"/>
    <w:rsid w:val="00776618"/>
    <w:rsid w:val="007773BD"/>
    <w:rsid w:val="0078210D"/>
    <w:rsid w:val="0078242A"/>
    <w:rsid w:val="00782847"/>
    <w:rsid w:val="007834A9"/>
    <w:rsid w:val="00783719"/>
    <w:rsid w:val="00785633"/>
    <w:rsid w:val="0078596A"/>
    <w:rsid w:val="00785C66"/>
    <w:rsid w:val="00786503"/>
    <w:rsid w:val="00787FCF"/>
    <w:rsid w:val="00790878"/>
    <w:rsid w:val="007909BD"/>
    <w:rsid w:val="00791424"/>
    <w:rsid w:val="00791858"/>
    <w:rsid w:val="00791D47"/>
    <w:rsid w:val="007932E7"/>
    <w:rsid w:val="007936CF"/>
    <w:rsid w:val="00793E94"/>
    <w:rsid w:val="0079422D"/>
    <w:rsid w:val="007942F6"/>
    <w:rsid w:val="0079485C"/>
    <w:rsid w:val="00795A12"/>
    <w:rsid w:val="00796090"/>
    <w:rsid w:val="00796157"/>
    <w:rsid w:val="0079705F"/>
    <w:rsid w:val="00797A6E"/>
    <w:rsid w:val="00797B82"/>
    <w:rsid w:val="00797F64"/>
    <w:rsid w:val="007A0167"/>
    <w:rsid w:val="007A0728"/>
    <w:rsid w:val="007A0804"/>
    <w:rsid w:val="007A0D37"/>
    <w:rsid w:val="007A1282"/>
    <w:rsid w:val="007A1B71"/>
    <w:rsid w:val="007A1F66"/>
    <w:rsid w:val="007A261E"/>
    <w:rsid w:val="007A280C"/>
    <w:rsid w:val="007A2939"/>
    <w:rsid w:val="007A33CA"/>
    <w:rsid w:val="007A3994"/>
    <w:rsid w:val="007A3D3D"/>
    <w:rsid w:val="007A43B5"/>
    <w:rsid w:val="007A55C3"/>
    <w:rsid w:val="007A5BC9"/>
    <w:rsid w:val="007A6136"/>
    <w:rsid w:val="007A6199"/>
    <w:rsid w:val="007A66F0"/>
    <w:rsid w:val="007A686F"/>
    <w:rsid w:val="007A691A"/>
    <w:rsid w:val="007A6AA2"/>
    <w:rsid w:val="007A6CF4"/>
    <w:rsid w:val="007A708B"/>
    <w:rsid w:val="007A73A0"/>
    <w:rsid w:val="007A7D6D"/>
    <w:rsid w:val="007A7DB9"/>
    <w:rsid w:val="007B0872"/>
    <w:rsid w:val="007B0F01"/>
    <w:rsid w:val="007B1195"/>
    <w:rsid w:val="007B1600"/>
    <w:rsid w:val="007B1BDA"/>
    <w:rsid w:val="007B1E9E"/>
    <w:rsid w:val="007B216D"/>
    <w:rsid w:val="007B29BA"/>
    <w:rsid w:val="007B3315"/>
    <w:rsid w:val="007B3948"/>
    <w:rsid w:val="007B3C8F"/>
    <w:rsid w:val="007B457A"/>
    <w:rsid w:val="007B467A"/>
    <w:rsid w:val="007B4F11"/>
    <w:rsid w:val="007B5283"/>
    <w:rsid w:val="007B56E4"/>
    <w:rsid w:val="007B5E95"/>
    <w:rsid w:val="007B7071"/>
    <w:rsid w:val="007B72DD"/>
    <w:rsid w:val="007B7574"/>
    <w:rsid w:val="007B757C"/>
    <w:rsid w:val="007B7CF8"/>
    <w:rsid w:val="007C0101"/>
    <w:rsid w:val="007C0129"/>
    <w:rsid w:val="007C16A9"/>
    <w:rsid w:val="007C2750"/>
    <w:rsid w:val="007C2F42"/>
    <w:rsid w:val="007C313A"/>
    <w:rsid w:val="007C373A"/>
    <w:rsid w:val="007C3E70"/>
    <w:rsid w:val="007C3FAB"/>
    <w:rsid w:val="007C4176"/>
    <w:rsid w:val="007C431E"/>
    <w:rsid w:val="007C509A"/>
    <w:rsid w:val="007C546B"/>
    <w:rsid w:val="007C5EA1"/>
    <w:rsid w:val="007C673D"/>
    <w:rsid w:val="007C67D0"/>
    <w:rsid w:val="007C6AE0"/>
    <w:rsid w:val="007C6DE7"/>
    <w:rsid w:val="007C76FA"/>
    <w:rsid w:val="007D0651"/>
    <w:rsid w:val="007D0698"/>
    <w:rsid w:val="007D13D1"/>
    <w:rsid w:val="007D1435"/>
    <w:rsid w:val="007D17F6"/>
    <w:rsid w:val="007D191A"/>
    <w:rsid w:val="007D1A80"/>
    <w:rsid w:val="007D1C76"/>
    <w:rsid w:val="007D1CA9"/>
    <w:rsid w:val="007D277D"/>
    <w:rsid w:val="007D3BE6"/>
    <w:rsid w:val="007D3D66"/>
    <w:rsid w:val="007D3EAA"/>
    <w:rsid w:val="007D4C1E"/>
    <w:rsid w:val="007D4D2E"/>
    <w:rsid w:val="007D53AF"/>
    <w:rsid w:val="007D5CDC"/>
    <w:rsid w:val="007D6928"/>
    <w:rsid w:val="007D7001"/>
    <w:rsid w:val="007D738C"/>
    <w:rsid w:val="007D7A79"/>
    <w:rsid w:val="007E01D8"/>
    <w:rsid w:val="007E0577"/>
    <w:rsid w:val="007E0877"/>
    <w:rsid w:val="007E0A09"/>
    <w:rsid w:val="007E0BAA"/>
    <w:rsid w:val="007E27AC"/>
    <w:rsid w:val="007E329D"/>
    <w:rsid w:val="007E459F"/>
    <w:rsid w:val="007E45FD"/>
    <w:rsid w:val="007E5221"/>
    <w:rsid w:val="007E5A92"/>
    <w:rsid w:val="007E6D24"/>
    <w:rsid w:val="007E7162"/>
    <w:rsid w:val="007E77C0"/>
    <w:rsid w:val="007E7A10"/>
    <w:rsid w:val="007E7BE6"/>
    <w:rsid w:val="007E7C1F"/>
    <w:rsid w:val="007E7D10"/>
    <w:rsid w:val="007F1688"/>
    <w:rsid w:val="007F2817"/>
    <w:rsid w:val="007F2DD9"/>
    <w:rsid w:val="007F4946"/>
    <w:rsid w:val="007F4B14"/>
    <w:rsid w:val="007F4EBB"/>
    <w:rsid w:val="007F5067"/>
    <w:rsid w:val="007F51B2"/>
    <w:rsid w:val="007F51E8"/>
    <w:rsid w:val="007F5801"/>
    <w:rsid w:val="007F61A0"/>
    <w:rsid w:val="007F750A"/>
    <w:rsid w:val="007F75A4"/>
    <w:rsid w:val="007F7D89"/>
    <w:rsid w:val="0080015E"/>
    <w:rsid w:val="0080179B"/>
    <w:rsid w:val="008017AC"/>
    <w:rsid w:val="00801C8B"/>
    <w:rsid w:val="00801F83"/>
    <w:rsid w:val="008020EB"/>
    <w:rsid w:val="00802C11"/>
    <w:rsid w:val="00803941"/>
    <w:rsid w:val="008043B2"/>
    <w:rsid w:val="00804650"/>
    <w:rsid w:val="00804E12"/>
    <w:rsid w:val="00806ACF"/>
    <w:rsid w:val="00806DB4"/>
    <w:rsid w:val="00806F50"/>
    <w:rsid w:val="00807B16"/>
    <w:rsid w:val="008103A2"/>
    <w:rsid w:val="00811EA0"/>
    <w:rsid w:val="00812091"/>
    <w:rsid w:val="00812C89"/>
    <w:rsid w:val="00813250"/>
    <w:rsid w:val="00813753"/>
    <w:rsid w:val="00813AEF"/>
    <w:rsid w:val="00814145"/>
    <w:rsid w:val="00814469"/>
    <w:rsid w:val="008144B2"/>
    <w:rsid w:val="008145D6"/>
    <w:rsid w:val="008146E3"/>
    <w:rsid w:val="00815982"/>
    <w:rsid w:val="00815B56"/>
    <w:rsid w:val="00815B85"/>
    <w:rsid w:val="00816336"/>
    <w:rsid w:val="008167BC"/>
    <w:rsid w:val="00816986"/>
    <w:rsid w:val="008176B4"/>
    <w:rsid w:val="0081785E"/>
    <w:rsid w:val="00817BE3"/>
    <w:rsid w:val="00817D6A"/>
    <w:rsid w:val="008208FF"/>
    <w:rsid w:val="00820B1D"/>
    <w:rsid w:val="00820D76"/>
    <w:rsid w:val="00821131"/>
    <w:rsid w:val="008215B8"/>
    <w:rsid w:val="00821F6E"/>
    <w:rsid w:val="00822288"/>
    <w:rsid w:val="008222AC"/>
    <w:rsid w:val="0082330A"/>
    <w:rsid w:val="0082416B"/>
    <w:rsid w:val="008241C1"/>
    <w:rsid w:val="008241E7"/>
    <w:rsid w:val="00824E71"/>
    <w:rsid w:val="008259D1"/>
    <w:rsid w:val="00825BD5"/>
    <w:rsid w:val="00825F41"/>
    <w:rsid w:val="00827419"/>
    <w:rsid w:val="00827EA7"/>
    <w:rsid w:val="008304BE"/>
    <w:rsid w:val="00830766"/>
    <w:rsid w:val="00830971"/>
    <w:rsid w:val="00830EAB"/>
    <w:rsid w:val="00830F37"/>
    <w:rsid w:val="008314AF"/>
    <w:rsid w:val="0083183F"/>
    <w:rsid w:val="00831F79"/>
    <w:rsid w:val="0083222C"/>
    <w:rsid w:val="008322E4"/>
    <w:rsid w:val="008335B7"/>
    <w:rsid w:val="00833D11"/>
    <w:rsid w:val="00834392"/>
    <w:rsid w:val="008344DF"/>
    <w:rsid w:val="008344E3"/>
    <w:rsid w:val="00834995"/>
    <w:rsid w:val="00834B73"/>
    <w:rsid w:val="00834F89"/>
    <w:rsid w:val="008350F6"/>
    <w:rsid w:val="008352D4"/>
    <w:rsid w:val="008363BD"/>
    <w:rsid w:val="00836801"/>
    <w:rsid w:val="00837369"/>
    <w:rsid w:val="00840885"/>
    <w:rsid w:val="00840BBA"/>
    <w:rsid w:val="00841E31"/>
    <w:rsid w:val="00842407"/>
    <w:rsid w:val="00842E36"/>
    <w:rsid w:val="00843350"/>
    <w:rsid w:val="00844337"/>
    <w:rsid w:val="00844552"/>
    <w:rsid w:val="008446D1"/>
    <w:rsid w:val="00844F42"/>
    <w:rsid w:val="00845095"/>
    <w:rsid w:val="008451A0"/>
    <w:rsid w:val="008459B2"/>
    <w:rsid w:val="00845BB6"/>
    <w:rsid w:val="00845F06"/>
    <w:rsid w:val="0084786D"/>
    <w:rsid w:val="00847C1A"/>
    <w:rsid w:val="008500A0"/>
    <w:rsid w:val="008503FE"/>
    <w:rsid w:val="00851537"/>
    <w:rsid w:val="00852479"/>
    <w:rsid w:val="00852FF6"/>
    <w:rsid w:val="008531E9"/>
    <w:rsid w:val="00853395"/>
    <w:rsid w:val="00853BE8"/>
    <w:rsid w:val="00853D84"/>
    <w:rsid w:val="0085414F"/>
    <w:rsid w:val="0085415D"/>
    <w:rsid w:val="00855DAF"/>
    <w:rsid w:val="00856114"/>
    <w:rsid w:val="008563C9"/>
    <w:rsid w:val="00856A30"/>
    <w:rsid w:val="00856EA1"/>
    <w:rsid w:val="00857030"/>
    <w:rsid w:val="00857AD6"/>
    <w:rsid w:val="00861EA5"/>
    <w:rsid w:val="00862982"/>
    <w:rsid w:val="00862B82"/>
    <w:rsid w:val="008635F4"/>
    <w:rsid w:val="00863B98"/>
    <w:rsid w:val="00863DCE"/>
    <w:rsid w:val="0086440D"/>
    <w:rsid w:val="00864740"/>
    <w:rsid w:val="00864927"/>
    <w:rsid w:val="00864C10"/>
    <w:rsid w:val="00864F36"/>
    <w:rsid w:val="0086544E"/>
    <w:rsid w:val="0086585A"/>
    <w:rsid w:val="00865A16"/>
    <w:rsid w:val="008666D9"/>
    <w:rsid w:val="00866BCC"/>
    <w:rsid w:val="00866D11"/>
    <w:rsid w:val="00866E72"/>
    <w:rsid w:val="00866FA3"/>
    <w:rsid w:val="008675A1"/>
    <w:rsid w:val="00867FE0"/>
    <w:rsid w:val="00870784"/>
    <w:rsid w:val="00870B09"/>
    <w:rsid w:val="00870B9D"/>
    <w:rsid w:val="00870BDC"/>
    <w:rsid w:val="00871EA3"/>
    <w:rsid w:val="008721F0"/>
    <w:rsid w:val="0087339A"/>
    <w:rsid w:val="00873CC4"/>
    <w:rsid w:val="008740E9"/>
    <w:rsid w:val="0087477E"/>
    <w:rsid w:val="00875286"/>
    <w:rsid w:val="00875650"/>
    <w:rsid w:val="00875F76"/>
    <w:rsid w:val="00876166"/>
    <w:rsid w:val="00877859"/>
    <w:rsid w:val="00877D84"/>
    <w:rsid w:val="0088008A"/>
    <w:rsid w:val="008801AD"/>
    <w:rsid w:val="00880597"/>
    <w:rsid w:val="0088069E"/>
    <w:rsid w:val="008809B5"/>
    <w:rsid w:val="00880AFC"/>
    <w:rsid w:val="00880F04"/>
    <w:rsid w:val="0088111E"/>
    <w:rsid w:val="008813BB"/>
    <w:rsid w:val="008813F1"/>
    <w:rsid w:val="00881E0D"/>
    <w:rsid w:val="008822D4"/>
    <w:rsid w:val="00882FAE"/>
    <w:rsid w:val="008833F3"/>
    <w:rsid w:val="0088444A"/>
    <w:rsid w:val="0088448C"/>
    <w:rsid w:val="00885452"/>
    <w:rsid w:val="00885511"/>
    <w:rsid w:val="00885AC7"/>
    <w:rsid w:val="00885C52"/>
    <w:rsid w:val="008865B0"/>
    <w:rsid w:val="00886EBE"/>
    <w:rsid w:val="00886FBB"/>
    <w:rsid w:val="00887769"/>
    <w:rsid w:val="0088784E"/>
    <w:rsid w:val="008879F9"/>
    <w:rsid w:val="00887EFB"/>
    <w:rsid w:val="0089007B"/>
    <w:rsid w:val="008911CD"/>
    <w:rsid w:val="008916BB"/>
    <w:rsid w:val="00891857"/>
    <w:rsid w:val="008919B2"/>
    <w:rsid w:val="00891FD0"/>
    <w:rsid w:val="0089217C"/>
    <w:rsid w:val="0089279E"/>
    <w:rsid w:val="008929A1"/>
    <w:rsid w:val="00892B93"/>
    <w:rsid w:val="008931FD"/>
    <w:rsid w:val="00893956"/>
    <w:rsid w:val="008945EF"/>
    <w:rsid w:val="008954E5"/>
    <w:rsid w:val="0089586A"/>
    <w:rsid w:val="00895B04"/>
    <w:rsid w:val="00895B1C"/>
    <w:rsid w:val="00895B2B"/>
    <w:rsid w:val="008964EF"/>
    <w:rsid w:val="008964F7"/>
    <w:rsid w:val="00896849"/>
    <w:rsid w:val="008A005A"/>
    <w:rsid w:val="008A05FD"/>
    <w:rsid w:val="008A0A28"/>
    <w:rsid w:val="008A0F73"/>
    <w:rsid w:val="008A1028"/>
    <w:rsid w:val="008A16C9"/>
    <w:rsid w:val="008A177A"/>
    <w:rsid w:val="008A181B"/>
    <w:rsid w:val="008A19EB"/>
    <w:rsid w:val="008A1A6F"/>
    <w:rsid w:val="008A1CD0"/>
    <w:rsid w:val="008A20C3"/>
    <w:rsid w:val="008A24CF"/>
    <w:rsid w:val="008A2640"/>
    <w:rsid w:val="008A26E4"/>
    <w:rsid w:val="008A2794"/>
    <w:rsid w:val="008A2D5D"/>
    <w:rsid w:val="008A39AE"/>
    <w:rsid w:val="008A4313"/>
    <w:rsid w:val="008A4A8D"/>
    <w:rsid w:val="008A4B15"/>
    <w:rsid w:val="008A5DC5"/>
    <w:rsid w:val="008A6511"/>
    <w:rsid w:val="008A69F9"/>
    <w:rsid w:val="008A6EBC"/>
    <w:rsid w:val="008A755D"/>
    <w:rsid w:val="008A76C5"/>
    <w:rsid w:val="008A7F27"/>
    <w:rsid w:val="008B0D3D"/>
    <w:rsid w:val="008B143A"/>
    <w:rsid w:val="008B1DD2"/>
    <w:rsid w:val="008B1FED"/>
    <w:rsid w:val="008B2BE2"/>
    <w:rsid w:val="008B2D46"/>
    <w:rsid w:val="008B3818"/>
    <w:rsid w:val="008B43BA"/>
    <w:rsid w:val="008B462F"/>
    <w:rsid w:val="008B4E2D"/>
    <w:rsid w:val="008B5544"/>
    <w:rsid w:val="008B581D"/>
    <w:rsid w:val="008B5B21"/>
    <w:rsid w:val="008B5D46"/>
    <w:rsid w:val="008B5E9E"/>
    <w:rsid w:val="008B6970"/>
    <w:rsid w:val="008B6D65"/>
    <w:rsid w:val="008B6E37"/>
    <w:rsid w:val="008B74A6"/>
    <w:rsid w:val="008B76DF"/>
    <w:rsid w:val="008C005D"/>
    <w:rsid w:val="008C03A0"/>
    <w:rsid w:val="008C0558"/>
    <w:rsid w:val="008C06B6"/>
    <w:rsid w:val="008C1134"/>
    <w:rsid w:val="008C1D64"/>
    <w:rsid w:val="008C2387"/>
    <w:rsid w:val="008C2927"/>
    <w:rsid w:val="008C2C2F"/>
    <w:rsid w:val="008C6153"/>
    <w:rsid w:val="008C6746"/>
    <w:rsid w:val="008C6FE1"/>
    <w:rsid w:val="008C73D3"/>
    <w:rsid w:val="008C77A4"/>
    <w:rsid w:val="008D08A5"/>
    <w:rsid w:val="008D0A02"/>
    <w:rsid w:val="008D1986"/>
    <w:rsid w:val="008D3506"/>
    <w:rsid w:val="008D3817"/>
    <w:rsid w:val="008D4AC4"/>
    <w:rsid w:val="008D4B6F"/>
    <w:rsid w:val="008D5296"/>
    <w:rsid w:val="008D5561"/>
    <w:rsid w:val="008D55D7"/>
    <w:rsid w:val="008D565F"/>
    <w:rsid w:val="008D5705"/>
    <w:rsid w:val="008D5B63"/>
    <w:rsid w:val="008D5C06"/>
    <w:rsid w:val="008D6145"/>
    <w:rsid w:val="008D6E2A"/>
    <w:rsid w:val="008D714D"/>
    <w:rsid w:val="008D7158"/>
    <w:rsid w:val="008D7950"/>
    <w:rsid w:val="008E062F"/>
    <w:rsid w:val="008E094B"/>
    <w:rsid w:val="008E0B71"/>
    <w:rsid w:val="008E16AC"/>
    <w:rsid w:val="008E271E"/>
    <w:rsid w:val="008E3204"/>
    <w:rsid w:val="008E335A"/>
    <w:rsid w:val="008E35D2"/>
    <w:rsid w:val="008E373F"/>
    <w:rsid w:val="008E3BD8"/>
    <w:rsid w:val="008E42D1"/>
    <w:rsid w:val="008E4803"/>
    <w:rsid w:val="008E4BB0"/>
    <w:rsid w:val="008E5477"/>
    <w:rsid w:val="008E6A6D"/>
    <w:rsid w:val="008E6E2E"/>
    <w:rsid w:val="008E74CF"/>
    <w:rsid w:val="008E7717"/>
    <w:rsid w:val="008E7A6D"/>
    <w:rsid w:val="008F07C9"/>
    <w:rsid w:val="008F0A4A"/>
    <w:rsid w:val="008F0D08"/>
    <w:rsid w:val="008F10FD"/>
    <w:rsid w:val="008F1105"/>
    <w:rsid w:val="008F1487"/>
    <w:rsid w:val="008F1778"/>
    <w:rsid w:val="008F1A7B"/>
    <w:rsid w:val="008F26D7"/>
    <w:rsid w:val="008F2799"/>
    <w:rsid w:val="008F2C98"/>
    <w:rsid w:val="008F2FAF"/>
    <w:rsid w:val="008F3075"/>
    <w:rsid w:val="008F3A2A"/>
    <w:rsid w:val="008F5273"/>
    <w:rsid w:val="008F5CE3"/>
    <w:rsid w:val="008F6799"/>
    <w:rsid w:val="008F6AFE"/>
    <w:rsid w:val="008F7166"/>
    <w:rsid w:val="008F7345"/>
    <w:rsid w:val="008F77C9"/>
    <w:rsid w:val="009000BB"/>
    <w:rsid w:val="009002B9"/>
    <w:rsid w:val="00900361"/>
    <w:rsid w:val="00900E70"/>
    <w:rsid w:val="0090133D"/>
    <w:rsid w:val="009013ED"/>
    <w:rsid w:val="009014E6"/>
    <w:rsid w:val="0090189A"/>
    <w:rsid w:val="00901BC8"/>
    <w:rsid w:val="009020B7"/>
    <w:rsid w:val="009026B9"/>
    <w:rsid w:val="00902C30"/>
    <w:rsid w:val="009032C0"/>
    <w:rsid w:val="00904575"/>
    <w:rsid w:val="009047D7"/>
    <w:rsid w:val="00905224"/>
    <w:rsid w:val="00905558"/>
    <w:rsid w:val="00905EF7"/>
    <w:rsid w:val="00905FA7"/>
    <w:rsid w:val="00907E0A"/>
    <w:rsid w:val="00910CA1"/>
    <w:rsid w:val="00911163"/>
    <w:rsid w:val="00911538"/>
    <w:rsid w:val="00911C0A"/>
    <w:rsid w:val="009124DC"/>
    <w:rsid w:val="00913211"/>
    <w:rsid w:val="00914F44"/>
    <w:rsid w:val="00915156"/>
    <w:rsid w:val="0091633C"/>
    <w:rsid w:val="0091694D"/>
    <w:rsid w:val="00916E0A"/>
    <w:rsid w:val="00917502"/>
    <w:rsid w:val="009200C3"/>
    <w:rsid w:val="00920731"/>
    <w:rsid w:val="0092091C"/>
    <w:rsid w:val="00920B00"/>
    <w:rsid w:val="009212BE"/>
    <w:rsid w:val="00921401"/>
    <w:rsid w:val="009214C0"/>
    <w:rsid w:val="00922B2E"/>
    <w:rsid w:val="00923BC2"/>
    <w:rsid w:val="009242F6"/>
    <w:rsid w:val="00924318"/>
    <w:rsid w:val="009246B0"/>
    <w:rsid w:val="00924BA1"/>
    <w:rsid w:val="00925707"/>
    <w:rsid w:val="00925E59"/>
    <w:rsid w:val="00925FC6"/>
    <w:rsid w:val="0092631B"/>
    <w:rsid w:val="009269D7"/>
    <w:rsid w:val="00926CAE"/>
    <w:rsid w:val="00930243"/>
    <w:rsid w:val="00930AD2"/>
    <w:rsid w:val="00930B78"/>
    <w:rsid w:val="00930F30"/>
    <w:rsid w:val="0093162E"/>
    <w:rsid w:val="009319C7"/>
    <w:rsid w:val="00931A4D"/>
    <w:rsid w:val="00932682"/>
    <w:rsid w:val="009342C8"/>
    <w:rsid w:val="00934379"/>
    <w:rsid w:val="0093475D"/>
    <w:rsid w:val="00934B69"/>
    <w:rsid w:val="00934BAF"/>
    <w:rsid w:val="009356EC"/>
    <w:rsid w:val="0093592E"/>
    <w:rsid w:val="009371A8"/>
    <w:rsid w:val="00937735"/>
    <w:rsid w:val="0093779D"/>
    <w:rsid w:val="00940224"/>
    <w:rsid w:val="009406C2"/>
    <w:rsid w:val="009413D8"/>
    <w:rsid w:val="00941480"/>
    <w:rsid w:val="009428FE"/>
    <w:rsid w:val="0094339F"/>
    <w:rsid w:val="0094346F"/>
    <w:rsid w:val="009434E9"/>
    <w:rsid w:val="00943598"/>
    <w:rsid w:val="009439BF"/>
    <w:rsid w:val="00943FD8"/>
    <w:rsid w:val="00944334"/>
    <w:rsid w:val="00944854"/>
    <w:rsid w:val="00944A82"/>
    <w:rsid w:val="0094515F"/>
    <w:rsid w:val="0094518D"/>
    <w:rsid w:val="00945E76"/>
    <w:rsid w:val="00946466"/>
    <w:rsid w:val="009465D3"/>
    <w:rsid w:val="009465E0"/>
    <w:rsid w:val="00947173"/>
    <w:rsid w:val="009472A2"/>
    <w:rsid w:val="009472F4"/>
    <w:rsid w:val="00950228"/>
    <w:rsid w:val="009506C0"/>
    <w:rsid w:val="00950B8F"/>
    <w:rsid w:val="0095138D"/>
    <w:rsid w:val="009520DC"/>
    <w:rsid w:val="00952321"/>
    <w:rsid w:val="009523C0"/>
    <w:rsid w:val="009526BC"/>
    <w:rsid w:val="009526FC"/>
    <w:rsid w:val="00952BF9"/>
    <w:rsid w:val="0095350D"/>
    <w:rsid w:val="00953805"/>
    <w:rsid w:val="00953992"/>
    <w:rsid w:val="00953C88"/>
    <w:rsid w:val="00954259"/>
    <w:rsid w:val="009542D4"/>
    <w:rsid w:val="009542EA"/>
    <w:rsid w:val="00954FD5"/>
    <w:rsid w:val="00956806"/>
    <w:rsid w:val="00957DEA"/>
    <w:rsid w:val="00957F4C"/>
    <w:rsid w:val="009603A3"/>
    <w:rsid w:val="00960687"/>
    <w:rsid w:val="00961743"/>
    <w:rsid w:val="00961E3E"/>
    <w:rsid w:val="00962034"/>
    <w:rsid w:val="009626C5"/>
    <w:rsid w:val="00962DEE"/>
    <w:rsid w:val="00962E89"/>
    <w:rsid w:val="0096321A"/>
    <w:rsid w:val="00963565"/>
    <w:rsid w:val="00963EB5"/>
    <w:rsid w:val="00963EC9"/>
    <w:rsid w:val="009640F8"/>
    <w:rsid w:val="0096415B"/>
    <w:rsid w:val="00964239"/>
    <w:rsid w:val="009648F2"/>
    <w:rsid w:val="00964B15"/>
    <w:rsid w:val="00965936"/>
    <w:rsid w:val="009659FA"/>
    <w:rsid w:val="00965B4F"/>
    <w:rsid w:val="00965D37"/>
    <w:rsid w:val="009663F4"/>
    <w:rsid w:val="00966F91"/>
    <w:rsid w:val="009679EF"/>
    <w:rsid w:val="00967B31"/>
    <w:rsid w:val="00970FC1"/>
    <w:rsid w:val="00971599"/>
    <w:rsid w:val="00972E45"/>
    <w:rsid w:val="00973222"/>
    <w:rsid w:val="00973CA1"/>
    <w:rsid w:val="00974B25"/>
    <w:rsid w:val="00974BB2"/>
    <w:rsid w:val="00974CFB"/>
    <w:rsid w:val="00974E0B"/>
    <w:rsid w:val="00974E64"/>
    <w:rsid w:val="00974E93"/>
    <w:rsid w:val="0097510A"/>
    <w:rsid w:val="009751C0"/>
    <w:rsid w:val="00975337"/>
    <w:rsid w:val="00975578"/>
    <w:rsid w:val="009756D5"/>
    <w:rsid w:val="00975771"/>
    <w:rsid w:val="0097582B"/>
    <w:rsid w:val="00975A2A"/>
    <w:rsid w:val="009770F6"/>
    <w:rsid w:val="00977262"/>
    <w:rsid w:val="00977743"/>
    <w:rsid w:val="009806C9"/>
    <w:rsid w:val="0098097E"/>
    <w:rsid w:val="00980BA0"/>
    <w:rsid w:val="009810A8"/>
    <w:rsid w:val="00981E85"/>
    <w:rsid w:val="00981EF1"/>
    <w:rsid w:val="0098204A"/>
    <w:rsid w:val="00982621"/>
    <w:rsid w:val="009834F4"/>
    <w:rsid w:val="009836B9"/>
    <w:rsid w:val="00983922"/>
    <w:rsid w:val="00983C7B"/>
    <w:rsid w:val="0098583F"/>
    <w:rsid w:val="00985E06"/>
    <w:rsid w:val="009860A6"/>
    <w:rsid w:val="009860C4"/>
    <w:rsid w:val="009867E1"/>
    <w:rsid w:val="009877F0"/>
    <w:rsid w:val="009878C4"/>
    <w:rsid w:val="00987D8A"/>
    <w:rsid w:val="00991565"/>
    <w:rsid w:val="009921AF"/>
    <w:rsid w:val="0099265D"/>
    <w:rsid w:val="00992A64"/>
    <w:rsid w:val="00992F78"/>
    <w:rsid w:val="009930FA"/>
    <w:rsid w:val="009936EB"/>
    <w:rsid w:val="00994CFD"/>
    <w:rsid w:val="00994FA7"/>
    <w:rsid w:val="009953F8"/>
    <w:rsid w:val="00995A50"/>
    <w:rsid w:val="00996129"/>
    <w:rsid w:val="00996869"/>
    <w:rsid w:val="00996E18"/>
    <w:rsid w:val="00997F5C"/>
    <w:rsid w:val="009A0554"/>
    <w:rsid w:val="009A307A"/>
    <w:rsid w:val="009A3F3B"/>
    <w:rsid w:val="009A409D"/>
    <w:rsid w:val="009A42B6"/>
    <w:rsid w:val="009A5046"/>
    <w:rsid w:val="009A5697"/>
    <w:rsid w:val="009A5D6A"/>
    <w:rsid w:val="009A61DE"/>
    <w:rsid w:val="009A66BB"/>
    <w:rsid w:val="009A7050"/>
    <w:rsid w:val="009B17A0"/>
    <w:rsid w:val="009B1BFC"/>
    <w:rsid w:val="009B20D9"/>
    <w:rsid w:val="009B2603"/>
    <w:rsid w:val="009B3001"/>
    <w:rsid w:val="009B301E"/>
    <w:rsid w:val="009B33C2"/>
    <w:rsid w:val="009B3954"/>
    <w:rsid w:val="009B3FBD"/>
    <w:rsid w:val="009B551A"/>
    <w:rsid w:val="009B558C"/>
    <w:rsid w:val="009B5A12"/>
    <w:rsid w:val="009B5CD9"/>
    <w:rsid w:val="009B66B0"/>
    <w:rsid w:val="009B6906"/>
    <w:rsid w:val="009B6EFB"/>
    <w:rsid w:val="009B72B5"/>
    <w:rsid w:val="009C07A8"/>
    <w:rsid w:val="009C0C84"/>
    <w:rsid w:val="009C21AD"/>
    <w:rsid w:val="009C2BFC"/>
    <w:rsid w:val="009C3F73"/>
    <w:rsid w:val="009C5D73"/>
    <w:rsid w:val="009C5FD6"/>
    <w:rsid w:val="009C65CA"/>
    <w:rsid w:val="009C75F2"/>
    <w:rsid w:val="009C789D"/>
    <w:rsid w:val="009C7EA8"/>
    <w:rsid w:val="009D0339"/>
    <w:rsid w:val="009D0E13"/>
    <w:rsid w:val="009D0F3B"/>
    <w:rsid w:val="009D103F"/>
    <w:rsid w:val="009D2A7F"/>
    <w:rsid w:val="009D2BE8"/>
    <w:rsid w:val="009D364C"/>
    <w:rsid w:val="009D3F5D"/>
    <w:rsid w:val="009D4AFD"/>
    <w:rsid w:val="009D4C46"/>
    <w:rsid w:val="009D4EB3"/>
    <w:rsid w:val="009D5C48"/>
    <w:rsid w:val="009D5F63"/>
    <w:rsid w:val="009D6507"/>
    <w:rsid w:val="009D65DF"/>
    <w:rsid w:val="009D67FA"/>
    <w:rsid w:val="009D68B2"/>
    <w:rsid w:val="009D6AA1"/>
    <w:rsid w:val="009D6C27"/>
    <w:rsid w:val="009D7903"/>
    <w:rsid w:val="009D7908"/>
    <w:rsid w:val="009E01DB"/>
    <w:rsid w:val="009E0C4F"/>
    <w:rsid w:val="009E0D45"/>
    <w:rsid w:val="009E0ECB"/>
    <w:rsid w:val="009E1851"/>
    <w:rsid w:val="009E19C8"/>
    <w:rsid w:val="009E1A62"/>
    <w:rsid w:val="009E1E40"/>
    <w:rsid w:val="009E261D"/>
    <w:rsid w:val="009E3C2A"/>
    <w:rsid w:val="009E3D4B"/>
    <w:rsid w:val="009E47EB"/>
    <w:rsid w:val="009E65A6"/>
    <w:rsid w:val="009E6794"/>
    <w:rsid w:val="009E78B9"/>
    <w:rsid w:val="009F0104"/>
    <w:rsid w:val="009F0373"/>
    <w:rsid w:val="009F0C18"/>
    <w:rsid w:val="009F0C3D"/>
    <w:rsid w:val="009F110F"/>
    <w:rsid w:val="009F176E"/>
    <w:rsid w:val="009F191F"/>
    <w:rsid w:val="009F19A7"/>
    <w:rsid w:val="009F24A4"/>
    <w:rsid w:val="009F3166"/>
    <w:rsid w:val="009F41A3"/>
    <w:rsid w:val="009F4871"/>
    <w:rsid w:val="009F4922"/>
    <w:rsid w:val="009F5970"/>
    <w:rsid w:val="009F666A"/>
    <w:rsid w:val="009F6792"/>
    <w:rsid w:val="009F6FED"/>
    <w:rsid w:val="009F71DD"/>
    <w:rsid w:val="009F79AB"/>
    <w:rsid w:val="009F7B90"/>
    <w:rsid w:val="009F7DB4"/>
    <w:rsid w:val="00A001C8"/>
    <w:rsid w:val="00A002B3"/>
    <w:rsid w:val="00A00490"/>
    <w:rsid w:val="00A00600"/>
    <w:rsid w:val="00A00C4B"/>
    <w:rsid w:val="00A00CFC"/>
    <w:rsid w:val="00A016B6"/>
    <w:rsid w:val="00A016B9"/>
    <w:rsid w:val="00A019F3"/>
    <w:rsid w:val="00A0228A"/>
    <w:rsid w:val="00A02BC7"/>
    <w:rsid w:val="00A0357D"/>
    <w:rsid w:val="00A03F38"/>
    <w:rsid w:val="00A043E7"/>
    <w:rsid w:val="00A044A5"/>
    <w:rsid w:val="00A046A0"/>
    <w:rsid w:val="00A04F03"/>
    <w:rsid w:val="00A055AF"/>
    <w:rsid w:val="00A05DEC"/>
    <w:rsid w:val="00A06914"/>
    <w:rsid w:val="00A06991"/>
    <w:rsid w:val="00A069EC"/>
    <w:rsid w:val="00A06F1C"/>
    <w:rsid w:val="00A07324"/>
    <w:rsid w:val="00A07981"/>
    <w:rsid w:val="00A10AEA"/>
    <w:rsid w:val="00A10C1F"/>
    <w:rsid w:val="00A10FB8"/>
    <w:rsid w:val="00A118C0"/>
    <w:rsid w:val="00A11929"/>
    <w:rsid w:val="00A11BF2"/>
    <w:rsid w:val="00A11E45"/>
    <w:rsid w:val="00A11F7B"/>
    <w:rsid w:val="00A1249C"/>
    <w:rsid w:val="00A12C2C"/>
    <w:rsid w:val="00A14574"/>
    <w:rsid w:val="00A146B3"/>
    <w:rsid w:val="00A1495E"/>
    <w:rsid w:val="00A15A79"/>
    <w:rsid w:val="00A15B38"/>
    <w:rsid w:val="00A15CEB"/>
    <w:rsid w:val="00A16A17"/>
    <w:rsid w:val="00A16CAB"/>
    <w:rsid w:val="00A17CDB"/>
    <w:rsid w:val="00A20022"/>
    <w:rsid w:val="00A21825"/>
    <w:rsid w:val="00A21A52"/>
    <w:rsid w:val="00A220CC"/>
    <w:rsid w:val="00A22120"/>
    <w:rsid w:val="00A2331A"/>
    <w:rsid w:val="00A2335E"/>
    <w:rsid w:val="00A237A8"/>
    <w:rsid w:val="00A23BBD"/>
    <w:rsid w:val="00A23BF4"/>
    <w:rsid w:val="00A263CA"/>
    <w:rsid w:val="00A2792F"/>
    <w:rsid w:val="00A2795A"/>
    <w:rsid w:val="00A30025"/>
    <w:rsid w:val="00A300D7"/>
    <w:rsid w:val="00A30377"/>
    <w:rsid w:val="00A308D0"/>
    <w:rsid w:val="00A30F5D"/>
    <w:rsid w:val="00A31568"/>
    <w:rsid w:val="00A3211D"/>
    <w:rsid w:val="00A3325A"/>
    <w:rsid w:val="00A33B91"/>
    <w:rsid w:val="00A33BD5"/>
    <w:rsid w:val="00A341E7"/>
    <w:rsid w:val="00A343D3"/>
    <w:rsid w:val="00A346A9"/>
    <w:rsid w:val="00A34D74"/>
    <w:rsid w:val="00A35187"/>
    <w:rsid w:val="00A37582"/>
    <w:rsid w:val="00A37A50"/>
    <w:rsid w:val="00A40038"/>
    <w:rsid w:val="00A402BA"/>
    <w:rsid w:val="00A4071C"/>
    <w:rsid w:val="00A415A3"/>
    <w:rsid w:val="00A419C9"/>
    <w:rsid w:val="00A41D4F"/>
    <w:rsid w:val="00A41D9F"/>
    <w:rsid w:val="00A41E05"/>
    <w:rsid w:val="00A421D8"/>
    <w:rsid w:val="00A42257"/>
    <w:rsid w:val="00A422AD"/>
    <w:rsid w:val="00A42489"/>
    <w:rsid w:val="00A431D4"/>
    <w:rsid w:val="00A437CE"/>
    <w:rsid w:val="00A439AC"/>
    <w:rsid w:val="00A439C8"/>
    <w:rsid w:val="00A43A3A"/>
    <w:rsid w:val="00A43C78"/>
    <w:rsid w:val="00A43CCB"/>
    <w:rsid w:val="00A4469F"/>
    <w:rsid w:val="00A44A88"/>
    <w:rsid w:val="00A44C3D"/>
    <w:rsid w:val="00A44FA7"/>
    <w:rsid w:val="00A45450"/>
    <w:rsid w:val="00A45C4C"/>
    <w:rsid w:val="00A46117"/>
    <w:rsid w:val="00A46578"/>
    <w:rsid w:val="00A46780"/>
    <w:rsid w:val="00A46B97"/>
    <w:rsid w:val="00A47A88"/>
    <w:rsid w:val="00A47B70"/>
    <w:rsid w:val="00A51097"/>
    <w:rsid w:val="00A517F9"/>
    <w:rsid w:val="00A51C07"/>
    <w:rsid w:val="00A51FA6"/>
    <w:rsid w:val="00A5223B"/>
    <w:rsid w:val="00A5268F"/>
    <w:rsid w:val="00A5287E"/>
    <w:rsid w:val="00A53199"/>
    <w:rsid w:val="00A54301"/>
    <w:rsid w:val="00A547AC"/>
    <w:rsid w:val="00A54BE6"/>
    <w:rsid w:val="00A554A9"/>
    <w:rsid w:val="00A5654B"/>
    <w:rsid w:val="00A56AAF"/>
    <w:rsid w:val="00A56B5D"/>
    <w:rsid w:val="00A570A4"/>
    <w:rsid w:val="00A6027D"/>
    <w:rsid w:val="00A6041E"/>
    <w:rsid w:val="00A60C7E"/>
    <w:rsid w:val="00A60E99"/>
    <w:rsid w:val="00A6102F"/>
    <w:rsid w:val="00A611D5"/>
    <w:rsid w:val="00A612ED"/>
    <w:rsid w:val="00A61329"/>
    <w:rsid w:val="00A6155B"/>
    <w:rsid w:val="00A61DA4"/>
    <w:rsid w:val="00A623CE"/>
    <w:rsid w:val="00A62907"/>
    <w:rsid w:val="00A62960"/>
    <w:rsid w:val="00A62B56"/>
    <w:rsid w:val="00A62DF0"/>
    <w:rsid w:val="00A630A1"/>
    <w:rsid w:val="00A63BBE"/>
    <w:rsid w:val="00A6477E"/>
    <w:rsid w:val="00A64ACE"/>
    <w:rsid w:val="00A653CD"/>
    <w:rsid w:val="00A655C5"/>
    <w:rsid w:val="00A6586B"/>
    <w:rsid w:val="00A66AA7"/>
    <w:rsid w:val="00A674F2"/>
    <w:rsid w:val="00A702A5"/>
    <w:rsid w:val="00A708A3"/>
    <w:rsid w:val="00A70917"/>
    <w:rsid w:val="00A709D4"/>
    <w:rsid w:val="00A70EBD"/>
    <w:rsid w:val="00A71246"/>
    <w:rsid w:val="00A7171F"/>
    <w:rsid w:val="00A71F7F"/>
    <w:rsid w:val="00A72F18"/>
    <w:rsid w:val="00A73E78"/>
    <w:rsid w:val="00A74728"/>
    <w:rsid w:val="00A74C91"/>
    <w:rsid w:val="00A74F98"/>
    <w:rsid w:val="00A75AD9"/>
    <w:rsid w:val="00A760DF"/>
    <w:rsid w:val="00A7659D"/>
    <w:rsid w:val="00A767F5"/>
    <w:rsid w:val="00A76B20"/>
    <w:rsid w:val="00A8020A"/>
    <w:rsid w:val="00A8161A"/>
    <w:rsid w:val="00A81BF9"/>
    <w:rsid w:val="00A823EB"/>
    <w:rsid w:val="00A82ACD"/>
    <w:rsid w:val="00A8353E"/>
    <w:rsid w:val="00A838D9"/>
    <w:rsid w:val="00A83AD4"/>
    <w:rsid w:val="00A84233"/>
    <w:rsid w:val="00A842D9"/>
    <w:rsid w:val="00A856E8"/>
    <w:rsid w:val="00A85F50"/>
    <w:rsid w:val="00A86DDE"/>
    <w:rsid w:val="00A87505"/>
    <w:rsid w:val="00A875CB"/>
    <w:rsid w:val="00A90BD8"/>
    <w:rsid w:val="00A9210A"/>
    <w:rsid w:val="00A92486"/>
    <w:rsid w:val="00A92EF8"/>
    <w:rsid w:val="00A93ED8"/>
    <w:rsid w:val="00A95281"/>
    <w:rsid w:val="00A958CF"/>
    <w:rsid w:val="00A96C5F"/>
    <w:rsid w:val="00A96E13"/>
    <w:rsid w:val="00A97505"/>
    <w:rsid w:val="00AA02BB"/>
    <w:rsid w:val="00AA0518"/>
    <w:rsid w:val="00AA0A9F"/>
    <w:rsid w:val="00AA1AF7"/>
    <w:rsid w:val="00AA2634"/>
    <w:rsid w:val="00AA2F52"/>
    <w:rsid w:val="00AA2FAA"/>
    <w:rsid w:val="00AA3BD1"/>
    <w:rsid w:val="00AA3E52"/>
    <w:rsid w:val="00AA3E5F"/>
    <w:rsid w:val="00AA4051"/>
    <w:rsid w:val="00AA46F0"/>
    <w:rsid w:val="00AA50E5"/>
    <w:rsid w:val="00AA5A40"/>
    <w:rsid w:val="00AA6150"/>
    <w:rsid w:val="00AA6C52"/>
    <w:rsid w:val="00AA6CEF"/>
    <w:rsid w:val="00AA6F4E"/>
    <w:rsid w:val="00AA70D9"/>
    <w:rsid w:val="00AA7A65"/>
    <w:rsid w:val="00AB015E"/>
    <w:rsid w:val="00AB0365"/>
    <w:rsid w:val="00AB0813"/>
    <w:rsid w:val="00AB0A78"/>
    <w:rsid w:val="00AB0DCB"/>
    <w:rsid w:val="00AB0F0A"/>
    <w:rsid w:val="00AB0FFD"/>
    <w:rsid w:val="00AB121C"/>
    <w:rsid w:val="00AB1C73"/>
    <w:rsid w:val="00AB2588"/>
    <w:rsid w:val="00AB276C"/>
    <w:rsid w:val="00AB2E5C"/>
    <w:rsid w:val="00AB348C"/>
    <w:rsid w:val="00AB39E1"/>
    <w:rsid w:val="00AB3BA6"/>
    <w:rsid w:val="00AB4B8D"/>
    <w:rsid w:val="00AB51C1"/>
    <w:rsid w:val="00AB6102"/>
    <w:rsid w:val="00AB685D"/>
    <w:rsid w:val="00AB6C6A"/>
    <w:rsid w:val="00AB7629"/>
    <w:rsid w:val="00AB7DC9"/>
    <w:rsid w:val="00AB7FBD"/>
    <w:rsid w:val="00AC004F"/>
    <w:rsid w:val="00AC0C4D"/>
    <w:rsid w:val="00AC10D4"/>
    <w:rsid w:val="00AC14A1"/>
    <w:rsid w:val="00AC1561"/>
    <w:rsid w:val="00AC1EC7"/>
    <w:rsid w:val="00AC219C"/>
    <w:rsid w:val="00AC2B5A"/>
    <w:rsid w:val="00AC367D"/>
    <w:rsid w:val="00AC3BB1"/>
    <w:rsid w:val="00AC42D3"/>
    <w:rsid w:val="00AC432D"/>
    <w:rsid w:val="00AC44F6"/>
    <w:rsid w:val="00AC47DB"/>
    <w:rsid w:val="00AC48C9"/>
    <w:rsid w:val="00AC4C90"/>
    <w:rsid w:val="00AC4FC7"/>
    <w:rsid w:val="00AC5430"/>
    <w:rsid w:val="00AC659C"/>
    <w:rsid w:val="00AC6B96"/>
    <w:rsid w:val="00AC6FFC"/>
    <w:rsid w:val="00AC727D"/>
    <w:rsid w:val="00AC7300"/>
    <w:rsid w:val="00AC732A"/>
    <w:rsid w:val="00AC75C5"/>
    <w:rsid w:val="00AD0208"/>
    <w:rsid w:val="00AD034E"/>
    <w:rsid w:val="00AD049F"/>
    <w:rsid w:val="00AD0543"/>
    <w:rsid w:val="00AD06A7"/>
    <w:rsid w:val="00AD16F3"/>
    <w:rsid w:val="00AD17B2"/>
    <w:rsid w:val="00AD19A0"/>
    <w:rsid w:val="00AD1E4E"/>
    <w:rsid w:val="00AD2173"/>
    <w:rsid w:val="00AD28EA"/>
    <w:rsid w:val="00AD295C"/>
    <w:rsid w:val="00AD2F42"/>
    <w:rsid w:val="00AD36F5"/>
    <w:rsid w:val="00AD38C8"/>
    <w:rsid w:val="00AD40CD"/>
    <w:rsid w:val="00AD43FC"/>
    <w:rsid w:val="00AD541B"/>
    <w:rsid w:val="00AD5971"/>
    <w:rsid w:val="00AD5EEB"/>
    <w:rsid w:val="00AD66BE"/>
    <w:rsid w:val="00AD6FF1"/>
    <w:rsid w:val="00AD73DE"/>
    <w:rsid w:val="00AD7CF2"/>
    <w:rsid w:val="00AE0121"/>
    <w:rsid w:val="00AE0DDC"/>
    <w:rsid w:val="00AE1D12"/>
    <w:rsid w:val="00AE228D"/>
    <w:rsid w:val="00AE23ED"/>
    <w:rsid w:val="00AE2584"/>
    <w:rsid w:val="00AE2C10"/>
    <w:rsid w:val="00AE30B9"/>
    <w:rsid w:val="00AE369B"/>
    <w:rsid w:val="00AE36A3"/>
    <w:rsid w:val="00AE3A7A"/>
    <w:rsid w:val="00AE3E5F"/>
    <w:rsid w:val="00AE46FC"/>
    <w:rsid w:val="00AE5211"/>
    <w:rsid w:val="00AE5765"/>
    <w:rsid w:val="00AE62DB"/>
    <w:rsid w:val="00AE72EE"/>
    <w:rsid w:val="00AE75E7"/>
    <w:rsid w:val="00AE76F7"/>
    <w:rsid w:val="00AE7FA7"/>
    <w:rsid w:val="00AF0282"/>
    <w:rsid w:val="00AF0BB3"/>
    <w:rsid w:val="00AF160E"/>
    <w:rsid w:val="00AF2935"/>
    <w:rsid w:val="00AF2BD9"/>
    <w:rsid w:val="00AF3373"/>
    <w:rsid w:val="00AF3671"/>
    <w:rsid w:val="00AF3C57"/>
    <w:rsid w:val="00AF3C76"/>
    <w:rsid w:val="00AF3F64"/>
    <w:rsid w:val="00AF440B"/>
    <w:rsid w:val="00AF4F39"/>
    <w:rsid w:val="00AF4F47"/>
    <w:rsid w:val="00AF4FCF"/>
    <w:rsid w:val="00AF567E"/>
    <w:rsid w:val="00AF5D56"/>
    <w:rsid w:val="00AF7057"/>
    <w:rsid w:val="00AF7076"/>
    <w:rsid w:val="00AF7868"/>
    <w:rsid w:val="00B00552"/>
    <w:rsid w:val="00B0075D"/>
    <w:rsid w:val="00B00A4E"/>
    <w:rsid w:val="00B0181D"/>
    <w:rsid w:val="00B02377"/>
    <w:rsid w:val="00B02472"/>
    <w:rsid w:val="00B02E4D"/>
    <w:rsid w:val="00B02FCB"/>
    <w:rsid w:val="00B03963"/>
    <w:rsid w:val="00B03B0C"/>
    <w:rsid w:val="00B03D2A"/>
    <w:rsid w:val="00B048C6"/>
    <w:rsid w:val="00B04C3D"/>
    <w:rsid w:val="00B050BC"/>
    <w:rsid w:val="00B0541B"/>
    <w:rsid w:val="00B056E8"/>
    <w:rsid w:val="00B0573B"/>
    <w:rsid w:val="00B05884"/>
    <w:rsid w:val="00B05A73"/>
    <w:rsid w:val="00B0601C"/>
    <w:rsid w:val="00B0654A"/>
    <w:rsid w:val="00B0658D"/>
    <w:rsid w:val="00B069A5"/>
    <w:rsid w:val="00B0785F"/>
    <w:rsid w:val="00B07BB0"/>
    <w:rsid w:val="00B106F3"/>
    <w:rsid w:val="00B1076B"/>
    <w:rsid w:val="00B10A4D"/>
    <w:rsid w:val="00B10DA4"/>
    <w:rsid w:val="00B10E02"/>
    <w:rsid w:val="00B1129A"/>
    <w:rsid w:val="00B1180F"/>
    <w:rsid w:val="00B11BFC"/>
    <w:rsid w:val="00B11C40"/>
    <w:rsid w:val="00B11D11"/>
    <w:rsid w:val="00B12249"/>
    <w:rsid w:val="00B124F9"/>
    <w:rsid w:val="00B129D8"/>
    <w:rsid w:val="00B12B66"/>
    <w:rsid w:val="00B13272"/>
    <w:rsid w:val="00B1332D"/>
    <w:rsid w:val="00B13CB9"/>
    <w:rsid w:val="00B13D79"/>
    <w:rsid w:val="00B14147"/>
    <w:rsid w:val="00B15651"/>
    <w:rsid w:val="00B160E3"/>
    <w:rsid w:val="00B16AAF"/>
    <w:rsid w:val="00B16BD1"/>
    <w:rsid w:val="00B178E1"/>
    <w:rsid w:val="00B2014D"/>
    <w:rsid w:val="00B20530"/>
    <w:rsid w:val="00B20AE7"/>
    <w:rsid w:val="00B20ECC"/>
    <w:rsid w:val="00B21DA6"/>
    <w:rsid w:val="00B229A4"/>
    <w:rsid w:val="00B2379B"/>
    <w:rsid w:val="00B243B0"/>
    <w:rsid w:val="00B24799"/>
    <w:rsid w:val="00B24D67"/>
    <w:rsid w:val="00B250B9"/>
    <w:rsid w:val="00B25682"/>
    <w:rsid w:val="00B2580B"/>
    <w:rsid w:val="00B2642F"/>
    <w:rsid w:val="00B274D5"/>
    <w:rsid w:val="00B27805"/>
    <w:rsid w:val="00B3130D"/>
    <w:rsid w:val="00B316F7"/>
    <w:rsid w:val="00B31AAC"/>
    <w:rsid w:val="00B31CB7"/>
    <w:rsid w:val="00B31D55"/>
    <w:rsid w:val="00B32DDB"/>
    <w:rsid w:val="00B32DDD"/>
    <w:rsid w:val="00B32EFE"/>
    <w:rsid w:val="00B3369D"/>
    <w:rsid w:val="00B33793"/>
    <w:rsid w:val="00B33BE7"/>
    <w:rsid w:val="00B33F5E"/>
    <w:rsid w:val="00B341F4"/>
    <w:rsid w:val="00B3498B"/>
    <w:rsid w:val="00B35359"/>
    <w:rsid w:val="00B35C90"/>
    <w:rsid w:val="00B36433"/>
    <w:rsid w:val="00B36661"/>
    <w:rsid w:val="00B36781"/>
    <w:rsid w:val="00B36B01"/>
    <w:rsid w:val="00B37055"/>
    <w:rsid w:val="00B375C2"/>
    <w:rsid w:val="00B37687"/>
    <w:rsid w:val="00B378CF"/>
    <w:rsid w:val="00B37C7A"/>
    <w:rsid w:val="00B37D5A"/>
    <w:rsid w:val="00B40105"/>
    <w:rsid w:val="00B40B28"/>
    <w:rsid w:val="00B41282"/>
    <w:rsid w:val="00B4139A"/>
    <w:rsid w:val="00B41AEF"/>
    <w:rsid w:val="00B41D38"/>
    <w:rsid w:val="00B41E03"/>
    <w:rsid w:val="00B443E6"/>
    <w:rsid w:val="00B445B1"/>
    <w:rsid w:val="00B448D8"/>
    <w:rsid w:val="00B44BAA"/>
    <w:rsid w:val="00B44C1E"/>
    <w:rsid w:val="00B45DE6"/>
    <w:rsid w:val="00B46541"/>
    <w:rsid w:val="00B46BCA"/>
    <w:rsid w:val="00B46E10"/>
    <w:rsid w:val="00B477FB"/>
    <w:rsid w:val="00B47A8C"/>
    <w:rsid w:val="00B50673"/>
    <w:rsid w:val="00B5091F"/>
    <w:rsid w:val="00B50A65"/>
    <w:rsid w:val="00B50A99"/>
    <w:rsid w:val="00B50CEF"/>
    <w:rsid w:val="00B52190"/>
    <w:rsid w:val="00B52A2B"/>
    <w:rsid w:val="00B530B6"/>
    <w:rsid w:val="00B53CE1"/>
    <w:rsid w:val="00B5435A"/>
    <w:rsid w:val="00B54878"/>
    <w:rsid w:val="00B54AB5"/>
    <w:rsid w:val="00B55117"/>
    <w:rsid w:val="00B551DE"/>
    <w:rsid w:val="00B55630"/>
    <w:rsid w:val="00B565D1"/>
    <w:rsid w:val="00B573FB"/>
    <w:rsid w:val="00B576D3"/>
    <w:rsid w:val="00B57AEB"/>
    <w:rsid w:val="00B57C44"/>
    <w:rsid w:val="00B57C87"/>
    <w:rsid w:val="00B57EAE"/>
    <w:rsid w:val="00B611E4"/>
    <w:rsid w:val="00B61648"/>
    <w:rsid w:val="00B62662"/>
    <w:rsid w:val="00B62DB3"/>
    <w:rsid w:val="00B634DE"/>
    <w:rsid w:val="00B63575"/>
    <w:rsid w:val="00B64CD7"/>
    <w:rsid w:val="00B64D69"/>
    <w:rsid w:val="00B65784"/>
    <w:rsid w:val="00B65796"/>
    <w:rsid w:val="00B65E4D"/>
    <w:rsid w:val="00B67815"/>
    <w:rsid w:val="00B67D44"/>
    <w:rsid w:val="00B70F01"/>
    <w:rsid w:val="00B7138B"/>
    <w:rsid w:val="00B7221F"/>
    <w:rsid w:val="00B72D29"/>
    <w:rsid w:val="00B72F9B"/>
    <w:rsid w:val="00B7564D"/>
    <w:rsid w:val="00B76012"/>
    <w:rsid w:val="00B7604D"/>
    <w:rsid w:val="00B7610A"/>
    <w:rsid w:val="00B7706A"/>
    <w:rsid w:val="00B80773"/>
    <w:rsid w:val="00B809ED"/>
    <w:rsid w:val="00B80D68"/>
    <w:rsid w:val="00B813BB"/>
    <w:rsid w:val="00B81963"/>
    <w:rsid w:val="00B81D89"/>
    <w:rsid w:val="00B81EDC"/>
    <w:rsid w:val="00B82085"/>
    <w:rsid w:val="00B82D72"/>
    <w:rsid w:val="00B83029"/>
    <w:rsid w:val="00B8319D"/>
    <w:rsid w:val="00B8357B"/>
    <w:rsid w:val="00B8393A"/>
    <w:rsid w:val="00B83A36"/>
    <w:rsid w:val="00B842BB"/>
    <w:rsid w:val="00B85322"/>
    <w:rsid w:val="00B855AA"/>
    <w:rsid w:val="00B85A05"/>
    <w:rsid w:val="00B85E0C"/>
    <w:rsid w:val="00B864D2"/>
    <w:rsid w:val="00B87115"/>
    <w:rsid w:val="00B9085C"/>
    <w:rsid w:val="00B9139A"/>
    <w:rsid w:val="00B91E85"/>
    <w:rsid w:val="00B91EBB"/>
    <w:rsid w:val="00B92245"/>
    <w:rsid w:val="00B92933"/>
    <w:rsid w:val="00B92ADA"/>
    <w:rsid w:val="00B93877"/>
    <w:rsid w:val="00B9516E"/>
    <w:rsid w:val="00B95855"/>
    <w:rsid w:val="00B9659D"/>
    <w:rsid w:val="00B97069"/>
    <w:rsid w:val="00BA0E48"/>
    <w:rsid w:val="00BA103F"/>
    <w:rsid w:val="00BA19DF"/>
    <w:rsid w:val="00BA1EB1"/>
    <w:rsid w:val="00BA2045"/>
    <w:rsid w:val="00BA2238"/>
    <w:rsid w:val="00BA227A"/>
    <w:rsid w:val="00BA26C3"/>
    <w:rsid w:val="00BA354D"/>
    <w:rsid w:val="00BA43C8"/>
    <w:rsid w:val="00BA4C72"/>
    <w:rsid w:val="00BA5899"/>
    <w:rsid w:val="00BA6C2B"/>
    <w:rsid w:val="00BA746A"/>
    <w:rsid w:val="00BA78DB"/>
    <w:rsid w:val="00BA7CC6"/>
    <w:rsid w:val="00BB0954"/>
    <w:rsid w:val="00BB0EF5"/>
    <w:rsid w:val="00BB0FB0"/>
    <w:rsid w:val="00BB1086"/>
    <w:rsid w:val="00BB12A9"/>
    <w:rsid w:val="00BB12F0"/>
    <w:rsid w:val="00BB1EAA"/>
    <w:rsid w:val="00BB218B"/>
    <w:rsid w:val="00BB2350"/>
    <w:rsid w:val="00BB25B5"/>
    <w:rsid w:val="00BB2BF2"/>
    <w:rsid w:val="00BB34CD"/>
    <w:rsid w:val="00BB3F7B"/>
    <w:rsid w:val="00BB4276"/>
    <w:rsid w:val="00BB45C8"/>
    <w:rsid w:val="00BB4963"/>
    <w:rsid w:val="00BB4BEC"/>
    <w:rsid w:val="00BB4CDC"/>
    <w:rsid w:val="00BB4FBB"/>
    <w:rsid w:val="00BB5217"/>
    <w:rsid w:val="00BB6532"/>
    <w:rsid w:val="00BB7130"/>
    <w:rsid w:val="00BC0098"/>
    <w:rsid w:val="00BC0605"/>
    <w:rsid w:val="00BC0CD5"/>
    <w:rsid w:val="00BC14E7"/>
    <w:rsid w:val="00BC1606"/>
    <w:rsid w:val="00BC1A55"/>
    <w:rsid w:val="00BC1C2D"/>
    <w:rsid w:val="00BC2172"/>
    <w:rsid w:val="00BC21BD"/>
    <w:rsid w:val="00BC22ED"/>
    <w:rsid w:val="00BC2575"/>
    <w:rsid w:val="00BC27FE"/>
    <w:rsid w:val="00BC330B"/>
    <w:rsid w:val="00BC3820"/>
    <w:rsid w:val="00BC3C7F"/>
    <w:rsid w:val="00BC429B"/>
    <w:rsid w:val="00BC4FAB"/>
    <w:rsid w:val="00BC518D"/>
    <w:rsid w:val="00BC5AD4"/>
    <w:rsid w:val="00BC5B75"/>
    <w:rsid w:val="00BC5DE4"/>
    <w:rsid w:val="00BC5FE5"/>
    <w:rsid w:val="00BC60BF"/>
    <w:rsid w:val="00BC64CE"/>
    <w:rsid w:val="00BC736C"/>
    <w:rsid w:val="00BC745D"/>
    <w:rsid w:val="00BC7533"/>
    <w:rsid w:val="00BC75F5"/>
    <w:rsid w:val="00BC7D40"/>
    <w:rsid w:val="00BD07D6"/>
    <w:rsid w:val="00BD0EA1"/>
    <w:rsid w:val="00BD10D5"/>
    <w:rsid w:val="00BD13A7"/>
    <w:rsid w:val="00BD2068"/>
    <w:rsid w:val="00BD228E"/>
    <w:rsid w:val="00BD26C6"/>
    <w:rsid w:val="00BD2932"/>
    <w:rsid w:val="00BD318B"/>
    <w:rsid w:val="00BD3592"/>
    <w:rsid w:val="00BD40B3"/>
    <w:rsid w:val="00BD4753"/>
    <w:rsid w:val="00BD477C"/>
    <w:rsid w:val="00BD47E0"/>
    <w:rsid w:val="00BD4B48"/>
    <w:rsid w:val="00BD57B8"/>
    <w:rsid w:val="00BD5935"/>
    <w:rsid w:val="00BD64F0"/>
    <w:rsid w:val="00BD6B1A"/>
    <w:rsid w:val="00BD6EED"/>
    <w:rsid w:val="00BD7597"/>
    <w:rsid w:val="00BD7964"/>
    <w:rsid w:val="00BD7DA7"/>
    <w:rsid w:val="00BE141C"/>
    <w:rsid w:val="00BE1CE9"/>
    <w:rsid w:val="00BE1E4D"/>
    <w:rsid w:val="00BE3000"/>
    <w:rsid w:val="00BE3431"/>
    <w:rsid w:val="00BE3C76"/>
    <w:rsid w:val="00BE44AB"/>
    <w:rsid w:val="00BE56E5"/>
    <w:rsid w:val="00BE5993"/>
    <w:rsid w:val="00BE6E3A"/>
    <w:rsid w:val="00BE76F6"/>
    <w:rsid w:val="00BF00F7"/>
    <w:rsid w:val="00BF04E6"/>
    <w:rsid w:val="00BF0718"/>
    <w:rsid w:val="00BF0AC8"/>
    <w:rsid w:val="00BF181D"/>
    <w:rsid w:val="00BF289F"/>
    <w:rsid w:val="00BF2D94"/>
    <w:rsid w:val="00BF37ED"/>
    <w:rsid w:val="00BF3F6A"/>
    <w:rsid w:val="00BF402F"/>
    <w:rsid w:val="00BF4067"/>
    <w:rsid w:val="00BF43D0"/>
    <w:rsid w:val="00BF43FF"/>
    <w:rsid w:val="00BF4409"/>
    <w:rsid w:val="00BF4A35"/>
    <w:rsid w:val="00BF4E2C"/>
    <w:rsid w:val="00BF59EB"/>
    <w:rsid w:val="00BF5D91"/>
    <w:rsid w:val="00BF5E71"/>
    <w:rsid w:val="00BF6028"/>
    <w:rsid w:val="00BF6944"/>
    <w:rsid w:val="00BF7871"/>
    <w:rsid w:val="00BF7919"/>
    <w:rsid w:val="00BF7F51"/>
    <w:rsid w:val="00C0016D"/>
    <w:rsid w:val="00C005F6"/>
    <w:rsid w:val="00C0116A"/>
    <w:rsid w:val="00C015FA"/>
    <w:rsid w:val="00C020E6"/>
    <w:rsid w:val="00C02DB5"/>
    <w:rsid w:val="00C02E1D"/>
    <w:rsid w:val="00C02E5A"/>
    <w:rsid w:val="00C03235"/>
    <w:rsid w:val="00C0334A"/>
    <w:rsid w:val="00C03B5E"/>
    <w:rsid w:val="00C03E28"/>
    <w:rsid w:val="00C03F69"/>
    <w:rsid w:val="00C045F3"/>
    <w:rsid w:val="00C05A87"/>
    <w:rsid w:val="00C05B65"/>
    <w:rsid w:val="00C05D22"/>
    <w:rsid w:val="00C05D65"/>
    <w:rsid w:val="00C05E7F"/>
    <w:rsid w:val="00C05FAC"/>
    <w:rsid w:val="00C06081"/>
    <w:rsid w:val="00C06A4B"/>
    <w:rsid w:val="00C07269"/>
    <w:rsid w:val="00C07AEB"/>
    <w:rsid w:val="00C07B3C"/>
    <w:rsid w:val="00C106A1"/>
    <w:rsid w:val="00C112A0"/>
    <w:rsid w:val="00C129E4"/>
    <w:rsid w:val="00C13850"/>
    <w:rsid w:val="00C13A76"/>
    <w:rsid w:val="00C13BB2"/>
    <w:rsid w:val="00C140E5"/>
    <w:rsid w:val="00C14ADC"/>
    <w:rsid w:val="00C1541C"/>
    <w:rsid w:val="00C16162"/>
    <w:rsid w:val="00C167B7"/>
    <w:rsid w:val="00C201CC"/>
    <w:rsid w:val="00C2154B"/>
    <w:rsid w:val="00C219C3"/>
    <w:rsid w:val="00C222CF"/>
    <w:rsid w:val="00C22668"/>
    <w:rsid w:val="00C22D0F"/>
    <w:rsid w:val="00C23768"/>
    <w:rsid w:val="00C239D4"/>
    <w:rsid w:val="00C24134"/>
    <w:rsid w:val="00C241D1"/>
    <w:rsid w:val="00C24AAB"/>
    <w:rsid w:val="00C24B43"/>
    <w:rsid w:val="00C26D63"/>
    <w:rsid w:val="00C2789F"/>
    <w:rsid w:val="00C27BA8"/>
    <w:rsid w:val="00C27BED"/>
    <w:rsid w:val="00C27E0A"/>
    <w:rsid w:val="00C31286"/>
    <w:rsid w:val="00C31297"/>
    <w:rsid w:val="00C31690"/>
    <w:rsid w:val="00C31DF1"/>
    <w:rsid w:val="00C32125"/>
    <w:rsid w:val="00C32277"/>
    <w:rsid w:val="00C329D7"/>
    <w:rsid w:val="00C3359D"/>
    <w:rsid w:val="00C33663"/>
    <w:rsid w:val="00C33ED0"/>
    <w:rsid w:val="00C340F2"/>
    <w:rsid w:val="00C34E37"/>
    <w:rsid w:val="00C35BA8"/>
    <w:rsid w:val="00C36067"/>
    <w:rsid w:val="00C37224"/>
    <w:rsid w:val="00C400BE"/>
    <w:rsid w:val="00C4016C"/>
    <w:rsid w:val="00C4033D"/>
    <w:rsid w:val="00C407DF"/>
    <w:rsid w:val="00C40FED"/>
    <w:rsid w:val="00C41ACF"/>
    <w:rsid w:val="00C42437"/>
    <w:rsid w:val="00C424E3"/>
    <w:rsid w:val="00C436D1"/>
    <w:rsid w:val="00C43EA1"/>
    <w:rsid w:val="00C4635F"/>
    <w:rsid w:val="00C46D74"/>
    <w:rsid w:val="00C470D1"/>
    <w:rsid w:val="00C4712E"/>
    <w:rsid w:val="00C47797"/>
    <w:rsid w:val="00C5049B"/>
    <w:rsid w:val="00C5120F"/>
    <w:rsid w:val="00C51235"/>
    <w:rsid w:val="00C51AA2"/>
    <w:rsid w:val="00C51EBC"/>
    <w:rsid w:val="00C521D8"/>
    <w:rsid w:val="00C52264"/>
    <w:rsid w:val="00C52416"/>
    <w:rsid w:val="00C52528"/>
    <w:rsid w:val="00C53216"/>
    <w:rsid w:val="00C53859"/>
    <w:rsid w:val="00C5398B"/>
    <w:rsid w:val="00C53F84"/>
    <w:rsid w:val="00C549A1"/>
    <w:rsid w:val="00C56A11"/>
    <w:rsid w:val="00C578C3"/>
    <w:rsid w:val="00C57943"/>
    <w:rsid w:val="00C57DC0"/>
    <w:rsid w:val="00C606AD"/>
    <w:rsid w:val="00C60C0E"/>
    <w:rsid w:val="00C61106"/>
    <w:rsid w:val="00C61618"/>
    <w:rsid w:val="00C6167A"/>
    <w:rsid w:val="00C62782"/>
    <w:rsid w:val="00C62A1B"/>
    <w:rsid w:val="00C62CEE"/>
    <w:rsid w:val="00C63644"/>
    <w:rsid w:val="00C64565"/>
    <w:rsid w:val="00C64A84"/>
    <w:rsid w:val="00C6504C"/>
    <w:rsid w:val="00C65B7B"/>
    <w:rsid w:val="00C65CDC"/>
    <w:rsid w:val="00C65EC3"/>
    <w:rsid w:val="00C664EA"/>
    <w:rsid w:val="00C668CD"/>
    <w:rsid w:val="00C66FBA"/>
    <w:rsid w:val="00C677AA"/>
    <w:rsid w:val="00C70549"/>
    <w:rsid w:val="00C70BF3"/>
    <w:rsid w:val="00C70CA5"/>
    <w:rsid w:val="00C71538"/>
    <w:rsid w:val="00C7154D"/>
    <w:rsid w:val="00C729BB"/>
    <w:rsid w:val="00C72D79"/>
    <w:rsid w:val="00C730A1"/>
    <w:rsid w:val="00C732D1"/>
    <w:rsid w:val="00C73AE9"/>
    <w:rsid w:val="00C73B50"/>
    <w:rsid w:val="00C73DE8"/>
    <w:rsid w:val="00C744F6"/>
    <w:rsid w:val="00C7462C"/>
    <w:rsid w:val="00C746A6"/>
    <w:rsid w:val="00C74AE0"/>
    <w:rsid w:val="00C74D9B"/>
    <w:rsid w:val="00C75252"/>
    <w:rsid w:val="00C75597"/>
    <w:rsid w:val="00C7577A"/>
    <w:rsid w:val="00C7684F"/>
    <w:rsid w:val="00C77302"/>
    <w:rsid w:val="00C77677"/>
    <w:rsid w:val="00C77694"/>
    <w:rsid w:val="00C7777F"/>
    <w:rsid w:val="00C77AF5"/>
    <w:rsid w:val="00C77B06"/>
    <w:rsid w:val="00C77C03"/>
    <w:rsid w:val="00C77D02"/>
    <w:rsid w:val="00C77DB1"/>
    <w:rsid w:val="00C81180"/>
    <w:rsid w:val="00C818F5"/>
    <w:rsid w:val="00C826B3"/>
    <w:rsid w:val="00C82771"/>
    <w:rsid w:val="00C82AA0"/>
    <w:rsid w:val="00C82F72"/>
    <w:rsid w:val="00C83937"/>
    <w:rsid w:val="00C846A3"/>
    <w:rsid w:val="00C84797"/>
    <w:rsid w:val="00C85301"/>
    <w:rsid w:val="00C861C1"/>
    <w:rsid w:val="00C86A80"/>
    <w:rsid w:val="00C86DF1"/>
    <w:rsid w:val="00C90160"/>
    <w:rsid w:val="00C9094A"/>
    <w:rsid w:val="00C91385"/>
    <w:rsid w:val="00C9184D"/>
    <w:rsid w:val="00C91980"/>
    <w:rsid w:val="00C91DBA"/>
    <w:rsid w:val="00C9264C"/>
    <w:rsid w:val="00C928D6"/>
    <w:rsid w:val="00C9319B"/>
    <w:rsid w:val="00C936FE"/>
    <w:rsid w:val="00C9406D"/>
    <w:rsid w:val="00C94AB4"/>
    <w:rsid w:val="00C952E3"/>
    <w:rsid w:val="00C95FFE"/>
    <w:rsid w:val="00C960B5"/>
    <w:rsid w:val="00C960ED"/>
    <w:rsid w:val="00C964E2"/>
    <w:rsid w:val="00C96D20"/>
    <w:rsid w:val="00C9745E"/>
    <w:rsid w:val="00C974A4"/>
    <w:rsid w:val="00CA0001"/>
    <w:rsid w:val="00CA0574"/>
    <w:rsid w:val="00CA07C8"/>
    <w:rsid w:val="00CA0C77"/>
    <w:rsid w:val="00CA1853"/>
    <w:rsid w:val="00CA20C2"/>
    <w:rsid w:val="00CA2D42"/>
    <w:rsid w:val="00CA3722"/>
    <w:rsid w:val="00CA40D6"/>
    <w:rsid w:val="00CA62BC"/>
    <w:rsid w:val="00CA6459"/>
    <w:rsid w:val="00CA64EB"/>
    <w:rsid w:val="00CA6982"/>
    <w:rsid w:val="00CA6B3E"/>
    <w:rsid w:val="00CA6D11"/>
    <w:rsid w:val="00CA6EF3"/>
    <w:rsid w:val="00CA73C6"/>
    <w:rsid w:val="00CA748D"/>
    <w:rsid w:val="00CB02F0"/>
    <w:rsid w:val="00CB0BB4"/>
    <w:rsid w:val="00CB28EB"/>
    <w:rsid w:val="00CB321B"/>
    <w:rsid w:val="00CB43BF"/>
    <w:rsid w:val="00CB46F3"/>
    <w:rsid w:val="00CB4C5A"/>
    <w:rsid w:val="00CB5A11"/>
    <w:rsid w:val="00CB68E5"/>
    <w:rsid w:val="00CB6B0B"/>
    <w:rsid w:val="00CB6C2D"/>
    <w:rsid w:val="00CB7CCE"/>
    <w:rsid w:val="00CC07A7"/>
    <w:rsid w:val="00CC0D94"/>
    <w:rsid w:val="00CC1B14"/>
    <w:rsid w:val="00CC1BF8"/>
    <w:rsid w:val="00CC1E61"/>
    <w:rsid w:val="00CC2192"/>
    <w:rsid w:val="00CC21AB"/>
    <w:rsid w:val="00CC288E"/>
    <w:rsid w:val="00CC2B1B"/>
    <w:rsid w:val="00CC2B47"/>
    <w:rsid w:val="00CC2CA1"/>
    <w:rsid w:val="00CC2F49"/>
    <w:rsid w:val="00CC338A"/>
    <w:rsid w:val="00CC4AA4"/>
    <w:rsid w:val="00CC5A68"/>
    <w:rsid w:val="00CC5B96"/>
    <w:rsid w:val="00CC5E09"/>
    <w:rsid w:val="00CC5F97"/>
    <w:rsid w:val="00CC6437"/>
    <w:rsid w:val="00CC6497"/>
    <w:rsid w:val="00CC6A0E"/>
    <w:rsid w:val="00CC74AC"/>
    <w:rsid w:val="00CC7595"/>
    <w:rsid w:val="00CC7AE2"/>
    <w:rsid w:val="00CD03B0"/>
    <w:rsid w:val="00CD061B"/>
    <w:rsid w:val="00CD08E3"/>
    <w:rsid w:val="00CD1687"/>
    <w:rsid w:val="00CD17CA"/>
    <w:rsid w:val="00CD23DC"/>
    <w:rsid w:val="00CD2808"/>
    <w:rsid w:val="00CD285D"/>
    <w:rsid w:val="00CD2A6D"/>
    <w:rsid w:val="00CD359A"/>
    <w:rsid w:val="00CD448B"/>
    <w:rsid w:val="00CD4CEB"/>
    <w:rsid w:val="00CD58F9"/>
    <w:rsid w:val="00CD612D"/>
    <w:rsid w:val="00CD6490"/>
    <w:rsid w:val="00CD741B"/>
    <w:rsid w:val="00CD7796"/>
    <w:rsid w:val="00CD7AA1"/>
    <w:rsid w:val="00CE1569"/>
    <w:rsid w:val="00CE184D"/>
    <w:rsid w:val="00CE3198"/>
    <w:rsid w:val="00CE3972"/>
    <w:rsid w:val="00CE3C04"/>
    <w:rsid w:val="00CE4392"/>
    <w:rsid w:val="00CE4FCD"/>
    <w:rsid w:val="00CE5925"/>
    <w:rsid w:val="00CE5B73"/>
    <w:rsid w:val="00CE5D8A"/>
    <w:rsid w:val="00CE6452"/>
    <w:rsid w:val="00CE6483"/>
    <w:rsid w:val="00CE65D3"/>
    <w:rsid w:val="00CE7CAF"/>
    <w:rsid w:val="00CF001C"/>
    <w:rsid w:val="00CF013E"/>
    <w:rsid w:val="00CF0159"/>
    <w:rsid w:val="00CF1795"/>
    <w:rsid w:val="00CF2F24"/>
    <w:rsid w:val="00CF31B6"/>
    <w:rsid w:val="00CF3404"/>
    <w:rsid w:val="00CF395A"/>
    <w:rsid w:val="00CF43A5"/>
    <w:rsid w:val="00CF451F"/>
    <w:rsid w:val="00CF4FAA"/>
    <w:rsid w:val="00CF54B7"/>
    <w:rsid w:val="00CF5A06"/>
    <w:rsid w:val="00CF5A48"/>
    <w:rsid w:val="00CF5BBF"/>
    <w:rsid w:val="00CF5BD7"/>
    <w:rsid w:val="00CF6845"/>
    <w:rsid w:val="00CF7313"/>
    <w:rsid w:val="00CF79FF"/>
    <w:rsid w:val="00CF7CDD"/>
    <w:rsid w:val="00CF7F48"/>
    <w:rsid w:val="00D00971"/>
    <w:rsid w:val="00D0129C"/>
    <w:rsid w:val="00D016A6"/>
    <w:rsid w:val="00D01750"/>
    <w:rsid w:val="00D029F9"/>
    <w:rsid w:val="00D02E9B"/>
    <w:rsid w:val="00D0348E"/>
    <w:rsid w:val="00D03799"/>
    <w:rsid w:val="00D04966"/>
    <w:rsid w:val="00D049C8"/>
    <w:rsid w:val="00D060E8"/>
    <w:rsid w:val="00D06299"/>
    <w:rsid w:val="00D06763"/>
    <w:rsid w:val="00D06AE1"/>
    <w:rsid w:val="00D06D0E"/>
    <w:rsid w:val="00D073D8"/>
    <w:rsid w:val="00D07718"/>
    <w:rsid w:val="00D10764"/>
    <w:rsid w:val="00D10D1A"/>
    <w:rsid w:val="00D122DC"/>
    <w:rsid w:val="00D12917"/>
    <w:rsid w:val="00D13D97"/>
    <w:rsid w:val="00D13F15"/>
    <w:rsid w:val="00D14B5F"/>
    <w:rsid w:val="00D14E11"/>
    <w:rsid w:val="00D15C5B"/>
    <w:rsid w:val="00D15F11"/>
    <w:rsid w:val="00D16833"/>
    <w:rsid w:val="00D16AEF"/>
    <w:rsid w:val="00D16BA0"/>
    <w:rsid w:val="00D16D42"/>
    <w:rsid w:val="00D178E8"/>
    <w:rsid w:val="00D17B60"/>
    <w:rsid w:val="00D20E4E"/>
    <w:rsid w:val="00D2148D"/>
    <w:rsid w:val="00D21697"/>
    <w:rsid w:val="00D2206D"/>
    <w:rsid w:val="00D22BAF"/>
    <w:rsid w:val="00D23023"/>
    <w:rsid w:val="00D23397"/>
    <w:rsid w:val="00D234CB"/>
    <w:rsid w:val="00D24440"/>
    <w:rsid w:val="00D24CE0"/>
    <w:rsid w:val="00D25CDF"/>
    <w:rsid w:val="00D26B84"/>
    <w:rsid w:val="00D27137"/>
    <w:rsid w:val="00D279B9"/>
    <w:rsid w:val="00D27F1D"/>
    <w:rsid w:val="00D27FB4"/>
    <w:rsid w:val="00D30033"/>
    <w:rsid w:val="00D3013C"/>
    <w:rsid w:val="00D307BE"/>
    <w:rsid w:val="00D30A1A"/>
    <w:rsid w:val="00D30B1F"/>
    <w:rsid w:val="00D30FFF"/>
    <w:rsid w:val="00D3122A"/>
    <w:rsid w:val="00D31BCC"/>
    <w:rsid w:val="00D31DE2"/>
    <w:rsid w:val="00D32B10"/>
    <w:rsid w:val="00D32D84"/>
    <w:rsid w:val="00D33DF8"/>
    <w:rsid w:val="00D34808"/>
    <w:rsid w:val="00D34963"/>
    <w:rsid w:val="00D35937"/>
    <w:rsid w:val="00D3639B"/>
    <w:rsid w:val="00D36DE4"/>
    <w:rsid w:val="00D3767D"/>
    <w:rsid w:val="00D3785E"/>
    <w:rsid w:val="00D40278"/>
    <w:rsid w:val="00D40482"/>
    <w:rsid w:val="00D4084C"/>
    <w:rsid w:val="00D40E48"/>
    <w:rsid w:val="00D41461"/>
    <w:rsid w:val="00D4247B"/>
    <w:rsid w:val="00D424F2"/>
    <w:rsid w:val="00D42693"/>
    <w:rsid w:val="00D42A2E"/>
    <w:rsid w:val="00D434B9"/>
    <w:rsid w:val="00D43E0D"/>
    <w:rsid w:val="00D44444"/>
    <w:rsid w:val="00D4468B"/>
    <w:rsid w:val="00D451EE"/>
    <w:rsid w:val="00D467C2"/>
    <w:rsid w:val="00D46E43"/>
    <w:rsid w:val="00D4760F"/>
    <w:rsid w:val="00D47C2B"/>
    <w:rsid w:val="00D47FFB"/>
    <w:rsid w:val="00D504A3"/>
    <w:rsid w:val="00D509CD"/>
    <w:rsid w:val="00D50CBE"/>
    <w:rsid w:val="00D50F1F"/>
    <w:rsid w:val="00D51DFA"/>
    <w:rsid w:val="00D51F46"/>
    <w:rsid w:val="00D52359"/>
    <w:rsid w:val="00D52F8E"/>
    <w:rsid w:val="00D53191"/>
    <w:rsid w:val="00D53207"/>
    <w:rsid w:val="00D54996"/>
    <w:rsid w:val="00D5502B"/>
    <w:rsid w:val="00D55293"/>
    <w:rsid w:val="00D555C1"/>
    <w:rsid w:val="00D55C77"/>
    <w:rsid w:val="00D55E7A"/>
    <w:rsid w:val="00D55F68"/>
    <w:rsid w:val="00D563D5"/>
    <w:rsid w:val="00D56BCB"/>
    <w:rsid w:val="00D56F8A"/>
    <w:rsid w:val="00D5717C"/>
    <w:rsid w:val="00D57BB0"/>
    <w:rsid w:val="00D6003C"/>
    <w:rsid w:val="00D6076D"/>
    <w:rsid w:val="00D60C1C"/>
    <w:rsid w:val="00D61A7E"/>
    <w:rsid w:val="00D61BD5"/>
    <w:rsid w:val="00D61F9D"/>
    <w:rsid w:val="00D63258"/>
    <w:rsid w:val="00D63384"/>
    <w:rsid w:val="00D65413"/>
    <w:rsid w:val="00D65614"/>
    <w:rsid w:val="00D66188"/>
    <w:rsid w:val="00D6731E"/>
    <w:rsid w:val="00D67598"/>
    <w:rsid w:val="00D67978"/>
    <w:rsid w:val="00D7017E"/>
    <w:rsid w:val="00D7100C"/>
    <w:rsid w:val="00D7107F"/>
    <w:rsid w:val="00D72BDC"/>
    <w:rsid w:val="00D72D74"/>
    <w:rsid w:val="00D72EED"/>
    <w:rsid w:val="00D73942"/>
    <w:rsid w:val="00D73D15"/>
    <w:rsid w:val="00D73E8E"/>
    <w:rsid w:val="00D74B51"/>
    <w:rsid w:val="00D74BB1"/>
    <w:rsid w:val="00D752B9"/>
    <w:rsid w:val="00D7593C"/>
    <w:rsid w:val="00D75F07"/>
    <w:rsid w:val="00D7602D"/>
    <w:rsid w:val="00D76086"/>
    <w:rsid w:val="00D76197"/>
    <w:rsid w:val="00D7679E"/>
    <w:rsid w:val="00D7698A"/>
    <w:rsid w:val="00D77338"/>
    <w:rsid w:val="00D77B92"/>
    <w:rsid w:val="00D80D75"/>
    <w:rsid w:val="00D80F91"/>
    <w:rsid w:val="00D819F2"/>
    <w:rsid w:val="00D81F78"/>
    <w:rsid w:val="00D821B0"/>
    <w:rsid w:val="00D83414"/>
    <w:rsid w:val="00D83509"/>
    <w:rsid w:val="00D83A6E"/>
    <w:rsid w:val="00D83AE1"/>
    <w:rsid w:val="00D83C4C"/>
    <w:rsid w:val="00D83CC4"/>
    <w:rsid w:val="00D846D9"/>
    <w:rsid w:val="00D84895"/>
    <w:rsid w:val="00D84ABC"/>
    <w:rsid w:val="00D84B02"/>
    <w:rsid w:val="00D84FC1"/>
    <w:rsid w:val="00D8548D"/>
    <w:rsid w:val="00D85B91"/>
    <w:rsid w:val="00D85FB6"/>
    <w:rsid w:val="00D86326"/>
    <w:rsid w:val="00D86FDB"/>
    <w:rsid w:val="00D8746E"/>
    <w:rsid w:val="00D9086D"/>
    <w:rsid w:val="00D9116A"/>
    <w:rsid w:val="00D91941"/>
    <w:rsid w:val="00D91999"/>
    <w:rsid w:val="00D91C3D"/>
    <w:rsid w:val="00D930FE"/>
    <w:rsid w:val="00D93695"/>
    <w:rsid w:val="00D93A54"/>
    <w:rsid w:val="00D93CFB"/>
    <w:rsid w:val="00D9476B"/>
    <w:rsid w:val="00D952C1"/>
    <w:rsid w:val="00D9561F"/>
    <w:rsid w:val="00D95DF0"/>
    <w:rsid w:val="00D95FEB"/>
    <w:rsid w:val="00D960FC"/>
    <w:rsid w:val="00D967A3"/>
    <w:rsid w:val="00DA048F"/>
    <w:rsid w:val="00DA0720"/>
    <w:rsid w:val="00DA1270"/>
    <w:rsid w:val="00DA1630"/>
    <w:rsid w:val="00DA2978"/>
    <w:rsid w:val="00DA2A47"/>
    <w:rsid w:val="00DA2DAC"/>
    <w:rsid w:val="00DA3C92"/>
    <w:rsid w:val="00DA3D66"/>
    <w:rsid w:val="00DA44B2"/>
    <w:rsid w:val="00DA4773"/>
    <w:rsid w:val="00DA498D"/>
    <w:rsid w:val="00DA4BE2"/>
    <w:rsid w:val="00DA57E4"/>
    <w:rsid w:val="00DA685F"/>
    <w:rsid w:val="00DA6A0C"/>
    <w:rsid w:val="00DA6B95"/>
    <w:rsid w:val="00DA70B8"/>
    <w:rsid w:val="00DA7C55"/>
    <w:rsid w:val="00DA7E4A"/>
    <w:rsid w:val="00DB0698"/>
    <w:rsid w:val="00DB09BE"/>
    <w:rsid w:val="00DB0C58"/>
    <w:rsid w:val="00DB0CE1"/>
    <w:rsid w:val="00DB1723"/>
    <w:rsid w:val="00DB19D6"/>
    <w:rsid w:val="00DB1AB5"/>
    <w:rsid w:val="00DB1CB5"/>
    <w:rsid w:val="00DB3B90"/>
    <w:rsid w:val="00DB4585"/>
    <w:rsid w:val="00DB519D"/>
    <w:rsid w:val="00DB6424"/>
    <w:rsid w:val="00DB7359"/>
    <w:rsid w:val="00DB7A58"/>
    <w:rsid w:val="00DB7AA4"/>
    <w:rsid w:val="00DC14B8"/>
    <w:rsid w:val="00DC2274"/>
    <w:rsid w:val="00DC24EF"/>
    <w:rsid w:val="00DC31BC"/>
    <w:rsid w:val="00DC3289"/>
    <w:rsid w:val="00DC42D9"/>
    <w:rsid w:val="00DC51B4"/>
    <w:rsid w:val="00DC5936"/>
    <w:rsid w:val="00DC5D4E"/>
    <w:rsid w:val="00DC62D6"/>
    <w:rsid w:val="00DC6363"/>
    <w:rsid w:val="00DC6BC3"/>
    <w:rsid w:val="00DC6CFA"/>
    <w:rsid w:val="00DC7815"/>
    <w:rsid w:val="00DD025C"/>
    <w:rsid w:val="00DD061D"/>
    <w:rsid w:val="00DD063D"/>
    <w:rsid w:val="00DD1A55"/>
    <w:rsid w:val="00DD1BE2"/>
    <w:rsid w:val="00DD346F"/>
    <w:rsid w:val="00DD488C"/>
    <w:rsid w:val="00DD50E6"/>
    <w:rsid w:val="00DD558E"/>
    <w:rsid w:val="00DD6372"/>
    <w:rsid w:val="00DD6D54"/>
    <w:rsid w:val="00DD6E58"/>
    <w:rsid w:val="00DD6EDB"/>
    <w:rsid w:val="00DE0160"/>
    <w:rsid w:val="00DE0376"/>
    <w:rsid w:val="00DE0473"/>
    <w:rsid w:val="00DE0474"/>
    <w:rsid w:val="00DE0926"/>
    <w:rsid w:val="00DE0CB2"/>
    <w:rsid w:val="00DE16BE"/>
    <w:rsid w:val="00DE1865"/>
    <w:rsid w:val="00DE2BB3"/>
    <w:rsid w:val="00DE329C"/>
    <w:rsid w:val="00DE418C"/>
    <w:rsid w:val="00DE431D"/>
    <w:rsid w:val="00DE4C11"/>
    <w:rsid w:val="00DE6499"/>
    <w:rsid w:val="00DE6F5E"/>
    <w:rsid w:val="00DE7586"/>
    <w:rsid w:val="00DE7B98"/>
    <w:rsid w:val="00DF0970"/>
    <w:rsid w:val="00DF0AB7"/>
    <w:rsid w:val="00DF0B89"/>
    <w:rsid w:val="00DF19B2"/>
    <w:rsid w:val="00DF2997"/>
    <w:rsid w:val="00DF3757"/>
    <w:rsid w:val="00DF509D"/>
    <w:rsid w:val="00DF50E4"/>
    <w:rsid w:val="00DF564D"/>
    <w:rsid w:val="00DF5C84"/>
    <w:rsid w:val="00DF601D"/>
    <w:rsid w:val="00DF62D1"/>
    <w:rsid w:val="00DF63AE"/>
    <w:rsid w:val="00DF65CD"/>
    <w:rsid w:val="00DF6F6A"/>
    <w:rsid w:val="00DF6FE3"/>
    <w:rsid w:val="00DF71B4"/>
    <w:rsid w:val="00DF7762"/>
    <w:rsid w:val="00DF79E8"/>
    <w:rsid w:val="00DF7DD3"/>
    <w:rsid w:val="00E0017A"/>
    <w:rsid w:val="00E0096D"/>
    <w:rsid w:val="00E009B0"/>
    <w:rsid w:val="00E0100D"/>
    <w:rsid w:val="00E01E9C"/>
    <w:rsid w:val="00E0204A"/>
    <w:rsid w:val="00E02B57"/>
    <w:rsid w:val="00E02D0B"/>
    <w:rsid w:val="00E04C44"/>
    <w:rsid w:val="00E04EF3"/>
    <w:rsid w:val="00E0540F"/>
    <w:rsid w:val="00E05417"/>
    <w:rsid w:val="00E05642"/>
    <w:rsid w:val="00E05B22"/>
    <w:rsid w:val="00E062CE"/>
    <w:rsid w:val="00E06376"/>
    <w:rsid w:val="00E06E26"/>
    <w:rsid w:val="00E079B1"/>
    <w:rsid w:val="00E103A6"/>
    <w:rsid w:val="00E1040C"/>
    <w:rsid w:val="00E104B8"/>
    <w:rsid w:val="00E11BAF"/>
    <w:rsid w:val="00E11C42"/>
    <w:rsid w:val="00E120D4"/>
    <w:rsid w:val="00E12C52"/>
    <w:rsid w:val="00E12F99"/>
    <w:rsid w:val="00E139D5"/>
    <w:rsid w:val="00E13C12"/>
    <w:rsid w:val="00E13E7B"/>
    <w:rsid w:val="00E146CD"/>
    <w:rsid w:val="00E14904"/>
    <w:rsid w:val="00E15E69"/>
    <w:rsid w:val="00E16963"/>
    <w:rsid w:val="00E16B90"/>
    <w:rsid w:val="00E16DFC"/>
    <w:rsid w:val="00E16F05"/>
    <w:rsid w:val="00E2050D"/>
    <w:rsid w:val="00E20729"/>
    <w:rsid w:val="00E21CC4"/>
    <w:rsid w:val="00E22982"/>
    <w:rsid w:val="00E23914"/>
    <w:rsid w:val="00E245BC"/>
    <w:rsid w:val="00E25607"/>
    <w:rsid w:val="00E2598D"/>
    <w:rsid w:val="00E25DB6"/>
    <w:rsid w:val="00E25FB2"/>
    <w:rsid w:val="00E268EE"/>
    <w:rsid w:val="00E26E50"/>
    <w:rsid w:val="00E27048"/>
    <w:rsid w:val="00E273E6"/>
    <w:rsid w:val="00E276F9"/>
    <w:rsid w:val="00E27736"/>
    <w:rsid w:val="00E27CE1"/>
    <w:rsid w:val="00E27CF5"/>
    <w:rsid w:val="00E3003A"/>
    <w:rsid w:val="00E30327"/>
    <w:rsid w:val="00E30B91"/>
    <w:rsid w:val="00E314A3"/>
    <w:rsid w:val="00E314BD"/>
    <w:rsid w:val="00E31758"/>
    <w:rsid w:val="00E318AE"/>
    <w:rsid w:val="00E3278D"/>
    <w:rsid w:val="00E33701"/>
    <w:rsid w:val="00E3477F"/>
    <w:rsid w:val="00E3541A"/>
    <w:rsid w:val="00E35B97"/>
    <w:rsid w:val="00E361CE"/>
    <w:rsid w:val="00E3622F"/>
    <w:rsid w:val="00E364A8"/>
    <w:rsid w:val="00E374B1"/>
    <w:rsid w:val="00E4054B"/>
    <w:rsid w:val="00E4077A"/>
    <w:rsid w:val="00E40EC1"/>
    <w:rsid w:val="00E4141C"/>
    <w:rsid w:val="00E41765"/>
    <w:rsid w:val="00E42ACA"/>
    <w:rsid w:val="00E43D97"/>
    <w:rsid w:val="00E44198"/>
    <w:rsid w:val="00E45244"/>
    <w:rsid w:val="00E456D1"/>
    <w:rsid w:val="00E4597E"/>
    <w:rsid w:val="00E45AFA"/>
    <w:rsid w:val="00E45EF1"/>
    <w:rsid w:val="00E46D7C"/>
    <w:rsid w:val="00E472F1"/>
    <w:rsid w:val="00E47BC9"/>
    <w:rsid w:val="00E47E2E"/>
    <w:rsid w:val="00E50631"/>
    <w:rsid w:val="00E50E36"/>
    <w:rsid w:val="00E513E2"/>
    <w:rsid w:val="00E518E7"/>
    <w:rsid w:val="00E51E19"/>
    <w:rsid w:val="00E522B1"/>
    <w:rsid w:val="00E52903"/>
    <w:rsid w:val="00E529D1"/>
    <w:rsid w:val="00E52A45"/>
    <w:rsid w:val="00E52C4B"/>
    <w:rsid w:val="00E52FEB"/>
    <w:rsid w:val="00E53A87"/>
    <w:rsid w:val="00E5495E"/>
    <w:rsid w:val="00E54E76"/>
    <w:rsid w:val="00E5563E"/>
    <w:rsid w:val="00E559B3"/>
    <w:rsid w:val="00E55EF6"/>
    <w:rsid w:val="00E5610C"/>
    <w:rsid w:val="00E56ADC"/>
    <w:rsid w:val="00E56D98"/>
    <w:rsid w:val="00E56E1E"/>
    <w:rsid w:val="00E57104"/>
    <w:rsid w:val="00E57286"/>
    <w:rsid w:val="00E57891"/>
    <w:rsid w:val="00E57B56"/>
    <w:rsid w:val="00E57D65"/>
    <w:rsid w:val="00E60140"/>
    <w:rsid w:val="00E616CD"/>
    <w:rsid w:val="00E6295F"/>
    <w:rsid w:val="00E62DC2"/>
    <w:rsid w:val="00E6374A"/>
    <w:rsid w:val="00E63B5E"/>
    <w:rsid w:val="00E63B9D"/>
    <w:rsid w:val="00E63C0C"/>
    <w:rsid w:val="00E640D3"/>
    <w:rsid w:val="00E6410F"/>
    <w:rsid w:val="00E64213"/>
    <w:rsid w:val="00E64809"/>
    <w:rsid w:val="00E64854"/>
    <w:rsid w:val="00E64BD0"/>
    <w:rsid w:val="00E65EA7"/>
    <w:rsid w:val="00E66713"/>
    <w:rsid w:val="00E669E6"/>
    <w:rsid w:val="00E70C2D"/>
    <w:rsid w:val="00E70F73"/>
    <w:rsid w:val="00E7129A"/>
    <w:rsid w:val="00E71814"/>
    <w:rsid w:val="00E71C4B"/>
    <w:rsid w:val="00E722BE"/>
    <w:rsid w:val="00E728A4"/>
    <w:rsid w:val="00E7362F"/>
    <w:rsid w:val="00E73748"/>
    <w:rsid w:val="00E748D8"/>
    <w:rsid w:val="00E75C26"/>
    <w:rsid w:val="00E75CE5"/>
    <w:rsid w:val="00E75D0B"/>
    <w:rsid w:val="00E75E8A"/>
    <w:rsid w:val="00E7645D"/>
    <w:rsid w:val="00E771CF"/>
    <w:rsid w:val="00E77812"/>
    <w:rsid w:val="00E807A4"/>
    <w:rsid w:val="00E808E7"/>
    <w:rsid w:val="00E80CCA"/>
    <w:rsid w:val="00E80CDA"/>
    <w:rsid w:val="00E81282"/>
    <w:rsid w:val="00E812F3"/>
    <w:rsid w:val="00E817BB"/>
    <w:rsid w:val="00E81934"/>
    <w:rsid w:val="00E81E89"/>
    <w:rsid w:val="00E82C88"/>
    <w:rsid w:val="00E82F7E"/>
    <w:rsid w:val="00E83809"/>
    <w:rsid w:val="00E83DE8"/>
    <w:rsid w:val="00E83E53"/>
    <w:rsid w:val="00E83F0D"/>
    <w:rsid w:val="00E83F92"/>
    <w:rsid w:val="00E8428A"/>
    <w:rsid w:val="00E845FD"/>
    <w:rsid w:val="00E857AB"/>
    <w:rsid w:val="00E85C54"/>
    <w:rsid w:val="00E8738E"/>
    <w:rsid w:val="00E87573"/>
    <w:rsid w:val="00E875D1"/>
    <w:rsid w:val="00E876E8"/>
    <w:rsid w:val="00E90616"/>
    <w:rsid w:val="00E909B7"/>
    <w:rsid w:val="00E930E6"/>
    <w:rsid w:val="00E93222"/>
    <w:rsid w:val="00E93745"/>
    <w:rsid w:val="00E937A6"/>
    <w:rsid w:val="00E93A27"/>
    <w:rsid w:val="00E94107"/>
    <w:rsid w:val="00E94A49"/>
    <w:rsid w:val="00E962B2"/>
    <w:rsid w:val="00EA0236"/>
    <w:rsid w:val="00EA117B"/>
    <w:rsid w:val="00EA15AF"/>
    <w:rsid w:val="00EA176F"/>
    <w:rsid w:val="00EA2A1A"/>
    <w:rsid w:val="00EA37EF"/>
    <w:rsid w:val="00EA3BEE"/>
    <w:rsid w:val="00EA41E2"/>
    <w:rsid w:val="00EA4C57"/>
    <w:rsid w:val="00EA54F9"/>
    <w:rsid w:val="00EA5F35"/>
    <w:rsid w:val="00EA66E9"/>
    <w:rsid w:val="00EA6A82"/>
    <w:rsid w:val="00EA7123"/>
    <w:rsid w:val="00EA779B"/>
    <w:rsid w:val="00EB0366"/>
    <w:rsid w:val="00EB0E71"/>
    <w:rsid w:val="00EB1300"/>
    <w:rsid w:val="00EB1FD5"/>
    <w:rsid w:val="00EB29C7"/>
    <w:rsid w:val="00EB2C6D"/>
    <w:rsid w:val="00EB48AC"/>
    <w:rsid w:val="00EB5177"/>
    <w:rsid w:val="00EB5CA1"/>
    <w:rsid w:val="00EB63E4"/>
    <w:rsid w:val="00EB6B29"/>
    <w:rsid w:val="00EB7778"/>
    <w:rsid w:val="00EB7AD5"/>
    <w:rsid w:val="00EB7B9B"/>
    <w:rsid w:val="00EC02B6"/>
    <w:rsid w:val="00EC05E3"/>
    <w:rsid w:val="00EC064A"/>
    <w:rsid w:val="00EC084E"/>
    <w:rsid w:val="00EC0D8C"/>
    <w:rsid w:val="00EC11A9"/>
    <w:rsid w:val="00EC19B6"/>
    <w:rsid w:val="00EC212A"/>
    <w:rsid w:val="00EC2DED"/>
    <w:rsid w:val="00EC3032"/>
    <w:rsid w:val="00EC30C7"/>
    <w:rsid w:val="00EC37A3"/>
    <w:rsid w:val="00EC4032"/>
    <w:rsid w:val="00EC423D"/>
    <w:rsid w:val="00EC4542"/>
    <w:rsid w:val="00EC4F59"/>
    <w:rsid w:val="00EC5361"/>
    <w:rsid w:val="00EC5438"/>
    <w:rsid w:val="00EC58B9"/>
    <w:rsid w:val="00EC6172"/>
    <w:rsid w:val="00EC61BD"/>
    <w:rsid w:val="00EC691D"/>
    <w:rsid w:val="00EC70FF"/>
    <w:rsid w:val="00EC74AD"/>
    <w:rsid w:val="00EC74E4"/>
    <w:rsid w:val="00ED0E06"/>
    <w:rsid w:val="00ED0F5A"/>
    <w:rsid w:val="00ED10EA"/>
    <w:rsid w:val="00ED12DC"/>
    <w:rsid w:val="00ED13ED"/>
    <w:rsid w:val="00ED1682"/>
    <w:rsid w:val="00ED2A37"/>
    <w:rsid w:val="00ED2BF6"/>
    <w:rsid w:val="00ED33FB"/>
    <w:rsid w:val="00ED3A89"/>
    <w:rsid w:val="00ED3EBE"/>
    <w:rsid w:val="00ED3F8C"/>
    <w:rsid w:val="00ED464F"/>
    <w:rsid w:val="00ED47E3"/>
    <w:rsid w:val="00ED4A56"/>
    <w:rsid w:val="00ED4AAD"/>
    <w:rsid w:val="00ED54E4"/>
    <w:rsid w:val="00ED55C8"/>
    <w:rsid w:val="00ED572A"/>
    <w:rsid w:val="00ED6367"/>
    <w:rsid w:val="00ED637F"/>
    <w:rsid w:val="00ED6477"/>
    <w:rsid w:val="00ED6D5D"/>
    <w:rsid w:val="00ED719A"/>
    <w:rsid w:val="00ED769C"/>
    <w:rsid w:val="00EE0288"/>
    <w:rsid w:val="00EE0431"/>
    <w:rsid w:val="00EE0665"/>
    <w:rsid w:val="00EE076D"/>
    <w:rsid w:val="00EE0780"/>
    <w:rsid w:val="00EE0863"/>
    <w:rsid w:val="00EE210A"/>
    <w:rsid w:val="00EE29E1"/>
    <w:rsid w:val="00EE2BD6"/>
    <w:rsid w:val="00EE3152"/>
    <w:rsid w:val="00EE3239"/>
    <w:rsid w:val="00EE4C07"/>
    <w:rsid w:val="00EE5118"/>
    <w:rsid w:val="00EE530F"/>
    <w:rsid w:val="00EE54B0"/>
    <w:rsid w:val="00EE5BC9"/>
    <w:rsid w:val="00EE5BDD"/>
    <w:rsid w:val="00EE5E70"/>
    <w:rsid w:val="00EE61BF"/>
    <w:rsid w:val="00EE6B24"/>
    <w:rsid w:val="00EE6D8B"/>
    <w:rsid w:val="00EE75C3"/>
    <w:rsid w:val="00EE75F6"/>
    <w:rsid w:val="00EF042A"/>
    <w:rsid w:val="00EF04D4"/>
    <w:rsid w:val="00EF051C"/>
    <w:rsid w:val="00EF1688"/>
    <w:rsid w:val="00EF3062"/>
    <w:rsid w:val="00EF3958"/>
    <w:rsid w:val="00EF441B"/>
    <w:rsid w:val="00EF5147"/>
    <w:rsid w:val="00EF5F9D"/>
    <w:rsid w:val="00EF680B"/>
    <w:rsid w:val="00F00724"/>
    <w:rsid w:val="00F00C02"/>
    <w:rsid w:val="00F013EF"/>
    <w:rsid w:val="00F02138"/>
    <w:rsid w:val="00F028F0"/>
    <w:rsid w:val="00F037D9"/>
    <w:rsid w:val="00F03E0A"/>
    <w:rsid w:val="00F04BE3"/>
    <w:rsid w:val="00F0502F"/>
    <w:rsid w:val="00F0535C"/>
    <w:rsid w:val="00F05DCD"/>
    <w:rsid w:val="00F05F05"/>
    <w:rsid w:val="00F06438"/>
    <w:rsid w:val="00F06831"/>
    <w:rsid w:val="00F06AAC"/>
    <w:rsid w:val="00F07C70"/>
    <w:rsid w:val="00F10002"/>
    <w:rsid w:val="00F106BA"/>
    <w:rsid w:val="00F1140A"/>
    <w:rsid w:val="00F1159B"/>
    <w:rsid w:val="00F12BAB"/>
    <w:rsid w:val="00F1361C"/>
    <w:rsid w:val="00F1382E"/>
    <w:rsid w:val="00F13899"/>
    <w:rsid w:val="00F14362"/>
    <w:rsid w:val="00F15589"/>
    <w:rsid w:val="00F15E2B"/>
    <w:rsid w:val="00F1699C"/>
    <w:rsid w:val="00F16D75"/>
    <w:rsid w:val="00F173A2"/>
    <w:rsid w:val="00F17CAE"/>
    <w:rsid w:val="00F213BC"/>
    <w:rsid w:val="00F216E1"/>
    <w:rsid w:val="00F21850"/>
    <w:rsid w:val="00F22554"/>
    <w:rsid w:val="00F23281"/>
    <w:rsid w:val="00F23990"/>
    <w:rsid w:val="00F23D22"/>
    <w:rsid w:val="00F23ED5"/>
    <w:rsid w:val="00F23F8D"/>
    <w:rsid w:val="00F24397"/>
    <w:rsid w:val="00F25226"/>
    <w:rsid w:val="00F25F9C"/>
    <w:rsid w:val="00F267E6"/>
    <w:rsid w:val="00F27546"/>
    <w:rsid w:val="00F275F1"/>
    <w:rsid w:val="00F279CA"/>
    <w:rsid w:val="00F27C6B"/>
    <w:rsid w:val="00F302AD"/>
    <w:rsid w:val="00F309FD"/>
    <w:rsid w:val="00F32117"/>
    <w:rsid w:val="00F32AF0"/>
    <w:rsid w:val="00F32D5A"/>
    <w:rsid w:val="00F33C30"/>
    <w:rsid w:val="00F34C2D"/>
    <w:rsid w:val="00F35337"/>
    <w:rsid w:val="00F35832"/>
    <w:rsid w:val="00F35ABF"/>
    <w:rsid w:val="00F36563"/>
    <w:rsid w:val="00F37468"/>
    <w:rsid w:val="00F4010D"/>
    <w:rsid w:val="00F412DA"/>
    <w:rsid w:val="00F41B88"/>
    <w:rsid w:val="00F425A3"/>
    <w:rsid w:val="00F42BB1"/>
    <w:rsid w:val="00F42E8C"/>
    <w:rsid w:val="00F434F2"/>
    <w:rsid w:val="00F44A1F"/>
    <w:rsid w:val="00F44C61"/>
    <w:rsid w:val="00F44D9E"/>
    <w:rsid w:val="00F450A3"/>
    <w:rsid w:val="00F45813"/>
    <w:rsid w:val="00F45DF0"/>
    <w:rsid w:val="00F45EE4"/>
    <w:rsid w:val="00F4690F"/>
    <w:rsid w:val="00F46BED"/>
    <w:rsid w:val="00F470C1"/>
    <w:rsid w:val="00F47917"/>
    <w:rsid w:val="00F500AB"/>
    <w:rsid w:val="00F50530"/>
    <w:rsid w:val="00F50625"/>
    <w:rsid w:val="00F50A15"/>
    <w:rsid w:val="00F514EE"/>
    <w:rsid w:val="00F5248A"/>
    <w:rsid w:val="00F52739"/>
    <w:rsid w:val="00F528AE"/>
    <w:rsid w:val="00F536A4"/>
    <w:rsid w:val="00F53AA2"/>
    <w:rsid w:val="00F53AB1"/>
    <w:rsid w:val="00F53C23"/>
    <w:rsid w:val="00F53D9F"/>
    <w:rsid w:val="00F541E4"/>
    <w:rsid w:val="00F54255"/>
    <w:rsid w:val="00F54419"/>
    <w:rsid w:val="00F544E3"/>
    <w:rsid w:val="00F55A3C"/>
    <w:rsid w:val="00F55DC5"/>
    <w:rsid w:val="00F55E4D"/>
    <w:rsid w:val="00F56DC9"/>
    <w:rsid w:val="00F57271"/>
    <w:rsid w:val="00F5760B"/>
    <w:rsid w:val="00F57AC9"/>
    <w:rsid w:val="00F60C8C"/>
    <w:rsid w:val="00F61271"/>
    <w:rsid w:val="00F61FE7"/>
    <w:rsid w:val="00F6372C"/>
    <w:rsid w:val="00F64AFE"/>
    <w:rsid w:val="00F652B6"/>
    <w:rsid w:val="00F653CB"/>
    <w:rsid w:val="00F65548"/>
    <w:rsid w:val="00F65EA6"/>
    <w:rsid w:val="00F66441"/>
    <w:rsid w:val="00F669C7"/>
    <w:rsid w:val="00F67E4B"/>
    <w:rsid w:val="00F67E88"/>
    <w:rsid w:val="00F707E2"/>
    <w:rsid w:val="00F70B89"/>
    <w:rsid w:val="00F716E2"/>
    <w:rsid w:val="00F7286C"/>
    <w:rsid w:val="00F72C81"/>
    <w:rsid w:val="00F73DBC"/>
    <w:rsid w:val="00F740BB"/>
    <w:rsid w:val="00F7468E"/>
    <w:rsid w:val="00F74EEA"/>
    <w:rsid w:val="00F7534D"/>
    <w:rsid w:val="00F7558B"/>
    <w:rsid w:val="00F755D5"/>
    <w:rsid w:val="00F75DA1"/>
    <w:rsid w:val="00F75E38"/>
    <w:rsid w:val="00F762AC"/>
    <w:rsid w:val="00F763AA"/>
    <w:rsid w:val="00F771FB"/>
    <w:rsid w:val="00F7744B"/>
    <w:rsid w:val="00F77AE4"/>
    <w:rsid w:val="00F77E85"/>
    <w:rsid w:val="00F804E3"/>
    <w:rsid w:val="00F80739"/>
    <w:rsid w:val="00F80F9D"/>
    <w:rsid w:val="00F8177B"/>
    <w:rsid w:val="00F81CC7"/>
    <w:rsid w:val="00F8215E"/>
    <w:rsid w:val="00F824CF"/>
    <w:rsid w:val="00F83364"/>
    <w:rsid w:val="00F833D8"/>
    <w:rsid w:val="00F8347F"/>
    <w:rsid w:val="00F83698"/>
    <w:rsid w:val="00F83EA2"/>
    <w:rsid w:val="00F840C0"/>
    <w:rsid w:val="00F84369"/>
    <w:rsid w:val="00F848FC"/>
    <w:rsid w:val="00F84D93"/>
    <w:rsid w:val="00F86E2B"/>
    <w:rsid w:val="00F8731D"/>
    <w:rsid w:val="00F87374"/>
    <w:rsid w:val="00F8771B"/>
    <w:rsid w:val="00F87846"/>
    <w:rsid w:val="00F87986"/>
    <w:rsid w:val="00F904A2"/>
    <w:rsid w:val="00F910D8"/>
    <w:rsid w:val="00F91100"/>
    <w:rsid w:val="00F9120A"/>
    <w:rsid w:val="00F9149A"/>
    <w:rsid w:val="00F93287"/>
    <w:rsid w:val="00F93852"/>
    <w:rsid w:val="00F9397F"/>
    <w:rsid w:val="00F942CA"/>
    <w:rsid w:val="00F9530B"/>
    <w:rsid w:val="00F95A2A"/>
    <w:rsid w:val="00F97D2F"/>
    <w:rsid w:val="00FA0682"/>
    <w:rsid w:val="00FA12BE"/>
    <w:rsid w:val="00FA15C2"/>
    <w:rsid w:val="00FA1709"/>
    <w:rsid w:val="00FA24FD"/>
    <w:rsid w:val="00FA3101"/>
    <w:rsid w:val="00FA3155"/>
    <w:rsid w:val="00FA3B7C"/>
    <w:rsid w:val="00FA4420"/>
    <w:rsid w:val="00FA4688"/>
    <w:rsid w:val="00FA469E"/>
    <w:rsid w:val="00FA4853"/>
    <w:rsid w:val="00FA5385"/>
    <w:rsid w:val="00FA6980"/>
    <w:rsid w:val="00FA782C"/>
    <w:rsid w:val="00FA7C2F"/>
    <w:rsid w:val="00FB05D0"/>
    <w:rsid w:val="00FB09C3"/>
    <w:rsid w:val="00FB0F2E"/>
    <w:rsid w:val="00FB156D"/>
    <w:rsid w:val="00FB1D49"/>
    <w:rsid w:val="00FB1F28"/>
    <w:rsid w:val="00FB285C"/>
    <w:rsid w:val="00FB3534"/>
    <w:rsid w:val="00FB36B4"/>
    <w:rsid w:val="00FB5247"/>
    <w:rsid w:val="00FB5251"/>
    <w:rsid w:val="00FB594E"/>
    <w:rsid w:val="00FB5E62"/>
    <w:rsid w:val="00FB680D"/>
    <w:rsid w:val="00FB6EA9"/>
    <w:rsid w:val="00FB73C1"/>
    <w:rsid w:val="00FB7532"/>
    <w:rsid w:val="00FC097A"/>
    <w:rsid w:val="00FC09C1"/>
    <w:rsid w:val="00FC15FD"/>
    <w:rsid w:val="00FC163E"/>
    <w:rsid w:val="00FC1ABD"/>
    <w:rsid w:val="00FC1E4B"/>
    <w:rsid w:val="00FC1E92"/>
    <w:rsid w:val="00FC200E"/>
    <w:rsid w:val="00FC2B51"/>
    <w:rsid w:val="00FC3254"/>
    <w:rsid w:val="00FC523A"/>
    <w:rsid w:val="00FC5714"/>
    <w:rsid w:val="00FC65C2"/>
    <w:rsid w:val="00FC699A"/>
    <w:rsid w:val="00FC6BAD"/>
    <w:rsid w:val="00FC72E5"/>
    <w:rsid w:val="00FC7C27"/>
    <w:rsid w:val="00FD0544"/>
    <w:rsid w:val="00FD14AE"/>
    <w:rsid w:val="00FD16BD"/>
    <w:rsid w:val="00FD1A40"/>
    <w:rsid w:val="00FD2756"/>
    <w:rsid w:val="00FD2921"/>
    <w:rsid w:val="00FD2DE0"/>
    <w:rsid w:val="00FD38E1"/>
    <w:rsid w:val="00FD4450"/>
    <w:rsid w:val="00FD4603"/>
    <w:rsid w:val="00FD4AB9"/>
    <w:rsid w:val="00FD52F8"/>
    <w:rsid w:val="00FD5FAA"/>
    <w:rsid w:val="00FD726F"/>
    <w:rsid w:val="00FD72F2"/>
    <w:rsid w:val="00FD72F5"/>
    <w:rsid w:val="00FD7894"/>
    <w:rsid w:val="00FE04A8"/>
    <w:rsid w:val="00FE04EE"/>
    <w:rsid w:val="00FE17F1"/>
    <w:rsid w:val="00FE1842"/>
    <w:rsid w:val="00FE1C42"/>
    <w:rsid w:val="00FE1FED"/>
    <w:rsid w:val="00FE2135"/>
    <w:rsid w:val="00FE27D3"/>
    <w:rsid w:val="00FE2A26"/>
    <w:rsid w:val="00FE36E6"/>
    <w:rsid w:val="00FE41EB"/>
    <w:rsid w:val="00FE43F8"/>
    <w:rsid w:val="00FE4BD0"/>
    <w:rsid w:val="00FE4F0E"/>
    <w:rsid w:val="00FE55DD"/>
    <w:rsid w:val="00FE6057"/>
    <w:rsid w:val="00FE703D"/>
    <w:rsid w:val="00FE7826"/>
    <w:rsid w:val="00FE7CF0"/>
    <w:rsid w:val="00FF0C61"/>
    <w:rsid w:val="00FF0D98"/>
    <w:rsid w:val="00FF0FD9"/>
    <w:rsid w:val="00FF120D"/>
    <w:rsid w:val="00FF1480"/>
    <w:rsid w:val="00FF1878"/>
    <w:rsid w:val="00FF1F49"/>
    <w:rsid w:val="00FF2143"/>
    <w:rsid w:val="00FF292E"/>
    <w:rsid w:val="00FF373B"/>
    <w:rsid w:val="00FF3E17"/>
    <w:rsid w:val="00FF3ED0"/>
    <w:rsid w:val="00FF50AB"/>
    <w:rsid w:val="00FF56CE"/>
    <w:rsid w:val="00FF6981"/>
    <w:rsid w:val="00FF736E"/>
    <w:rsid w:val="00FF7881"/>
    <w:rsid w:val="68EA6C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FA811"/>
  <w15:chartTrackingRefBased/>
  <w15:docId w15:val="{9617547E-8E3E-4B1E-93D8-4472B50A5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9B5"/>
    <w:pPr>
      <w:widowControl w:val="0"/>
      <w:spacing w:line="480" w:lineRule="auto"/>
      <w:ind w:firstLine="482"/>
      <w:jc w:val="both"/>
    </w:pPr>
    <w:rPr>
      <w:rFonts w:ascii="Times New Roman" w:hAnsi="Times New Roman" w:cs="Times New Roman"/>
      <w:sz w:val="24"/>
    </w:rPr>
  </w:style>
  <w:style w:type="paragraph" w:styleId="Heading1">
    <w:name w:val="heading 1"/>
    <w:basedOn w:val="Heading2"/>
    <w:next w:val="Normal"/>
    <w:link w:val="Heading1Char"/>
    <w:uiPriority w:val="9"/>
    <w:qFormat/>
    <w:rsid w:val="006B5FE8"/>
    <w:pPr>
      <w:numPr>
        <w:ilvl w:val="0"/>
      </w:numPr>
      <w:suppressLineNumbers/>
      <w:suppressAutoHyphens/>
      <w:ind w:left="425"/>
      <w:outlineLvl w:val="0"/>
    </w:pPr>
    <w:rPr>
      <w:rFonts w:eastAsia="Times New Roman"/>
      <w:bCs w:val="0"/>
      <w:sz w:val="36"/>
    </w:rPr>
  </w:style>
  <w:style w:type="paragraph" w:styleId="Heading2">
    <w:name w:val="heading 2"/>
    <w:link w:val="Heading2Char"/>
    <w:uiPriority w:val="9"/>
    <w:unhideWhenUsed/>
    <w:qFormat/>
    <w:rsid w:val="00F028F0"/>
    <w:pPr>
      <w:keepNext/>
      <w:keepLines/>
      <w:numPr>
        <w:ilvl w:val="1"/>
        <w:numId w:val="11"/>
      </w:numPr>
      <w:spacing w:before="120" w:line="480" w:lineRule="auto"/>
      <w:contextualSpacing/>
      <w:outlineLvl w:val="1"/>
    </w:pPr>
    <w:rPr>
      <w:rFonts w:ascii="Times New Roman" w:hAnsi="Times New Roman" w:cs="Times New Roman"/>
      <w:b/>
      <w:bCs/>
      <w:sz w:val="28"/>
      <w:szCs w:val="32"/>
    </w:rPr>
  </w:style>
  <w:style w:type="paragraph" w:styleId="Heading3">
    <w:name w:val="heading 3"/>
    <w:link w:val="Heading3Char"/>
    <w:uiPriority w:val="9"/>
    <w:qFormat/>
    <w:rsid w:val="00CF5BD7"/>
    <w:pPr>
      <w:numPr>
        <w:ilvl w:val="2"/>
        <w:numId w:val="11"/>
      </w:numPr>
      <w:spacing w:beforeLines="50" w:before="163" w:afterLines="100" w:after="326"/>
      <w:ind w:left="0" w:firstLine="0"/>
      <w:outlineLvl w:val="2"/>
    </w:pPr>
    <w:rPr>
      <w:rFonts w:ascii="Times New Roman" w:eastAsia="Times New Roman" w:hAnsi="Times New Roman" w:cs="Times New Roman"/>
      <w:b/>
      <w:bCs/>
      <w:i/>
      <w:kern w:val="0"/>
      <w:sz w:val="24"/>
      <w:szCs w:val="27"/>
    </w:rPr>
  </w:style>
  <w:style w:type="paragraph" w:styleId="Heading4">
    <w:name w:val="heading 4"/>
    <w:basedOn w:val="Normal"/>
    <w:next w:val="Normal"/>
    <w:link w:val="Heading4Char"/>
    <w:uiPriority w:val="9"/>
    <w:unhideWhenUsed/>
    <w:qFormat/>
    <w:rsid w:val="00CF5BD7"/>
    <w:pPr>
      <w:keepNext/>
      <w:keepLines/>
      <w:numPr>
        <w:ilvl w:val="3"/>
        <w:numId w:val="11"/>
      </w:numPr>
      <w:spacing w:before="280" w:after="290" w:line="240" w:lineRule="auto"/>
      <w:ind w:leftChars="100" w:left="240" w:rightChars="100" w:right="240"/>
      <w:outlineLvl w:val="3"/>
    </w:pPr>
    <w:rPr>
      <w:b/>
      <w:bCs/>
      <w:i/>
      <w:iCs/>
      <w:szCs w:val="24"/>
    </w:rPr>
  </w:style>
  <w:style w:type="paragraph" w:styleId="Heading5">
    <w:name w:val="heading 5"/>
    <w:basedOn w:val="Normal"/>
    <w:next w:val="Normal"/>
    <w:link w:val="Heading5Char"/>
    <w:uiPriority w:val="9"/>
    <w:unhideWhenUsed/>
    <w:qFormat/>
    <w:rsid w:val="00603F26"/>
    <w:pPr>
      <w:keepNext/>
      <w:keepLines/>
      <w:spacing w:before="280" w:after="290" w:line="376" w:lineRule="auto"/>
      <w:outlineLvl w:val="4"/>
    </w:pPr>
    <w:rPr>
      <w:bCs/>
      <w:i/>
      <w:szCs w:val="24"/>
    </w:rPr>
  </w:style>
  <w:style w:type="paragraph" w:styleId="Heading6">
    <w:name w:val="heading 6"/>
    <w:basedOn w:val="Normal"/>
    <w:next w:val="Normal"/>
    <w:link w:val="Heading6Char"/>
    <w:uiPriority w:val="9"/>
    <w:unhideWhenUsed/>
    <w:qFormat/>
    <w:rsid w:val="000215B4"/>
    <w:pPr>
      <w:keepLines/>
      <w:autoSpaceDE w:val="0"/>
      <w:autoSpaceDN w:val="0"/>
      <w:adjustRightInd w:val="0"/>
      <w:spacing w:before="240" w:after="64" w:line="320" w:lineRule="auto"/>
      <w:ind w:left="1152" w:hanging="1152"/>
      <w:textAlignment w:val="center"/>
      <w:outlineLvl w:val="5"/>
    </w:pPr>
    <w:rPr>
      <w:rFonts w:asciiTheme="majorHAnsi" w:eastAsiaTheme="majorEastAsia" w:hAnsiTheme="majorHAnsi" w:cstheme="majorBidi"/>
      <w:b/>
      <w:bCs/>
      <w:kern w:val="0"/>
      <w:szCs w:val="22"/>
      <w:lang w:eastAsia="zh-TW"/>
    </w:rPr>
  </w:style>
  <w:style w:type="paragraph" w:styleId="Heading7">
    <w:name w:val="heading 7"/>
    <w:basedOn w:val="Normal"/>
    <w:next w:val="Normal"/>
    <w:link w:val="Heading7Char"/>
    <w:uiPriority w:val="9"/>
    <w:semiHidden/>
    <w:unhideWhenUsed/>
    <w:qFormat/>
    <w:rsid w:val="000215B4"/>
    <w:pPr>
      <w:keepLines/>
      <w:autoSpaceDE w:val="0"/>
      <w:autoSpaceDN w:val="0"/>
      <w:adjustRightInd w:val="0"/>
      <w:spacing w:before="240" w:after="64" w:line="320" w:lineRule="auto"/>
      <w:ind w:left="1296" w:hanging="1296"/>
      <w:textAlignment w:val="center"/>
      <w:outlineLvl w:val="6"/>
    </w:pPr>
    <w:rPr>
      <w:b/>
      <w:bCs/>
      <w:kern w:val="0"/>
      <w:szCs w:val="22"/>
      <w:lang w:eastAsia="zh-TW"/>
    </w:rPr>
  </w:style>
  <w:style w:type="paragraph" w:styleId="Heading8">
    <w:name w:val="heading 8"/>
    <w:aliases w:val="xHeading 8"/>
    <w:basedOn w:val="Normal"/>
    <w:next w:val="Normal"/>
    <w:link w:val="Heading8Char"/>
    <w:uiPriority w:val="9"/>
    <w:qFormat/>
    <w:rsid w:val="00A623CE"/>
    <w:pPr>
      <w:numPr>
        <w:ilvl w:val="7"/>
        <w:numId w:val="24"/>
      </w:numPr>
      <w:spacing w:before="240" w:after="60" w:line="240" w:lineRule="auto"/>
      <w:outlineLvl w:val="7"/>
    </w:pPr>
    <w:rPr>
      <w:rFonts w:asciiTheme="minorHAnsi" w:hAnsiTheme="minorHAnsi" w:cstheme="minorBidi"/>
      <w:i/>
      <w:iCs/>
      <w:sz w:val="21"/>
      <w:szCs w:val="22"/>
    </w:rPr>
  </w:style>
  <w:style w:type="paragraph" w:styleId="Heading9">
    <w:name w:val="heading 9"/>
    <w:aliases w:val="xHeading 9"/>
    <w:basedOn w:val="Normal"/>
    <w:next w:val="Normal"/>
    <w:link w:val="Heading9Char"/>
    <w:uiPriority w:val="9"/>
    <w:qFormat/>
    <w:rsid w:val="00A623CE"/>
    <w:pPr>
      <w:numPr>
        <w:ilvl w:val="8"/>
        <w:numId w:val="24"/>
      </w:numPr>
      <w:spacing w:before="240" w:after="60" w:line="240" w:lineRule="auto"/>
      <w:outlineLvl w:val="8"/>
    </w:pPr>
    <w:rPr>
      <w:rFonts w:ascii="Arial" w:hAnsi="Arial" w:cs="Arial"/>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Heading1"/>
    <w:link w:val="TitleChar"/>
    <w:uiPriority w:val="10"/>
    <w:qFormat/>
    <w:rsid w:val="001D445F"/>
    <w:pPr>
      <w:numPr>
        <w:numId w:val="0"/>
      </w:numPr>
      <w:spacing w:before="240" w:after="60"/>
    </w:pPr>
    <w:rPr>
      <w:szCs w:val="28"/>
    </w:rPr>
  </w:style>
  <w:style w:type="character" w:customStyle="1" w:styleId="TitleChar">
    <w:name w:val="Title Char"/>
    <w:basedOn w:val="DefaultParagraphFont"/>
    <w:link w:val="Title"/>
    <w:uiPriority w:val="10"/>
    <w:rsid w:val="001D445F"/>
    <w:rPr>
      <w:rFonts w:ascii="Times New Roman" w:eastAsia="Times New Roman" w:hAnsi="Times New Roman" w:cs="Times New Roman"/>
      <w:b/>
      <w:sz w:val="28"/>
      <w:szCs w:val="28"/>
    </w:rPr>
  </w:style>
  <w:style w:type="character" w:styleId="Strong">
    <w:name w:val="Strong"/>
    <w:basedOn w:val="DefaultParagraphFont"/>
    <w:uiPriority w:val="22"/>
    <w:qFormat/>
    <w:rsid w:val="00825F41"/>
    <w:rPr>
      <w:b/>
      <w:bCs/>
    </w:rPr>
  </w:style>
  <w:style w:type="character" w:styleId="BookTitle">
    <w:name w:val="Book Title"/>
    <w:basedOn w:val="DefaultParagraphFont"/>
    <w:uiPriority w:val="33"/>
    <w:qFormat/>
    <w:rsid w:val="00825F41"/>
    <w:rPr>
      <w:b/>
      <w:bCs/>
      <w:i/>
      <w:iCs/>
      <w:spacing w:val="5"/>
    </w:rPr>
  </w:style>
  <w:style w:type="character" w:styleId="IntenseReference">
    <w:name w:val="Intense Reference"/>
    <w:basedOn w:val="DefaultParagraphFont"/>
    <w:uiPriority w:val="32"/>
    <w:qFormat/>
    <w:rsid w:val="00825F41"/>
    <w:rPr>
      <w:b/>
      <w:bCs/>
      <w:smallCaps/>
      <w:color w:val="4472C4" w:themeColor="accent1"/>
      <w:spacing w:val="5"/>
    </w:rPr>
  </w:style>
  <w:style w:type="character" w:styleId="SubtleReference">
    <w:name w:val="Subtle Reference"/>
    <w:basedOn w:val="DefaultParagraphFont"/>
    <w:uiPriority w:val="31"/>
    <w:qFormat/>
    <w:rsid w:val="00825F41"/>
    <w:rPr>
      <w:smallCaps/>
      <w:color w:val="5A5A5A" w:themeColor="text1" w:themeTint="A5"/>
    </w:rPr>
  </w:style>
  <w:style w:type="paragraph" w:styleId="NoSpacing">
    <w:name w:val="No Spacing"/>
    <w:uiPriority w:val="1"/>
    <w:qFormat/>
    <w:rsid w:val="00825F41"/>
    <w:pPr>
      <w:widowControl w:val="0"/>
      <w:jc w:val="both"/>
    </w:pPr>
  </w:style>
  <w:style w:type="paragraph" w:customStyle="1" w:styleId="HeadnotTOC">
    <w:name w:val="Head not TOC"/>
    <w:basedOn w:val="Normal"/>
    <w:link w:val="HeadnotTOCChar"/>
    <w:qFormat/>
    <w:rsid w:val="00730AE4"/>
    <w:pPr>
      <w:spacing w:line="240" w:lineRule="atLeast"/>
      <w:jc w:val="center"/>
    </w:pPr>
    <w:rPr>
      <w:sz w:val="28"/>
    </w:rPr>
  </w:style>
  <w:style w:type="character" w:customStyle="1" w:styleId="HeadnotTOCChar">
    <w:name w:val="Head not TOC Char"/>
    <w:basedOn w:val="TitleChar"/>
    <w:link w:val="HeadnotTOC"/>
    <w:rsid w:val="00730AE4"/>
    <w:rPr>
      <w:rFonts w:ascii="Times New Roman" w:eastAsia="Times New Roman" w:hAnsi="Times New Roman" w:cs="Times New Roman"/>
      <w:b w:val="0"/>
      <w:sz w:val="28"/>
      <w:szCs w:val="28"/>
    </w:rPr>
  </w:style>
  <w:style w:type="paragraph" w:styleId="Header">
    <w:name w:val="header"/>
    <w:basedOn w:val="Normal"/>
    <w:link w:val="HeaderChar"/>
    <w:uiPriority w:val="99"/>
    <w:unhideWhenUsed/>
    <w:rsid w:val="00622903"/>
    <w:pPr>
      <w:widowControl/>
      <w:tabs>
        <w:tab w:val="center" w:pos="4680"/>
        <w:tab w:val="right" w:pos="9360"/>
      </w:tabs>
      <w:jc w:val="left"/>
    </w:pPr>
    <w:rPr>
      <w:kern w:val="0"/>
      <w:sz w:val="22"/>
      <w:szCs w:val="22"/>
      <w:lang w:eastAsia="en-US"/>
    </w:rPr>
  </w:style>
  <w:style w:type="character" w:customStyle="1" w:styleId="HeaderChar">
    <w:name w:val="Header Char"/>
    <w:basedOn w:val="DefaultParagraphFont"/>
    <w:link w:val="Header"/>
    <w:uiPriority w:val="99"/>
    <w:rsid w:val="00622903"/>
    <w:rPr>
      <w:rFonts w:ascii="Times New Roman" w:hAnsi="Times New Roman" w:cs="Times New Roman"/>
      <w:kern w:val="0"/>
      <w:sz w:val="22"/>
      <w:szCs w:val="22"/>
      <w:lang w:eastAsia="en-US"/>
    </w:rPr>
  </w:style>
  <w:style w:type="character" w:customStyle="1" w:styleId="Heading3Char">
    <w:name w:val="Heading 3 Char"/>
    <w:basedOn w:val="DefaultParagraphFont"/>
    <w:link w:val="Heading3"/>
    <w:uiPriority w:val="9"/>
    <w:rsid w:val="001A20BA"/>
    <w:rPr>
      <w:rFonts w:ascii="Times New Roman" w:eastAsia="Times New Roman" w:hAnsi="Times New Roman" w:cs="Times New Roman"/>
      <w:b/>
      <w:bCs/>
      <w:i/>
      <w:kern w:val="0"/>
      <w:sz w:val="24"/>
      <w:szCs w:val="27"/>
    </w:rPr>
  </w:style>
  <w:style w:type="character" w:customStyle="1" w:styleId="Heading1Char">
    <w:name w:val="Heading 1 Char"/>
    <w:basedOn w:val="DefaultParagraphFont"/>
    <w:link w:val="Heading1"/>
    <w:uiPriority w:val="9"/>
    <w:rsid w:val="006B5FE8"/>
    <w:rPr>
      <w:rFonts w:ascii="Times New Roman" w:eastAsia="Times New Roman" w:hAnsi="Times New Roman" w:cs="Times New Roman"/>
      <w:b/>
      <w:sz w:val="36"/>
      <w:szCs w:val="32"/>
    </w:rPr>
  </w:style>
  <w:style w:type="paragraph" w:customStyle="1" w:styleId="Head1NotTOC">
    <w:name w:val="Head 1 Not TOC"/>
    <w:basedOn w:val="Heading1"/>
    <w:link w:val="Head1NotTOCChar"/>
    <w:rsid w:val="00730AE4"/>
  </w:style>
  <w:style w:type="paragraph" w:styleId="Footer">
    <w:name w:val="footer"/>
    <w:basedOn w:val="Normal"/>
    <w:link w:val="FooterChar"/>
    <w:uiPriority w:val="99"/>
    <w:unhideWhenUsed/>
    <w:rsid w:val="00C82F72"/>
    <w:pPr>
      <w:tabs>
        <w:tab w:val="center" w:pos="4513"/>
        <w:tab w:val="right" w:pos="9026"/>
      </w:tabs>
      <w:snapToGrid w:val="0"/>
      <w:jc w:val="left"/>
    </w:pPr>
    <w:rPr>
      <w:sz w:val="18"/>
      <w:szCs w:val="18"/>
    </w:rPr>
  </w:style>
  <w:style w:type="character" w:customStyle="1" w:styleId="Head1NotTOCChar">
    <w:name w:val="Head 1 Not TOC Char"/>
    <w:basedOn w:val="Heading1Char"/>
    <w:link w:val="Head1NotTOC"/>
    <w:rsid w:val="00730AE4"/>
    <w:rPr>
      <w:rFonts w:ascii="Times New Roman" w:eastAsia="Times New Roman" w:hAnsi="Times New Roman" w:cs="Times New Roman"/>
      <w:b/>
      <w:sz w:val="28"/>
      <w:szCs w:val="32"/>
    </w:rPr>
  </w:style>
  <w:style w:type="paragraph" w:styleId="BodyText">
    <w:name w:val="Body Text"/>
    <w:basedOn w:val="Normal"/>
    <w:link w:val="BodyTextChar"/>
    <w:uiPriority w:val="99"/>
    <w:unhideWhenUsed/>
    <w:rsid w:val="00730AE4"/>
    <w:pPr>
      <w:spacing w:after="120"/>
    </w:pPr>
  </w:style>
  <w:style w:type="character" w:customStyle="1" w:styleId="BodyTextChar">
    <w:name w:val="Body Text Char"/>
    <w:basedOn w:val="DefaultParagraphFont"/>
    <w:link w:val="BodyText"/>
    <w:uiPriority w:val="99"/>
    <w:rsid w:val="00730AE4"/>
  </w:style>
  <w:style w:type="character" w:customStyle="1" w:styleId="FooterChar">
    <w:name w:val="Footer Char"/>
    <w:basedOn w:val="DefaultParagraphFont"/>
    <w:link w:val="Footer"/>
    <w:uiPriority w:val="99"/>
    <w:rsid w:val="00C82F72"/>
    <w:rPr>
      <w:rFonts w:ascii="Times New Roman" w:eastAsia="Times New Roman" w:hAnsi="Times New Roman" w:cs="Times New Roman"/>
      <w:sz w:val="18"/>
      <w:szCs w:val="18"/>
    </w:rPr>
  </w:style>
  <w:style w:type="character" w:customStyle="1" w:styleId="Heading2Char">
    <w:name w:val="Heading 2 Char"/>
    <w:basedOn w:val="DefaultParagraphFont"/>
    <w:link w:val="Heading2"/>
    <w:uiPriority w:val="9"/>
    <w:rsid w:val="00F028F0"/>
    <w:rPr>
      <w:rFonts w:ascii="Times New Roman" w:hAnsi="Times New Roman" w:cs="Times New Roman"/>
      <w:b/>
      <w:bCs/>
      <w:sz w:val="28"/>
      <w:szCs w:val="32"/>
    </w:rPr>
  </w:style>
  <w:style w:type="character" w:customStyle="1" w:styleId="Heading4Char">
    <w:name w:val="Heading 4 Char"/>
    <w:basedOn w:val="DefaultParagraphFont"/>
    <w:link w:val="Heading4"/>
    <w:uiPriority w:val="9"/>
    <w:rsid w:val="00F23F8D"/>
    <w:rPr>
      <w:rFonts w:ascii="Times New Roman" w:hAnsi="Times New Roman" w:cs="Times New Roman"/>
      <w:b/>
      <w:bCs/>
      <w:i/>
      <w:iCs/>
      <w:sz w:val="24"/>
      <w:szCs w:val="24"/>
    </w:rPr>
  </w:style>
  <w:style w:type="paragraph" w:customStyle="1" w:styleId="xxmsolistparagraph">
    <w:name w:val="x_xmsolistparagraph"/>
    <w:basedOn w:val="Normal"/>
    <w:rsid w:val="00BA7CC6"/>
    <w:pPr>
      <w:widowControl/>
      <w:spacing w:before="100" w:beforeAutospacing="1" w:after="100" w:afterAutospacing="1"/>
      <w:jc w:val="left"/>
    </w:pPr>
    <w:rPr>
      <w:rFonts w:ascii="SimSun" w:eastAsia="SimSun" w:hAnsi="SimSun" w:cs="SimSun"/>
      <w:kern w:val="0"/>
      <w:szCs w:val="24"/>
    </w:rPr>
  </w:style>
  <w:style w:type="character" w:customStyle="1" w:styleId="mark1wkb0at1h">
    <w:name w:val="mark1wkb0at1h"/>
    <w:basedOn w:val="DefaultParagraphFont"/>
    <w:rsid w:val="00BA7CC6"/>
  </w:style>
  <w:style w:type="paragraph" w:styleId="TOCHeading">
    <w:name w:val="TOC Heading"/>
    <w:basedOn w:val="HeadnotTOC"/>
    <w:next w:val="Normal"/>
    <w:uiPriority w:val="39"/>
    <w:unhideWhenUsed/>
    <w:qFormat/>
    <w:rsid w:val="005A7C72"/>
    <w:pPr>
      <w:spacing w:before="240" w:line="240" w:lineRule="auto"/>
    </w:pPr>
    <w:rPr>
      <w:b/>
      <w:bCs/>
      <w:kern w:val="0"/>
      <w:lang w:eastAsia="en-US"/>
    </w:rPr>
  </w:style>
  <w:style w:type="paragraph" w:styleId="TOC1">
    <w:name w:val="toc 1"/>
    <w:next w:val="NoSpacing"/>
    <w:autoRedefine/>
    <w:uiPriority w:val="39"/>
    <w:unhideWhenUsed/>
    <w:rsid w:val="00036486"/>
    <w:pPr>
      <w:widowControl w:val="0"/>
      <w:tabs>
        <w:tab w:val="left" w:pos="482"/>
        <w:tab w:val="right" w:leader="dot" w:pos="9016"/>
      </w:tabs>
      <w:snapToGrid w:val="0"/>
      <w:contextualSpacing/>
    </w:pPr>
    <w:rPr>
      <w:rFonts w:ascii="Times" w:eastAsia="Times New Roman" w:hAnsi="Times" w:cs="Times New Roman"/>
      <w:b/>
      <w:bCs/>
      <w:sz w:val="24"/>
      <w:szCs w:val="20"/>
    </w:rPr>
  </w:style>
  <w:style w:type="paragraph" w:styleId="TOC2">
    <w:name w:val="toc 2"/>
    <w:basedOn w:val="Normal"/>
    <w:next w:val="Normal"/>
    <w:autoRedefine/>
    <w:uiPriority w:val="39"/>
    <w:unhideWhenUsed/>
    <w:rsid w:val="000408BB"/>
    <w:pPr>
      <w:tabs>
        <w:tab w:val="left" w:pos="1200"/>
        <w:tab w:val="right" w:leader="dot" w:pos="9016"/>
      </w:tabs>
      <w:spacing w:line="240" w:lineRule="auto"/>
      <w:ind w:left="238"/>
      <w:jc w:val="left"/>
    </w:pPr>
    <w:rPr>
      <w:rFonts w:ascii="Times" w:eastAsia="Times New Roman" w:hAnsi="Times"/>
      <w:szCs w:val="20"/>
    </w:rPr>
  </w:style>
  <w:style w:type="paragraph" w:styleId="TOC3">
    <w:name w:val="toc 3"/>
    <w:basedOn w:val="Normal"/>
    <w:next w:val="Normal"/>
    <w:autoRedefine/>
    <w:uiPriority w:val="39"/>
    <w:unhideWhenUsed/>
    <w:rsid w:val="000408BB"/>
    <w:pPr>
      <w:spacing w:line="240" w:lineRule="auto"/>
      <w:ind w:left="482"/>
      <w:jc w:val="left"/>
    </w:pPr>
    <w:rPr>
      <w:rFonts w:ascii="Times" w:eastAsia="Times New Roman" w:hAnsi="Times"/>
      <w:i/>
      <w:iCs/>
      <w:szCs w:val="20"/>
    </w:rPr>
  </w:style>
  <w:style w:type="character" w:styleId="Hyperlink">
    <w:name w:val="Hyperlink"/>
    <w:basedOn w:val="DefaultParagraphFont"/>
    <w:uiPriority w:val="99"/>
    <w:unhideWhenUsed/>
    <w:rsid w:val="005F26B3"/>
    <w:rPr>
      <w:color w:val="0563C1" w:themeColor="hyperlink"/>
      <w:u w:val="single"/>
    </w:rPr>
  </w:style>
  <w:style w:type="paragraph" w:styleId="TOC4">
    <w:name w:val="toc 4"/>
    <w:basedOn w:val="Normal"/>
    <w:next w:val="Normal"/>
    <w:autoRedefine/>
    <w:uiPriority w:val="39"/>
    <w:unhideWhenUsed/>
    <w:rsid w:val="000408BB"/>
    <w:pPr>
      <w:spacing w:line="240" w:lineRule="auto"/>
      <w:ind w:left="720"/>
      <w:jc w:val="left"/>
    </w:pPr>
    <w:rPr>
      <w:rFonts w:ascii="Times" w:eastAsia="Times New Roman" w:hAnsi="Times"/>
      <w:szCs w:val="18"/>
    </w:rPr>
  </w:style>
  <w:style w:type="paragraph" w:styleId="TOC5">
    <w:name w:val="toc 5"/>
    <w:basedOn w:val="Normal"/>
    <w:next w:val="Normal"/>
    <w:autoRedefine/>
    <w:uiPriority w:val="39"/>
    <w:unhideWhenUsed/>
    <w:rsid w:val="00911163"/>
    <w:pPr>
      <w:ind w:left="960"/>
      <w:jc w:val="left"/>
    </w:pPr>
    <w:rPr>
      <w:rFonts w:asciiTheme="minorHAnsi" w:eastAsiaTheme="minorHAnsi"/>
      <w:sz w:val="18"/>
      <w:szCs w:val="18"/>
    </w:rPr>
  </w:style>
  <w:style w:type="paragraph" w:styleId="TOC6">
    <w:name w:val="toc 6"/>
    <w:basedOn w:val="Normal"/>
    <w:next w:val="Normal"/>
    <w:autoRedefine/>
    <w:uiPriority w:val="39"/>
    <w:unhideWhenUsed/>
    <w:rsid w:val="00911163"/>
    <w:pPr>
      <w:ind w:left="1200"/>
      <w:jc w:val="left"/>
    </w:pPr>
    <w:rPr>
      <w:rFonts w:asciiTheme="minorHAnsi" w:eastAsiaTheme="minorHAnsi"/>
      <w:sz w:val="18"/>
      <w:szCs w:val="18"/>
    </w:rPr>
  </w:style>
  <w:style w:type="paragraph" w:styleId="TOC7">
    <w:name w:val="toc 7"/>
    <w:basedOn w:val="Normal"/>
    <w:next w:val="Normal"/>
    <w:autoRedefine/>
    <w:uiPriority w:val="39"/>
    <w:unhideWhenUsed/>
    <w:rsid w:val="00911163"/>
    <w:pPr>
      <w:ind w:left="1440"/>
      <w:jc w:val="left"/>
    </w:pPr>
    <w:rPr>
      <w:rFonts w:asciiTheme="minorHAnsi" w:eastAsiaTheme="minorHAnsi"/>
      <w:sz w:val="18"/>
      <w:szCs w:val="18"/>
    </w:rPr>
  </w:style>
  <w:style w:type="paragraph" w:styleId="TOC8">
    <w:name w:val="toc 8"/>
    <w:basedOn w:val="Normal"/>
    <w:next w:val="Normal"/>
    <w:autoRedefine/>
    <w:uiPriority w:val="39"/>
    <w:unhideWhenUsed/>
    <w:rsid w:val="00911163"/>
    <w:pPr>
      <w:ind w:left="1680"/>
      <w:jc w:val="left"/>
    </w:pPr>
    <w:rPr>
      <w:rFonts w:asciiTheme="minorHAnsi" w:eastAsiaTheme="minorHAnsi"/>
      <w:sz w:val="18"/>
      <w:szCs w:val="18"/>
    </w:rPr>
  </w:style>
  <w:style w:type="paragraph" w:styleId="TOC9">
    <w:name w:val="toc 9"/>
    <w:basedOn w:val="Normal"/>
    <w:next w:val="Normal"/>
    <w:autoRedefine/>
    <w:uiPriority w:val="39"/>
    <w:unhideWhenUsed/>
    <w:rsid w:val="00911163"/>
    <w:pPr>
      <w:ind w:left="1920"/>
      <w:jc w:val="left"/>
    </w:pPr>
    <w:rPr>
      <w:rFonts w:asciiTheme="minorHAnsi" w:eastAsiaTheme="minorHAnsi"/>
      <w:sz w:val="18"/>
      <w:szCs w:val="18"/>
    </w:rPr>
  </w:style>
  <w:style w:type="paragraph" w:customStyle="1" w:styleId="Style1">
    <w:name w:val="Style1"/>
    <w:basedOn w:val="TOC1"/>
    <w:link w:val="Style1Char"/>
    <w:rsid w:val="00B64D69"/>
  </w:style>
  <w:style w:type="character" w:styleId="CommentReference">
    <w:name w:val="annotation reference"/>
    <w:basedOn w:val="DefaultParagraphFont"/>
    <w:uiPriority w:val="99"/>
    <w:semiHidden/>
    <w:unhideWhenUsed/>
    <w:rsid w:val="009413D8"/>
    <w:rPr>
      <w:sz w:val="21"/>
      <w:szCs w:val="21"/>
    </w:rPr>
  </w:style>
  <w:style w:type="paragraph" w:styleId="CommentText">
    <w:name w:val="annotation text"/>
    <w:basedOn w:val="Normal"/>
    <w:link w:val="CommentTextChar"/>
    <w:uiPriority w:val="99"/>
    <w:unhideWhenUsed/>
    <w:rsid w:val="009413D8"/>
    <w:pPr>
      <w:jc w:val="left"/>
    </w:pPr>
  </w:style>
  <w:style w:type="character" w:customStyle="1" w:styleId="CommentTextChar">
    <w:name w:val="Comment Text Char"/>
    <w:basedOn w:val="DefaultParagraphFont"/>
    <w:link w:val="CommentText"/>
    <w:uiPriority w:val="99"/>
    <w:rsid w:val="009413D8"/>
    <w:rPr>
      <w:rFonts w:ascii="Times New Roman" w:hAnsi="Times New Roman" w:cs="Times New Roman"/>
      <w:sz w:val="24"/>
    </w:rPr>
  </w:style>
  <w:style w:type="paragraph" w:styleId="CommentSubject">
    <w:name w:val="annotation subject"/>
    <w:basedOn w:val="CommentText"/>
    <w:next w:val="CommentText"/>
    <w:link w:val="CommentSubjectChar"/>
    <w:uiPriority w:val="99"/>
    <w:semiHidden/>
    <w:unhideWhenUsed/>
    <w:rsid w:val="009413D8"/>
    <w:rPr>
      <w:b/>
      <w:bCs/>
    </w:rPr>
  </w:style>
  <w:style w:type="character" w:customStyle="1" w:styleId="CommentSubjectChar">
    <w:name w:val="Comment Subject Char"/>
    <w:basedOn w:val="CommentTextChar"/>
    <w:link w:val="CommentSubject"/>
    <w:uiPriority w:val="99"/>
    <w:semiHidden/>
    <w:rsid w:val="009413D8"/>
    <w:rPr>
      <w:rFonts w:ascii="Times New Roman" w:hAnsi="Times New Roman" w:cs="Times New Roman"/>
      <w:b/>
      <w:bCs/>
      <w:sz w:val="24"/>
    </w:rPr>
  </w:style>
  <w:style w:type="table" w:styleId="TableGrid">
    <w:name w:val="Table Grid"/>
    <w:basedOn w:val="TableNormal"/>
    <w:rsid w:val="00364E4B"/>
    <w:rPr>
      <w:rFonts w:ascii="Calibri" w:eastAsia="DengXi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7BodySpaceAboveApplytomaintextafternumberedlist">
    <w:name w:val="07. Body Space Above [Apply to main text after numbered list]"/>
    <w:basedOn w:val="Normal"/>
    <w:link w:val="07BodySpaceAboveApplytomaintextafternumberedlistChar"/>
    <w:autoRedefine/>
    <w:qFormat/>
    <w:rsid w:val="00364E4B"/>
    <w:pPr>
      <w:keepNext/>
      <w:autoSpaceDE w:val="0"/>
      <w:autoSpaceDN w:val="0"/>
      <w:adjustRightInd w:val="0"/>
      <w:spacing w:before="240"/>
      <w:ind w:leftChars="100" w:left="240" w:rightChars="100" w:right="240" w:firstLine="180"/>
      <w:jc w:val="left"/>
      <w:textAlignment w:val="center"/>
    </w:pPr>
    <w:rPr>
      <w:rFonts w:ascii="Garamond" w:hAnsi="Garamond"/>
      <w:kern w:val="0"/>
      <w:sz w:val="22"/>
      <w:szCs w:val="22"/>
      <w:lang w:eastAsia="zh-TW"/>
    </w:rPr>
  </w:style>
  <w:style w:type="paragraph" w:customStyle="1" w:styleId="Paragraph">
    <w:name w:val="Paragraph"/>
    <w:basedOn w:val="Normal"/>
    <w:next w:val="Normal"/>
    <w:qFormat/>
    <w:rsid w:val="00AD73DE"/>
    <w:pPr>
      <w:spacing w:before="240"/>
      <w:ind w:firstLine="0"/>
      <w:jc w:val="left"/>
    </w:pPr>
    <w:rPr>
      <w:kern w:val="0"/>
      <w:szCs w:val="24"/>
      <w:lang w:val="en-GB" w:eastAsia="en-GB"/>
    </w:rPr>
  </w:style>
  <w:style w:type="paragraph" w:styleId="BodyTextIndent">
    <w:name w:val="Body Text Indent"/>
    <w:basedOn w:val="Normal"/>
    <w:link w:val="BodyTextIndentChar"/>
    <w:unhideWhenUsed/>
    <w:rsid w:val="004A6E6E"/>
    <w:pPr>
      <w:spacing w:after="120"/>
      <w:ind w:leftChars="200" w:left="420"/>
    </w:pPr>
  </w:style>
  <w:style w:type="character" w:customStyle="1" w:styleId="BodyTextIndentChar">
    <w:name w:val="Body Text Indent Char"/>
    <w:basedOn w:val="DefaultParagraphFont"/>
    <w:link w:val="BodyTextIndent"/>
    <w:rsid w:val="004A6E6E"/>
    <w:rPr>
      <w:rFonts w:ascii="Times New Roman" w:hAnsi="Times New Roman" w:cs="Times New Roman"/>
      <w:sz w:val="24"/>
    </w:rPr>
  </w:style>
  <w:style w:type="paragraph" w:customStyle="1" w:styleId="06BodyMaintext">
    <w:name w:val="06. Body [Main text]"/>
    <w:basedOn w:val="Normal"/>
    <w:autoRedefine/>
    <w:qFormat/>
    <w:rsid w:val="004A6E6E"/>
    <w:pPr>
      <w:autoSpaceDE w:val="0"/>
      <w:autoSpaceDN w:val="0"/>
      <w:adjustRightInd w:val="0"/>
      <w:ind w:firstLine="440"/>
      <w:jc w:val="left"/>
    </w:pPr>
    <w:rPr>
      <w:rFonts w:ascii="Garamond" w:eastAsia="DengXian" w:hAnsi="Garamond"/>
      <w:kern w:val="0"/>
      <w:szCs w:val="24"/>
    </w:rPr>
  </w:style>
  <w:style w:type="paragraph" w:customStyle="1" w:styleId="comment">
    <w:name w:val="comment"/>
    <w:link w:val="commentChar"/>
    <w:qFormat/>
    <w:rsid w:val="008B76DF"/>
    <w:pPr>
      <w:numPr>
        <w:numId w:val="14"/>
      </w:numPr>
    </w:pPr>
    <w:rPr>
      <w:rFonts w:ascii="Calibri" w:eastAsia="Calibri" w:hAnsi="Calibri" w:cs="Calibri"/>
      <w:bCs/>
      <w:vanish/>
      <w:color w:val="FF0000"/>
      <w:kern w:val="0"/>
      <w:sz w:val="24"/>
      <w:szCs w:val="24"/>
    </w:rPr>
  </w:style>
  <w:style w:type="character" w:styleId="PlaceholderText">
    <w:name w:val="Placeholder Text"/>
    <w:basedOn w:val="DefaultParagraphFont"/>
    <w:uiPriority w:val="99"/>
    <w:semiHidden/>
    <w:rsid w:val="007049A1"/>
    <w:rPr>
      <w:color w:val="808080"/>
    </w:rPr>
  </w:style>
  <w:style w:type="character" w:customStyle="1" w:styleId="commentChar">
    <w:name w:val="comment Char"/>
    <w:basedOn w:val="DefaultParagraphFont"/>
    <w:link w:val="comment"/>
    <w:rsid w:val="008B76DF"/>
    <w:rPr>
      <w:rFonts w:ascii="Calibri" w:eastAsia="Calibri" w:hAnsi="Calibri" w:cs="Calibri"/>
      <w:bCs/>
      <w:vanish/>
      <w:color w:val="FF0000"/>
      <w:kern w:val="0"/>
      <w:sz w:val="24"/>
      <w:szCs w:val="24"/>
    </w:rPr>
  </w:style>
  <w:style w:type="paragraph" w:styleId="Bibliography">
    <w:name w:val="Bibliography"/>
    <w:basedOn w:val="Normal"/>
    <w:next w:val="Normal"/>
    <w:uiPriority w:val="37"/>
    <w:unhideWhenUsed/>
    <w:rsid w:val="00A3325A"/>
    <w:pPr>
      <w:tabs>
        <w:tab w:val="left" w:pos="504"/>
      </w:tabs>
      <w:spacing w:line="240" w:lineRule="auto"/>
      <w:ind w:left="504" w:hanging="504"/>
    </w:pPr>
  </w:style>
  <w:style w:type="paragraph" w:styleId="ListParagraph">
    <w:name w:val="List Paragraph"/>
    <w:basedOn w:val="Normal"/>
    <w:link w:val="ListParagraphChar"/>
    <w:uiPriority w:val="1"/>
    <w:qFormat/>
    <w:rsid w:val="005A3650"/>
    <w:pPr>
      <w:ind w:firstLineChars="200" w:firstLine="420"/>
    </w:pPr>
  </w:style>
  <w:style w:type="paragraph" w:customStyle="1" w:styleId="xxxmsolistparagraph">
    <w:name w:val="x_xxmsolistparagraph"/>
    <w:basedOn w:val="Normal"/>
    <w:rsid w:val="00DF564D"/>
    <w:pPr>
      <w:widowControl/>
      <w:spacing w:before="100" w:beforeAutospacing="1" w:after="100" w:afterAutospacing="1" w:line="240" w:lineRule="auto"/>
      <w:ind w:firstLine="0"/>
      <w:jc w:val="left"/>
    </w:pPr>
    <w:rPr>
      <w:rFonts w:ascii="SimSun" w:eastAsia="SimSun" w:hAnsi="SimSun" w:cs="SimSun"/>
      <w:kern w:val="0"/>
      <w:szCs w:val="24"/>
    </w:rPr>
  </w:style>
  <w:style w:type="paragraph" w:styleId="Caption">
    <w:name w:val="caption"/>
    <w:basedOn w:val="Normal"/>
    <w:next w:val="Normal"/>
    <w:link w:val="CaptionChar"/>
    <w:uiPriority w:val="35"/>
    <w:unhideWhenUsed/>
    <w:qFormat/>
    <w:rsid w:val="00961E3E"/>
    <w:rPr>
      <w:rFonts w:asciiTheme="majorHAnsi" w:eastAsia="SimHei" w:hAnsiTheme="majorHAnsi" w:cstheme="majorBidi"/>
      <w:sz w:val="20"/>
      <w:szCs w:val="20"/>
    </w:rPr>
  </w:style>
  <w:style w:type="paragraph" w:customStyle="1" w:styleId="figurecaption">
    <w:name w:val="figure caption"/>
    <w:basedOn w:val="TableofFigures"/>
    <w:link w:val="figurecaptionChar"/>
    <w:qFormat/>
    <w:rsid w:val="0094339F"/>
    <w:pPr>
      <w:spacing w:line="240" w:lineRule="auto"/>
      <w:jc w:val="center"/>
    </w:pPr>
    <w:rPr>
      <w:rFonts w:eastAsia="Calibri"/>
      <w:sz w:val="20"/>
    </w:rPr>
  </w:style>
  <w:style w:type="character" w:customStyle="1" w:styleId="CaptionChar">
    <w:name w:val="Caption Char"/>
    <w:basedOn w:val="DefaultParagraphFont"/>
    <w:link w:val="Caption"/>
    <w:uiPriority w:val="35"/>
    <w:rsid w:val="0094339F"/>
    <w:rPr>
      <w:rFonts w:asciiTheme="majorHAnsi" w:eastAsia="SimHei" w:hAnsiTheme="majorHAnsi" w:cstheme="majorBidi"/>
      <w:sz w:val="20"/>
      <w:szCs w:val="20"/>
    </w:rPr>
  </w:style>
  <w:style w:type="character" w:customStyle="1" w:styleId="figurecaptionChar">
    <w:name w:val="figure caption Char"/>
    <w:basedOn w:val="CaptionChar"/>
    <w:link w:val="figurecaption"/>
    <w:rsid w:val="0094339F"/>
    <w:rPr>
      <w:rFonts w:ascii="Times New Roman" w:eastAsia="Calibri" w:hAnsi="Times New Roman" w:cs="Times New Roman"/>
      <w:sz w:val="20"/>
      <w:szCs w:val="20"/>
    </w:rPr>
  </w:style>
  <w:style w:type="paragraph" w:styleId="TableofFigures">
    <w:name w:val="table of figures"/>
    <w:basedOn w:val="Normal"/>
    <w:next w:val="Normal"/>
    <w:uiPriority w:val="99"/>
    <w:unhideWhenUsed/>
    <w:rsid w:val="0094339F"/>
    <w:pPr>
      <w:ind w:leftChars="200" w:left="200" w:hangingChars="200" w:hanging="200"/>
    </w:pPr>
  </w:style>
  <w:style w:type="paragraph" w:customStyle="1" w:styleId="Newparagraph">
    <w:name w:val="New paragraph"/>
    <w:basedOn w:val="Normal"/>
    <w:qFormat/>
    <w:rsid w:val="006C625A"/>
    <w:pPr>
      <w:widowControl/>
      <w:ind w:firstLine="720"/>
      <w:jc w:val="left"/>
    </w:pPr>
    <w:rPr>
      <w:kern w:val="0"/>
      <w:szCs w:val="24"/>
      <w:lang w:val="en-GB" w:eastAsia="en-GB"/>
    </w:rPr>
  </w:style>
  <w:style w:type="paragraph" w:customStyle="1" w:styleId="15TableTitle">
    <w:name w:val="15. Table Title"/>
    <w:basedOn w:val="Normal"/>
    <w:autoRedefine/>
    <w:qFormat/>
    <w:rsid w:val="00410CB0"/>
    <w:pPr>
      <w:widowControl/>
      <w:spacing w:line="240" w:lineRule="auto"/>
      <w:ind w:left="720" w:hanging="360"/>
      <w:jc w:val="center"/>
    </w:pPr>
    <w:rPr>
      <w:rFonts w:ascii="Garamond" w:hAnsi="Garamond"/>
      <w:b/>
      <w:kern w:val="0"/>
      <w:szCs w:val="24"/>
    </w:rPr>
  </w:style>
  <w:style w:type="paragraph" w:customStyle="1" w:styleId="16TableText">
    <w:name w:val="16. Table Text"/>
    <w:basedOn w:val="Normal"/>
    <w:qFormat/>
    <w:rsid w:val="00E63B5E"/>
    <w:pPr>
      <w:widowControl/>
      <w:spacing w:line="240" w:lineRule="auto"/>
      <w:ind w:left="357" w:hanging="357"/>
      <w:jc w:val="center"/>
    </w:pPr>
    <w:rPr>
      <w:rFonts w:eastAsia="Times New Roman"/>
      <w:kern w:val="0"/>
      <w:sz w:val="20"/>
      <w:szCs w:val="20"/>
    </w:rPr>
  </w:style>
  <w:style w:type="paragraph" w:customStyle="1" w:styleId="TableCaption">
    <w:name w:val="Table Caption"/>
    <w:basedOn w:val="figurecaption"/>
    <w:link w:val="TableCaptionChar"/>
    <w:qFormat/>
    <w:rsid w:val="00C77DB1"/>
    <w:pPr>
      <w:spacing w:line="360" w:lineRule="auto"/>
      <w:ind w:left="880" w:hanging="400"/>
    </w:pPr>
    <w:rPr>
      <w:rFonts w:eastAsia="Times New Roman"/>
      <w:b/>
      <w:sz w:val="24"/>
    </w:rPr>
  </w:style>
  <w:style w:type="character" w:customStyle="1" w:styleId="yrbpuc">
    <w:name w:val="yrbpuc"/>
    <w:basedOn w:val="DefaultParagraphFont"/>
    <w:rsid w:val="00923BC2"/>
  </w:style>
  <w:style w:type="character" w:customStyle="1" w:styleId="TableCaptionChar">
    <w:name w:val="Table Caption Char"/>
    <w:basedOn w:val="figurecaptionChar"/>
    <w:link w:val="TableCaption"/>
    <w:rsid w:val="00C77DB1"/>
    <w:rPr>
      <w:rFonts w:ascii="Times New Roman" w:eastAsia="Times New Roman" w:hAnsi="Times New Roman" w:cs="Times New Roman"/>
      <w:b/>
      <w:sz w:val="24"/>
      <w:szCs w:val="20"/>
    </w:rPr>
  </w:style>
  <w:style w:type="character" w:customStyle="1" w:styleId="whyltd">
    <w:name w:val="whyltd"/>
    <w:basedOn w:val="DefaultParagraphFont"/>
    <w:rsid w:val="00923BC2"/>
  </w:style>
  <w:style w:type="paragraph" w:customStyle="1" w:styleId="13FigureCaption">
    <w:name w:val="13. Figure Caption"/>
    <w:basedOn w:val="Normal"/>
    <w:qFormat/>
    <w:rsid w:val="00437992"/>
    <w:pPr>
      <w:widowControl/>
      <w:tabs>
        <w:tab w:val="left" w:pos="1440"/>
        <w:tab w:val="left" w:pos="2790"/>
        <w:tab w:val="left" w:pos="8640"/>
      </w:tabs>
      <w:spacing w:after="600" w:line="240" w:lineRule="auto"/>
      <w:ind w:left="1440" w:hanging="992"/>
      <w:jc w:val="center"/>
    </w:pPr>
    <w:rPr>
      <w:rFonts w:ascii="Garamond" w:eastAsia="Garamond" w:hAnsi="Garamond"/>
      <w:kern w:val="0"/>
      <w:sz w:val="20"/>
      <w:szCs w:val="20"/>
    </w:rPr>
  </w:style>
  <w:style w:type="paragraph" w:customStyle="1" w:styleId="08BodySpaceBelowApplytomaintextbeforeanumberedlist">
    <w:name w:val="08. Body Space Below [Apply to main text before a numbered list]"/>
    <w:basedOn w:val="Normal"/>
    <w:link w:val="08BodySpaceBelowApplytomaintextbeforeanumberedlist0"/>
    <w:autoRedefine/>
    <w:qFormat/>
    <w:rsid w:val="00D952C1"/>
    <w:pPr>
      <w:keepNext/>
      <w:autoSpaceDE w:val="0"/>
      <w:autoSpaceDN w:val="0"/>
      <w:adjustRightInd w:val="0"/>
      <w:spacing w:after="240"/>
      <w:ind w:leftChars="100" w:left="240" w:rightChars="100" w:right="240" w:firstLine="180"/>
      <w:jc w:val="left"/>
      <w:textAlignment w:val="center"/>
    </w:pPr>
    <w:rPr>
      <w:rFonts w:ascii="Garamond" w:hAnsi="Garamond"/>
      <w:kern w:val="0"/>
      <w:sz w:val="22"/>
      <w:szCs w:val="22"/>
      <w:lang w:eastAsia="zh-TW"/>
    </w:rPr>
  </w:style>
  <w:style w:type="character" w:customStyle="1" w:styleId="08BodySpaceBelowApplytomaintextbeforeanumberedlist0">
    <w:name w:val="08. Body Space Below [Apply to main text before a numbered list] 字符"/>
    <w:basedOn w:val="DefaultParagraphFont"/>
    <w:link w:val="08BodySpaceBelowApplytomaintextbeforeanumberedlist"/>
    <w:rsid w:val="00D952C1"/>
    <w:rPr>
      <w:rFonts w:ascii="Garamond" w:hAnsi="Garamond" w:cs="Times New Roman"/>
      <w:kern w:val="0"/>
      <w:sz w:val="22"/>
      <w:szCs w:val="22"/>
      <w:lang w:eastAsia="zh-TW"/>
    </w:rPr>
  </w:style>
  <w:style w:type="paragraph" w:customStyle="1" w:styleId="ReportBodyText">
    <w:name w:val="Report Body Text"/>
    <w:basedOn w:val="Normal"/>
    <w:link w:val="ReportBodyTextChar"/>
    <w:qFormat/>
    <w:rsid w:val="00D47FFB"/>
    <w:pPr>
      <w:spacing w:line="240" w:lineRule="auto"/>
      <w:ind w:firstLine="0"/>
    </w:pPr>
    <w:rPr>
      <w:rFonts w:asciiTheme="minorHAnsi" w:hAnsiTheme="minorHAnsi" w:cstheme="minorBidi"/>
      <w:szCs w:val="24"/>
    </w:rPr>
  </w:style>
  <w:style w:type="character" w:customStyle="1" w:styleId="ReportBodyTextChar">
    <w:name w:val="Report Body Text Char"/>
    <w:basedOn w:val="DefaultParagraphFont"/>
    <w:link w:val="ReportBodyText"/>
    <w:rsid w:val="00D47FFB"/>
    <w:rPr>
      <w:sz w:val="24"/>
      <w:szCs w:val="24"/>
    </w:rPr>
  </w:style>
  <w:style w:type="character" w:customStyle="1" w:styleId="Heading8Char">
    <w:name w:val="Heading 8 Char"/>
    <w:aliases w:val="xHeading 8 Char"/>
    <w:basedOn w:val="DefaultParagraphFont"/>
    <w:link w:val="Heading8"/>
    <w:uiPriority w:val="9"/>
    <w:rsid w:val="00A623CE"/>
    <w:rPr>
      <w:i/>
      <w:iCs/>
      <w:szCs w:val="22"/>
    </w:rPr>
  </w:style>
  <w:style w:type="character" w:customStyle="1" w:styleId="Heading9Char">
    <w:name w:val="Heading 9 Char"/>
    <w:aliases w:val="xHeading 9 Char"/>
    <w:basedOn w:val="DefaultParagraphFont"/>
    <w:link w:val="Heading9"/>
    <w:uiPriority w:val="9"/>
    <w:rsid w:val="00A623CE"/>
    <w:rPr>
      <w:rFonts w:ascii="Arial" w:hAnsi="Arial" w:cs="Arial"/>
      <w:szCs w:val="22"/>
    </w:rPr>
  </w:style>
  <w:style w:type="paragraph" w:customStyle="1" w:styleId="EEREHead01Numbered">
    <w:name w:val="EERE_Head_01_Numbered"/>
    <w:basedOn w:val="Heading1"/>
    <w:next w:val="Normal"/>
    <w:qFormat/>
    <w:rsid w:val="00A623CE"/>
    <w:pPr>
      <w:keepLines w:val="0"/>
      <w:widowControl w:val="0"/>
      <w:numPr>
        <w:numId w:val="24"/>
      </w:numPr>
      <w:suppressLineNumbers w:val="0"/>
      <w:tabs>
        <w:tab w:val="clear" w:pos="432"/>
        <w:tab w:val="num" w:pos="360"/>
      </w:tabs>
      <w:suppressAutoHyphens w:val="0"/>
      <w:spacing w:before="240" w:after="120" w:line="440" w:lineRule="exact"/>
      <w:ind w:left="0" w:firstLine="0"/>
      <w:contextualSpacing w:val="0"/>
      <w:jc w:val="both"/>
    </w:pPr>
    <w:rPr>
      <w:rFonts w:asciiTheme="majorHAnsi" w:eastAsiaTheme="minorEastAsia" w:hAnsiTheme="majorHAnsi" w:cs="Arial"/>
      <w:bCs/>
      <w:color w:val="5B9BD5" w:themeColor="accent5"/>
      <w:kern w:val="24"/>
      <w:sz w:val="38"/>
    </w:rPr>
  </w:style>
  <w:style w:type="paragraph" w:customStyle="1" w:styleId="EEREFigureCaption">
    <w:name w:val="EERE_Figure_Caption"/>
    <w:next w:val="Normal"/>
    <w:autoRedefine/>
    <w:qFormat/>
    <w:rsid w:val="00A623CE"/>
    <w:pPr>
      <w:spacing w:before="120" w:after="120" w:line="240" w:lineRule="exact"/>
      <w:jc w:val="center"/>
    </w:pPr>
    <w:rPr>
      <w:rFonts w:eastAsia="SimSun" w:cs="Times New Roman"/>
      <w:b/>
      <w:kern w:val="0"/>
      <w:sz w:val="24"/>
      <w:szCs w:val="24"/>
      <w:lang w:eastAsia="en-US"/>
    </w:rPr>
  </w:style>
  <w:style w:type="paragraph" w:customStyle="1" w:styleId="EEREHead04Numbered">
    <w:name w:val="EERE_Head_04_Numbered"/>
    <w:next w:val="Normal"/>
    <w:qFormat/>
    <w:rsid w:val="00A623CE"/>
    <w:pPr>
      <w:keepNext/>
      <w:numPr>
        <w:ilvl w:val="3"/>
        <w:numId w:val="24"/>
      </w:numPr>
      <w:spacing w:before="80" w:after="40" w:line="240" w:lineRule="exact"/>
    </w:pPr>
    <w:rPr>
      <w:rFonts w:eastAsia="Times" w:cs="Times New Roman"/>
      <w:bCs/>
      <w:i/>
      <w:kern w:val="0"/>
      <w:szCs w:val="20"/>
      <w:lang w:eastAsia="en-US"/>
    </w:rPr>
  </w:style>
  <w:style w:type="paragraph" w:customStyle="1" w:styleId="EEREHead05Numbered">
    <w:name w:val="EERE_Head_05_Numbered"/>
    <w:next w:val="Normal"/>
    <w:qFormat/>
    <w:rsid w:val="00A623CE"/>
    <w:pPr>
      <w:keepNext/>
      <w:numPr>
        <w:ilvl w:val="4"/>
        <w:numId w:val="24"/>
      </w:numPr>
      <w:spacing w:before="120" w:after="20" w:line="240" w:lineRule="exact"/>
    </w:pPr>
    <w:rPr>
      <w:rFonts w:ascii="Times New Roman" w:eastAsia="Times" w:hAnsi="Times New Roman" w:cs="Times New Roman"/>
      <w:b/>
      <w:kern w:val="0"/>
      <w:szCs w:val="20"/>
      <w:lang w:eastAsia="en-US"/>
    </w:rPr>
  </w:style>
  <w:style w:type="paragraph" w:customStyle="1" w:styleId="EEREHead02Numbered">
    <w:name w:val="EERE_Head_02_Numbered"/>
    <w:next w:val="Normal"/>
    <w:qFormat/>
    <w:rsid w:val="00A623CE"/>
    <w:pPr>
      <w:keepNext/>
      <w:numPr>
        <w:ilvl w:val="1"/>
        <w:numId w:val="24"/>
      </w:numPr>
      <w:spacing w:after="80" w:line="300" w:lineRule="exact"/>
    </w:pPr>
    <w:rPr>
      <w:rFonts w:asciiTheme="majorHAnsi" w:eastAsia="Times" w:hAnsiTheme="majorHAnsi" w:cs="Arial"/>
      <w:color w:val="5B9BD5" w:themeColor="accent5"/>
      <w:kern w:val="0"/>
      <w:sz w:val="25"/>
      <w:szCs w:val="20"/>
      <w:lang w:eastAsia="en-US"/>
    </w:rPr>
  </w:style>
  <w:style w:type="paragraph" w:customStyle="1" w:styleId="EEREHead03Numbered">
    <w:name w:val="EERE_Head_03_Numbered"/>
    <w:next w:val="Normal"/>
    <w:qFormat/>
    <w:rsid w:val="00A623CE"/>
    <w:pPr>
      <w:keepNext/>
      <w:numPr>
        <w:ilvl w:val="2"/>
        <w:numId w:val="24"/>
      </w:numPr>
      <w:spacing w:before="120" w:after="40" w:line="240" w:lineRule="exact"/>
    </w:pPr>
    <w:rPr>
      <w:rFonts w:asciiTheme="majorHAnsi" w:eastAsia="Times" w:hAnsiTheme="majorHAnsi" w:cs="Times New Roman"/>
      <w:kern w:val="0"/>
      <w:szCs w:val="20"/>
      <w:lang w:eastAsia="en-US"/>
    </w:rPr>
  </w:style>
  <w:style w:type="paragraph" w:customStyle="1" w:styleId="EEREBodyText">
    <w:name w:val="EERE_Body_Text"/>
    <w:link w:val="EEREBodyTextChar"/>
    <w:qFormat/>
    <w:rsid w:val="00CC2CA1"/>
    <w:pPr>
      <w:spacing w:after="200" w:line="250" w:lineRule="exact"/>
    </w:pPr>
    <w:rPr>
      <w:rFonts w:ascii="Times New Roman" w:eastAsia="Times" w:hAnsi="Times New Roman" w:cs="Times New Roman"/>
      <w:kern w:val="0"/>
      <w:sz w:val="24"/>
      <w:szCs w:val="20"/>
      <w:lang w:eastAsia="en-US"/>
    </w:rPr>
  </w:style>
  <w:style w:type="character" w:customStyle="1" w:styleId="EEREBodyTextChar">
    <w:name w:val="EERE_Body_Text Char"/>
    <w:basedOn w:val="DefaultParagraphFont"/>
    <w:link w:val="EEREBodyText"/>
    <w:rsid w:val="00CC2CA1"/>
    <w:rPr>
      <w:rFonts w:ascii="Times New Roman" w:eastAsia="Times" w:hAnsi="Times New Roman" w:cs="Times New Roman"/>
      <w:kern w:val="0"/>
      <w:sz w:val="24"/>
      <w:szCs w:val="20"/>
      <w:lang w:eastAsia="en-US"/>
    </w:rPr>
  </w:style>
  <w:style w:type="paragraph" w:customStyle="1" w:styleId="EEREEquation">
    <w:name w:val="EERE_Equation"/>
    <w:next w:val="EEREBodyText"/>
    <w:qFormat/>
    <w:rsid w:val="00CC2CA1"/>
    <w:pPr>
      <w:spacing w:after="240"/>
      <w:ind w:left="720"/>
    </w:pPr>
    <w:rPr>
      <w:rFonts w:ascii="Times New Roman" w:eastAsia="SimSun" w:hAnsi="Times New Roman" w:cs="Times New Roman"/>
      <w:kern w:val="0"/>
      <w:sz w:val="24"/>
      <w:szCs w:val="24"/>
      <w:lang w:eastAsia="en-US"/>
    </w:rPr>
  </w:style>
  <w:style w:type="paragraph" w:customStyle="1" w:styleId="EERETableCaption">
    <w:name w:val="EERE_Table_Caption"/>
    <w:next w:val="Normal"/>
    <w:qFormat/>
    <w:rsid w:val="00A5654B"/>
    <w:pPr>
      <w:keepNext/>
      <w:autoSpaceDE w:val="0"/>
      <w:autoSpaceDN w:val="0"/>
      <w:adjustRightInd w:val="0"/>
      <w:spacing w:before="120" w:after="120" w:line="240" w:lineRule="exact"/>
      <w:jc w:val="center"/>
    </w:pPr>
    <w:rPr>
      <w:rFonts w:eastAsia="Times" w:cs="Times New Roman"/>
      <w:b/>
      <w:bCs/>
      <w:kern w:val="0"/>
      <w:sz w:val="24"/>
      <w:szCs w:val="20"/>
      <w:lang w:eastAsia="en-US"/>
    </w:rPr>
  </w:style>
  <w:style w:type="character" w:customStyle="1" w:styleId="ListParagraphChar">
    <w:name w:val="List Paragraph Char"/>
    <w:basedOn w:val="DefaultParagraphFont"/>
    <w:link w:val="ListParagraph"/>
    <w:uiPriority w:val="1"/>
    <w:locked/>
    <w:rsid w:val="00A5654B"/>
    <w:rPr>
      <w:rFonts w:ascii="Times New Roman" w:hAnsi="Times New Roman" w:cs="Times New Roman"/>
      <w:sz w:val="24"/>
    </w:rPr>
  </w:style>
  <w:style w:type="paragraph" w:customStyle="1" w:styleId="12FigureFormatSelectafigureandclickonthisstyle">
    <w:name w:val="12. Figure Format [Select a figure and click on this style]"/>
    <w:basedOn w:val="Normal"/>
    <w:link w:val="12FigureFormatSelectafigureandclickonthisstyleChar"/>
    <w:autoRedefine/>
    <w:qFormat/>
    <w:rsid w:val="00623535"/>
    <w:pPr>
      <w:keepNext/>
      <w:autoSpaceDE w:val="0"/>
      <w:autoSpaceDN w:val="0"/>
      <w:adjustRightInd w:val="0"/>
      <w:spacing w:after="240" w:line="360" w:lineRule="auto"/>
      <w:ind w:firstLine="0"/>
      <w:jc w:val="center"/>
      <w:textAlignment w:val="center"/>
    </w:pPr>
    <w:rPr>
      <w:rFonts w:eastAsia="Calibri" w:cstheme="minorBidi"/>
      <w:sz w:val="21"/>
      <w:szCs w:val="22"/>
    </w:rPr>
  </w:style>
  <w:style w:type="character" w:customStyle="1" w:styleId="12FigureFormatSelectafigureandclickonthisstyleChar">
    <w:name w:val="12. Figure Format [Select a figure and click on this style] Char"/>
    <w:basedOn w:val="DefaultParagraphFont"/>
    <w:link w:val="12FigureFormatSelectafigureandclickonthisstyle"/>
    <w:rsid w:val="00623535"/>
    <w:rPr>
      <w:rFonts w:ascii="Times New Roman" w:eastAsia="Calibri" w:hAnsi="Times New Roman"/>
      <w:szCs w:val="22"/>
    </w:rPr>
  </w:style>
  <w:style w:type="character" w:styleId="SubtleEmphasis">
    <w:name w:val="Subtle Emphasis"/>
    <w:basedOn w:val="DefaultParagraphFont"/>
    <w:uiPriority w:val="19"/>
    <w:qFormat/>
    <w:rsid w:val="006858D7"/>
    <w:rPr>
      <w:i/>
      <w:iCs/>
      <w:color w:val="404040" w:themeColor="text1" w:themeTint="BF"/>
      <w:sz w:val="20"/>
      <w:szCs w:val="20"/>
    </w:rPr>
  </w:style>
  <w:style w:type="paragraph" w:customStyle="1" w:styleId="mycomment">
    <w:name w:val="my comment"/>
    <w:basedOn w:val="Normal"/>
    <w:link w:val="mycommentChar"/>
    <w:autoRedefine/>
    <w:qFormat/>
    <w:rsid w:val="00BD5935"/>
    <w:pPr>
      <w:widowControl/>
      <w:numPr>
        <w:numId w:val="31"/>
      </w:numPr>
      <w:spacing w:before="120" w:after="120" w:line="240" w:lineRule="auto"/>
      <w:ind w:leftChars="100" w:left="100" w:rightChars="100" w:right="240"/>
      <w:jc w:val="left"/>
    </w:pPr>
    <w:rPr>
      <w:rFonts w:ascii="time" w:eastAsia="Times New Roman"/>
      <w:vanish/>
      <w:color w:val="FF0000"/>
      <w:kern w:val="0"/>
      <w:sz w:val="20"/>
      <w:szCs w:val="24"/>
    </w:rPr>
  </w:style>
  <w:style w:type="character" w:customStyle="1" w:styleId="mycommentChar">
    <w:name w:val="my comment Char"/>
    <w:basedOn w:val="DefaultParagraphFont"/>
    <w:link w:val="mycomment"/>
    <w:rsid w:val="00BD5935"/>
    <w:rPr>
      <w:rFonts w:ascii="time" w:eastAsia="Times New Roman" w:hAnsi="Times New Roman" w:cs="Times New Roman"/>
      <w:vanish/>
      <w:color w:val="FF0000"/>
      <w:kern w:val="0"/>
      <w:sz w:val="20"/>
      <w:szCs w:val="24"/>
    </w:rPr>
  </w:style>
  <w:style w:type="character" w:customStyle="1" w:styleId="07BodySpaceAboveApplytomaintextafternumberedlistChar">
    <w:name w:val="07. Body Space Above [Apply to main text after numbered list] Char"/>
    <w:basedOn w:val="08BodySpaceBelowApplytomaintextbeforeanumberedlist0"/>
    <w:link w:val="07BodySpaceAboveApplytomaintextafternumberedlist"/>
    <w:rsid w:val="004230F7"/>
    <w:rPr>
      <w:rFonts w:ascii="Garamond" w:hAnsi="Garamond" w:cs="Times New Roman"/>
      <w:kern w:val="0"/>
      <w:sz w:val="22"/>
      <w:szCs w:val="22"/>
      <w:lang w:eastAsia="zh-TW"/>
    </w:rPr>
  </w:style>
  <w:style w:type="paragraph" w:styleId="Revision">
    <w:name w:val="Revision"/>
    <w:hidden/>
    <w:uiPriority w:val="99"/>
    <w:semiHidden/>
    <w:rsid w:val="00C744F6"/>
    <w:rPr>
      <w:rFonts w:ascii="Times New Roman" w:hAnsi="Times New Roman" w:cs="Times New Roman"/>
      <w:sz w:val="24"/>
    </w:rPr>
  </w:style>
  <w:style w:type="character" w:styleId="IntenseEmphasis">
    <w:name w:val="Intense Emphasis"/>
    <w:basedOn w:val="DefaultParagraphFont"/>
    <w:uiPriority w:val="21"/>
    <w:qFormat/>
    <w:rsid w:val="00412720"/>
    <w:rPr>
      <w:i/>
      <w:iCs/>
      <w:color w:val="4472C4" w:themeColor="accent1"/>
    </w:rPr>
  </w:style>
  <w:style w:type="character" w:customStyle="1" w:styleId="cf01">
    <w:name w:val="cf01"/>
    <w:basedOn w:val="DefaultParagraphFont"/>
    <w:rsid w:val="00920B00"/>
    <w:rPr>
      <w:rFonts w:ascii="Segoe UI" w:hAnsi="Segoe UI" w:cs="Segoe UI" w:hint="default"/>
      <w:sz w:val="24"/>
      <w:szCs w:val="24"/>
    </w:rPr>
  </w:style>
  <w:style w:type="character" w:customStyle="1" w:styleId="Heading5Char">
    <w:name w:val="Heading 5 Char"/>
    <w:basedOn w:val="DefaultParagraphFont"/>
    <w:link w:val="Heading5"/>
    <w:uiPriority w:val="9"/>
    <w:rsid w:val="00603F26"/>
    <w:rPr>
      <w:rFonts w:ascii="Times New Roman" w:hAnsi="Times New Roman" w:cs="Times New Roman"/>
      <w:bCs/>
      <w:i/>
      <w:sz w:val="24"/>
      <w:szCs w:val="24"/>
    </w:rPr>
  </w:style>
  <w:style w:type="paragraph" w:styleId="BalloonText">
    <w:name w:val="Balloon Text"/>
    <w:basedOn w:val="Normal"/>
    <w:link w:val="BalloonTextChar"/>
    <w:uiPriority w:val="99"/>
    <w:semiHidden/>
    <w:unhideWhenUsed/>
    <w:rsid w:val="00212CC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CC4"/>
    <w:rPr>
      <w:rFonts w:ascii="Segoe UI" w:hAnsi="Segoe UI" w:cs="Segoe UI"/>
      <w:sz w:val="18"/>
      <w:szCs w:val="18"/>
    </w:rPr>
  </w:style>
  <w:style w:type="character" w:customStyle="1" w:styleId="Heading6Char">
    <w:name w:val="Heading 6 Char"/>
    <w:basedOn w:val="DefaultParagraphFont"/>
    <w:link w:val="Heading6"/>
    <w:uiPriority w:val="9"/>
    <w:rsid w:val="000215B4"/>
    <w:rPr>
      <w:rFonts w:asciiTheme="majorHAnsi" w:eastAsiaTheme="majorEastAsia" w:hAnsiTheme="majorHAnsi" w:cstheme="majorBidi"/>
      <w:b/>
      <w:bCs/>
      <w:kern w:val="0"/>
      <w:sz w:val="24"/>
      <w:szCs w:val="22"/>
      <w:lang w:eastAsia="zh-TW"/>
    </w:rPr>
  </w:style>
  <w:style w:type="character" w:customStyle="1" w:styleId="Heading7Char">
    <w:name w:val="Heading 7 Char"/>
    <w:basedOn w:val="DefaultParagraphFont"/>
    <w:link w:val="Heading7"/>
    <w:uiPriority w:val="9"/>
    <w:semiHidden/>
    <w:rsid w:val="000215B4"/>
    <w:rPr>
      <w:rFonts w:ascii="Times New Roman" w:hAnsi="Times New Roman" w:cs="Times New Roman"/>
      <w:b/>
      <w:bCs/>
      <w:kern w:val="0"/>
      <w:sz w:val="24"/>
      <w:szCs w:val="22"/>
      <w:lang w:eastAsia="zh-TW"/>
    </w:rPr>
  </w:style>
  <w:style w:type="paragraph" w:customStyle="1" w:styleId="21Subfigurecaption">
    <w:name w:val="21. Subfigure caption"/>
    <w:basedOn w:val="Normal"/>
    <w:next w:val="Normal"/>
    <w:link w:val="21SubfigurecaptionChar"/>
    <w:qFormat/>
    <w:rsid w:val="000215B4"/>
    <w:pPr>
      <w:numPr>
        <w:numId w:val="49"/>
      </w:numPr>
      <w:autoSpaceDE w:val="0"/>
      <w:autoSpaceDN w:val="0"/>
      <w:adjustRightInd w:val="0"/>
      <w:spacing w:line="200" w:lineRule="exact"/>
      <w:ind w:left="0" w:firstLine="0"/>
      <w:jc w:val="left"/>
      <w:textAlignment w:val="center"/>
    </w:pPr>
    <w:rPr>
      <w:rFonts w:eastAsia="Garamond"/>
      <w:color w:val="000000"/>
      <w:kern w:val="0"/>
      <w:sz w:val="18"/>
      <w:szCs w:val="24"/>
      <w:lang w:eastAsia="zh-TW"/>
    </w:rPr>
  </w:style>
  <w:style w:type="character" w:customStyle="1" w:styleId="21SubfigurecaptionChar">
    <w:name w:val="21. Subfigure caption Char"/>
    <w:basedOn w:val="DefaultParagraphFont"/>
    <w:link w:val="21Subfigurecaption"/>
    <w:rsid w:val="000215B4"/>
    <w:rPr>
      <w:rFonts w:ascii="Times New Roman" w:eastAsia="Garamond" w:hAnsi="Times New Roman" w:cs="Times New Roman"/>
      <w:color w:val="000000"/>
      <w:kern w:val="0"/>
      <w:sz w:val="18"/>
      <w:szCs w:val="24"/>
      <w:lang w:eastAsia="zh-TW"/>
    </w:rPr>
  </w:style>
  <w:style w:type="paragraph" w:customStyle="1" w:styleId="17Nomenclature">
    <w:name w:val="17. Nomenclature"/>
    <w:basedOn w:val="Normal"/>
    <w:qFormat/>
    <w:rsid w:val="000215B4"/>
    <w:pPr>
      <w:tabs>
        <w:tab w:val="left" w:pos="720"/>
        <w:tab w:val="left" w:pos="1080"/>
      </w:tabs>
      <w:autoSpaceDE w:val="0"/>
      <w:autoSpaceDN w:val="0"/>
      <w:adjustRightInd w:val="0"/>
      <w:spacing w:before="60" w:after="60"/>
      <w:ind w:firstLine="0"/>
      <w:textAlignment w:val="center"/>
    </w:pPr>
    <w:rPr>
      <w:kern w:val="0"/>
      <w:sz w:val="20"/>
      <w:szCs w:val="20"/>
      <w:lang w:eastAsia="zh-TW"/>
    </w:rPr>
  </w:style>
  <w:style w:type="paragraph" w:customStyle="1" w:styleId="BasicParagraph">
    <w:name w:val="[Basic Paragraph]"/>
    <w:basedOn w:val="Normal"/>
    <w:link w:val="BasicParagraph0"/>
    <w:uiPriority w:val="99"/>
    <w:rsid w:val="000215B4"/>
    <w:pPr>
      <w:autoSpaceDE w:val="0"/>
      <w:autoSpaceDN w:val="0"/>
      <w:adjustRightInd w:val="0"/>
      <w:spacing w:before="240" w:line="288" w:lineRule="auto"/>
      <w:ind w:firstLine="0"/>
      <w:textAlignment w:val="center"/>
    </w:pPr>
    <w:rPr>
      <w:color w:val="000000"/>
      <w:kern w:val="0"/>
      <w:szCs w:val="22"/>
      <w:lang w:eastAsia="zh-TW"/>
    </w:rPr>
  </w:style>
  <w:style w:type="paragraph" w:customStyle="1" w:styleId="19Equation">
    <w:name w:val="19. Equation"/>
    <w:basedOn w:val="Normal"/>
    <w:qFormat/>
    <w:rsid w:val="000215B4"/>
    <w:pPr>
      <w:tabs>
        <w:tab w:val="left" w:pos="3600"/>
        <w:tab w:val="left" w:pos="8640"/>
      </w:tabs>
      <w:autoSpaceDE w:val="0"/>
      <w:autoSpaceDN w:val="0"/>
      <w:adjustRightInd w:val="0"/>
      <w:spacing w:before="360"/>
      <w:ind w:firstLine="450"/>
      <w:textAlignment w:val="center"/>
    </w:pPr>
    <w:rPr>
      <w:kern w:val="0"/>
      <w:sz w:val="20"/>
      <w:szCs w:val="22"/>
      <w:lang w:eastAsia="zh-TW"/>
    </w:rPr>
  </w:style>
  <w:style w:type="paragraph" w:customStyle="1" w:styleId="01PaperTitle">
    <w:name w:val="01. Paper Title"/>
    <w:basedOn w:val="Normal"/>
    <w:autoRedefine/>
    <w:qFormat/>
    <w:rsid w:val="000215B4"/>
    <w:pPr>
      <w:autoSpaceDE w:val="0"/>
      <w:autoSpaceDN w:val="0"/>
      <w:adjustRightInd w:val="0"/>
      <w:spacing w:before="240" w:after="960"/>
      <w:ind w:firstLine="0"/>
      <w:jc w:val="left"/>
      <w:textAlignment w:val="center"/>
    </w:pPr>
    <w:rPr>
      <w:rFonts w:ascii="Verdana" w:hAnsi="Verdana"/>
      <w:b/>
      <w:kern w:val="0"/>
      <w:sz w:val="44"/>
      <w:szCs w:val="44"/>
      <w:lang w:eastAsia="zh-TW"/>
    </w:rPr>
  </w:style>
  <w:style w:type="paragraph" w:customStyle="1" w:styleId="02AuthorName">
    <w:name w:val="02. Author Name"/>
    <w:basedOn w:val="Normal"/>
    <w:autoRedefine/>
    <w:qFormat/>
    <w:rsid w:val="000215B4"/>
    <w:pPr>
      <w:tabs>
        <w:tab w:val="left" w:pos="3720"/>
        <w:tab w:val="left" w:pos="7560"/>
      </w:tabs>
      <w:autoSpaceDE w:val="0"/>
      <w:autoSpaceDN w:val="0"/>
      <w:adjustRightInd w:val="0"/>
      <w:spacing w:before="240"/>
      <w:ind w:firstLine="0"/>
      <w:textAlignment w:val="center"/>
    </w:pPr>
    <w:rPr>
      <w:rFonts w:ascii="Verdana" w:hAnsi="Verdana"/>
      <w:b/>
      <w:bCs/>
      <w:iCs/>
      <w:kern w:val="0"/>
      <w:szCs w:val="22"/>
      <w:lang w:eastAsia="zh-TW"/>
    </w:rPr>
  </w:style>
  <w:style w:type="paragraph" w:customStyle="1" w:styleId="03ASHRAEAffiliationMemberASHRAE">
    <w:name w:val="03. ASHRAE Affiliation [Member ASHRAE"/>
    <w:aliases w:val="Fellow ASHRAE,etc.]"/>
    <w:basedOn w:val="Normal"/>
    <w:autoRedefine/>
    <w:qFormat/>
    <w:rsid w:val="000215B4"/>
    <w:pPr>
      <w:tabs>
        <w:tab w:val="left" w:pos="3960"/>
        <w:tab w:val="left" w:pos="7560"/>
      </w:tabs>
      <w:autoSpaceDE w:val="0"/>
      <w:autoSpaceDN w:val="0"/>
      <w:adjustRightInd w:val="0"/>
      <w:spacing w:before="60"/>
      <w:ind w:firstLine="0"/>
      <w:textAlignment w:val="center"/>
    </w:pPr>
    <w:rPr>
      <w:rFonts w:ascii="Verdana" w:hAnsi="Verdana"/>
      <w:i/>
      <w:kern w:val="0"/>
      <w:sz w:val="18"/>
      <w:szCs w:val="18"/>
      <w:lang w:eastAsia="zh-TW"/>
    </w:rPr>
  </w:style>
  <w:style w:type="paragraph" w:customStyle="1" w:styleId="04AbstractHeading">
    <w:name w:val="04. Abstract Heading"/>
    <w:basedOn w:val="Normal"/>
    <w:link w:val="04AbstractHeadingChar"/>
    <w:autoRedefine/>
    <w:qFormat/>
    <w:rsid w:val="000215B4"/>
    <w:pPr>
      <w:tabs>
        <w:tab w:val="left" w:pos="3960"/>
        <w:tab w:val="left" w:pos="7560"/>
      </w:tabs>
      <w:autoSpaceDE w:val="0"/>
      <w:autoSpaceDN w:val="0"/>
      <w:adjustRightInd w:val="0"/>
      <w:spacing w:before="480" w:after="120"/>
      <w:ind w:firstLine="0"/>
      <w:textAlignment w:val="center"/>
    </w:pPr>
    <w:rPr>
      <w:rFonts w:ascii="Verdana" w:hAnsi="Verdana"/>
      <w:b/>
      <w:caps/>
      <w:kern w:val="0"/>
      <w:szCs w:val="22"/>
      <w:lang w:eastAsia="zh-TW"/>
    </w:rPr>
  </w:style>
  <w:style w:type="paragraph" w:customStyle="1" w:styleId="05AbstractBodyApplytomaintextofAbstract">
    <w:name w:val="05. Abstract Body [Apply to main text of Abstract]"/>
    <w:basedOn w:val="03ASHRAEAffiliationMemberASHRAE"/>
    <w:autoRedefine/>
    <w:qFormat/>
    <w:rsid w:val="000215B4"/>
    <w:pPr>
      <w:spacing w:line="288" w:lineRule="auto"/>
    </w:pPr>
    <w:rPr>
      <w:rFonts w:ascii="Garamond" w:hAnsi="Garamond"/>
      <w:sz w:val="24"/>
      <w:szCs w:val="24"/>
    </w:rPr>
  </w:style>
  <w:style w:type="paragraph" w:customStyle="1" w:styleId="10Level1Heading">
    <w:name w:val="10. Level 1 Heading"/>
    <w:basedOn w:val="BasicParagraph"/>
    <w:autoRedefine/>
    <w:qFormat/>
    <w:rsid w:val="009648F2"/>
    <w:pPr>
      <w:spacing w:after="120"/>
      <w:ind w:left="1980" w:rightChars="100" w:right="240"/>
      <w:jc w:val="center"/>
    </w:pPr>
    <w:rPr>
      <w:rFonts w:ascii="Cambria Math" w:eastAsia="DengXian" w:hAnsi="Cambria Math"/>
      <w:bCs/>
      <w:iCs/>
      <w:color w:val="auto"/>
      <w:szCs w:val="24"/>
      <w:lang w:eastAsia="zh-CN"/>
    </w:rPr>
  </w:style>
  <w:style w:type="paragraph" w:customStyle="1" w:styleId="11Level2Heading">
    <w:name w:val="11. Level 2 Heading"/>
    <w:basedOn w:val="BasicParagraph"/>
    <w:autoRedefine/>
    <w:qFormat/>
    <w:rsid w:val="000215B4"/>
    <w:pPr>
      <w:spacing w:before="120" w:after="120" w:line="360" w:lineRule="auto"/>
      <w:ind w:rightChars="100" w:right="240"/>
      <w:jc w:val="left"/>
      <w:outlineLvl w:val="1"/>
    </w:pPr>
    <w:rPr>
      <w:b/>
      <w:color w:val="auto"/>
    </w:rPr>
  </w:style>
  <w:style w:type="paragraph" w:customStyle="1" w:styleId="14TableHeading">
    <w:name w:val="14. Table Heading"/>
    <w:basedOn w:val="Normal"/>
    <w:autoRedefine/>
    <w:qFormat/>
    <w:rsid w:val="000215B4"/>
    <w:pPr>
      <w:autoSpaceDE w:val="0"/>
      <w:autoSpaceDN w:val="0"/>
      <w:adjustRightInd w:val="0"/>
      <w:spacing w:before="240" w:line="240" w:lineRule="auto"/>
      <w:ind w:left="360" w:firstLine="0"/>
      <w:jc w:val="center"/>
      <w:textAlignment w:val="center"/>
    </w:pPr>
    <w:rPr>
      <w:b/>
      <w:kern w:val="0"/>
      <w:szCs w:val="22"/>
      <w:lang w:eastAsia="zh-TW"/>
    </w:rPr>
  </w:style>
  <w:style w:type="paragraph" w:customStyle="1" w:styleId="09BodyafterTableApplytomaintextafteratable">
    <w:name w:val="09. Body after Table [Apply to main text after a table]"/>
    <w:basedOn w:val="07BodySpaceAboveApplytomaintextafternumberedlist"/>
    <w:autoRedefine/>
    <w:qFormat/>
    <w:rsid w:val="000215B4"/>
    <w:pPr>
      <w:spacing w:before="0"/>
      <w:ind w:leftChars="0" w:left="0" w:rightChars="0" w:right="0" w:firstLine="0"/>
      <w:contextualSpacing/>
      <w:jc w:val="both"/>
    </w:pPr>
    <w:rPr>
      <w:rFonts w:ascii="Times New Roman" w:hAnsi="Times New Roman"/>
      <w:sz w:val="24"/>
      <w:szCs w:val="24"/>
    </w:rPr>
  </w:style>
  <w:style w:type="paragraph" w:customStyle="1" w:styleId="18References">
    <w:name w:val="18. References"/>
    <w:basedOn w:val="Normal"/>
    <w:qFormat/>
    <w:rsid w:val="000215B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s>
      <w:autoSpaceDE w:val="0"/>
      <w:autoSpaceDN w:val="0"/>
      <w:adjustRightInd w:val="0"/>
      <w:spacing w:before="240" w:line="240" w:lineRule="atLeast"/>
      <w:ind w:left="360" w:firstLine="0"/>
      <w:textAlignment w:val="center"/>
    </w:pPr>
    <w:rPr>
      <w:rFonts w:cs="Times New Roman PS MT"/>
      <w:color w:val="000000"/>
      <w:kern w:val="0"/>
      <w:sz w:val="21"/>
      <w:szCs w:val="20"/>
      <w:lang w:eastAsia="zh-TW"/>
    </w:rPr>
  </w:style>
  <w:style w:type="paragraph" w:customStyle="1" w:styleId="20AuthorNoteFirstPageFooter">
    <w:name w:val="20. Author Note (First Page Footer)"/>
    <w:basedOn w:val="Footer"/>
    <w:autoRedefine/>
    <w:qFormat/>
    <w:rsid w:val="000215B4"/>
    <w:pPr>
      <w:tabs>
        <w:tab w:val="clear" w:pos="4513"/>
        <w:tab w:val="clear" w:pos="9026"/>
        <w:tab w:val="center" w:pos="4680"/>
        <w:tab w:val="left" w:pos="8100"/>
        <w:tab w:val="right" w:pos="9360"/>
      </w:tabs>
      <w:autoSpaceDE w:val="0"/>
      <w:autoSpaceDN w:val="0"/>
      <w:adjustRightInd w:val="0"/>
      <w:snapToGrid/>
      <w:spacing w:before="240"/>
      <w:ind w:firstLine="0"/>
      <w:jc w:val="both"/>
      <w:textAlignment w:val="center"/>
    </w:pPr>
    <w:rPr>
      <w:rFonts w:ascii="Garamond" w:hAnsi="Garamond" w:cs="Arial"/>
      <w:kern w:val="0"/>
      <w:sz w:val="16"/>
      <w:szCs w:val="16"/>
      <w:lang w:eastAsia="zh-TW"/>
    </w:rPr>
  </w:style>
  <w:style w:type="table" w:customStyle="1" w:styleId="TableFormat">
    <w:name w:val="Table Format"/>
    <w:basedOn w:val="TableNormal"/>
    <w:uiPriority w:val="99"/>
    <w:qFormat/>
    <w:rsid w:val="000215B4"/>
    <w:rPr>
      <w:rFonts w:ascii="Times New Roman PS MT" w:eastAsia="DengXian" w:hAnsi="Times New Roman PS MT" w:cs="Times New Roman"/>
      <w:kern w:val="0"/>
      <w:sz w:val="20"/>
      <w:szCs w:val="20"/>
    </w:rPr>
    <w:tblPr>
      <w:jc w:val="center"/>
      <w:tblBorders>
        <w:top w:val="single" w:sz="18" w:space="0" w:color="auto"/>
        <w:bottom w:val="single" w:sz="18" w:space="0" w:color="auto"/>
      </w:tblBorders>
    </w:tblPr>
    <w:trPr>
      <w:jc w:val="center"/>
    </w:trPr>
    <w:tcPr>
      <w:vAlign w:val="center"/>
    </w:tcPr>
    <w:tblStylePr w:type="firstRow">
      <w:rPr>
        <w:rFonts w:ascii="Calibri Light" w:hAnsi="Calibri Light"/>
        <w:b/>
        <w:sz w:val="20"/>
      </w:rPr>
      <w:tblPr>
        <w:jc w:val="center"/>
      </w:tblPr>
      <w:trPr>
        <w:jc w:val="center"/>
      </w:trPr>
      <w:tcPr>
        <w:tcBorders>
          <w:top w:val="nil"/>
          <w:bottom w:val="single" w:sz="18" w:space="0" w:color="auto"/>
        </w:tcBorders>
        <w:vAlign w:val="center"/>
      </w:tcPr>
    </w:tblStylePr>
  </w:style>
  <w:style w:type="table" w:styleId="GridTable1Light-Accent5">
    <w:name w:val="Grid Table 1 Light Accent 5"/>
    <w:basedOn w:val="TableNormal"/>
    <w:uiPriority w:val="46"/>
    <w:rsid w:val="000215B4"/>
    <w:rPr>
      <w:rFonts w:ascii="Calibri" w:eastAsia="DengXian" w:hAnsi="Calibri" w:cs="Times New Roman"/>
      <w:kern w:val="0"/>
      <w:sz w:val="20"/>
      <w:szCs w:val="20"/>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Bullet">
    <w:name w:val="List Bullet"/>
    <w:basedOn w:val="Normal"/>
    <w:uiPriority w:val="99"/>
    <w:unhideWhenUsed/>
    <w:rsid w:val="000215B4"/>
    <w:pPr>
      <w:tabs>
        <w:tab w:val="num" w:pos="360"/>
      </w:tabs>
      <w:autoSpaceDE w:val="0"/>
      <w:autoSpaceDN w:val="0"/>
      <w:adjustRightInd w:val="0"/>
      <w:spacing w:before="240"/>
      <w:ind w:left="360" w:hangingChars="200" w:hanging="360"/>
      <w:contextualSpacing/>
      <w:textAlignment w:val="center"/>
    </w:pPr>
    <w:rPr>
      <w:kern w:val="0"/>
      <w:szCs w:val="22"/>
      <w:lang w:eastAsia="zh-TW"/>
    </w:rPr>
  </w:style>
  <w:style w:type="paragraph" w:customStyle="1" w:styleId="paragraph0">
    <w:name w:val="paragraph"/>
    <w:basedOn w:val="Normal"/>
    <w:rsid w:val="000215B4"/>
    <w:pPr>
      <w:autoSpaceDE w:val="0"/>
      <w:autoSpaceDN w:val="0"/>
      <w:adjustRightInd w:val="0"/>
      <w:spacing w:before="100" w:beforeAutospacing="1" w:after="100" w:afterAutospacing="1"/>
      <w:ind w:firstLine="0"/>
      <w:textAlignment w:val="center"/>
    </w:pPr>
    <w:rPr>
      <w:rFonts w:ascii="SimSun" w:eastAsia="SimSun" w:hAnsi="SimSun" w:cs="SimSun"/>
      <w:kern w:val="0"/>
      <w:szCs w:val="22"/>
      <w:lang w:eastAsia="zh-TW"/>
    </w:rPr>
  </w:style>
  <w:style w:type="character" w:customStyle="1" w:styleId="spellingerror">
    <w:name w:val="spellingerror"/>
    <w:basedOn w:val="DefaultParagraphFont"/>
    <w:rsid w:val="000215B4"/>
  </w:style>
  <w:style w:type="character" w:customStyle="1" w:styleId="normaltextrun">
    <w:name w:val="normaltextrun"/>
    <w:basedOn w:val="DefaultParagraphFont"/>
    <w:rsid w:val="000215B4"/>
  </w:style>
  <w:style w:type="character" w:customStyle="1" w:styleId="eop">
    <w:name w:val="eop"/>
    <w:basedOn w:val="DefaultParagraphFont"/>
    <w:rsid w:val="000215B4"/>
  </w:style>
  <w:style w:type="paragraph" w:customStyle="1" w:styleId="1">
    <w:name w:val="书目1"/>
    <w:basedOn w:val="Normal"/>
    <w:link w:val="Bibliography0"/>
    <w:rsid w:val="000215B4"/>
    <w:pPr>
      <w:tabs>
        <w:tab w:val="left" w:pos="380"/>
      </w:tabs>
      <w:autoSpaceDE w:val="0"/>
      <w:autoSpaceDN w:val="0"/>
      <w:adjustRightInd w:val="0"/>
      <w:spacing w:before="240"/>
      <w:ind w:left="384" w:hanging="384"/>
      <w:textAlignment w:val="center"/>
    </w:pPr>
    <w:rPr>
      <w:color w:val="000000"/>
      <w:kern w:val="0"/>
      <w:szCs w:val="22"/>
      <w:lang w:eastAsia="zh-TW"/>
    </w:rPr>
  </w:style>
  <w:style w:type="character" w:customStyle="1" w:styleId="BasicParagraph0">
    <w:name w:val="[Basic Paragraph] 字符"/>
    <w:basedOn w:val="DefaultParagraphFont"/>
    <w:link w:val="BasicParagraph"/>
    <w:uiPriority w:val="99"/>
    <w:rsid w:val="000215B4"/>
    <w:rPr>
      <w:rFonts w:ascii="Times New Roman" w:hAnsi="Times New Roman" w:cs="Times New Roman"/>
      <w:color w:val="000000"/>
      <w:kern w:val="0"/>
      <w:sz w:val="24"/>
      <w:szCs w:val="22"/>
      <w:lang w:eastAsia="zh-TW"/>
    </w:rPr>
  </w:style>
  <w:style w:type="character" w:customStyle="1" w:styleId="Bibliography0">
    <w:name w:val="Bibliography 字符"/>
    <w:basedOn w:val="08BodySpaceBelowApplytomaintextbeforeanumberedlist0"/>
    <w:link w:val="1"/>
    <w:rsid w:val="000215B4"/>
    <w:rPr>
      <w:rFonts w:ascii="Times New Roman" w:hAnsi="Times New Roman" w:cs="Times New Roman"/>
      <w:color w:val="000000"/>
      <w:kern w:val="0"/>
      <w:sz w:val="24"/>
      <w:szCs w:val="22"/>
      <w:lang w:eastAsia="zh-TW"/>
    </w:rPr>
  </w:style>
  <w:style w:type="paragraph" w:customStyle="1" w:styleId="Style2">
    <w:name w:val="Style2"/>
    <w:basedOn w:val="04AbstractHeading"/>
    <w:link w:val="Style2Char"/>
    <w:rsid w:val="000215B4"/>
  </w:style>
  <w:style w:type="character" w:customStyle="1" w:styleId="Style1Char">
    <w:name w:val="Style1 Char"/>
    <w:basedOn w:val="08BodySpaceBelowApplytomaintextbeforeanumberedlist0"/>
    <w:link w:val="Style1"/>
    <w:rsid w:val="000215B4"/>
    <w:rPr>
      <w:rFonts w:ascii="Garamond" w:eastAsia="Times New Roman" w:hAnsi="Times New Roman" w:cs="Times New Roman"/>
      <w:b/>
      <w:bCs/>
      <w:kern w:val="0"/>
      <w:sz w:val="24"/>
      <w:szCs w:val="20"/>
      <w:lang w:eastAsia="zh-TW"/>
    </w:rPr>
  </w:style>
  <w:style w:type="character" w:customStyle="1" w:styleId="04AbstractHeadingChar">
    <w:name w:val="04. Abstract Heading Char"/>
    <w:basedOn w:val="DefaultParagraphFont"/>
    <w:link w:val="04AbstractHeading"/>
    <w:rsid w:val="000215B4"/>
    <w:rPr>
      <w:rFonts w:ascii="Verdana" w:hAnsi="Verdana" w:cs="Times New Roman"/>
      <w:b/>
      <w:caps/>
      <w:kern w:val="0"/>
      <w:sz w:val="24"/>
      <w:szCs w:val="22"/>
      <w:lang w:eastAsia="zh-TW"/>
    </w:rPr>
  </w:style>
  <w:style w:type="character" w:customStyle="1" w:styleId="Style2Char">
    <w:name w:val="Style2 Char"/>
    <w:basedOn w:val="04AbstractHeadingChar"/>
    <w:link w:val="Style2"/>
    <w:rsid w:val="000215B4"/>
    <w:rPr>
      <w:rFonts w:ascii="Verdana" w:hAnsi="Verdana" w:cs="Times New Roman"/>
      <w:b/>
      <w:caps/>
      <w:kern w:val="0"/>
      <w:sz w:val="24"/>
      <w:szCs w:val="22"/>
      <w:lang w:eastAsia="zh-TW"/>
    </w:rPr>
  </w:style>
  <w:style w:type="paragraph" w:styleId="Subtitle">
    <w:name w:val="Subtitle"/>
    <w:basedOn w:val="Normal"/>
    <w:next w:val="Normal"/>
    <w:link w:val="SubtitleChar"/>
    <w:uiPriority w:val="11"/>
    <w:qFormat/>
    <w:rsid w:val="000215B4"/>
    <w:pPr>
      <w:autoSpaceDE w:val="0"/>
      <w:autoSpaceDN w:val="0"/>
      <w:adjustRightInd w:val="0"/>
      <w:spacing w:before="240" w:after="60" w:line="312" w:lineRule="auto"/>
      <w:ind w:firstLine="0"/>
      <w:textAlignment w:val="center"/>
      <w:outlineLvl w:val="1"/>
    </w:pPr>
    <w:rPr>
      <w:b/>
      <w:bCs/>
      <w:kern w:val="28"/>
      <w:szCs w:val="22"/>
      <w:lang w:eastAsia="zh-TW"/>
    </w:rPr>
  </w:style>
  <w:style w:type="character" w:customStyle="1" w:styleId="SubtitleChar">
    <w:name w:val="Subtitle Char"/>
    <w:basedOn w:val="DefaultParagraphFont"/>
    <w:link w:val="Subtitle"/>
    <w:uiPriority w:val="11"/>
    <w:rsid w:val="000215B4"/>
    <w:rPr>
      <w:rFonts w:ascii="Times New Roman" w:hAnsi="Times New Roman" w:cs="Times New Roman"/>
      <w:b/>
      <w:bCs/>
      <w:kern w:val="28"/>
      <w:sz w:val="24"/>
      <w:szCs w:val="22"/>
      <w:lang w:eastAsia="zh-TW"/>
    </w:rPr>
  </w:style>
  <w:style w:type="paragraph" w:customStyle="1" w:styleId="hidetext">
    <w:name w:val="hide text"/>
    <w:basedOn w:val="Normal"/>
    <w:link w:val="hidetextChar"/>
    <w:rsid w:val="000215B4"/>
    <w:pPr>
      <w:autoSpaceDE w:val="0"/>
      <w:autoSpaceDN w:val="0"/>
      <w:adjustRightInd w:val="0"/>
      <w:spacing w:before="240"/>
      <w:ind w:hanging="720"/>
      <w:textAlignment w:val="center"/>
    </w:pPr>
    <w:rPr>
      <w:rFonts w:eastAsia="Calibri"/>
      <w:kern w:val="0"/>
      <w:sz w:val="32"/>
      <w:szCs w:val="32"/>
      <w:lang w:eastAsia="zh-TW"/>
    </w:rPr>
  </w:style>
  <w:style w:type="paragraph" w:customStyle="1" w:styleId="hideme">
    <w:name w:val="hide me"/>
    <w:basedOn w:val="07BodySpaceAboveApplytomaintextafternumberedlist"/>
    <w:link w:val="hidemeChar"/>
    <w:qFormat/>
    <w:rsid w:val="000215B4"/>
    <w:pPr>
      <w:spacing w:before="0"/>
      <w:ind w:leftChars="0" w:left="0" w:rightChars="0" w:right="0" w:firstLine="0"/>
      <w:contextualSpacing/>
      <w:jc w:val="both"/>
    </w:pPr>
    <w:rPr>
      <w:rFonts w:ascii="Times New Roman" w:hAnsi="Times New Roman"/>
      <w:vanish/>
      <w:color w:val="000000"/>
      <w:sz w:val="24"/>
      <w:szCs w:val="24"/>
    </w:rPr>
  </w:style>
  <w:style w:type="character" w:customStyle="1" w:styleId="hidetextChar">
    <w:name w:val="hide text Char"/>
    <w:basedOn w:val="Heading3Char"/>
    <w:link w:val="hidetext"/>
    <w:rsid w:val="000215B4"/>
    <w:rPr>
      <w:rFonts w:ascii="Times New Roman" w:eastAsia="Calibri" w:hAnsi="Times New Roman" w:cs="Times New Roman"/>
      <w:b w:val="0"/>
      <w:bCs w:val="0"/>
      <w:i w:val="0"/>
      <w:kern w:val="0"/>
      <w:sz w:val="32"/>
      <w:szCs w:val="32"/>
      <w:lang w:eastAsia="zh-TW"/>
    </w:rPr>
  </w:style>
  <w:style w:type="character" w:customStyle="1" w:styleId="hidemeChar">
    <w:name w:val="hide me Char"/>
    <w:basedOn w:val="07BodySpaceAboveApplytomaintextafternumberedlistChar"/>
    <w:link w:val="hideme"/>
    <w:rsid w:val="000215B4"/>
    <w:rPr>
      <w:rFonts w:ascii="Times New Roman" w:hAnsi="Times New Roman" w:cs="Times New Roman"/>
      <w:vanish/>
      <w:color w:val="000000"/>
      <w:kern w:val="0"/>
      <w:sz w:val="24"/>
      <w:szCs w:val="24"/>
      <w:lang w:eastAsia="zh-TW"/>
    </w:rPr>
  </w:style>
  <w:style w:type="character" w:styleId="UnresolvedMention">
    <w:name w:val="Unresolved Mention"/>
    <w:basedOn w:val="DefaultParagraphFont"/>
    <w:uiPriority w:val="99"/>
    <w:semiHidden/>
    <w:unhideWhenUsed/>
    <w:rsid w:val="000215B4"/>
    <w:rPr>
      <w:color w:val="605E5C"/>
      <w:shd w:val="clear" w:color="auto" w:fill="E1DFDD"/>
    </w:rPr>
  </w:style>
  <w:style w:type="paragraph" w:customStyle="1" w:styleId="Figurecaption0">
    <w:name w:val="Figure caption"/>
    <w:basedOn w:val="Normal"/>
    <w:next w:val="Normal"/>
    <w:qFormat/>
    <w:rsid w:val="00D36DE4"/>
    <w:pPr>
      <w:widowControl/>
      <w:spacing w:before="240" w:line="360" w:lineRule="auto"/>
      <w:ind w:firstLine="0"/>
      <w:jc w:val="left"/>
    </w:pPr>
    <w:rPr>
      <w:kern w:val="0"/>
      <w:szCs w:val="24"/>
      <w:lang w:val="en-GB" w:eastAsia="en-GB"/>
    </w:rPr>
  </w:style>
  <w:style w:type="paragraph" w:customStyle="1" w:styleId="Numberedlist">
    <w:name w:val="Numbered list"/>
    <w:basedOn w:val="Paragraph"/>
    <w:next w:val="Paragraph"/>
    <w:qFormat/>
    <w:rsid w:val="00D36DE4"/>
    <w:pPr>
      <w:widowControl/>
      <w:numPr>
        <w:numId w:val="91"/>
      </w:numPr>
      <w:spacing w:after="240"/>
      <w:contextualSpacing/>
      <w:jc w:val="both"/>
    </w:pPr>
  </w:style>
  <w:style w:type="character" w:styleId="Emphasis">
    <w:name w:val="Emphasis"/>
    <w:basedOn w:val="DefaultParagraphFont"/>
    <w:uiPriority w:val="20"/>
    <w:qFormat/>
    <w:rsid w:val="00D36DE4"/>
    <w:rPr>
      <w:i/>
      <w:iCs/>
    </w:rPr>
  </w:style>
  <w:style w:type="paragraph" w:styleId="NormalWeb">
    <w:name w:val="Normal (Web)"/>
    <w:basedOn w:val="Normal"/>
    <w:uiPriority w:val="99"/>
    <w:semiHidden/>
    <w:unhideWhenUsed/>
    <w:rsid w:val="008E74CF"/>
    <w:pPr>
      <w:widowControl/>
      <w:spacing w:before="100" w:beforeAutospacing="1" w:after="100" w:afterAutospacing="1" w:line="240" w:lineRule="auto"/>
      <w:ind w:firstLine="0"/>
      <w:jc w:val="left"/>
    </w:pPr>
    <w:rPr>
      <w:rFonts w:eastAsia="Times New Roman"/>
      <w:kern w:val="0"/>
      <w:szCs w:val="24"/>
    </w:rPr>
  </w:style>
  <w:style w:type="character" w:styleId="PageNumber">
    <w:name w:val="page number"/>
    <w:basedOn w:val="DefaultParagraphFont"/>
    <w:uiPriority w:val="99"/>
    <w:semiHidden/>
    <w:unhideWhenUsed/>
    <w:rsid w:val="00771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72658">
      <w:bodyDiv w:val="1"/>
      <w:marLeft w:val="0"/>
      <w:marRight w:val="0"/>
      <w:marTop w:val="0"/>
      <w:marBottom w:val="0"/>
      <w:divBdr>
        <w:top w:val="none" w:sz="0" w:space="0" w:color="auto"/>
        <w:left w:val="none" w:sz="0" w:space="0" w:color="auto"/>
        <w:bottom w:val="none" w:sz="0" w:space="0" w:color="auto"/>
        <w:right w:val="none" w:sz="0" w:space="0" w:color="auto"/>
      </w:divBdr>
    </w:div>
    <w:div w:id="153648656">
      <w:bodyDiv w:val="1"/>
      <w:marLeft w:val="0"/>
      <w:marRight w:val="0"/>
      <w:marTop w:val="0"/>
      <w:marBottom w:val="0"/>
      <w:divBdr>
        <w:top w:val="none" w:sz="0" w:space="0" w:color="auto"/>
        <w:left w:val="none" w:sz="0" w:space="0" w:color="auto"/>
        <w:bottom w:val="none" w:sz="0" w:space="0" w:color="auto"/>
        <w:right w:val="none" w:sz="0" w:space="0" w:color="auto"/>
      </w:divBdr>
      <w:divsChild>
        <w:div w:id="819618215">
          <w:marLeft w:val="0"/>
          <w:marRight w:val="0"/>
          <w:marTop w:val="0"/>
          <w:marBottom w:val="0"/>
          <w:divBdr>
            <w:top w:val="none" w:sz="0" w:space="0" w:color="auto"/>
            <w:left w:val="none" w:sz="0" w:space="0" w:color="auto"/>
            <w:bottom w:val="none" w:sz="0" w:space="0" w:color="auto"/>
            <w:right w:val="none" w:sz="0" w:space="0" w:color="auto"/>
          </w:divBdr>
        </w:div>
        <w:div w:id="2025278700">
          <w:marLeft w:val="0"/>
          <w:marRight w:val="0"/>
          <w:marTop w:val="60"/>
          <w:marBottom w:val="0"/>
          <w:divBdr>
            <w:top w:val="none" w:sz="0" w:space="0" w:color="auto"/>
            <w:left w:val="none" w:sz="0" w:space="0" w:color="auto"/>
            <w:bottom w:val="none" w:sz="0" w:space="0" w:color="auto"/>
            <w:right w:val="none" w:sz="0" w:space="0" w:color="auto"/>
          </w:divBdr>
        </w:div>
      </w:divsChild>
    </w:div>
    <w:div w:id="174926409">
      <w:bodyDiv w:val="1"/>
      <w:marLeft w:val="0"/>
      <w:marRight w:val="0"/>
      <w:marTop w:val="0"/>
      <w:marBottom w:val="0"/>
      <w:divBdr>
        <w:top w:val="none" w:sz="0" w:space="0" w:color="auto"/>
        <w:left w:val="none" w:sz="0" w:space="0" w:color="auto"/>
        <w:bottom w:val="none" w:sz="0" w:space="0" w:color="auto"/>
        <w:right w:val="none" w:sz="0" w:space="0" w:color="auto"/>
      </w:divBdr>
    </w:div>
    <w:div w:id="556282133">
      <w:bodyDiv w:val="1"/>
      <w:marLeft w:val="0"/>
      <w:marRight w:val="0"/>
      <w:marTop w:val="0"/>
      <w:marBottom w:val="0"/>
      <w:divBdr>
        <w:top w:val="none" w:sz="0" w:space="0" w:color="auto"/>
        <w:left w:val="none" w:sz="0" w:space="0" w:color="auto"/>
        <w:bottom w:val="none" w:sz="0" w:space="0" w:color="auto"/>
        <w:right w:val="none" w:sz="0" w:space="0" w:color="auto"/>
      </w:divBdr>
      <w:divsChild>
        <w:div w:id="54091456">
          <w:marLeft w:val="0"/>
          <w:marRight w:val="0"/>
          <w:marTop w:val="0"/>
          <w:marBottom w:val="0"/>
          <w:divBdr>
            <w:top w:val="none" w:sz="0" w:space="0" w:color="auto"/>
            <w:left w:val="none" w:sz="0" w:space="0" w:color="auto"/>
            <w:bottom w:val="none" w:sz="0" w:space="0" w:color="auto"/>
            <w:right w:val="none" w:sz="0" w:space="0" w:color="auto"/>
          </w:divBdr>
          <w:divsChild>
            <w:div w:id="626088252">
              <w:marLeft w:val="0"/>
              <w:marRight w:val="0"/>
              <w:marTop w:val="0"/>
              <w:marBottom w:val="0"/>
              <w:divBdr>
                <w:top w:val="none" w:sz="0" w:space="0" w:color="auto"/>
                <w:left w:val="none" w:sz="0" w:space="0" w:color="auto"/>
                <w:bottom w:val="none" w:sz="0" w:space="0" w:color="auto"/>
                <w:right w:val="none" w:sz="0" w:space="0" w:color="auto"/>
              </w:divBdr>
              <w:divsChild>
                <w:div w:id="99125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636957">
      <w:bodyDiv w:val="1"/>
      <w:marLeft w:val="0"/>
      <w:marRight w:val="0"/>
      <w:marTop w:val="0"/>
      <w:marBottom w:val="0"/>
      <w:divBdr>
        <w:top w:val="none" w:sz="0" w:space="0" w:color="auto"/>
        <w:left w:val="none" w:sz="0" w:space="0" w:color="auto"/>
        <w:bottom w:val="none" w:sz="0" w:space="0" w:color="auto"/>
        <w:right w:val="none" w:sz="0" w:space="0" w:color="auto"/>
      </w:divBdr>
      <w:divsChild>
        <w:div w:id="429856101">
          <w:marLeft w:val="0"/>
          <w:marRight w:val="0"/>
          <w:marTop w:val="0"/>
          <w:marBottom w:val="0"/>
          <w:divBdr>
            <w:top w:val="none" w:sz="0" w:space="0" w:color="auto"/>
            <w:left w:val="none" w:sz="0" w:space="0" w:color="auto"/>
            <w:bottom w:val="none" w:sz="0" w:space="0" w:color="auto"/>
            <w:right w:val="none" w:sz="0" w:space="0" w:color="auto"/>
          </w:divBdr>
          <w:divsChild>
            <w:div w:id="263735325">
              <w:marLeft w:val="0"/>
              <w:marRight w:val="0"/>
              <w:marTop w:val="0"/>
              <w:marBottom w:val="0"/>
              <w:divBdr>
                <w:top w:val="none" w:sz="0" w:space="0" w:color="auto"/>
                <w:left w:val="none" w:sz="0" w:space="0" w:color="auto"/>
                <w:bottom w:val="none" w:sz="0" w:space="0" w:color="auto"/>
                <w:right w:val="none" w:sz="0" w:space="0" w:color="auto"/>
              </w:divBdr>
              <w:divsChild>
                <w:div w:id="151835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04428">
      <w:bodyDiv w:val="1"/>
      <w:marLeft w:val="0"/>
      <w:marRight w:val="0"/>
      <w:marTop w:val="0"/>
      <w:marBottom w:val="0"/>
      <w:divBdr>
        <w:top w:val="none" w:sz="0" w:space="0" w:color="auto"/>
        <w:left w:val="none" w:sz="0" w:space="0" w:color="auto"/>
        <w:bottom w:val="none" w:sz="0" w:space="0" w:color="auto"/>
        <w:right w:val="none" w:sz="0" w:space="0" w:color="auto"/>
      </w:divBdr>
    </w:div>
    <w:div w:id="1777361592">
      <w:bodyDiv w:val="1"/>
      <w:marLeft w:val="0"/>
      <w:marRight w:val="0"/>
      <w:marTop w:val="0"/>
      <w:marBottom w:val="0"/>
      <w:divBdr>
        <w:top w:val="none" w:sz="0" w:space="0" w:color="auto"/>
        <w:left w:val="none" w:sz="0" w:space="0" w:color="auto"/>
        <w:bottom w:val="none" w:sz="0" w:space="0" w:color="auto"/>
        <w:right w:val="none" w:sz="0" w:space="0" w:color="auto"/>
      </w:divBdr>
    </w:div>
    <w:div w:id="205076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7.png"/><Relationship Id="rId68" Type="http://schemas.openxmlformats.org/officeDocument/2006/relationships/image" Target="media/image52.jpeg"/><Relationship Id="rId84" Type="http://schemas.openxmlformats.org/officeDocument/2006/relationships/image" Target="media/image68.png"/><Relationship Id="rId89" Type="http://schemas.openxmlformats.org/officeDocument/2006/relationships/theme" Target="theme/theme1.xml"/><Relationship Id="rId16" Type="http://schemas.openxmlformats.org/officeDocument/2006/relationships/image" Target="media/image3.png"/><Relationship Id="rId11" Type="http://schemas.openxmlformats.org/officeDocument/2006/relationships/footer" Target="footer3.xml"/><Relationship Id="rId32" Type="http://schemas.openxmlformats.org/officeDocument/2006/relationships/image" Target="media/image19.png"/><Relationship Id="rId37" Type="http://schemas.openxmlformats.org/officeDocument/2006/relationships/image" Target="media/image24.jpeg"/><Relationship Id="rId58" Type="http://schemas.openxmlformats.org/officeDocument/2006/relationships/image" Target="media/image42.jpeg"/><Relationship Id="rId74" Type="http://schemas.openxmlformats.org/officeDocument/2006/relationships/image" Target="media/image58.png"/><Relationship Id="rId79" Type="http://schemas.openxmlformats.org/officeDocument/2006/relationships/image" Target="media/image63.png"/><Relationship Id="rId5" Type="http://schemas.openxmlformats.org/officeDocument/2006/relationships/webSettings" Target="webSettings.xml"/><Relationship Id="rId19" Type="http://schemas.openxmlformats.org/officeDocument/2006/relationships/image" Target="media/image6.png"/><Relationship Id="rId14" Type="http://schemas.openxmlformats.org/officeDocument/2006/relationships/image" Target="media/image1.jpg"/><Relationship Id="rId22" Type="http://schemas.openxmlformats.org/officeDocument/2006/relationships/image" Target="media/image9.jp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jpe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0.jpg"/><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image" Target="media/image61.png"/><Relationship Id="rId8" Type="http://schemas.openxmlformats.org/officeDocument/2006/relationships/header" Target="header1.xml"/><Relationship Id="rId51" Type="http://schemas.openxmlformats.org/officeDocument/2006/relationships/customXml" Target="ink/ink1.xml"/><Relationship Id="rId72" Type="http://schemas.openxmlformats.org/officeDocument/2006/relationships/image" Target="media/image56.jpeg"/><Relationship Id="rId80" Type="http://schemas.openxmlformats.org/officeDocument/2006/relationships/image" Target="media/image64.png"/><Relationship Id="rId85" Type="http://schemas.openxmlformats.org/officeDocument/2006/relationships/image" Target="media/image69.jpeg"/><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3.png"/><Relationship Id="rId67" Type="http://schemas.openxmlformats.org/officeDocument/2006/relationships/image" Target="media/image51.jpe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38.png"/><Relationship Id="rId62" Type="http://schemas.openxmlformats.org/officeDocument/2006/relationships/image" Target="media/image46.jpe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7.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image" Target="media/image41.jpeg"/><Relationship Id="rId10" Type="http://schemas.openxmlformats.org/officeDocument/2006/relationships/footer" Target="footer2.xml"/><Relationship Id="rId31" Type="http://schemas.openxmlformats.org/officeDocument/2006/relationships/image" Target="media/image18.png"/><Relationship Id="rId44" Type="http://schemas.openxmlformats.org/officeDocument/2006/relationships/image" Target="media/image31.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jpeg"/><Relationship Id="rId86" Type="http://schemas.openxmlformats.org/officeDocument/2006/relationships/image" Target="media/image70.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5.xml"/><Relationship Id="rId18" Type="http://schemas.openxmlformats.org/officeDocument/2006/relationships/image" Target="media/image5.png"/><Relationship Id="rId39" Type="http://schemas.openxmlformats.org/officeDocument/2006/relationships/image" Target="media/image26.jpe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39.png"/><Relationship Id="rId76" Type="http://schemas.openxmlformats.org/officeDocument/2006/relationships/image" Target="media/image60.png"/><Relationship Id="rId7" Type="http://schemas.openxmlformats.org/officeDocument/2006/relationships/endnotes" Target="endnotes.xml"/><Relationship Id="rId71" Type="http://schemas.openxmlformats.org/officeDocument/2006/relationships/image" Target="media/image55.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jpeg"/><Relationship Id="rId45" Type="http://schemas.openxmlformats.org/officeDocument/2006/relationships/image" Target="media/image32.png"/><Relationship Id="rId66" Type="http://schemas.openxmlformats.org/officeDocument/2006/relationships/image" Target="media/image50.png"/><Relationship Id="rId87" Type="http://schemas.openxmlformats.org/officeDocument/2006/relationships/footer" Target="footer6.xml"/><Relationship Id="rId61" Type="http://schemas.openxmlformats.org/officeDocument/2006/relationships/image" Target="media/image45.jpeg"/><Relationship Id="rId82" Type="http://schemas.openxmlformats.org/officeDocument/2006/relationships/image" Target="media/image66.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4T16:58:56.299"/>
    </inkml:context>
    <inkml:brush xml:id="br0">
      <inkml:brushProperty name="width" value="0.025" units="cm"/>
      <inkml:brushProperty name="height" value="0.025" units="cm"/>
      <inkml:brushProperty name="color" value="#E71224"/>
    </inkml:brush>
  </inkml:definitions>
  <inkml:trace contextRef="#ctx0" brushRef="#br0">0 0 24575,'0'5'0,"0"1"0,0 0 0,0-1 0,0-1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AC20391-83D7-D348-9000-5F59B38564F8}">
  <we:reference id="wa200001011" version="1.2.0.0" store="zh-CN" storeType="OMEX"/>
  <we:alternateReferences>
    <we:reference id="wa200001011" version="1.2.0.0" store="zh-CN"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5DD3C-F825-48ED-BCE3-0F4FEB978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188</Pages>
  <Words>110155</Words>
  <Characters>627885</Characters>
  <Application>Microsoft Office Word</Application>
  <DocSecurity>0</DocSecurity>
  <Lines>5232</Lines>
  <Paragraphs>1473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Yilin Jiang</dc:creator>
  <cp:keywords/>
  <dc:description/>
  <cp:lastModifiedBy>Jiang, Yilin</cp:lastModifiedBy>
  <cp:revision>3</cp:revision>
  <cp:lastPrinted>2023-08-04T04:58:00Z</cp:lastPrinted>
  <dcterms:created xsi:type="dcterms:W3CDTF">2023-08-04T04:57:00Z</dcterms:created>
  <dcterms:modified xsi:type="dcterms:W3CDTF">2023-08-04T04:58:00Z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lue="Field"/&gt;&lt;pref name="delayCitationUpdates" value="true"/&gt;&lt;pref name="dontAskDelayCitationUpdates" value="true"/&gt;&lt;/prefs&gt;&lt;/data&gt;</vt:lpwstr>
  </property>
  <property fmtid="{D5CDD505-2E9C-101B-9397-08002B2CF9AE}" pid="3" name="grammarly_documentId">
    <vt:lpwstr>documentId_1125</vt:lpwstr>
  </property>
  <property fmtid="{D5CDD505-2E9C-101B-9397-08002B2CF9AE}" pid="4" name="grammarly_documentContext">
    <vt:lpwstr>{"goals":[],"domain":"general","emotions":[],"dialect":"american"}</vt:lpwstr>
  </property>
  <property fmtid="{D5CDD505-2E9C-101B-9397-08002B2CF9AE}" pid="5" name="ZOTERO_PREF_1">
    <vt:lpwstr>&lt;data data-version="3" zotero-version="6.0.27-beta.3+3e12f3f20"&gt;&lt;session id="qZuNWCV4"/&gt;&lt;style id="http://www.zotero.org/styles/american-society-of-mechanical-engineers" hasBibliography="1" bibliographyStyleHasBeenSet="1"/&gt;&lt;prefs&gt;&lt;pref name="fieldType" va</vt:lpwstr>
  </property>
</Properties>
</file>