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D41F29" w:rsidP="0008176F">
          <w:pPr>
            <w:pStyle w:val="NoSpacing"/>
            <w:spacing w:line="480" w:lineRule="auto"/>
            <w:jc w:val="center"/>
            <w:rPr>
              <w:caps/>
            </w:rPr>
          </w:pPr>
          <w:r>
            <w:rPr>
              <w:caps/>
            </w:rPr>
            <w:t>importance of pore size for effective density of shale gas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7E2BE4"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A17783" w:rsidP="00746E16">
          <w:pPr>
            <w:pStyle w:val="NoSpacing"/>
            <w:jc w:val="center"/>
            <w:rPr>
              <w:caps/>
            </w:rPr>
          </w:pPr>
          <w:r>
            <w:rPr>
              <w:caps/>
            </w:rPr>
            <w:t>James gregory curtin iii</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A17783"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D41F29" w:rsidP="00730F0A">
          <w:pPr>
            <w:pStyle w:val="NoSpacing"/>
            <w:jc w:val="center"/>
            <w:rPr>
              <w:caps/>
            </w:rPr>
          </w:pPr>
          <w:r>
            <w:rPr>
              <w:caps/>
            </w:rPr>
            <w:t>importance of pore size for effective density of shale gas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7E2BE4" w:rsidP="00746E16">
          <w:pPr>
            <w:pStyle w:val="NoSpacing"/>
            <w:jc w:val="center"/>
            <w:rPr>
              <w:caps/>
            </w:rPr>
          </w:pPr>
          <w:r>
            <w:rPr>
              <w:caps/>
            </w:rPr>
            <w:t>Mewbourne School of Petroleum and Geological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3C2D7F"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D41F29">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7D19E0">
            <w:t xml:space="preserve">Ahmad </w:t>
          </w:r>
          <w:proofErr w:type="spellStart"/>
          <w:r w:rsidR="007D19E0">
            <w:t>Sakhaee</w:t>
          </w:r>
          <w:proofErr w:type="spellEnd"/>
          <w:r w:rsidR="007D19E0">
            <w:t>-Pour</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3C2D7F"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D41F29">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7D19E0">
            <w:t xml:space="preserve">Mashhad </w:t>
          </w:r>
          <w:proofErr w:type="spellStart"/>
          <w:r w:rsidR="007D19E0">
            <w:t>Fahes</w:t>
          </w:r>
          <w:proofErr w:type="spellEnd"/>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3C2D7F"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D41F29">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proofErr w:type="spellStart"/>
          <w:r w:rsidR="007D19E0">
            <w:t>Xingru</w:t>
          </w:r>
          <w:proofErr w:type="spellEnd"/>
          <w:r w:rsidR="007D19E0">
            <w:t xml:space="preserve"> Wu</w:t>
          </w:r>
        </w:sdtContent>
      </w:sdt>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3C2D7F"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A17783">
            <w:rPr>
              <w:caps/>
            </w:rPr>
            <w:t>James gregory curtin iii</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A17783">
            <w:t>2017</w:t>
          </w:r>
        </w:sdtContent>
      </w:sdt>
    </w:p>
    <w:p w:rsidR="00730F0A" w:rsidRDefault="00730F0A" w:rsidP="00730F0A">
      <w:pPr>
        <w:pStyle w:val="NoSpacing"/>
        <w:jc w:val="center"/>
      </w:pPr>
      <w:r>
        <w:t>All Rights Reserved.</w:t>
      </w:r>
    </w:p>
    <w:p w:rsidR="008E1C26" w:rsidRDefault="006F10CE" w:rsidP="00E225B2">
      <w:pPr>
        <w:jc w:val="center"/>
        <w:sectPr w:rsidR="008E1C26" w:rsidSect="007B5757">
          <w:pgSz w:w="12240" w:h="15840" w:code="1"/>
          <w:pgMar w:top="1728" w:right="1728" w:bottom="1728" w:left="2592" w:header="720" w:footer="720" w:gutter="0"/>
          <w:cols w:space="720"/>
          <w:docGrid w:linePitch="360"/>
        </w:sectPr>
      </w:pPr>
      <w:r>
        <w:br w:type="page"/>
      </w:r>
      <w:r w:rsidR="00E225B2">
        <w:lastRenderedPageBreak/>
        <w:t xml:space="preserve">I dedicate this thesis to my loving wife Cheryl, without whom my continued education and </w:t>
      </w:r>
      <w:r w:rsidR="003E6DE5">
        <w:t>this thesis</w:t>
      </w:r>
      <w:r w:rsidR="00E225B2">
        <w:t xml:space="preserve"> would not </w:t>
      </w:r>
      <w:r w:rsidR="00E9136A">
        <w:t xml:space="preserve">have </w:t>
      </w:r>
      <w:r w:rsidR="00E225B2">
        <w:t>be</w:t>
      </w:r>
      <w:r w:rsidR="00E9136A">
        <w:t>en</w:t>
      </w:r>
      <w:r w:rsidR="00E225B2">
        <w:t xml:space="preserve"> possible.</w:t>
      </w:r>
      <w:r w:rsidR="003E6DE5">
        <w:t xml:space="preserve"> </w:t>
      </w:r>
    </w:p>
    <w:p w:rsidR="008E1C26" w:rsidRDefault="00775701" w:rsidP="00C16C66">
      <w:pPr>
        <w:pStyle w:val="Heading1"/>
      </w:pPr>
      <w:bookmarkStart w:id="1" w:name="_Toc310579464"/>
      <w:bookmarkStart w:id="2" w:name="_Toc482347154"/>
      <w:r>
        <w:lastRenderedPageBreak/>
        <w:t>Acknowledgements</w:t>
      </w:r>
      <w:bookmarkEnd w:id="1"/>
      <w:bookmarkEnd w:id="2"/>
    </w:p>
    <w:p w:rsidR="003450B1" w:rsidRDefault="00E9136A" w:rsidP="00E77477">
      <w:r>
        <w:t>I would like to</w:t>
      </w:r>
      <w:r w:rsidR="00E831C2">
        <w:t xml:space="preserve"> first</w:t>
      </w:r>
      <w:r>
        <w:t xml:space="preserve"> acknowledge the significant guidance and </w:t>
      </w:r>
      <w:r w:rsidR="00E831C2">
        <w:t>assistance</w:t>
      </w:r>
      <w:r>
        <w:t xml:space="preserve"> I received from my adviser, Dr. Ahmad </w:t>
      </w:r>
      <w:proofErr w:type="spellStart"/>
      <w:r>
        <w:t>Sakhaee</w:t>
      </w:r>
      <w:proofErr w:type="spellEnd"/>
      <w:r>
        <w:t xml:space="preserve">-Pour. Dr. </w:t>
      </w:r>
      <w:proofErr w:type="spellStart"/>
      <w:r>
        <w:t>Sakhaee</w:t>
      </w:r>
      <w:proofErr w:type="spellEnd"/>
      <w:r>
        <w:t xml:space="preserve">-Pour pushed me to ask the right questions and to draw the logical conclusion throughout my thesis process. </w:t>
      </w:r>
    </w:p>
    <w:p w:rsidR="00E9136A" w:rsidRDefault="00E9136A" w:rsidP="00E77477"/>
    <w:p w:rsidR="00E9136A" w:rsidRDefault="00E9136A" w:rsidP="00E77477">
      <w:r>
        <w:t xml:space="preserve">I would also like to acknowledge the faculty and staff of the </w:t>
      </w:r>
      <w:r w:rsidR="00E831C2">
        <w:t xml:space="preserve">University of Oklahoma </w:t>
      </w:r>
      <w:proofErr w:type="spellStart"/>
      <w:r>
        <w:t>Mewbourne</w:t>
      </w:r>
      <w:proofErr w:type="spellEnd"/>
      <w:r>
        <w:t xml:space="preserve"> School of Petroleum and Geological Engineering</w:t>
      </w:r>
      <w:r w:rsidR="00E831C2">
        <w:t xml:space="preserve"> and Graduate College.</w:t>
      </w:r>
      <w:r>
        <w:t xml:space="preserve"> All were supportive and </w:t>
      </w:r>
      <w:r w:rsidR="00E831C2">
        <w:t>helpful, even when I was late meeting paperwork deadlines.</w:t>
      </w:r>
    </w:p>
    <w:p w:rsidR="00E831C2" w:rsidRDefault="00E831C2" w:rsidP="00E77477"/>
    <w:p w:rsidR="00E831C2" w:rsidRDefault="00E831C2" w:rsidP="00E77477">
      <w:r>
        <w:t xml:space="preserve">Finally, I would like to acknowledge my fellow graduate students in the </w:t>
      </w:r>
      <w:proofErr w:type="spellStart"/>
      <w:r>
        <w:t>Mewbourne</w:t>
      </w:r>
      <w:proofErr w:type="spellEnd"/>
      <w:r>
        <w:t xml:space="preserve"> School of Petroleum and Geological Engineering. They have formed a mutually supportive community </w:t>
      </w:r>
      <w:r w:rsidR="00DB03FD">
        <w:t xml:space="preserve">that helped throughout my graduate school experience in innumerable small ways. </w:t>
      </w:r>
    </w:p>
    <w:p w:rsidR="00E831C2" w:rsidRDefault="00E831C2" w:rsidP="00E77477"/>
    <w:p w:rsidR="00E831C2" w:rsidRDefault="00E831C2" w:rsidP="00E77477"/>
    <w:p w:rsidR="00E831C2" w:rsidRDefault="00E831C2" w:rsidP="00E77477"/>
    <w:p w:rsidR="00E831C2" w:rsidRDefault="00E831C2" w:rsidP="00E77477"/>
    <w:p w:rsidR="00775701" w:rsidRDefault="00775701" w:rsidP="00C16C66">
      <w:pPr>
        <w:pStyle w:val="Title"/>
      </w:pPr>
      <w:r>
        <w:br w:type="page"/>
      </w:r>
      <w:r>
        <w:lastRenderedPageBreak/>
        <w:t xml:space="preserve">Table of </w:t>
      </w:r>
      <w:r w:rsidRPr="00775701">
        <w:t>Contents</w:t>
      </w:r>
    </w:p>
    <w:p w:rsidR="001D2992" w:rsidRPr="001D2992" w:rsidRDefault="001D2992" w:rsidP="001D2992"/>
    <w:p w:rsidR="00D22C5B" w:rsidRDefault="00AA4AED">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82347154" w:history="1">
        <w:r w:rsidR="00D22C5B" w:rsidRPr="00DB1F6E">
          <w:rPr>
            <w:rStyle w:val="Hyperlink"/>
            <w:noProof/>
          </w:rPr>
          <w:t>Acknowledgements</w:t>
        </w:r>
        <w:r w:rsidR="00D22C5B">
          <w:rPr>
            <w:noProof/>
            <w:webHidden/>
          </w:rPr>
          <w:tab/>
        </w:r>
        <w:r w:rsidR="00D22C5B">
          <w:rPr>
            <w:noProof/>
            <w:webHidden/>
          </w:rPr>
          <w:fldChar w:fldCharType="begin"/>
        </w:r>
        <w:r w:rsidR="00D22C5B">
          <w:rPr>
            <w:noProof/>
            <w:webHidden/>
          </w:rPr>
          <w:instrText xml:space="preserve"> PAGEREF _Toc482347154 \h </w:instrText>
        </w:r>
        <w:r w:rsidR="00D22C5B">
          <w:rPr>
            <w:noProof/>
            <w:webHidden/>
          </w:rPr>
        </w:r>
        <w:r w:rsidR="00D22C5B">
          <w:rPr>
            <w:noProof/>
            <w:webHidden/>
          </w:rPr>
          <w:fldChar w:fldCharType="separate"/>
        </w:r>
        <w:r w:rsidR="00D22C5B">
          <w:rPr>
            <w:noProof/>
            <w:webHidden/>
          </w:rPr>
          <w:t>iv</w:t>
        </w:r>
        <w:r w:rsidR="00D22C5B">
          <w:rPr>
            <w:noProof/>
            <w:webHidden/>
          </w:rPr>
          <w:fldChar w:fldCharType="end"/>
        </w:r>
      </w:hyperlink>
    </w:p>
    <w:p w:rsidR="00D22C5B" w:rsidRDefault="003C2D7F">
      <w:pPr>
        <w:pStyle w:val="TOC1"/>
        <w:rPr>
          <w:rFonts w:eastAsiaTheme="minorEastAsia" w:cstheme="minorBidi"/>
          <w:noProof/>
          <w:sz w:val="22"/>
          <w:szCs w:val="22"/>
          <w:lang w:eastAsia="zh-CN" w:bidi="ar-SA"/>
        </w:rPr>
      </w:pPr>
      <w:hyperlink w:anchor="_Toc482347155" w:history="1">
        <w:r w:rsidR="00D22C5B" w:rsidRPr="00DB1F6E">
          <w:rPr>
            <w:rStyle w:val="Hyperlink"/>
            <w:noProof/>
          </w:rPr>
          <w:t>List of Tables</w:t>
        </w:r>
        <w:r w:rsidR="00D22C5B">
          <w:rPr>
            <w:noProof/>
            <w:webHidden/>
          </w:rPr>
          <w:tab/>
        </w:r>
        <w:r w:rsidR="00D22C5B">
          <w:rPr>
            <w:noProof/>
            <w:webHidden/>
          </w:rPr>
          <w:fldChar w:fldCharType="begin"/>
        </w:r>
        <w:r w:rsidR="00D22C5B">
          <w:rPr>
            <w:noProof/>
            <w:webHidden/>
          </w:rPr>
          <w:instrText xml:space="preserve"> PAGEREF _Toc482347155 \h </w:instrText>
        </w:r>
        <w:r w:rsidR="00D22C5B">
          <w:rPr>
            <w:noProof/>
            <w:webHidden/>
          </w:rPr>
        </w:r>
        <w:r w:rsidR="00D22C5B">
          <w:rPr>
            <w:noProof/>
            <w:webHidden/>
          </w:rPr>
          <w:fldChar w:fldCharType="separate"/>
        </w:r>
        <w:r w:rsidR="00D22C5B">
          <w:rPr>
            <w:noProof/>
            <w:webHidden/>
          </w:rPr>
          <w:t>vii</w:t>
        </w:r>
        <w:r w:rsidR="00D22C5B">
          <w:rPr>
            <w:noProof/>
            <w:webHidden/>
          </w:rPr>
          <w:fldChar w:fldCharType="end"/>
        </w:r>
      </w:hyperlink>
    </w:p>
    <w:p w:rsidR="00D22C5B" w:rsidRDefault="003C2D7F">
      <w:pPr>
        <w:pStyle w:val="TOC1"/>
        <w:rPr>
          <w:rFonts w:eastAsiaTheme="minorEastAsia" w:cstheme="minorBidi"/>
          <w:noProof/>
          <w:sz w:val="22"/>
          <w:szCs w:val="22"/>
          <w:lang w:eastAsia="zh-CN" w:bidi="ar-SA"/>
        </w:rPr>
      </w:pPr>
      <w:hyperlink w:anchor="_Toc482347156" w:history="1">
        <w:r w:rsidR="00D22C5B" w:rsidRPr="00DB1F6E">
          <w:rPr>
            <w:rStyle w:val="Hyperlink"/>
            <w:noProof/>
          </w:rPr>
          <w:t>List of Figures</w:t>
        </w:r>
        <w:r w:rsidR="00D22C5B">
          <w:rPr>
            <w:noProof/>
            <w:webHidden/>
          </w:rPr>
          <w:tab/>
        </w:r>
        <w:r w:rsidR="00D22C5B">
          <w:rPr>
            <w:noProof/>
            <w:webHidden/>
          </w:rPr>
          <w:fldChar w:fldCharType="begin"/>
        </w:r>
        <w:r w:rsidR="00D22C5B">
          <w:rPr>
            <w:noProof/>
            <w:webHidden/>
          </w:rPr>
          <w:instrText xml:space="preserve"> PAGEREF _Toc482347156 \h </w:instrText>
        </w:r>
        <w:r w:rsidR="00D22C5B">
          <w:rPr>
            <w:noProof/>
            <w:webHidden/>
          </w:rPr>
        </w:r>
        <w:r w:rsidR="00D22C5B">
          <w:rPr>
            <w:noProof/>
            <w:webHidden/>
          </w:rPr>
          <w:fldChar w:fldCharType="separate"/>
        </w:r>
        <w:r w:rsidR="00D22C5B">
          <w:rPr>
            <w:noProof/>
            <w:webHidden/>
          </w:rPr>
          <w:t>viii</w:t>
        </w:r>
        <w:r w:rsidR="00D22C5B">
          <w:rPr>
            <w:noProof/>
            <w:webHidden/>
          </w:rPr>
          <w:fldChar w:fldCharType="end"/>
        </w:r>
      </w:hyperlink>
    </w:p>
    <w:p w:rsidR="00D22C5B" w:rsidRDefault="003C2D7F">
      <w:pPr>
        <w:pStyle w:val="TOC1"/>
        <w:rPr>
          <w:rFonts w:eastAsiaTheme="minorEastAsia" w:cstheme="minorBidi"/>
          <w:noProof/>
          <w:sz w:val="22"/>
          <w:szCs w:val="22"/>
          <w:lang w:eastAsia="zh-CN" w:bidi="ar-SA"/>
        </w:rPr>
      </w:pPr>
      <w:hyperlink w:anchor="_Toc482347157" w:history="1">
        <w:r w:rsidR="00D22C5B" w:rsidRPr="00DB1F6E">
          <w:rPr>
            <w:rStyle w:val="Hyperlink"/>
            <w:noProof/>
          </w:rPr>
          <w:t>Abstract</w:t>
        </w:r>
        <w:r w:rsidR="00D22C5B">
          <w:rPr>
            <w:noProof/>
            <w:webHidden/>
          </w:rPr>
          <w:tab/>
        </w:r>
        <w:r w:rsidR="00D22C5B">
          <w:rPr>
            <w:noProof/>
            <w:webHidden/>
          </w:rPr>
          <w:fldChar w:fldCharType="begin"/>
        </w:r>
        <w:r w:rsidR="00D22C5B">
          <w:rPr>
            <w:noProof/>
            <w:webHidden/>
          </w:rPr>
          <w:instrText xml:space="preserve"> PAGEREF _Toc482347157 \h </w:instrText>
        </w:r>
        <w:r w:rsidR="00D22C5B">
          <w:rPr>
            <w:noProof/>
            <w:webHidden/>
          </w:rPr>
        </w:r>
        <w:r w:rsidR="00D22C5B">
          <w:rPr>
            <w:noProof/>
            <w:webHidden/>
          </w:rPr>
          <w:fldChar w:fldCharType="separate"/>
        </w:r>
        <w:r w:rsidR="00D22C5B">
          <w:rPr>
            <w:noProof/>
            <w:webHidden/>
          </w:rPr>
          <w:t>ix</w:t>
        </w:r>
        <w:r w:rsidR="00D22C5B">
          <w:rPr>
            <w:noProof/>
            <w:webHidden/>
          </w:rPr>
          <w:fldChar w:fldCharType="end"/>
        </w:r>
      </w:hyperlink>
    </w:p>
    <w:p w:rsidR="00D22C5B" w:rsidRDefault="003C2D7F">
      <w:pPr>
        <w:pStyle w:val="TOC1"/>
        <w:rPr>
          <w:rFonts w:eastAsiaTheme="minorEastAsia" w:cstheme="minorBidi"/>
          <w:noProof/>
          <w:sz w:val="22"/>
          <w:szCs w:val="22"/>
          <w:lang w:eastAsia="zh-CN" w:bidi="ar-SA"/>
        </w:rPr>
      </w:pPr>
      <w:hyperlink w:anchor="_Toc482347158" w:history="1">
        <w:r w:rsidR="00D22C5B" w:rsidRPr="00DB1F6E">
          <w:rPr>
            <w:rStyle w:val="Hyperlink"/>
            <w:noProof/>
          </w:rPr>
          <w:t>Chapter 1: Introduction</w:t>
        </w:r>
        <w:r w:rsidR="00D22C5B">
          <w:rPr>
            <w:noProof/>
            <w:webHidden/>
          </w:rPr>
          <w:tab/>
        </w:r>
        <w:r w:rsidR="00D22C5B">
          <w:rPr>
            <w:noProof/>
            <w:webHidden/>
          </w:rPr>
          <w:fldChar w:fldCharType="begin"/>
        </w:r>
        <w:r w:rsidR="00D22C5B">
          <w:rPr>
            <w:noProof/>
            <w:webHidden/>
          </w:rPr>
          <w:instrText xml:space="preserve"> PAGEREF _Toc482347158 \h </w:instrText>
        </w:r>
        <w:r w:rsidR="00D22C5B">
          <w:rPr>
            <w:noProof/>
            <w:webHidden/>
          </w:rPr>
        </w:r>
        <w:r w:rsidR="00D22C5B">
          <w:rPr>
            <w:noProof/>
            <w:webHidden/>
          </w:rPr>
          <w:fldChar w:fldCharType="separate"/>
        </w:r>
        <w:r w:rsidR="00D22C5B">
          <w:rPr>
            <w:noProof/>
            <w:webHidden/>
          </w:rPr>
          <w:t>1</w:t>
        </w:r>
        <w:r w:rsidR="00D22C5B">
          <w:rPr>
            <w:noProof/>
            <w:webHidden/>
          </w:rPr>
          <w:fldChar w:fldCharType="end"/>
        </w:r>
      </w:hyperlink>
    </w:p>
    <w:p w:rsidR="00D22C5B" w:rsidRDefault="003C2D7F">
      <w:pPr>
        <w:pStyle w:val="TOC2"/>
        <w:tabs>
          <w:tab w:val="left" w:pos="1080"/>
          <w:tab w:val="right" w:leader="dot" w:pos="8486"/>
        </w:tabs>
        <w:rPr>
          <w:rFonts w:eastAsiaTheme="minorEastAsia" w:cstheme="minorBidi"/>
          <w:noProof/>
          <w:sz w:val="22"/>
          <w:szCs w:val="22"/>
          <w:lang w:eastAsia="zh-CN" w:bidi="ar-SA"/>
        </w:rPr>
      </w:pPr>
      <w:hyperlink w:anchor="_Toc482347159" w:history="1">
        <w:r w:rsidR="00D22C5B" w:rsidRPr="00DB1F6E">
          <w:rPr>
            <w:rStyle w:val="Hyperlink"/>
            <w:noProof/>
          </w:rPr>
          <w:t>1.1.</w:t>
        </w:r>
        <w:r w:rsidR="00D22C5B">
          <w:rPr>
            <w:rFonts w:eastAsiaTheme="minorEastAsia" w:cstheme="minorBidi"/>
            <w:noProof/>
            <w:sz w:val="22"/>
            <w:szCs w:val="22"/>
            <w:lang w:eastAsia="zh-CN" w:bidi="ar-SA"/>
          </w:rPr>
          <w:tab/>
        </w:r>
        <w:r w:rsidR="00D22C5B" w:rsidRPr="00DB1F6E">
          <w:rPr>
            <w:rStyle w:val="Hyperlink"/>
            <w:noProof/>
          </w:rPr>
          <w:t>Problem statement</w:t>
        </w:r>
        <w:r w:rsidR="00D22C5B">
          <w:rPr>
            <w:noProof/>
            <w:webHidden/>
          </w:rPr>
          <w:tab/>
        </w:r>
        <w:r w:rsidR="00D22C5B">
          <w:rPr>
            <w:noProof/>
            <w:webHidden/>
          </w:rPr>
          <w:fldChar w:fldCharType="begin"/>
        </w:r>
        <w:r w:rsidR="00D22C5B">
          <w:rPr>
            <w:noProof/>
            <w:webHidden/>
          </w:rPr>
          <w:instrText xml:space="preserve"> PAGEREF _Toc482347159 \h </w:instrText>
        </w:r>
        <w:r w:rsidR="00D22C5B">
          <w:rPr>
            <w:noProof/>
            <w:webHidden/>
          </w:rPr>
        </w:r>
        <w:r w:rsidR="00D22C5B">
          <w:rPr>
            <w:noProof/>
            <w:webHidden/>
          </w:rPr>
          <w:fldChar w:fldCharType="separate"/>
        </w:r>
        <w:r w:rsidR="00D22C5B">
          <w:rPr>
            <w:noProof/>
            <w:webHidden/>
          </w:rPr>
          <w:t>1</w:t>
        </w:r>
        <w:r w:rsidR="00D22C5B">
          <w:rPr>
            <w:noProof/>
            <w:webHidden/>
          </w:rPr>
          <w:fldChar w:fldCharType="end"/>
        </w:r>
      </w:hyperlink>
    </w:p>
    <w:p w:rsidR="00D22C5B" w:rsidRDefault="003C2D7F">
      <w:pPr>
        <w:pStyle w:val="TOC2"/>
        <w:tabs>
          <w:tab w:val="left" w:pos="1080"/>
          <w:tab w:val="right" w:leader="dot" w:pos="8486"/>
        </w:tabs>
        <w:rPr>
          <w:rFonts w:eastAsiaTheme="minorEastAsia" w:cstheme="minorBidi"/>
          <w:noProof/>
          <w:sz w:val="22"/>
          <w:szCs w:val="22"/>
          <w:lang w:eastAsia="zh-CN" w:bidi="ar-SA"/>
        </w:rPr>
      </w:pPr>
      <w:hyperlink w:anchor="_Toc482347160" w:history="1">
        <w:r w:rsidR="00D22C5B" w:rsidRPr="00DB1F6E">
          <w:rPr>
            <w:rStyle w:val="Hyperlink"/>
            <w:noProof/>
          </w:rPr>
          <w:t>1.2.</w:t>
        </w:r>
        <w:r w:rsidR="00D22C5B">
          <w:rPr>
            <w:rFonts w:eastAsiaTheme="minorEastAsia" w:cstheme="minorBidi"/>
            <w:noProof/>
            <w:sz w:val="22"/>
            <w:szCs w:val="22"/>
            <w:lang w:eastAsia="zh-CN" w:bidi="ar-SA"/>
          </w:rPr>
          <w:tab/>
        </w:r>
        <w:r w:rsidR="00D22C5B" w:rsidRPr="00DB1F6E">
          <w:rPr>
            <w:rStyle w:val="Hyperlink"/>
            <w:noProof/>
          </w:rPr>
          <w:t>Objective</w:t>
        </w:r>
        <w:r w:rsidR="00D22C5B">
          <w:rPr>
            <w:noProof/>
            <w:webHidden/>
          </w:rPr>
          <w:tab/>
        </w:r>
        <w:r w:rsidR="00D22C5B">
          <w:rPr>
            <w:noProof/>
            <w:webHidden/>
          </w:rPr>
          <w:fldChar w:fldCharType="begin"/>
        </w:r>
        <w:r w:rsidR="00D22C5B">
          <w:rPr>
            <w:noProof/>
            <w:webHidden/>
          </w:rPr>
          <w:instrText xml:space="preserve"> PAGEREF _Toc482347160 \h </w:instrText>
        </w:r>
        <w:r w:rsidR="00D22C5B">
          <w:rPr>
            <w:noProof/>
            <w:webHidden/>
          </w:rPr>
        </w:r>
        <w:r w:rsidR="00D22C5B">
          <w:rPr>
            <w:noProof/>
            <w:webHidden/>
          </w:rPr>
          <w:fldChar w:fldCharType="separate"/>
        </w:r>
        <w:r w:rsidR="00D22C5B">
          <w:rPr>
            <w:noProof/>
            <w:webHidden/>
          </w:rPr>
          <w:t>4</w:t>
        </w:r>
        <w:r w:rsidR="00D22C5B">
          <w:rPr>
            <w:noProof/>
            <w:webHidden/>
          </w:rPr>
          <w:fldChar w:fldCharType="end"/>
        </w:r>
      </w:hyperlink>
    </w:p>
    <w:p w:rsidR="00D22C5B" w:rsidRDefault="003C2D7F">
      <w:pPr>
        <w:pStyle w:val="TOC1"/>
        <w:rPr>
          <w:rFonts w:eastAsiaTheme="minorEastAsia" w:cstheme="minorBidi"/>
          <w:noProof/>
          <w:sz w:val="22"/>
          <w:szCs w:val="22"/>
          <w:lang w:eastAsia="zh-CN" w:bidi="ar-SA"/>
        </w:rPr>
      </w:pPr>
      <w:hyperlink w:anchor="_Toc482347161" w:history="1">
        <w:r w:rsidR="00D22C5B" w:rsidRPr="00DB1F6E">
          <w:rPr>
            <w:rStyle w:val="Hyperlink"/>
            <w:noProof/>
          </w:rPr>
          <w:t>Chapter 2: Literature review</w:t>
        </w:r>
        <w:r w:rsidR="00D22C5B">
          <w:rPr>
            <w:noProof/>
            <w:webHidden/>
          </w:rPr>
          <w:tab/>
        </w:r>
        <w:r w:rsidR="00D22C5B">
          <w:rPr>
            <w:noProof/>
            <w:webHidden/>
          </w:rPr>
          <w:fldChar w:fldCharType="begin"/>
        </w:r>
        <w:r w:rsidR="00D22C5B">
          <w:rPr>
            <w:noProof/>
            <w:webHidden/>
          </w:rPr>
          <w:instrText xml:space="preserve"> PAGEREF _Toc482347161 \h </w:instrText>
        </w:r>
        <w:r w:rsidR="00D22C5B">
          <w:rPr>
            <w:noProof/>
            <w:webHidden/>
          </w:rPr>
        </w:r>
        <w:r w:rsidR="00D22C5B">
          <w:rPr>
            <w:noProof/>
            <w:webHidden/>
          </w:rPr>
          <w:fldChar w:fldCharType="separate"/>
        </w:r>
        <w:r w:rsidR="00D22C5B">
          <w:rPr>
            <w:noProof/>
            <w:webHidden/>
          </w:rPr>
          <w:t>5</w:t>
        </w:r>
        <w:r w:rsidR="00D22C5B">
          <w:rPr>
            <w:noProof/>
            <w:webHidden/>
          </w:rPr>
          <w:fldChar w:fldCharType="end"/>
        </w:r>
      </w:hyperlink>
    </w:p>
    <w:p w:rsidR="00D22C5B" w:rsidRDefault="003C2D7F">
      <w:pPr>
        <w:pStyle w:val="TOC2"/>
        <w:tabs>
          <w:tab w:val="right" w:leader="dot" w:pos="8486"/>
        </w:tabs>
        <w:rPr>
          <w:rFonts w:eastAsiaTheme="minorEastAsia" w:cstheme="minorBidi"/>
          <w:noProof/>
          <w:sz w:val="22"/>
          <w:szCs w:val="22"/>
          <w:lang w:eastAsia="zh-CN" w:bidi="ar-SA"/>
        </w:rPr>
      </w:pPr>
      <w:hyperlink w:anchor="_Toc482347162" w:history="1">
        <w:r w:rsidR="00D22C5B" w:rsidRPr="00DB1F6E">
          <w:rPr>
            <w:rStyle w:val="Hyperlink"/>
            <w:noProof/>
          </w:rPr>
          <w:t>2.1. Barnett Shale gas reservoir</w:t>
        </w:r>
        <w:r w:rsidR="00D22C5B">
          <w:rPr>
            <w:noProof/>
            <w:webHidden/>
          </w:rPr>
          <w:tab/>
        </w:r>
        <w:r w:rsidR="00D22C5B">
          <w:rPr>
            <w:noProof/>
            <w:webHidden/>
          </w:rPr>
          <w:fldChar w:fldCharType="begin"/>
        </w:r>
        <w:r w:rsidR="00D22C5B">
          <w:rPr>
            <w:noProof/>
            <w:webHidden/>
          </w:rPr>
          <w:instrText xml:space="preserve"> PAGEREF _Toc482347162 \h </w:instrText>
        </w:r>
        <w:r w:rsidR="00D22C5B">
          <w:rPr>
            <w:noProof/>
            <w:webHidden/>
          </w:rPr>
        </w:r>
        <w:r w:rsidR="00D22C5B">
          <w:rPr>
            <w:noProof/>
            <w:webHidden/>
          </w:rPr>
          <w:fldChar w:fldCharType="separate"/>
        </w:r>
        <w:r w:rsidR="00D22C5B">
          <w:rPr>
            <w:noProof/>
            <w:webHidden/>
          </w:rPr>
          <w:t>5</w:t>
        </w:r>
        <w:r w:rsidR="00D22C5B">
          <w:rPr>
            <w:noProof/>
            <w:webHidden/>
          </w:rPr>
          <w:fldChar w:fldCharType="end"/>
        </w:r>
      </w:hyperlink>
    </w:p>
    <w:p w:rsidR="00D22C5B" w:rsidRDefault="003C2D7F">
      <w:pPr>
        <w:pStyle w:val="TOC2"/>
        <w:tabs>
          <w:tab w:val="right" w:leader="dot" w:pos="8486"/>
        </w:tabs>
        <w:rPr>
          <w:rFonts w:eastAsiaTheme="minorEastAsia" w:cstheme="minorBidi"/>
          <w:noProof/>
          <w:sz w:val="22"/>
          <w:szCs w:val="22"/>
          <w:lang w:eastAsia="zh-CN" w:bidi="ar-SA"/>
        </w:rPr>
      </w:pPr>
      <w:hyperlink w:anchor="_Toc482347163" w:history="1">
        <w:r w:rsidR="00D22C5B" w:rsidRPr="00DB1F6E">
          <w:rPr>
            <w:rStyle w:val="Hyperlink"/>
            <w:noProof/>
          </w:rPr>
          <w:t>2.2. Pore size measurements</w:t>
        </w:r>
        <w:r w:rsidR="00D22C5B">
          <w:rPr>
            <w:noProof/>
            <w:webHidden/>
          </w:rPr>
          <w:tab/>
        </w:r>
        <w:r w:rsidR="00D22C5B">
          <w:rPr>
            <w:noProof/>
            <w:webHidden/>
          </w:rPr>
          <w:fldChar w:fldCharType="begin"/>
        </w:r>
        <w:r w:rsidR="00D22C5B">
          <w:rPr>
            <w:noProof/>
            <w:webHidden/>
          </w:rPr>
          <w:instrText xml:space="preserve"> PAGEREF _Toc482347163 \h </w:instrText>
        </w:r>
        <w:r w:rsidR="00D22C5B">
          <w:rPr>
            <w:noProof/>
            <w:webHidden/>
          </w:rPr>
        </w:r>
        <w:r w:rsidR="00D22C5B">
          <w:rPr>
            <w:noProof/>
            <w:webHidden/>
          </w:rPr>
          <w:fldChar w:fldCharType="separate"/>
        </w:r>
        <w:r w:rsidR="00D22C5B">
          <w:rPr>
            <w:noProof/>
            <w:webHidden/>
          </w:rPr>
          <w:t>6</w:t>
        </w:r>
        <w:r w:rsidR="00D22C5B">
          <w:rPr>
            <w:noProof/>
            <w:webHidden/>
          </w:rPr>
          <w:fldChar w:fldCharType="end"/>
        </w:r>
      </w:hyperlink>
    </w:p>
    <w:p w:rsidR="00D22C5B" w:rsidRDefault="003C2D7F">
      <w:pPr>
        <w:pStyle w:val="TOC3"/>
        <w:tabs>
          <w:tab w:val="right" w:leader="dot" w:pos="8486"/>
        </w:tabs>
        <w:rPr>
          <w:rFonts w:eastAsiaTheme="minorEastAsia" w:cstheme="minorBidi"/>
          <w:noProof/>
          <w:sz w:val="22"/>
          <w:szCs w:val="22"/>
          <w:lang w:eastAsia="zh-CN" w:bidi="ar-SA"/>
        </w:rPr>
      </w:pPr>
      <w:hyperlink w:anchor="_Toc482347164" w:history="1">
        <w:r w:rsidR="00D22C5B" w:rsidRPr="00DB1F6E">
          <w:rPr>
            <w:rStyle w:val="Hyperlink"/>
            <w:noProof/>
          </w:rPr>
          <w:t>2.2.1. Pore-throat size measurements</w:t>
        </w:r>
        <w:r w:rsidR="00D22C5B">
          <w:rPr>
            <w:noProof/>
            <w:webHidden/>
          </w:rPr>
          <w:tab/>
        </w:r>
        <w:r w:rsidR="00D22C5B">
          <w:rPr>
            <w:noProof/>
            <w:webHidden/>
          </w:rPr>
          <w:fldChar w:fldCharType="begin"/>
        </w:r>
        <w:r w:rsidR="00D22C5B">
          <w:rPr>
            <w:noProof/>
            <w:webHidden/>
          </w:rPr>
          <w:instrText xml:space="preserve"> PAGEREF _Toc482347164 \h </w:instrText>
        </w:r>
        <w:r w:rsidR="00D22C5B">
          <w:rPr>
            <w:noProof/>
            <w:webHidden/>
          </w:rPr>
        </w:r>
        <w:r w:rsidR="00D22C5B">
          <w:rPr>
            <w:noProof/>
            <w:webHidden/>
          </w:rPr>
          <w:fldChar w:fldCharType="separate"/>
        </w:r>
        <w:r w:rsidR="00D22C5B">
          <w:rPr>
            <w:noProof/>
            <w:webHidden/>
          </w:rPr>
          <w:t>6</w:t>
        </w:r>
        <w:r w:rsidR="00D22C5B">
          <w:rPr>
            <w:noProof/>
            <w:webHidden/>
          </w:rPr>
          <w:fldChar w:fldCharType="end"/>
        </w:r>
      </w:hyperlink>
    </w:p>
    <w:p w:rsidR="00D22C5B" w:rsidRDefault="003C2D7F">
      <w:pPr>
        <w:pStyle w:val="TOC3"/>
        <w:tabs>
          <w:tab w:val="right" w:leader="dot" w:pos="8486"/>
        </w:tabs>
        <w:rPr>
          <w:rFonts w:eastAsiaTheme="minorEastAsia" w:cstheme="minorBidi"/>
          <w:noProof/>
          <w:sz w:val="22"/>
          <w:szCs w:val="22"/>
          <w:lang w:eastAsia="zh-CN" w:bidi="ar-SA"/>
        </w:rPr>
      </w:pPr>
      <w:hyperlink w:anchor="_Toc482347165" w:history="1">
        <w:r w:rsidR="00D22C5B" w:rsidRPr="00DB1F6E">
          <w:rPr>
            <w:rStyle w:val="Hyperlink"/>
            <w:noProof/>
          </w:rPr>
          <w:t>2.2.2. Pore-body size measurements</w:t>
        </w:r>
        <w:r w:rsidR="00D22C5B">
          <w:rPr>
            <w:noProof/>
            <w:webHidden/>
          </w:rPr>
          <w:tab/>
        </w:r>
        <w:r w:rsidR="00D22C5B">
          <w:rPr>
            <w:noProof/>
            <w:webHidden/>
          </w:rPr>
          <w:fldChar w:fldCharType="begin"/>
        </w:r>
        <w:r w:rsidR="00D22C5B">
          <w:rPr>
            <w:noProof/>
            <w:webHidden/>
          </w:rPr>
          <w:instrText xml:space="preserve"> PAGEREF _Toc482347165 \h </w:instrText>
        </w:r>
        <w:r w:rsidR="00D22C5B">
          <w:rPr>
            <w:noProof/>
            <w:webHidden/>
          </w:rPr>
        </w:r>
        <w:r w:rsidR="00D22C5B">
          <w:rPr>
            <w:noProof/>
            <w:webHidden/>
          </w:rPr>
          <w:fldChar w:fldCharType="separate"/>
        </w:r>
        <w:r w:rsidR="00D22C5B">
          <w:rPr>
            <w:noProof/>
            <w:webHidden/>
          </w:rPr>
          <w:t>7</w:t>
        </w:r>
        <w:r w:rsidR="00D22C5B">
          <w:rPr>
            <w:noProof/>
            <w:webHidden/>
          </w:rPr>
          <w:fldChar w:fldCharType="end"/>
        </w:r>
      </w:hyperlink>
    </w:p>
    <w:p w:rsidR="00D22C5B" w:rsidRDefault="003C2D7F">
      <w:pPr>
        <w:pStyle w:val="TOC2"/>
        <w:tabs>
          <w:tab w:val="right" w:leader="dot" w:pos="8486"/>
        </w:tabs>
        <w:rPr>
          <w:rFonts w:eastAsiaTheme="minorEastAsia" w:cstheme="minorBidi"/>
          <w:noProof/>
          <w:sz w:val="22"/>
          <w:szCs w:val="22"/>
          <w:lang w:eastAsia="zh-CN" w:bidi="ar-SA"/>
        </w:rPr>
      </w:pPr>
      <w:hyperlink w:anchor="_Toc482347166" w:history="1">
        <w:r w:rsidR="00D22C5B" w:rsidRPr="00DB1F6E">
          <w:rPr>
            <w:rStyle w:val="Hyperlink"/>
            <w:noProof/>
          </w:rPr>
          <w:t>2.3. Pore space model</w:t>
        </w:r>
        <w:r w:rsidR="00D22C5B">
          <w:rPr>
            <w:noProof/>
            <w:webHidden/>
          </w:rPr>
          <w:tab/>
        </w:r>
        <w:r w:rsidR="00D22C5B">
          <w:rPr>
            <w:noProof/>
            <w:webHidden/>
          </w:rPr>
          <w:fldChar w:fldCharType="begin"/>
        </w:r>
        <w:r w:rsidR="00D22C5B">
          <w:rPr>
            <w:noProof/>
            <w:webHidden/>
          </w:rPr>
          <w:instrText xml:space="preserve"> PAGEREF _Toc482347166 \h </w:instrText>
        </w:r>
        <w:r w:rsidR="00D22C5B">
          <w:rPr>
            <w:noProof/>
            <w:webHidden/>
          </w:rPr>
        </w:r>
        <w:r w:rsidR="00D22C5B">
          <w:rPr>
            <w:noProof/>
            <w:webHidden/>
          </w:rPr>
          <w:fldChar w:fldCharType="separate"/>
        </w:r>
        <w:r w:rsidR="00D22C5B">
          <w:rPr>
            <w:noProof/>
            <w:webHidden/>
          </w:rPr>
          <w:t>9</w:t>
        </w:r>
        <w:r w:rsidR="00D22C5B">
          <w:rPr>
            <w:noProof/>
            <w:webHidden/>
          </w:rPr>
          <w:fldChar w:fldCharType="end"/>
        </w:r>
      </w:hyperlink>
    </w:p>
    <w:p w:rsidR="00D22C5B" w:rsidRDefault="003C2D7F">
      <w:pPr>
        <w:pStyle w:val="TOC2"/>
        <w:tabs>
          <w:tab w:val="right" w:leader="dot" w:pos="8486"/>
        </w:tabs>
        <w:rPr>
          <w:rFonts w:eastAsiaTheme="minorEastAsia" w:cstheme="minorBidi"/>
          <w:noProof/>
          <w:sz w:val="22"/>
          <w:szCs w:val="22"/>
          <w:lang w:eastAsia="zh-CN" w:bidi="ar-SA"/>
        </w:rPr>
      </w:pPr>
      <w:hyperlink w:anchor="_Toc482347167" w:history="1">
        <w:r w:rsidR="00D22C5B" w:rsidRPr="00DB1F6E">
          <w:rPr>
            <w:rStyle w:val="Hyperlink"/>
            <w:noProof/>
          </w:rPr>
          <w:t>2.4. Models of gas density in confined spaces</w:t>
        </w:r>
        <w:r w:rsidR="00D22C5B">
          <w:rPr>
            <w:noProof/>
            <w:webHidden/>
          </w:rPr>
          <w:tab/>
        </w:r>
        <w:r w:rsidR="00D22C5B">
          <w:rPr>
            <w:noProof/>
            <w:webHidden/>
          </w:rPr>
          <w:fldChar w:fldCharType="begin"/>
        </w:r>
        <w:r w:rsidR="00D22C5B">
          <w:rPr>
            <w:noProof/>
            <w:webHidden/>
          </w:rPr>
          <w:instrText xml:space="preserve"> PAGEREF _Toc482347167 \h </w:instrText>
        </w:r>
        <w:r w:rsidR="00D22C5B">
          <w:rPr>
            <w:noProof/>
            <w:webHidden/>
          </w:rPr>
        </w:r>
        <w:r w:rsidR="00D22C5B">
          <w:rPr>
            <w:noProof/>
            <w:webHidden/>
          </w:rPr>
          <w:fldChar w:fldCharType="separate"/>
        </w:r>
        <w:r w:rsidR="00D22C5B">
          <w:rPr>
            <w:noProof/>
            <w:webHidden/>
          </w:rPr>
          <w:t>10</w:t>
        </w:r>
        <w:r w:rsidR="00D22C5B">
          <w:rPr>
            <w:noProof/>
            <w:webHidden/>
          </w:rPr>
          <w:fldChar w:fldCharType="end"/>
        </w:r>
      </w:hyperlink>
    </w:p>
    <w:p w:rsidR="00D22C5B" w:rsidRDefault="003C2D7F">
      <w:pPr>
        <w:pStyle w:val="TOC3"/>
        <w:tabs>
          <w:tab w:val="right" w:leader="dot" w:pos="8486"/>
        </w:tabs>
        <w:rPr>
          <w:rFonts w:eastAsiaTheme="minorEastAsia" w:cstheme="minorBidi"/>
          <w:noProof/>
          <w:sz w:val="22"/>
          <w:szCs w:val="22"/>
          <w:lang w:eastAsia="zh-CN" w:bidi="ar-SA"/>
        </w:rPr>
      </w:pPr>
      <w:hyperlink w:anchor="_Toc482347168" w:history="1">
        <w:r w:rsidR="00D22C5B" w:rsidRPr="00DB1F6E">
          <w:rPr>
            <w:rStyle w:val="Hyperlink"/>
            <w:noProof/>
          </w:rPr>
          <w:t>2.4.1. Molecular simulations</w:t>
        </w:r>
        <w:r w:rsidR="00D22C5B">
          <w:rPr>
            <w:noProof/>
            <w:webHidden/>
          </w:rPr>
          <w:tab/>
        </w:r>
        <w:r w:rsidR="00D22C5B">
          <w:rPr>
            <w:noProof/>
            <w:webHidden/>
          </w:rPr>
          <w:fldChar w:fldCharType="begin"/>
        </w:r>
        <w:r w:rsidR="00D22C5B">
          <w:rPr>
            <w:noProof/>
            <w:webHidden/>
          </w:rPr>
          <w:instrText xml:space="preserve"> PAGEREF _Toc482347168 \h </w:instrText>
        </w:r>
        <w:r w:rsidR="00D22C5B">
          <w:rPr>
            <w:noProof/>
            <w:webHidden/>
          </w:rPr>
        </w:r>
        <w:r w:rsidR="00D22C5B">
          <w:rPr>
            <w:noProof/>
            <w:webHidden/>
          </w:rPr>
          <w:fldChar w:fldCharType="separate"/>
        </w:r>
        <w:r w:rsidR="00D22C5B">
          <w:rPr>
            <w:noProof/>
            <w:webHidden/>
          </w:rPr>
          <w:t>11</w:t>
        </w:r>
        <w:r w:rsidR="00D22C5B">
          <w:rPr>
            <w:noProof/>
            <w:webHidden/>
          </w:rPr>
          <w:fldChar w:fldCharType="end"/>
        </w:r>
      </w:hyperlink>
    </w:p>
    <w:p w:rsidR="00D22C5B" w:rsidRDefault="003C2D7F">
      <w:pPr>
        <w:pStyle w:val="TOC3"/>
        <w:tabs>
          <w:tab w:val="right" w:leader="dot" w:pos="8486"/>
        </w:tabs>
        <w:rPr>
          <w:rFonts w:eastAsiaTheme="minorEastAsia" w:cstheme="minorBidi"/>
          <w:noProof/>
          <w:sz w:val="22"/>
          <w:szCs w:val="22"/>
          <w:lang w:eastAsia="zh-CN" w:bidi="ar-SA"/>
        </w:rPr>
      </w:pPr>
      <w:hyperlink w:anchor="_Toc482347169" w:history="1">
        <w:r w:rsidR="00D22C5B" w:rsidRPr="00DB1F6E">
          <w:rPr>
            <w:rStyle w:val="Hyperlink"/>
            <w:noProof/>
          </w:rPr>
          <w:t>2.4.2. Density functions</w:t>
        </w:r>
        <w:r w:rsidR="00D22C5B">
          <w:rPr>
            <w:noProof/>
            <w:webHidden/>
          </w:rPr>
          <w:tab/>
        </w:r>
        <w:r w:rsidR="00D22C5B">
          <w:rPr>
            <w:noProof/>
            <w:webHidden/>
          </w:rPr>
          <w:fldChar w:fldCharType="begin"/>
        </w:r>
        <w:r w:rsidR="00D22C5B">
          <w:rPr>
            <w:noProof/>
            <w:webHidden/>
          </w:rPr>
          <w:instrText xml:space="preserve"> PAGEREF _Toc482347169 \h </w:instrText>
        </w:r>
        <w:r w:rsidR="00D22C5B">
          <w:rPr>
            <w:noProof/>
            <w:webHidden/>
          </w:rPr>
        </w:r>
        <w:r w:rsidR="00D22C5B">
          <w:rPr>
            <w:noProof/>
            <w:webHidden/>
          </w:rPr>
          <w:fldChar w:fldCharType="separate"/>
        </w:r>
        <w:r w:rsidR="00D22C5B">
          <w:rPr>
            <w:noProof/>
            <w:webHidden/>
          </w:rPr>
          <w:t>12</w:t>
        </w:r>
        <w:r w:rsidR="00D22C5B">
          <w:rPr>
            <w:noProof/>
            <w:webHidden/>
          </w:rPr>
          <w:fldChar w:fldCharType="end"/>
        </w:r>
      </w:hyperlink>
    </w:p>
    <w:p w:rsidR="00D22C5B" w:rsidRDefault="003C2D7F">
      <w:pPr>
        <w:pStyle w:val="TOC3"/>
        <w:tabs>
          <w:tab w:val="right" w:leader="dot" w:pos="8486"/>
        </w:tabs>
        <w:rPr>
          <w:rFonts w:eastAsiaTheme="minorEastAsia" w:cstheme="minorBidi"/>
          <w:noProof/>
          <w:sz w:val="22"/>
          <w:szCs w:val="22"/>
          <w:lang w:eastAsia="zh-CN" w:bidi="ar-SA"/>
        </w:rPr>
      </w:pPr>
      <w:hyperlink w:anchor="_Toc482347170" w:history="1">
        <w:r w:rsidR="00D22C5B" w:rsidRPr="00DB1F6E">
          <w:rPr>
            <w:rStyle w:val="Hyperlink"/>
            <w:noProof/>
          </w:rPr>
          <w:t>2.4.3. Modified equations of state</w:t>
        </w:r>
        <w:r w:rsidR="00D22C5B">
          <w:rPr>
            <w:noProof/>
            <w:webHidden/>
          </w:rPr>
          <w:tab/>
        </w:r>
        <w:r w:rsidR="00D22C5B">
          <w:rPr>
            <w:noProof/>
            <w:webHidden/>
          </w:rPr>
          <w:fldChar w:fldCharType="begin"/>
        </w:r>
        <w:r w:rsidR="00D22C5B">
          <w:rPr>
            <w:noProof/>
            <w:webHidden/>
          </w:rPr>
          <w:instrText xml:space="preserve"> PAGEREF _Toc482347170 \h </w:instrText>
        </w:r>
        <w:r w:rsidR="00D22C5B">
          <w:rPr>
            <w:noProof/>
            <w:webHidden/>
          </w:rPr>
        </w:r>
        <w:r w:rsidR="00D22C5B">
          <w:rPr>
            <w:noProof/>
            <w:webHidden/>
          </w:rPr>
          <w:fldChar w:fldCharType="separate"/>
        </w:r>
        <w:r w:rsidR="00D22C5B">
          <w:rPr>
            <w:noProof/>
            <w:webHidden/>
          </w:rPr>
          <w:t>14</w:t>
        </w:r>
        <w:r w:rsidR="00D22C5B">
          <w:rPr>
            <w:noProof/>
            <w:webHidden/>
          </w:rPr>
          <w:fldChar w:fldCharType="end"/>
        </w:r>
      </w:hyperlink>
    </w:p>
    <w:p w:rsidR="00D22C5B" w:rsidRDefault="003C2D7F">
      <w:pPr>
        <w:pStyle w:val="TOC1"/>
        <w:rPr>
          <w:rFonts w:eastAsiaTheme="minorEastAsia" w:cstheme="minorBidi"/>
          <w:noProof/>
          <w:sz w:val="22"/>
          <w:szCs w:val="22"/>
          <w:lang w:eastAsia="zh-CN" w:bidi="ar-SA"/>
        </w:rPr>
      </w:pPr>
      <w:hyperlink w:anchor="_Toc482347171" w:history="1">
        <w:r w:rsidR="00D22C5B" w:rsidRPr="00DB1F6E">
          <w:rPr>
            <w:rStyle w:val="Hyperlink"/>
            <w:noProof/>
          </w:rPr>
          <w:t>Chapter 3: Methodology</w:t>
        </w:r>
        <w:r w:rsidR="00D22C5B">
          <w:rPr>
            <w:noProof/>
            <w:webHidden/>
          </w:rPr>
          <w:tab/>
        </w:r>
        <w:r w:rsidR="00D22C5B">
          <w:rPr>
            <w:noProof/>
            <w:webHidden/>
          </w:rPr>
          <w:fldChar w:fldCharType="begin"/>
        </w:r>
        <w:r w:rsidR="00D22C5B">
          <w:rPr>
            <w:noProof/>
            <w:webHidden/>
          </w:rPr>
          <w:instrText xml:space="preserve"> PAGEREF _Toc482347171 \h </w:instrText>
        </w:r>
        <w:r w:rsidR="00D22C5B">
          <w:rPr>
            <w:noProof/>
            <w:webHidden/>
          </w:rPr>
        </w:r>
        <w:r w:rsidR="00D22C5B">
          <w:rPr>
            <w:noProof/>
            <w:webHidden/>
          </w:rPr>
          <w:fldChar w:fldCharType="separate"/>
        </w:r>
        <w:r w:rsidR="00D22C5B">
          <w:rPr>
            <w:noProof/>
            <w:webHidden/>
          </w:rPr>
          <w:t>17</w:t>
        </w:r>
        <w:r w:rsidR="00D22C5B">
          <w:rPr>
            <w:noProof/>
            <w:webHidden/>
          </w:rPr>
          <w:fldChar w:fldCharType="end"/>
        </w:r>
      </w:hyperlink>
    </w:p>
    <w:p w:rsidR="00D22C5B" w:rsidRDefault="003C2D7F">
      <w:pPr>
        <w:pStyle w:val="TOC2"/>
        <w:tabs>
          <w:tab w:val="right" w:leader="dot" w:pos="8486"/>
        </w:tabs>
        <w:rPr>
          <w:rFonts w:eastAsiaTheme="minorEastAsia" w:cstheme="minorBidi"/>
          <w:noProof/>
          <w:sz w:val="22"/>
          <w:szCs w:val="22"/>
          <w:lang w:eastAsia="zh-CN" w:bidi="ar-SA"/>
        </w:rPr>
      </w:pPr>
      <w:hyperlink w:anchor="_Toc482347172" w:history="1">
        <w:r w:rsidR="00D22C5B" w:rsidRPr="00DB1F6E">
          <w:rPr>
            <w:rStyle w:val="Hyperlink"/>
            <w:noProof/>
          </w:rPr>
          <w:t>3.1. Pore-body and pore-throat size distributions</w:t>
        </w:r>
        <w:r w:rsidR="00D22C5B">
          <w:rPr>
            <w:noProof/>
            <w:webHidden/>
          </w:rPr>
          <w:tab/>
        </w:r>
        <w:r w:rsidR="00D22C5B">
          <w:rPr>
            <w:noProof/>
            <w:webHidden/>
          </w:rPr>
          <w:fldChar w:fldCharType="begin"/>
        </w:r>
        <w:r w:rsidR="00D22C5B">
          <w:rPr>
            <w:noProof/>
            <w:webHidden/>
          </w:rPr>
          <w:instrText xml:space="preserve"> PAGEREF _Toc482347172 \h </w:instrText>
        </w:r>
        <w:r w:rsidR="00D22C5B">
          <w:rPr>
            <w:noProof/>
            <w:webHidden/>
          </w:rPr>
        </w:r>
        <w:r w:rsidR="00D22C5B">
          <w:rPr>
            <w:noProof/>
            <w:webHidden/>
          </w:rPr>
          <w:fldChar w:fldCharType="separate"/>
        </w:r>
        <w:r w:rsidR="00D22C5B">
          <w:rPr>
            <w:noProof/>
            <w:webHidden/>
          </w:rPr>
          <w:t>17</w:t>
        </w:r>
        <w:r w:rsidR="00D22C5B">
          <w:rPr>
            <w:noProof/>
            <w:webHidden/>
          </w:rPr>
          <w:fldChar w:fldCharType="end"/>
        </w:r>
      </w:hyperlink>
    </w:p>
    <w:p w:rsidR="00D22C5B" w:rsidRDefault="003C2D7F">
      <w:pPr>
        <w:pStyle w:val="TOC2"/>
        <w:tabs>
          <w:tab w:val="right" w:leader="dot" w:pos="8486"/>
        </w:tabs>
        <w:rPr>
          <w:rFonts w:eastAsiaTheme="minorEastAsia" w:cstheme="minorBidi"/>
          <w:noProof/>
          <w:sz w:val="22"/>
          <w:szCs w:val="22"/>
          <w:lang w:eastAsia="zh-CN" w:bidi="ar-SA"/>
        </w:rPr>
      </w:pPr>
      <w:hyperlink w:anchor="_Toc482347173" w:history="1">
        <w:r w:rsidR="00D22C5B" w:rsidRPr="00DB1F6E">
          <w:rPr>
            <w:rStyle w:val="Hyperlink"/>
            <w:noProof/>
          </w:rPr>
          <w:t>3.2. Effective density</w:t>
        </w:r>
        <w:r w:rsidR="00D22C5B">
          <w:rPr>
            <w:noProof/>
            <w:webHidden/>
          </w:rPr>
          <w:tab/>
        </w:r>
        <w:r w:rsidR="00D22C5B">
          <w:rPr>
            <w:noProof/>
            <w:webHidden/>
          </w:rPr>
          <w:fldChar w:fldCharType="begin"/>
        </w:r>
        <w:r w:rsidR="00D22C5B">
          <w:rPr>
            <w:noProof/>
            <w:webHidden/>
          </w:rPr>
          <w:instrText xml:space="preserve"> PAGEREF _Toc482347173 \h </w:instrText>
        </w:r>
        <w:r w:rsidR="00D22C5B">
          <w:rPr>
            <w:noProof/>
            <w:webHidden/>
          </w:rPr>
        </w:r>
        <w:r w:rsidR="00D22C5B">
          <w:rPr>
            <w:noProof/>
            <w:webHidden/>
          </w:rPr>
          <w:fldChar w:fldCharType="separate"/>
        </w:r>
        <w:r w:rsidR="00D22C5B">
          <w:rPr>
            <w:noProof/>
            <w:webHidden/>
          </w:rPr>
          <w:t>19</w:t>
        </w:r>
        <w:r w:rsidR="00D22C5B">
          <w:rPr>
            <w:noProof/>
            <w:webHidden/>
          </w:rPr>
          <w:fldChar w:fldCharType="end"/>
        </w:r>
      </w:hyperlink>
    </w:p>
    <w:p w:rsidR="00D22C5B" w:rsidRDefault="003C2D7F">
      <w:pPr>
        <w:pStyle w:val="TOC1"/>
        <w:rPr>
          <w:rFonts w:eastAsiaTheme="minorEastAsia" w:cstheme="minorBidi"/>
          <w:noProof/>
          <w:sz w:val="22"/>
          <w:szCs w:val="22"/>
          <w:lang w:eastAsia="zh-CN" w:bidi="ar-SA"/>
        </w:rPr>
      </w:pPr>
      <w:hyperlink w:anchor="_Toc482347174" w:history="1">
        <w:r w:rsidR="00D22C5B" w:rsidRPr="00DB1F6E">
          <w:rPr>
            <w:rStyle w:val="Hyperlink"/>
            <w:noProof/>
          </w:rPr>
          <w:t>Chapter 4: Results</w:t>
        </w:r>
        <w:r w:rsidR="00D22C5B">
          <w:rPr>
            <w:noProof/>
            <w:webHidden/>
          </w:rPr>
          <w:tab/>
        </w:r>
        <w:r w:rsidR="00D22C5B">
          <w:rPr>
            <w:noProof/>
            <w:webHidden/>
          </w:rPr>
          <w:fldChar w:fldCharType="begin"/>
        </w:r>
        <w:r w:rsidR="00D22C5B">
          <w:rPr>
            <w:noProof/>
            <w:webHidden/>
          </w:rPr>
          <w:instrText xml:space="preserve"> PAGEREF _Toc482347174 \h </w:instrText>
        </w:r>
        <w:r w:rsidR="00D22C5B">
          <w:rPr>
            <w:noProof/>
            <w:webHidden/>
          </w:rPr>
        </w:r>
        <w:r w:rsidR="00D22C5B">
          <w:rPr>
            <w:noProof/>
            <w:webHidden/>
          </w:rPr>
          <w:fldChar w:fldCharType="separate"/>
        </w:r>
        <w:r w:rsidR="00D22C5B">
          <w:rPr>
            <w:noProof/>
            <w:webHidden/>
          </w:rPr>
          <w:t>23</w:t>
        </w:r>
        <w:r w:rsidR="00D22C5B">
          <w:rPr>
            <w:noProof/>
            <w:webHidden/>
          </w:rPr>
          <w:fldChar w:fldCharType="end"/>
        </w:r>
      </w:hyperlink>
    </w:p>
    <w:p w:rsidR="00D22C5B" w:rsidRDefault="003C2D7F">
      <w:pPr>
        <w:pStyle w:val="TOC1"/>
        <w:rPr>
          <w:rFonts w:eastAsiaTheme="minorEastAsia" w:cstheme="minorBidi"/>
          <w:noProof/>
          <w:sz w:val="22"/>
          <w:szCs w:val="22"/>
          <w:lang w:eastAsia="zh-CN" w:bidi="ar-SA"/>
        </w:rPr>
      </w:pPr>
      <w:hyperlink w:anchor="_Toc482347175" w:history="1">
        <w:r w:rsidR="00D22C5B" w:rsidRPr="00DB1F6E">
          <w:rPr>
            <w:rStyle w:val="Hyperlink"/>
            <w:noProof/>
          </w:rPr>
          <w:t>Chapter 5: Conclusions</w:t>
        </w:r>
        <w:r w:rsidR="00D22C5B">
          <w:rPr>
            <w:noProof/>
            <w:webHidden/>
          </w:rPr>
          <w:tab/>
        </w:r>
        <w:r w:rsidR="00D22C5B">
          <w:rPr>
            <w:noProof/>
            <w:webHidden/>
          </w:rPr>
          <w:fldChar w:fldCharType="begin"/>
        </w:r>
        <w:r w:rsidR="00D22C5B">
          <w:rPr>
            <w:noProof/>
            <w:webHidden/>
          </w:rPr>
          <w:instrText xml:space="preserve"> PAGEREF _Toc482347175 \h </w:instrText>
        </w:r>
        <w:r w:rsidR="00D22C5B">
          <w:rPr>
            <w:noProof/>
            <w:webHidden/>
          </w:rPr>
        </w:r>
        <w:r w:rsidR="00D22C5B">
          <w:rPr>
            <w:noProof/>
            <w:webHidden/>
          </w:rPr>
          <w:fldChar w:fldCharType="separate"/>
        </w:r>
        <w:r w:rsidR="00D22C5B">
          <w:rPr>
            <w:noProof/>
            <w:webHidden/>
          </w:rPr>
          <w:t>29</w:t>
        </w:r>
        <w:r w:rsidR="00D22C5B">
          <w:rPr>
            <w:noProof/>
            <w:webHidden/>
          </w:rPr>
          <w:fldChar w:fldCharType="end"/>
        </w:r>
      </w:hyperlink>
    </w:p>
    <w:p w:rsidR="00D22C5B" w:rsidRDefault="003C2D7F">
      <w:pPr>
        <w:pStyle w:val="TOC1"/>
        <w:rPr>
          <w:rFonts w:eastAsiaTheme="minorEastAsia" w:cstheme="minorBidi"/>
          <w:noProof/>
          <w:sz w:val="22"/>
          <w:szCs w:val="22"/>
          <w:lang w:eastAsia="zh-CN" w:bidi="ar-SA"/>
        </w:rPr>
      </w:pPr>
      <w:hyperlink w:anchor="_Toc482347176" w:history="1">
        <w:r w:rsidR="00D22C5B" w:rsidRPr="00DB1F6E">
          <w:rPr>
            <w:rStyle w:val="Hyperlink"/>
            <w:noProof/>
          </w:rPr>
          <w:t>References</w:t>
        </w:r>
        <w:r w:rsidR="00D22C5B">
          <w:rPr>
            <w:noProof/>
            <w:webHidden/>
          </w:rPr>
          <w:tab/>
        </w:r>
        <w:r w:rsidR="00D22C5B">
          <w:rPr>
            <w:noProof/>
            <w:webHidden/>
          </w:rPr>
          <w:fldChar w:fldCharType="begin"/>
        </w:r>
        <w:r w:rsidR="00D22C5B">
          <w:rPr>
            <w:noProof/>
            <w:webHidden/>
          </w:rPr>
          <w:instrText xml:space="preserve"> PAGEREF _Toc482347176 \h </w:instrText>
        </w:r>
        <w:r w:rsidR="00D22C5B">
          <w:rPr>
            <w:noProof/>
            <w:webHidden/>
          </w:rPr>
        </w:r>
        <w:r w:rsidR="00D22C5B">
          <w:rPr>
            <w:noProof/>
            <w:webHidden/>
          </w:rPr>
          <w:fldChar w:fldCharType="separate"/>
        </w:r>
        <w:r w:rsidR="00D22C5B">
          <w:rPr>
            <w:noProof/>
            <w:webHidden/>
          </w:rPr>
          <w:t>31</w:t>
        </w:r>
        <w:r w:rsidR="00D22C5B">
          <w:rPr>
            <w:noProof/>
            <w:webHidden/>
          </w:rPr>
          <w:fldChar w:fldCharType="end"/>
        </w:r>
      </w:hyperlink>
    </w:p>
    <w:p w:rsidR="00DA1971" w:rsidRDefault="00AA4AED" w:rsidP="00682AF7">
      <w:pPr>
        <w:pStyle w:val="TOC1"/>
      </w:pPr>
      <w:r>
        <w:fldChar w:fldCharType="end"/>
      </w:r>
      <w:r w:rsidR="00C92079">
        <w:t xml:space="preserve"> </w:t>
      </w:r>
    </w:p>
    <w:p w:rsidR="00775701" w:rsidRDefault="00DA1971" w:rsidP="00C16C66">
      <w:pPr>
        <w:pStyle w:val="Heading1"/>
      </w:pPr>
      <w:r>
        <w:br w:type="page"/>
      </w:r>
      <w:bookmarkStart w:id="3" w:name="_Toc310579465"/>
      <w:bookmarkStart w:id="4" w:name="_Toc482347155"/>
      <w:r>
        <w:lastRenderedPageBreak/>
        <w:t>List of Tables</w:t>
      </w:r>
      <w:bookmarkEnd w:id="3"/>
      <w:bookmarkEnd w:id="4"/>
    </w:p>
    <w:p w:rsidR="009C4FEF" w:rsidRDefault="009C4FEF" w:rsidP="009C4FEF">
      <w:pPr>
        <w:pStyle w:val="NoSpacing"/>
      </w:pPr>
    </w:p>
    <w:p w:rsidR="00C96CA3" w:rsidRDefault="00AA4AED">
      <w:pPr>
        <w:pStyle w:val="TableofFigures"/>
        <w:tabs>
          <w:tab w:val="right" w:leader="dot" w:pos="8486"/>
        </w:tabs>
        <w:rPr>
          <w:rFonts w:eastAsiaTheme="minorEastAsia" w:cstheme="minorBidi"/>
          <w:noProof/>
          <w:sz w:val="22"/>
          <w:szCs w:val="22"/>
          <w:lang w:eastAsia="zh-CN" w:bidi="ar-SA"/>
        </w:rPr>
      </w:pPr>
      <w:r>
        <w:fldChar w:fldCharType="begin"/>
      </w:r>
      <w:r w:rsidR="00E948D0">
        <w:instrText xml:space="preserve"> TOC \h \z \c "Table" </w:instrText>
      </w:r>
      <w:r>
        <w:fldChar w:fldCharType="separate"/>
      </w:r>
      <w:hyperlink w:anchor="_Toc482347141" w:history="1">
        <w:r w:rsidR="00C96CA3" w:rsidRPr="001D2A4C">
          <w:rPr>
            <w:rStyle w:val="Hyperlink"/>
            <w:noProof/>
          </w:rPr>
          <w:t>Table 1: List of variables used in SLD-PR model.</w:t>
        </w:r>
        <w:r w:rsidR="00C96CA3">
          <w:rPr>
            <w:noProof/>
            <w:webHidden/>
          </w:rPr>
          <w:tab/>
        </w:r>
        <w:r w:rsidR="00C96CA3">
          <w:rPr>
            <w:noProof/>
            <w:webHidden/>
          </w:rPr>
          <w:fldChar w:fldCharType="begin"/>
        </w:r>
        <w:r w:rsidR="00C96CA3">
          <w:rPr>
            <w:noProof/>
            <w:webHidden/>
          </w:rPr>
          <w:instrText xml:space="preserve"> PAGEREF _Toc482347141 \h </w:instrText>
        </w:r>
        <w:r w:rsidR="00C96CA3">
          <w:rPr>
            <w:noProof/>
            <w:webHidden/>
          </w:rPr>
        </w:r>
        <w:r w:rsidR="00C96CA3">
          <w:rPr>
            <w:noProof/>
            <w:webHidden/>
          </w:rPr>
          <w:fldChar w:fldCharType="separate"/>
        </w:r>
        <w:r w:rsidR="00C96CA3">
          <w:rPr>
            <w:noProof/>
            <w:webHidden/>
          </w:rPr>
          <w:t>21</w:t>
        </w:r>
        <w:r w:rsidR="00C96CA3">
          <w:rPr>
            <w:noProof/>
            <w:webHidden/>
          </w:rPr>
          <w:fldChar w:fldCharType="end"/>
        </w:r>
      </w:hyperlink>
    </w:p>
    <w:p w:rsidR="00DA1971" w:rsidRDefault="00AA4AED" w:rsidP="00F061D4">
      <w:pPr>
        <w:pStyle w:val="Heading1"/>
      </w:pPr>
      <w:r>
        <w:fldChar w:fldCharType="end"/>
      </w:r>
      <w:r w:rsidR="00DA1971">
        <w:br w:type="page"/>
      </w:r>
      <w:bookmarkStart w:id="5" w:name="_Toc310579466"/>
      <w:bookmarkStart w:id="6" w:name="_Toc482347156"/>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9C4FEF" w:rsidRPr="00EE3EDB" w:rsidRDefault="009C4FEF" w:rsidP="009C4FEF">
      <w:pPr>
        <w:pStyle w:val="NoSpacing"/>
      </w:pPr>
    </w:p>
    <w:p w:rsidR="00C96CA3" w:rsidRDefault="00AA4AED">
      <w:pPr>
        <w:pStyle w:val="TableofFigures"/>
        <w:tabs>
          <w:tab w:val="right" w:leader="dot" w:pos="8486"/>
        </w:tabs>
        <w:rPr>
          <w:rFonts w:eastAsiaTheme="minorEastAsia" w:cstheme="minorBidi"/>
          <w:noProof/>
          <w:sz w:val="22"/>
          <w:szCs w:val="22"/>
          <w:lang w:eastAsia="zh-CN" w:bidi="ar-SA"/>
        </w:rPr>
      </w:pPr>
      <w:r>
        <w:fldChar w:fldCharType="begin"/>
      </w:r>
      <w:r w:rsidR="00BB2DDE">
        <w:instrText xml:space="preserve"> TOC \h \z \c "Figure" </w:instrText>
      </w:r>
      <w:r>
        <w:fldChar w:fldCharType="separate"/>
      </w:r>
      <w:hyperlink w:anchor="_Toc482347126" w:history="1">
        <w:r w:rsidR="00C96CA3" w:rsidRPr="00BD520A">
          <w:rPr>
            <w:rStyle w:val="Hyperlink"/>
            <w:noProof/>
          </w:rPr>
          <w:t>Figure 1: Pore-body and pore-throat distributions for Sample 1.</w:t>
        </w:r>
        <w:r w:rsidR="00C96CA3">
          <w:rPr>
            <w:noProof/>
            <w:webHidden/>
          </w:rPr>
          <w:tab/>
        </w:r>
        <w:r w:rsidR="00C96CA3">
          <w:rPr>
            <w:noProof/>
            <w:webHidden/>
          </w:rPr>
          <w:fldChar w:fldCharType="begin"/>
        </w:r>
        <w:r w:rsidR="00C96CA3">
          <w:rPr>
            <w:noProof/>
            <w:webHidden/>
          </w:rPr>
          <w:instrText xml:space="preserve"> PAGEREF _Toc482347126 \h </w:instrText>
        </w:r>
        <w:r w:rsidR="00C96CA3">
          <w:rPr>
            <w:noProof/>
            <w:webHidden/>
          </w:rPr>
        </w:r>
        <w:r w:rsidR="00C96CA3">
          <w:rPr>
            <w:noProof/>
            <w:webHidden/>
          </w:rPr>
          <w:fldChar w:fldCharType="separate"/>
        </w:r>
        <w:r w:rsidR="00C96CA3">
          <w:rPr>
            <w:noProof/>
            <w:webHidden/>
          </w:rPr>
          <w:t>18</w:t>
        </w:r>
        <w:r w:rsidR="00C96CA3">
          <w:rPr>
            <w:noProof/>
            <w:webHidden/>
          </w:rPr>
          <w:fldChar w:fldCharType="end"/>
        </w:r>
      </w:hyperlink>
    </w:p>
    <w:p w:rsidR="00C96CA3" w:rsidRDefault="003C2D7F">
      <w:pPr>
        <w:pStyle w:val="TableofFigures"/>
        <w:tabs>
          <w:tab w:val="right" w:leader="dot" w:pos="8486"/>
        </w:tabs>
        <w:rPr>
          <w:rFonts w:eastAsiaTheme="minorEastAsia" w:cstheme="minorBidi"/>
          <w:noProof/>
          <w:sz w:val="22"/>
          <w:szCs w:val="22"/>
          <w:lang w:eastAsia="zh-CN" w:bidi="ar-SA"/>
        </w:rPr>
      </w:pPr>
      <w:hyperlink w:anchor="_Toc482347127" w:history="1">
        <w:r w:rsidR="00C96CA3" w:rsidRPr="00BD520A">
          <w:rPr>
            <w:rStyle w:val="Hyperlink"/>
            <w:noProof/>
          </w:rPr>
          <w:t>Figure 2: Pore-body and pore-throat distributions for Sample 2.</w:t>
        </w:r>
        <w:r w:rsidR="00C96CA3">
          <w:rPr>
            <w:noProof/>
            <w:webHidden/>
          </w:rPr>
          <w:tab/>
        </w:r>
        <w:r w:rsidR="00C96CA3">
          <w:rPr>
            <w:noProof/>
            <w:webHidden/>
          </w:rPr>
          <w:fldChar w:fldCharType="begin"/>
        </w:r>
        <w:r w:rsidR="00C96CA3">
          <w:rPr>
            <w:noProof/>
            <w:webHidden/>
          </w:rPr>
          <w:instrText xml:space="preserve"> PAGEREF _Toc482347127 \h </w:instrText>
        </w:r>
        <w:r w:rsidR="00C96CA3">
          <w:rPr>
            <w:noProof/>
            <w:webHidden/>
          </w:rPr>
        </w:r>
        <w:r w:rsidR="00C96CA3">
          <w:rPr>
            <w:noProof/>
            <w:webHidden/>
          </w:rPr>
          <w:fldChar w:fldCharType="separate"/>
        </w:r>
        <w:r w:rsidR="00C96CA3">
          <w:rPr>
            <w:noProof/>
            <w:webHidden/>
          </w:rPr>
          <w:t>19</w:t>
        </w:r>
        <w:r w:rsidR="00C96CA3">
          <w:rPr>
            <w:noProof/>
            <w:webHidden/>
          </w:rPr>
          <w:fldChar w:fldCharType="end"/>
        </w:r>
      </w:hyperlink>
    </w:p>
    <w:p w:rsidR="00C96CA3" w:rsidRDefault="003C2D7F">
      <w:pPr>
        <w:pStyle w:val="TableofFigures"/>
        <w:tabs>
          <w:tab w:val="right" w:leader="dot" w:pos="8486"/>
        </w:tabs>
        <w:rPr>
          <w:rFonts w:eastAsiaTheme="minorEastAsia" w:cstheme="minorBidi"/>
          <w:noProof/>
          <w:sz w:val="22"/>
          <w:szCs w:val="22"/>
          <w:lang w:eastAsia="zh-CN" w:bidi="ar-SA"/>
        </w:rPr>
      </w:pPr>
      <w:hyperlink w:anchor="_Toc482347128" w:history="1">
        <w:r w:rsidR="00C96CA3" w:rsidRPr="00BD520A">
          <w:rPr>
            <w:rStyle w:val="Hyperlink"/>
            <w:noProof/>
          </w:rPr>
          <w:t>Figure 3. Normalized density versus pore size for Sample 1.</w:t>
        </w:r>
        <w:r w:rsidR="00C96CA3">
          <w:rPr>
            <w:noProof/>
            <w:webHidden/>
          </w:rPr>
          <w:tab/>
        </w:r>
        <w:r w:rsidR="00C96CA3">
          <w:rPr>
            <w:noProof/>
            <w:webHidden/>
          </w:rPr>
          <w:fldChar w:fldCharType="begin"/>
        </w:r>
        <w:r w:rsidR="00C96CA3">
          <w:rPr>
            <w:noProof/>
            <w:webHidden/>
          </w:rPr>
          <w:instrText xml:space="preserve"> PAGEREF _Toc482347128 \h </w:instrText>
        </w:r>
        <w:r w:rsidR="00C96CA3">
          <w:rPr>
            <w:noProof/>
            <w:webHidden/>
          </w:rPr>
        </w:r>
        <w:r w:rsidR="00C96CA3">
          <w:rPr>
            <w:noProof/>
            <w:webHidden/>
          </w:rPr>
          <w:fldChar w:fldCharType="separate"/>
        </w:r>
        <w:r w:rsidR="00C96CA3">
          <w:rPr>
            <w:noProof/>
            <w:webHidden/>
          </w:rPr>
          <w:t>23</w:t>
        </w:r>
        <w:r w:rsidR="00C96CA3">
          <w:rPr>
            <w:noProof/>
            <w:webHidden/>
          </w:rPr>
          <w:fldChar w:fldCharType="end"/>
        </w:r>
      </w:hyperlink>
    </w:p>
    <w:p w:rsidR="00C96CA3" w:rsidRDefault="003C2D7F">
      <w:pPr>
        <w:pStyle w:val="TableofFigures"/>
        <w:tabs>
          <w:tab w:val="right" w:leader="dot" w:pos="8486"/>
        </w:tabs>
        <w:rPr>
          <w:rFonts w:eastAsiaTheme="minorEastAsia" w:cstheme="minorBidi"/>
          <w:noProof/>
          <w:sz w:val="22"/>
          <w:szCs w:val="22"/>
          <w:lang w:eastAsia="zh-CN" w:bidi="ar-SA"/>
        </w:rPr>
      </w:pPr>
      <w:hyperlink w:anchor="_Toc482347129" w:history="1">
        <w:r w:rsidR="00C96CA3" w:rsidRPr="00BD520A">
          <w:rPr>
            <w:rStyle w:val="Hyperlink"/>
            <w:noProof/>
          </w:rPr>
          <w:t>Figure 4: Normalized density versus pore size for Sample 2.</w:t>
        </w:r>
        <w:r w:rsidR="00C96CA3">
          <w:rPr>
            <w:noProof/>
            <w:webHidden/>
          </w:rPr>
          <w:tab/>
        </w:r>
        <w:r w:rsidR="00C96CA3">
          <w:rPr>
            <w:noProof/>
            <w:webHidden/>
          </w:rPr>
          <w:fldChar w:fldCharType="begin"/>
        </w:r>
        <w:r w:rsidR="00C96CA3">
          <w:rPr>
            <w:noProof/>
            <w:webHidden/>
          </w:rPr>
          <w:instrText xml:space="preserve"> PAGEREF _Toc482347129 \h </w:instrText>
        </w:r>
        <w:r w:rsidR="00C96CA3">
          <w:rPr>
            <w:noProof/>
            <w:webHidden/>
          </w:rPr>
        </w:r>
        <w:r w:rsidR="00C96CA3">
          <w:rPr>
            <w:noProof/>
            <w:webHidden/>
          </w:rPr>
          <w:fldChar w:fldCharType="separate"/>
        </w:r>
        <w:r w:rsidR="00C96CA3">
          <w:rPr>
            <w:noProof/>
            <w:webHidden/>
          </w:rPr>
          <w:t>24</w:t>
        </w:r>
        <w:r w:rsidR="00C96CA3">
          <w:rPr>
            <w:noProof/>
            <w:webHidden/>
          </w:rPr>
          <w:fldChar w:fldCharType="end"/>
        </w:r>
      </w:hyperlink>
    </w:p>
    <w:p w:rsidR="00C96CA3" w:rsidRDefault="003C2D7F">
      <w:pPr>
        <w:pStyle w:val="TableofFigures"/>
        <w:tabs>
          <w:tab w:val="right" w:leader="dot" w:pos="8486"/>
        </w:tabs>
        <w:rPr>
          <w:rFonts w:eastAsiaTheme="minorEastAsia" w:cstheme="minorBidi"/>
          <w:noProof/>
          <w:sz w:val="22"/>
          <w:szCs w:val="22"/>
          <w:lang w:eastAsia="zh-CN" w:bidi="ar-SA"/>
        </w:rPr>
      </w:pPr>
      <w:hyperlink w:anchor="_Toc482347130" w:history="1">
        <w:r w:rsidR="00C96CA3" w:rsidRPr="00BD520A">
          <w:rPr>
            <w:rStyle w:val="Hyperlink"/>
            <w:noProof/>
          </w:rPr>
          <w:t>Figure 5: Effective density versus pore pressure for Sample 1.</w:t>
        </w:r>
        <w:r w:rsidR="00C96CA3">
          <w:rPr>
            <w:noProof/>
            <w:webHidden/>
          </w:rPr>
          <w:tab/>
        </w:r>
        <w:r w:rsidR="00C96CA3">
          <w:rPr>
            <w:noProof/>
            <w:webHidden/>
          </w:rPr>
          <w:fldChar w:fldCharType="begin"/>
        </w:r>
        <w:r w:rsidR="00C96CA3">
          <w:rPr>
            <w:noProof/>
            <w:webHidden/>
          </w:rPr>
          <w:instrText xml:space="preserve"> PAGEREF _Toc482347130 \h </w:instrText>
        </w:r>
        <w:r w:rsidR="00C96CA3">
          <w:rPr>
            <w:noProof/>
            <w:webHidden/>
          </w:rPr>
        </w:r>
        <w:r w:rsidR="00C96CA3">
          <w:rPr>
            <w:noProof/>
            <w:webHidden/>
          </w:rPr>
          <w:fldChar w:fldCharType="separate"/>
        </w:r>
        <w:r w:rsidR="00C96CA3">
          <w:rPr>
            <w:noProof/>
            <w:webHidden/>
          </w:rPr>
          <w:t>25</w:t>
        </w:r>
        <w:r w:rsidR="00C96CA3">
          <w:rPr>
            <w:noProof/>
            <w:webHidden/>
          </w:rPr>
          <w:fldChar w:fldCharType="end"/>
        </w:r>
      </w:hyperlink>
    </w:p>
    <w:p w:rsidR="00C96CA3" w:rsidRDefault="003C2D7F">
      <w:pPr>
        <w:pStyle w:val="TableofFigures"/>
        <w:tabs>
          <w:tab w:val="right" w:leader="dot" w:pos="8486"/>
        </w:tabs>
        <w:rPr>
          <w:rFonts w:eastAsiaTheme="minorEastAsia" w:cstheme="minorBidi"/>
          <w:noProof/>
          <w:sz w:val="22"/>
          <w:szCs w:val="22"/>
          <w:lang w:eastAsia="zh-CN" w:bidi="ar-SA"/>
        </w:rPr>
      </w:pPr>
      <w:hyperlink w:anchor="_Toc482347131" w:history="1">
        <w:r w:rsidR="00C96CA3" w:rsidRPr="00BD520A">
          <w:rPr>
            <w:rStyle w:val="Hyperlink"/>
            <w:noProof/>
          </w:rPr>
          <w:t>Figure 6: Effective density versus pore pressure for Sample 2.</w:t>
        </w:r>
        <w:r w:rsidR="00C96CA3">
          <w:rPr>
            <w:noProof/>
            <w:webHidden/>
          </w:rPr>
          <w:tab/>
        </w:r>
        <w:r w:rsidR="00C96CA3">
          <w:rPr>
            <w:noProof/>
            <w:webHidden/>
          </w:rPr>
          <w:fldChar w:fldCharType="begin"/>
        </w:r>
        <w:r w:rsidR="00C96CA3">
          <w:rPr>
            <w:noProof/>
            <w:webHidden/>
          </w:rPr>
          <w:instrText xml:space="preserve"> PAGEREF _Toc482347131 \h </w:instrText>
        </w:r>
        <w:r w:rsidR="00C96CA3">
          <w:rPr>
            <w:noProof/>
            <w:webHidden/>
          </w:rPr>
        </w:r>
        <w:r w:rsidR="00C96CA3">
          <w:rPr>
            <w:noProof/>
            <w:webHidden/>
          </w:rPr>
          <w:fldChar w:fldCharType="separate"/>
        </w:r>
        <w:r w:rsidR="00C96CA3">
          <w:rPr>
            <w:noProof/>
            <w:webHidden/>
          </w:rPr>
          <w:t>25</w:t>
        </w:r>
        <w:r w:rsidR="00C96CA3">
          <w:rPr>
            <w:noProof/>
            <w:webHidden/>
          </w:rPr>
          <w:fldChar w:fldCharType="end"/>
        </w:r>
      </w:hyperlink>
    </w:p>
    <w:p w:rsidR="00C96CA3" w:rsidRDefault="003C2D7F">
      <w:pPr>
        <w:pStyle w:val="TableofFigures"/>
        <w:tabs>
          <w:tab w:val="right" w:leader="dot" w:pos="8486"/>
        </w:tabs>
        <w:rPr>
          <w:rFonts w:eastAsiaTheme="minorEastAsia" w:cstheme="minorBidi"/>
          <w:noProof/>
          <w:sz w:val="22"/>
          <w:szCs w:val="22"/>
          <w:lang w:eastAsia="zh-CN" w:bidi="ar-SA"/>
        </w:rPr>
      </w:pPr>
      <w:hyperlink w:anchor="_Toc482347132" w:history="1">
        <w:r w:rsidR="00C96CA3" w:rsidRPr="00BD520A">
          <w:rPr>
            <w:rStyle w:val="Hyperlink"/>
            <w:noProof/>
          </w:rPr>
          <w:t>Figure 7: Sample 1 deviation percentage versus pore pressure.</w:t>
        </w:r>
        <w:r w:rsidR="00C96CA3">
          <w:rPr>
            <w:noProof/>
            <w:webHidden/>
          </w:rPr>
          <w:tab/>
        </w:r>
        <w:r w:rsidR="00C96CA3">
          <w:rPr>
            <w:noProof/>
            <w:webHidden/>
          </w:rPr>
          <w:fldChar w:fldCharType="begin"/>
        </w:r>
        <w:r w:rsidR="00C96CA3">
          <w:rPr>
            <w:noProof/>
            <w:webHidden/>
          </w:rPr>
          <w:instrText xml:space="preserve"> PAGEREF _Toc482347132 \h </w:instrText>
        </w:r>
        <w:r w:rsidR="00C96CA3">
          <w:rPr>
            <w:noProof/>
            <w:webHidden/>
          </w:rPr>
        </w:r>
        <w:r w:rsidR="00C96CA3">
          <w:rPr>
            <w:noProof/>
            <w:webHidden/>
          </w:rPr>
          <w:fldChar w:fldCharType="separate"/>
        </w:r>
        <w:r w:rsidR="00C96CA3">
          <w:rPr>
            <w:noProof/>
            <w:webHidden/>
          </w:rPr>
          <w:t>26</w:t>
        </w:r>
        <w:r w:rsidR="00C96CA3">
          <w:rPr>
            <w:noProof/>
            <w:webHidden/>
          </w:rPr>
          <w:fldChar w:fldCharType="end"/>
        </w:r>
      </w:hyperlink>
    </w:p>
    <w:p w:rsidR="00C96CA3" w:rsidRDefault="003C2D7F">
      <w:pPr>
        <w:pStyle w:val="TableofFigures"/>
        <w:tabs>
          <w:tab w:val="right" w:leader="dot" w:pos="8486"/>
        </w:tabs>
        <w:rPr>
          <w:rFonts w:eastAsiaTheme="minorEastAsia" w:cstheme="minorBidi"/>
          <w:noProof/>
          <w:sz w:val="22"/>
          <w:szCs w:val="22"/>
          <w:lang w:eastAsia="zh-CN" w:bidi="ar-SA"/>
        </w:rPr>
      </w:pPr>
      <w:hyperlink w:anchor="_Toc482347133" w:history="1">
        <w:r w:rsidR="00C96CA3" w:rsidRPr="00C96CA3">
          <w:rPr>
            <w:rStyle w:val="Hyperlink"/>
            <w:noProof/>
          </w:rPr>
          <w:t xml:space="preserve">Figure 8: </w:t>
        </w:r>
        <w:r w:rsidR="00C96CA3" w:rsidRPr="00BD520A">
          <w:rPr>
            <w:rStyle w:val="Hyperlink"/>
            <w:noProof/>
          </w:rPr>
          <w:t>Sample 2 deviation percentage versus pore pressure.</w:t>
        </w:r>
        <w:r w:rsidR="00C96CA3">
          <w:rPr>
            <w:noProof/>
            <w:webHidden/>
          </w:rPr>
          <w:tab/>
        </w:r>
        <w:r w:rsidR="00C96CA3">
          <w:rPr>
            <w:noProof/>
            <w:webHidden/>
          </w:rPr>
          <w:fldChar w:fldCharType="begin"/>
        </w:r>
        <w:r w:rsidR="00C96CA3">
          <w:rPr>
            <w:noProof/>
            <w:webHidden/>
          </w:rPr>
          <w:instrText xml:space="preserve"> PAGEREF _Toc482347133 \h </w:instrText>
        </w:r>
        <w:r w:rsidR="00C96CA3">
          <w:rPr>
            <w:noProof/>
            <w:webHidden/>
          </w:rPr>
        </w:r>
        <w:r w:rsidR="00C96CA3">
          <w:rPr>
            <w:noProof/>
            <w:webHidden/>
          </w:rPr>
          <w:fldChar w:fldCharType="separate"/>
        </w:r>
        <w:r w:rsidR="00C96CA3">
          <w:rPr>
            <w:noProof/>
            <w:webHidden/>
          </w:rPr>
          <w:t>27</w:t>
        </w:r>
        <w:r w:rsidR="00C96CA3">
          <w:rPr>
            <w:noProof/>
            <w:webHidden/>
          </w:rPr>
          <w:fldChar w:fldCharType="end"/>
        </w:r>
      </w:hyperlink>
    </w:p>
    <w:p w:rsidR="00C96CA3" w:rsidRDefault="003C2D7F">
      <w:pPr>
        <w:pStyle w:val="TableofFigures"/>
        <w:tabs>
          <w:tab w:val="right" w:leader="dot" w:pos="8486"/>
        </w:tabs>
        <w:rPr>
          <w:rFonts w:eastAsiaTheme="minorEastAsia" w:cstheme="minorBidi"/>
          <w:noProof/>
          <w:sz w:val="22"/>
          <w:szCs w:val="22"/>
          <w:lang w:eastAsia="zh-CN" w:bidi="ar-SA"/>
        </w:rPr>
      </w:pPr>
      <w:hyperlink w:anchor="_Toc482347134" w:history="1">
        <w:r w:rsidR="00C96CA3" w:rsidRPr="00BD520A">
          <w:rPr>
            <w:rStyle w:val="Hyperlink"/>
            <w:noProof/>
          </w:rPr>
          <w:t>Figure 9: Average pore density as a function of pore size.</w:t>
        </w:r>
        <w:r w:rsidR="00C96CA3">
          <w:rPr>
            <w:noProof/>
            <w:webHidden/>
          </w:rPr>
          <w:tab/>
        </w:r>
        <w:r w:rsidR="00C96CA3">
          <w:rPr>
            <w:noProof/>
            <w:webHidden/>
          </w:rPr>
          <w:fldChar w:fldCharType="begin"/>
        </w:r>
        <w:r w:rsidR="00C96CA3">
          <w:rPr>
            <w:noProof/>
            <w:webHidden/>
          </w:rPr>
          <w:instrText xml:space="preserve"> PAGEREF _Toc482347134 \h </w:instrText>
        </w:r>
        <w:r w:rsidR="00C96CA3">
          <w:rPr>
            <w:noProof/>
            <w:webHidden/>
          </w:rPr>
        </w:r>
        <w:r w:rsidR="00C96CA3">
          <w:rPr>
            <w:noProof/>
            <w:webHidden/>
          </w:rPr>
          <w:fldChar w:fldCharType="separate"/>
        </w:r>
        <w:r w:rsidR="00C96CA3">
          <w:rPr>
            <w:noProof/>
            <w:webHidden/>
          </w:rPr>
          <w:t>28</w:t>
        </w:r>
        <w:r w:rsidR="00C96CA3">
          <w:rPr>
            <w:noProof/>
            <w:webHidden/>
          </w:rPr>
          <w:fldChar w:fldCharType="end"/>
        </w:r>
      </w:hyperlink>
    </w:p>
    <w:p w:rsidR="00DA1971" w:rsidRDefault="00AA4AED" w:rsidP="00C16C66">
      <w:pPr>
        <w:pStyle w:val="Heading1"/>
      </w:pPr>
      <w:r>
        <w:fldChar w:fldCharType="end"/>
      </w:r>
      <w:r w:rsidR="00DA1971">
        <w:br w:type="page"/>
      </w:r>
      <w:bookmarkStart w:id="7" w:name="_Toc310579467"/>
      <w:bookmarkStart w:id="8" w:name="_Toc482347157"/>
      <w:r w:rsidR="00DA1971">
        <w:lastRenderedPageBreak/>
        <w:t>Abstract</w:t>
      </w:r>
      <w:bookmarkEnd w:id="7"/>
      <w:bookmarkEnd w:id="8"/>
    </w:p>
    <w:p w:rsidR="007D2A51" w:rsidRDefault="007D2A51" w:rsidP="007D2A51">
      <w:pPr>
        <w:ind w:firstLine="720"/>
      </w:pPr>
      <w:bookmarkStart w:id="9" w:name="_Toc310579468"/>
      <w:r>
        <w:t>The proper development of any natural gas reservoir depends on knowing several key factors; perhaps the most important of these factors is the volume of gas-in-place of a reservoir</w:t>
      </w:r>
      <w:r w:rsidR="00815824">
        <w:t xml:space="preserve"> at a given pressure</w:t>
      </w:r>
      <w:r>
        <w:t xml:space="preserve">. Gas-in-place calculations determine the economic value of gas reserves and </w:t>
      </w:r>
      <w:r w:rsidR="00815824">
        <w:t>tell us whether and how they</w:t>
      </w:r>
      <w:r>
        <w:t xml:space="preserve"> can be economically developed. </w:t>
      </w:r>
      <w:r w:rsidR="006A4676">
        <w:t>Accurately</w:t>
      </w:r>
      <w:r w:rsidR="007E2696">
        <w:t xml:space="preserve"> determining gas-in-place </w:t>
      </w:r>
      <w:r w:rsidR="006A4676">
        <w:t>and ultimate gas recovery require</w:t>
      </w:r>
      <w:r w:rsidR="007E2696">
        <w:t xml:space="preserve"> accurate fluid density data.</w:t>
      </w:r>
    </w:p>
    <w:p w:rsidR="00C84DC3" w:rsidRDefault="007D2A51" w:rsidP="007D2A51">
      <w:pPr>
        <w:ind w:firstLine="720"/>
      </w:pPr>
      <w:r>
        <w:t xml:space="preserve">This thesis demonstrates the importance of </w:t>
      </w:r>
      <w:r w:rsidR="00815824">
        <w:t xml:space="preserve">a </w:t>
      </w:r>
      <w:r>
        <w:t xml:space="preserve">pore size </w:t>
      </w:r>
      <w:r w:rsidR="00815824">
        <w:t>for</w:t>
      </w:r>
      <w:r>
        <w:t xml:space="preserve"> fluid densities in </w:t>
      </w:r>
      <w:r w:rsidR="00C84DC3">
        <w:t xml:space="preserve">shale </w:t>
      </w:r>
      <w:r w:rsidR="00815824">
        <w:t>formations</w:t>
      </w:r>
      <w:r>
        <w:t xml:space="preserve">. The </w:t>
      </w:r>
      <w:r w:rsidR="00815824">
        <w:t xml:space="preserve">fluid density </w:t>
      </w:r>
      <w:r>
        <w:t xml:space="preserve">increase </w:t>
      </w:r>
      <w:r w:rsidR="00815824">
        <w:t xml:space="preserve">significantly </w:t>
      </w:r>
      <w:r>
        <w:t xml:space="preserve">for pores </w:t>
      </w:r>
      <w:r w:rsidR="00815824">
        <w:t>whose diameters are smaller</w:t>
      </w:r>
      <w:r>
        <w:t xml:space="preserve"> than 10 nm. However, what is</w:t>
      </w:r>
      <w:r w:rsidR="00C84DC3">
        <w:t xml:space="preserve"> equally significant</w:t>
      </w:r>
      <w:r>
        <w:t xml:space="preserve"> </w:t>
      </w:r>
      <w:r w:rsidR="00C84DC3">
        <w:t>is</w:t>
      </w:r>
      <w:r>
        <w:t xml:space="preserve"> the pore size distribution of the rock </w:t>
      </w:r>
      <w:r w:rsidR="006A4676">
        <w:t>tested</w:t>
      </w:r>
      <w:r w:rsidR="00C84DC3">
        <w:t xml:space="preserve"> and</w:t>
      </w:r>
      <w:r>
        <w:t xml:space="preserve"> whether that distribution represents pore-body sizes or pore-throat sizes</w:t>
      </w:r>
      <w:r w:rsidR="00C84DC3">
        <w:t>.</w:t>
      </w:r>
      <w:r>
        <w:t xml:space="preserve"> For two Barnett shale samples used in this thesis, it </w:t>
      </w:r>
      <w:r w:rsidR="00C84DC3">
        <w:t>was found</w:t>
      </w:r>
      <w:r>
        <w:t xml:space="preserve"> that the effect of pore</w:t>
      </w:r>
      <w:r w:rsidR="00C84DC3">
        <w:t>-body</w:t>
      </w:r>
      <w:r>
        <w:t xml:space="preserve"> size on effective gas density is insignificant at pressures consistent with formation depth when calculating gas</w:t>
      </w:r>
      <w:r w:rsidR="00574147">
        <w:t>-</w:t>
      </w:r>
      <w:r>
        <w:t>i</w:t>
      </w:r>
      <w:r w:rsidR="00574147">
        <w:t>n-</w:t>
      </w:r>
      <w:r>
        <w:t>place. This conclusion is reached assuming that the pore-body size distribution, not the pore-throat size distribution, best characterizes the pore geometry when calculating gas in place</w:t>
      </w:r>
    </w:p>
    <w:p w:rsidR="00C96CA3" w:rsidRDefault="007D2A51" w:rsidP="000402C8">
      <w:pPr>
        <w:ind w:firstLine="720"/>
        <w:sectPr w:rsidR="00C96CA3" w:rsidSect="00204373">
          <w:footerReference w:type="default" r:id="rId9"/>
          <w:pgSz w:w="12240" w:h="15840" w:code="1"/>
          <w:pgMar w:top="1440" w:right="1440" w:bottom="1440" w:left="2304" w:header="720" w:footer="720" w:gutter="0"/>
          <w:pgNumType w:fmt="lowerRoman" w:start="4"/>
          <w:cols w:space="720"/>
          <w:docGrid w:linePitch="360"/>
        </w:sectPr>
      </w:pPr>
      <w:r>
        <w:t xml:space="preserve">The </w:t>
      </w:r>
      <w:r w:rsidR="00D74E29">
        <w:t xml:space="preserve">numerical </w:t>
      </w:r>
      <w:r>
        <w:t xml:space="preserve">results </w:t>
      </w:r>
      <w:r w:rsidR="00D74E29">
        <w:t xml:space="preserve">of this theses are only valid for the samples with similar pore-body size distributions. However, they </w:t>
      </w:r>
      <w:r>
        <w:t xml:space="preserve">have important </w:t>
      </w:r>
      <w:r w:rsidR="00D74E29">
        <w:t xml:space="preserve">qualitative </w:t>
      </w:r>
      <w:r>
        <w:t xml:space="preserve">implications for reservoir simulation and production. Simulations that </w:t>
      </w:r>
      <w:r w:rsidR="000402C8">
        <w:t xml:space="preserve">calculate gas density </w:t>
      </w:r>
      <w:r w:rsidR="00815824">
        <w:t>based on</w:t>
      </w:r>
      <w:r>
        <w:t xml:space="preserve"> pore-throat size</w:t>
      </w:r>
      <w:r w:rsidR="00815824">
        <w:t xml:space="preserve"> distribution, as opposed to pore-body size distribution,</w:t>
      </w:r>
      <w:r>
        <w:t xml:space="preserve"> will produce higher effective </w:t>
      </w:r>
      <w:r w:rsidR="00815824">
        <w:t xml:space="preserve">gas </w:t>
      </w:r>
      <w:r>
        <w:t xml:space="preserve">density </w:t>
      </w:r>
      <w:r w:rsidR="00815824">
        <w:t>than</w:t>
      </w:r>
      <w:r>
        <w:t xml:space="preserve"> </w:t>
      </w:r>
      <w:r w:rsidR="00815824">
        <w:t xml:space="preserve">the </w:t>
      </w:r>
      <w:r>
        <w:t>in</w:t>
      </w:r>
      <w:r w:rsidR="00815824">
        <w:t>-situ value; thus, they lead to an o</w:t>
      </w:r>
      <w:r w:rsidR="00A53D3E">
        <w:t xml:space="preserve">verly optimistic </w:t>
      </w:r>
      <w:r w:rsidR="00815824">
        <w:t xml:space="preserve">hydrocarbon </w:t>
      </w:r>
      <w:r w:rsidR="00A53D3E">
        <w:t>in-place and ultimate recovery estimates.</w:t>
      </w:r>
      <w:r>
        <w:t xml:space="preserve"> As </w:t>
      </w:r>
      <w:r w:rsidR="00815824">
        <w:t xml:space="preserve">the effective </w:t>
      </w:r>
      <w:r>
        <w:t xml:space="preserve">density </w:t>
      </w:r>
      <w:proofErr w:type="gramStart"/>
      <w:r>
        <w:t>is</w:t>
      </w:r>
      <w:proofErr w:type="gramEnd"/>
      <w:r>
        <w:t xml:space="preserve"> a key </w:t>
      </w:r>
      <w:r>
        <w:lastRenderedPageBreak/>
        <w:t xml:space="preserve">component for viscosity and phase behavior of petroleum resources production estimates generated by these models will </w:t>
      </w:r>
      <w:r w:rsidR="00815824">
        <w:t>also be unrealistic</w:t>
      </w:r>
      <w:r>
        <w:t>.</w:t>
      </w:r>
      <w:r>
        <w:br w:type="page"/>
      </w:r>
    </w:p>
    <w:p w:rsidR="007D2A51" w:rsidRDefault="007D2A51" w:rsidP="000402C8">
      <w:pPr>
        <w:ind w:firstLine="720"/>
        <w:rPr>
          <w:rFonts w:asciiTheme="majorHAnsi" w:hAnsiTheme="majorHAnsi"/>
          <w:b/>
          <w:bCs/>
          <w:sz w:val="28"/>
          <w:szCs w:val="32"/>
        </w:rPr>
      </w:pPr>
    </w:p>
    <w:p w:rsidR="00DA1971" w:rsidRPr="000F56FF" w:rsidRDefault="00DA1971" w:rsidP="000F56FF">
      <w:pPr>
        <w:pStyle w:val="Heading1"/>
      </w:pPr>
      <w:bookmarkStart w:id="10" w:name="_Toc482347158"/>
      <w:r w:rsidRPr="000F56FF">
        <w:t xml:space="preserve">Chapter </w:t>
      </w:r>
      <w:r w:rsidR="00111915" w:rsidRPr="000F56FF">
        <w:t>1</w:t>
      </w:r>
      <w:r w:rsidR="009245C5" w:rsidRPr="000F56FF">
        <w:t xml:space="preserve">: </w:t>
      </w:r>
      <w:r w:rsidRPr="000F56FF">
        <w:t>Introduction</w:t>
      </w:r>
      <w:bookmarkEnd w:id="9"/>
      <w:bookmarkEnd w:id="10"/>
    </w:p>
    <w:p w:rsidR="00B26394" w:rsidRDefault="00D41F29" w:rsidP="008B39D3">
      <w:pPr>
        <w:pStyle w:val="Heading2"/>
      </w:pPr>
      <w:bookmarkStart w:id="11" w:name="_Toc482347159"/>
      <w:r>
        <w:t>Problem statement</w:t>
      </w:r>
      <w:bookmarkEnd w:id="11"/>
    </w:p>
    <w:p w:rsidR="00701560" w:rsidRDefault="00B30095" w:rsidP="00BD249F">
      <w:pPr>
        <w:ind w:firstLine="720"/>
      </w:pPr>
      <w:r>
        <w:t>The proper development of any natural gas reservoir depends</w:t>
      </w:r>
      <w:r w:rsidR="00F66507">
        <w:t xml:space="preserve"> on knowing several key factors; p</w:t>
      </w:r>
      <w:r>
        <w:t>erhaps the most important of the</w:t>
      </w:r>
      <w:r w:rsidR="00BC613C">
        <w:t>se factors is the volume of gas-in-</w:t>
      </w:r>
      <w:r>
        <w:t>place at any point during the product</w:t>
      </w:r>
      <w:r w:rsidR="00E225B2">
        <w:t>ion</w:t>
      </w:r>
      <w:r>
        <w:t xml:space="preserve"> of </w:t>
      </w:r>
      <w:r w:rsidR="00EE0EC7">
        <w:t>a</w:t>
      </w:r>
      <w:r>
        <w:t xml:space="preserve"> reservoir. </w:t>
      </w:r>
      <w:r w:rsidR="00BC613C">
        <w:t>Gas-in-</w:t>
      </w:r>
      <w:r w:rsidR="00F66507">
        <w:t xml:space="preserve">place calculations determine the economic value of </w:t>
      </w:r>
      <w:r w:rsidR="00EE0EC7">
        <w:t xml:space="preserve">gas reserves for all formation types and are used to determine if </w:t>
      </w:r>
      <w:r w:rsidR="00423FB6">
        <w:t>a reservoir can be economically developed as well as how the field should be produced if developed</w:t>
      </w:r>
      <w:r w:rsidR="00EE0EC7">
        <w:t xml:space="preserve">. </w:t>
      </w:r>
    </w:p>
    <w:p w:rsidR="008B39D3" w:rsidRDefault="00B30095" w:rsidP="00BD249F">
      <w:pPr>
        <w:ind w:firstLine="720"/>
      </w:pPr>
      <w:r>
        <w:t xml:space="preserve">For </w:t>
      </w:r>
      <w:r w:rsidR="00E225B2">
        <w:t xml:space="preserve">conventional reservoirs, </w:t>
      </w:r>
      <w:r w:rsidR="00BC613C">
        <w:t>gas-in-</w:t>
      </w:r>
      <w:r w:rsidR="002020BA">
        <w:t>place values are calculated using one of three methods: volumetric methods, mater</w:t>
      </w:r>
      <w:r w:rsidR="00D8139D">
        <w:t>ial-balance methods, or decline-c</w:t>
      </w:r>
      <w:r w:rsidR="002020BA">
        <w:t>urve</w:t>
      </w:r>
      <w:r w:rsidR="00D8139D">
        <w:t>-</w:t>
      </w:r>
      <w:r w:rsidR="002020BA">
        <w:t>analysis</w:t>
      </w:r>
      <w:r w:rsidR="00D8139D">
        <w:t xml:space="preserve"> methods</w:t>
      </w:r>
      <w:r w:rsidR="002020BA">
        <w:t>. Volumetric methods calcu</w:t>
      </w:r>
      <w:r w:rsidR="00BC613C">
        <w:t>late gas-in-</w:t>
      </w:r>
      <w:r w:rsidR="002020BA">
        <w:t xml:space="preserve">place as a function of </w:t>
      </w:r>
      <w:r w:rsidR="00E225B2">
        <w:t xml:space="preserve">pore space available to gas and an equation of state that calculates gas density as a function of pressure and temperature. </w:t>
      </w:r>
      <w:r w:rsidR="002020BA">
        <w:t>Material</w:t>
      </w:r>
      <w:r w:rsidR="00D8139D">
        <w:t>-</w:t>
      </w:r>
      <w:r w:rsidR="002020BA">
        <w:t xml:space="preserve">balance methods make use of early production data but still treat gas volume and density as a function of pressure and temperature. </w:t>
      </w:r>
      <w:r w:rsidR="00701560">
        <w:t>Decline</w:t>
      </w:r>
      <w:r w:rsidR="00D8139D">
        <w:t>-curve-</w:t>
      </w:r>
      <w:r w:rsidR="00701560">
        <w:t xml:space="preserve">analysis </w:t>
      </w:r>
      <w:r w:rsidR="00D8139D">
        <w:t xml:space="preserve">methods </w:t>
      </w:r>
      <w:r w:rsidR="00701560">
        <w:t>assumes that future production will be similar to past production</w:t>
      </w:r>
      <w:r w:rsidR="00D8139D">
        <w:t>,</w:t>
      </w:r>
      <w:r w:rsidR="00701560">
        <w:t xml:space="preserve"> but </w:t>
      </w:r>
      <w:r w:rsidR="00D8139D">
        <w:t>they are</w:t>
      </w:r>
      <w:r w:rsidR="00701560">
        <w:t xml:space="preserve"> affec</w:t>
      </w:r>
      <w:r w:rsidR="007A68FB">
        <w:t xml:space="preserve">ted by well stimulation and less than optimal production. </w:t>
      </w:r>
      <w:r w:rsidR="00E225B2">
        <w:t>Th</w:t>
      </w:r>
      <w:r w:rsidR="002020BA">
        <w:t>ese</w:t>
      </w:r>
      <w:r w:rsidR="00E225B2">
        <w:t xml:space="preserve"> method</w:t>
      </w:r>
      <w:r w:rsidR="002020BA">
        <w:t>s</w:t>
      </w:r>
      <w:r w:rsidR="00E225B2">
        <w:t xml:space="preserve"> </w:t>
      </w:r>
      <w:r w:rsidR="00D8139D">
        <w:t>may</w:t>
      </w:r>
      <w:r w:rsidR="00701560">
        <w:t xml:space="preserve"> </w:t>
      </w:r>
      <w:r w:rsidR="00E225B2">
        <w:t>produce values within an acceptable range of error for conventional reservoirs.</w:t>
      </w:r>
    </w:p>
    <w:p w:rsidR="00E225B2" w:rsidRDefault="007A68FB" w:rsidP="00266711">
      <w:r>
        <w:tab/>
        <w:t>T</w:t>
      </w:r>
      <w:r w:rsidR="00E225B2">
        <w:t>he expansion of natural gas production into tight sand and shale formations</w:t>
      </w:r>
      <w:r>
        <w:t xml:space="preserve"> has been made economically viable with the development of hydraulic fracturing and horizontal drilling technologies.</w:t>
      </w:r>
      <w:r w:rsidR="00E225B2">
        <w:t xml:space="preserve"> </w:t>
      </w:r>
      <w:r w:rsidR="00606C4F">
        <w:t xml:space="preserve">According to the U.S. Energy Information Administration, shale gas production accounted for </w:t>
      </w:r>
      <w:r w:rsidR="00B56BC5">
        <w:t xml:space="preserve">only ten percent of </w:t>
      </w:r>
      <w:r w:rsidR="00606C4F">
        <w:t xml:space="preserve">all natural gas </w:t>
      </w:r>
      <w:r w:rsidR="00606C4F">
        <w:lastRenderedPageBreak/>
        <w:t>produced in the U.S. in 20</w:t>
      </w:r>
      <w:r w:rsidR="00B56BC5">
        <w:t>03, but reached more than 50% in 2015</w:t>
      </w:r>
      <w:r w:rsidR="00606C4F">
        <w:t xml:space="preserve"> and is expected </w:t>
      </w:r>
      <w:r w:rsidR="00B56BC5">
        <w:t xml:space="preserve">to reach approximately 70% </w:t>
      </w:r>
      <w:r w:rsidR="00606C4F">
        <w:t>by 2040 (EIA</w:t>
      </w:r>
      <w:r w:rsidR="003C1D6C">
        <w:t>,</w:t>
      </w:r>
      <w:r w:rsidR="00606C4F">
        <w:t xml:space="preserve"> 201</w:t>
      </w:r>
      <w:r w:rsidR="003C1D6C">
        <w:t>7</w:t>
      </w:r>
      <w:r w:rsidR="00606C4F">
        <w:t xml:space="preserve">). </w:t>
      </w:r>
      <w:r w:rsidR="00D8139D">
        <w:t xml:space="preserve">However, with the expansion of gas production into tight formations </w:t>
      </w:r>
      <w:r w:rsidR="00BC613C">
        <w:t>the accuracy of traditional gas-in-</w:t>
      </w:r>
      <w:r w:rsidR="00E225B2">
        <w:t xml:space="preserve">place calculations have been brought into question. </w:t>
      </w:r>
      <w:r w:rsidR="00BC613C">
        <w:t xml:space="preserve">Material-balance methods only work in single-phase gas reservoirs over limited pressure ranges, and the significant production and injection of water as well as </w:t>
      </w:r>
      <w:proofErr w:type="spellStart"/>
      <w:r w:rsidR="00BC613C">
        <w:t>geomechanical</w:t>
      </w:r>
      <w:proofErr w:type="spellEnd"/>
      <w:r w:rsidR="00BC613C">
        <w:t xml:space="preserve"> effects and multi-well production effects result in significant errors in shale gas-in-place calculations (</w:t>
      </w:r>
      <w:proofErr w:type="spellStart"/>
      <w:r w:rsidR="00BC613C">
        <w:t>Shahamat</w:t>
      </w:r>
      <w:proofErr w:type="spellEnd"/>
      <w:r w:rsidR="00BC613C">
        <w:t xml:space="preserve"> and Clarkson</w:t>
      </w:r>
      <w:r w:rsidR="003C1D6C">
        <w:t>,</w:t>
      </w:r>
      <w:r w:rsidR="00BC613C">
        <w:t xml:space="preserve"> 2017). </w:t>
      </w:r>
      <w:r w:rsidR="00266711">
        <w:t>Decline-curve-analysis methods have been found to produce over-optimistic results when applied to shale formations due to the use of physically unrealistic exponent values used to force curve fit (Denney</w:t>
      </w:r>
      <w:r w:rsidR="003C1D6C">
        <w:t>,</w:t>
      </w:r>
      <w:r w:rsidR="00266711">
        <w:t xml:space="preserve"> 2012).</w:t>
      </w:r>
    </w:p>
    <w:p w:rsidR="00F11194" w:rsidRDefault="00F11194" w:rsidP="008B39D3">
      <w:r>
        <w:tab/>
      </w:r>
      <w:r w:rsidR="00691FDD">
        <w:t>Volumetric methods use equations of state to calculate gas-in-place that do not account for the influence of the pore walls on the density of the gas contained within those pores</w:t>
      </w:r>
      <w:r w:rsidR="0098199A">
        <w:t>.</w:t>
      </w:r>
      <w:r w:rsidR="00691FDD">
        <w:t xml:space="preserve"> </w:t>
      </w:r>
      <w:r w:rsidR="0098199A">
        <w:t>H</w:t>
      </w:r>
      <w:r w:rsidR="00691FDD">
        <w:t>owever, the density of natural gas increases significantly near pore walls due to attractive forces</w:t>
      </w:r>
      <w:r w:rsidR="0098199A">
        <w:t xml:space="preserve"> between the fluid molecules and the pore wall,</w:t>
      </w:r>
      <w:r w:rsidR="00691FDD">
        <w:t xml:space="preserve"> regardless of pore size. This phenomenon is ignored in most equations of state as the fraction of gas near the pore wall is assumed to be insignificant when compared to the total pore volume. </w:t>
      </w:r>
      <w:proofErr w:type="spellStart"/>
      <w:r w:rsidR="00740415">
        <w:t>Danesh</w:t>
      </w:r>
      <w:proofErr w:type="spellEnd"/>
      <w:r w:rsidR="00740415">
        <w:t xml:space="preserve"> (1998)</w:t>
      </w:r>
      <w:r w:rsidR="00691FDD">
        <w:t xml:space="preserve"> showed that for pores with diameters less than 10 nm wide, the difference between the actual density of gas contained and the amount calculated by traditional equations of</w:t>
      </w:r>
      <w:r w:rsidR="00740415">
        <w:t xml:space="preserve"> state is significant</w:t>
      </w:r>
      <w:r w:rsidR="00691FDD">
        <w:t xml:space="preserve">. Unfortunately, in tight sand and shale formations the pore sizes are in the nanoscale making that assumption no longer valid. </w:t>
      </w:r>
      <w:r>
        <w:t>As a significant percentage of the total pore volume in shales is contained in pores of less than 10 nm diameter, the effect of pore size on gas</w:t>
      </w:r>
      <w:r w:rsidR="00BC613C">
        <w:t>-</w:t>
      </w:r>
      <w:r>
        <w:t>in</w:t>
      </w:r>
      <w:r w:rsidR="00BC613C">
        <w:t>-</w:t>
      </w:r>
      <w:r>
        <w:t>place calculations needs to be established.</w:t>
      </w:r>
    </w:p>
    <w:p w:rsidR="00F11194" w:rsidRDefault="00F11194" w:rsidP="008B39D3">
      <w:r>
        <w:lastRenderedPageBreak/>
        <w:tab/>
        <w:t>Unfortunately, the pore sizes of a formation and their corresponding distribution are not always clearly understood. While p</w:t>
      </w:r>
      <w:r w:rsidR="00453F06">
        <w:t xml:space="preserve">ore space is often modeled as </w:t>
      </w:r>
      <w:r w:rsidR="009E1C03">
        <w:t xml:space="preserve">either a </w:t>
      </w:r>
      <w:r w:rsidR="009C2236">
        <w:t>bundle</w:t>
      </w:r>
      <w:r>
        <w:t xml:space="preserve"> of </w:t>
      </w:r>
      <w:r w:rsidR="009E1C03">
        <w:t xml:space="preserve">cylindrical </w:t>
      </w:r>
      <w:r>
        <w:t xml:space="preserve">tubes of </w:t>
      </w:r>
      <w:r w:rsidR="009E1C03">
        <w:t>varying</w:t>
      </w:r>
      <w:r>
        <w:t xml:space="preserve"> diameter</w:t>
      </w:r>
      <w:r w:rsidR="009E1C03">
        <w:t>s (Purcell</w:t>
      </w:r>
      <w:r w:rsidR="003C1D6C">
        <w:t>,</w:t>
      </w:r>
      <w:r w:rsidR="009E1C03">
        <w:t xml:space="preserve"> 1949) or as lattice of regular tubes (</w:t>
      </w:r>
      <w:proofErr w:type="spellStart"/>
      <w:r w:rsidR="009E1C03">
        <w:t>Fatt</w:t>
      </w:r>
      <w:proofErr w:type="spellEnd"/>
      <w:r w:rsidR="003C1D6C">
        <w:t>,</w:t>
      </w:r>
      <w:r w:rsidR="009E1C03">
        <w:t xml:space="preserve"> 1956)</w:t>
      </w:r>
      <w:r>
        <w:t>, this is not an accurate depiction of actual pore space.</w:t>
      </w:r>
      <w:r w:rsidR="004737DD">
        <w:t xml:space="preserve"> This inaccuracy is more pronounced in shale formations whose pore space has low connectivity and acyclic structure (</w:t>
      </w:r>
      <w:proofErr w:type="spellStart"/>
      <w:r w:rsidR="004737DD">
        <w:t>Sakhaee</w:t>
      </w:r>
      <w:proofErr w:type="spellEnd"/>
      <w:r w:rsidR="004737DD">
        <w:t>-Pour and Bryant, 2015).</w:t>
      </w:r>
      <w:r>
        <w:t xml:space="preserve"> Actual pore space is comprised of </w:t>
      </w:r>
      <w:r w:rsidR="009E1C03">
        <w:t xml:space="preserve">relatively wide </w:t>
      </w:r>
      <w:r>
        <w:t>pore bodies interconnected by narrower pore throats.</w:t>
      </w:r>
    </w:p>
    <w:p w:rsidR="00E77F2F" w:rsidRDefault="00477162" w:rsidP="008B39D3">
      <w:r>
        <w:tab/>
        <w:t>Pore bodies comprise the majority of pore volume. As such, they may be determined using adsorption-desorption tests. A</w:t>
      </w:r>
      <w:r w:rsidR="00E77F2F">
        <w:t>n a</w:t>
      </w:r>
      <w:r>
        <w:t xml:space="preserve">dsorption-desorption test </w:t>
      </w:r>
      <w:r w:rsidR="00E77F2F">
        <w:t>uses</w:t>
      </w:r>
      <w:r>
        <w:t xml:space="preserve"> the volume of adsorbed gas to determine pore</w:t>
      </w:r>
      <w:r w:rsidR="00EF7DA4">
        <w:t>-</w:t>
      </w:r>
      <w:r>
        <w:t xml:space="preserve">body size and distribution. </w:t>
      </w:r>
    </w:p>
    <w:p w:rsidR="00477162" w:rsidRDefault="00477162" w:rsidP="00E77F2F">
      <w:pPr>
        <w:ind w:firstLine="720"/>
      </w:pPr>
      <w:r>
        <w:t xml:space="preserve">Pore throats contribute less pore volume but have a dominate effect on fluid transport through the formation. </w:t>
      </w:r>
      <w:r w:rsidR="00E77F2F">
        <w:t xml:space="preserve">This is because fluids must pass through the pore throat to advance to the next pore. </w:t>
      </w:r>
      <w:r>
        <w:t xml:space="preserve">Pore throat sizes are often calculated using drainage data and capillary pressure calculations. </w:t>
      </w:r>
    </w:p>
    <w:p w:rsidR="00477162" w:rsidRDefault="00477162" w:rsidP="008B39D3">
      <w:r>
        <w:tab/>
        <w:t xml:space="preserve">Uncertainty arises when pore sizes are reported without clear distinction between pore </w:t>
      </w:r>
      <w:r w:rsidR="00EF7DA4">
        <w:t>bodies and pore throats. As the pore-throat sizes have a greater impact on gas flow and drainage test such as mercury intrusion can accurately measure pore-throat sizes in the nanometer scale, pore-throat sizes are often reported as pore size data.</w:t>
      </w:r>
    </w:p>
    <w:p w:rsidR="00EF7DA4" w:rsidRDefault="00EF7DA4" w:rsidP="008B39D3">
      <w:r>
        <w:tab/>
        <w:t xml:space="preserve">The actual change in gas density for these </w:t>
      </w:r>
      <w:proofErr w:type="spellStart"/>
      <w:r>
        <w:t>nanopores</w:t>
      </w:r>
      <w:proofErr w:type="spellEnd"/>
      <w:r>
        <w:t xml:space="preserve"> with respect to unconfined density is not exactly known. Several different approaches have been developed to model fluids in these small pores. </w:t>
      </w:r>
      <w:r w:rsidR="00B172C2">
        <w:t>Molecular</w:t>
      </w:r>
      <w:r>
        <w:t xml:space="preserve"> </w:t>
      </w:r>
      <w:r w:rsidR="00841D4A">
        <w:t xml:space="preserve">dynamic </w:t>
      </w:r>
      <w:r>
        <w:t xml:space="preserve">simulations </w:t>
      </w:r>
      <w:r w:rsidR="00841D4A">
        <w:t>were</w:t>
      </w:r>
      <w:r>
        <w:t xml:space="preserve"> used by </w:t>
      </w:r>
      <w:r w:rsidR="00841D4A">
        <w:t>Ambrose et al. (2012)</w:t>
      </w:r>
      <w:r>
        <w:t xml:space="preserve"> to model the </w:t>
      </w:r>
      <w:r w:rsidR="00841D4A">
        <w:t xml:space="preserve">density </w:t>
      </w:r>
      <w:r>
        <w:t xml:space="preserve">distribution of </w:t>
      </w:r>
      <w:r w:rsidR="00841D4A">
        <w:t>pure methane</w:t>
      </w:r>
      <w:r>
        <w:t xml:space="preserve"> molecules in </w:t>
      </w:r>
      <w:r w:rsidR="00841D4A">
        <w:t>slit-shaped graphite pores</w:t>
      </w:r>
      <w:r>
        <w:t xml:space="preserve">. Several different local density functions have been </w:t>
      </w:r>
      <w:r w:rsidR="002326F4">
        <w:t xml:space="preserve">proposed, </w:t>
      </w:r>
      <w:r w:rsidR="002326F4">
        <w:lastRenderedPageBreak/>
        <w:t xml:space="preserve">first by </w:t>
      </w:r>
      <w:proofErr w:type="spellStart"/>
      <w:r w:rsidR="002326F4">
        <w:t>Rangarajan</w:t>
      </w:r>
      <w:proofErr w:type="spellEnd"/>
      <w:r w:rsidR="002326F4">
        <w:t xml:space="preserve"> et al. (1995</w:t>
      </w:r>
      <w:r>
        <w:t>)</w:t>
      </w:r>
      <w:r w:rsidR="002326F4">
        <w:t>,</w:t>
      </w:r>
      <w:r>
        <w:t xml:space="preserve"> that determine fluid density as a function or pressure, temperature and distance from a pore wall. Finally, modifications to existing equations of state, such as the van der Waals and Peng-Robinson equations of state, can be u</w:t>
      </w:r>
      <w:r w:rsidR="00794BF6">
        <w:t>sed to determine gas volume in confined spaces</w:t>
      </w:r>
      <w:r w:rsidR="002326F4">
        <w:t xml:space="preserve"> analytically</w:t>
      </w:r>
      <w:r w:rsidR="00794BF6">
        <w:t>.</w:t>
      </w:r>
    </w:p>
    <w:p w:rsidR="002F0B6D" w:rsidRPr="008B39D3" w:rsidRDefault="002F0B6D" w:rsidP="008B39D3"/>
    <w:p w:rsidR="00D41F29" w:rsidRDefault="008B39D3" w:rsidP="008B39D3">
      <w:pPr>
        <w:pStyle w:val="Heading2"/>
      </w:pPr>
      <w:bookmarkStart w:id="12" w:name="_Toc482347160"/>
      <w:r>
        <w:t>Objective</w:t>
      </w:r>
      <w:bookmarkEnd w:id="12"/>
    </w:p>
    <w:p w:rsidR="008B39D3" w:rsidRDefault="00794BF6" w:rsidP="00BD249F">
      <w:pPr>
        <w:ind w:firstLine="720"/>
      </w:pPr>
      <w:r>
        <w:t>This thesis examines the importance pore-body sizes versus pore throat size for effective gas density for shale formations. This is accomplished by using pore-body and pore-throat size distribution data previously collected</w:t>
      </w:r>
      <w:r w:rsidR="006F0D12">
        <w:t xml:space="preserve"> on two shale samples</w:t>
      </w:r>
      <w:r>
        <w:t xml:space="preserve"> and a Simplified Local Density </w:t>
      </w:r>
      <w:r w:rsidR="006F0D12">
        <w:t>f</w:t>
      </w:r>
      <w:r>
        <w:t xml:space="preserve">unction (SLD) to model the gas density for each pore-body and pore-throat size. </w:t>
      </w:r>
    </w:p>
    <w:p w:rsidR="00794BF6" w:rsidRPr="008B39D3" w:rsidRDefault="00794BF6" w:rsidP="00BD249F">
      <w:pPr>
        <w:ind w:firstLine="720"/>
      </w:pPr>
      <w:r>
        <w:t xml:space="preserve">In order to determine the impact of small pores on gas volume estimations, an average density for representative pore-body and pore-throat sizes were calculated at given pressures and temperature. The average densities were then applied to the pore-body and pore-throat distribution data to establish an effective density for each sample. </w:t>
      </w:r>
      <w:r w:rsidR="00A133E4">
        <w:t>This effective density was then compared to density values calculated for unconfined space at the same pressures and temperature to determine the significance of t</w:t>
      </w:r>
      <w:r w:rsidR="00BC613C">
        <w:t xml:space="preserve">he effect </w:t>
      </w:r>
      <w:proofErr w:type="spellStart"/>
      <w:r w:rsidR="00BC613C">
        <w:t>nanopores</w:t>
      </w:r>
      <w:proofErr w:type="spellEnd"/>
      <w:r w:rsidR="00BC613C">
        <w:t xml:space="preserve"> have on gas-in place-</w:t>
      </w:r>
      <w:r w:rsidR="00A133E4">
        <w:t xml:space="preserve">calculations. </w:t>
      </w:r>
      <w:r>
        <w:t xml:space="preserve"> </w:t>
      </w:r>
    </w:p>
    <w:p w:rsidR="008B39D3" w:rsidRDefault="008B39D3">
      <w:pPr>
        <w:spacing w:line="240" w:lineRule="auto"/>
        <w:rPr>
          <w:rFonts w:asciiTheme="majorHAnsi" w:hAnsiTheme="majorHAnsi"/>
          <w:b/>
          <w:bCs/>
          <w:sz w:val="28"/>
          <w:szCs w:val="32"/>
        </w:rPr>
      </w:pPr>
      <w:r>
        <w:br w:type="page"/>
      </w:r>
    </w:p>
    <w:p w:rsidR="00D41F29" w:rsidRDefault="00D41F29" w:rsidP="008B39D3">
      <w:pPr>
        <w:pStyle w:val="Heading1"/>
      </w:pPr>
      <w:bookmarkStart w:id="13" w:name="_Toc482347161"/>
      <w:r>
        <w:lastRenderedPageBreak/>
        <w:t>Chapter 2: Literature review</w:t>
      </w:r>
      <w:bookmarkEnd w:id="13"/>
    </w:p>
    <w:p w:rsidR="00D41F29" w:rsidRDefault="00453F06" w:rsidP="00287A81">
      <w:pPr>
        <w:ind w:firstLine="720"/>
      </w:pPr>
      <w:r>
        <w:t>This thesis dep</w:t>
      </w:r>
      <w:r w:rsidR="00287A81">
        <w:t xml:space="preserve">ends on two main points. First is the difference between </w:t>
      </w:r>
      <w:r w:rsidR="004737DD">
        <w:t xml:space="preserve">the </w:t>
      </w:r>
      <w:r w:rsidR="00287A81">
        <w:t xml:space="preserve">pore-body size and pore-throat size distributions in shale gas reservoirs. The second is the </w:t>
      </w:r>
      <w:r w:rsidR="004737DD">
        <w:t>effect</w:t>
      </w:r>
      <w:r w:rsidR="006503DE">
        <w:t xml:space="preserve"> of n</w:t>
      </w:r>
      <w:r w:rsidR="00287A81">
        <w:t>anoscale pore</w:t>
      </w:r>
      <w:r w:rsidR="006503DE">
        <w:t>-body size, as opposed to pore-throat size,</w:t>
      </w:r>
      <w:r w:rsidR="004737DD">
        <w:t xml:space="preserve"> </w:t>
      </w:r>
      <w:r w:rsidR="00994BEE">
        <w:t>on</w:t>
      </w:r>
      <w:r w:rsidR="00287A81">
        <w:t xml:space="preserve"> the effective density of the gas contained therein. This literature review focuses on publications related to both of these topics.</w:t>
      </w:r>
    </w:p>
    <w:p w:rsidR="002F0B6D" w:rsidRDefault="002F0B6D" w:rsidP="00287A81">
      <w:pPr>
        <w:ind w:firstLine="720"/>
      </w:pPr>
    </w:p>
    <w:p w:rsidR="00D41F29" w:rsidRDefault="00D41F29" w:rsidP="008B39D3">
      <w:pPr>
        <w:pStyle w:val="Heading2"/>
        <w:numPr>
          <w:ilvl w:val="0"/>
          <w:numId w:val="0"/>
        </w:numPr>
      </w:pPr>
      <w:bookmarkStart w:id="14" w:name="_Toc482347162"/>
      <w:r>
        <w:t xml:space="preserve">2.1. </w:t>
      </w:r>
      <w:r w:rsidR="001E4451">
        <w:t xml:space="preserve">Barnett </w:t>
      </w:r>
      <w:r>
        <w:t>Shale gas reservoir</w:t>
      </w:r>
      <w:bookmarkEnd w:id="14"/>
    </w:p>
    <w:p w:rsidR="00C30761" w:rsidRDefault="00C30761" w:rsidP="00C30761">
      <w:pPr>
        <w:ind w:firstLine="720"/>
      </w:pPr>
      <w:r>
        <w:t xml:space="preserve">Shale formations are important rocks for hydrocarbon production. Shales have been seen as </w:t>
      </w:r>
      <w:r w:rsidR="00411F63">
        <w:t>both</w:t>
      </w:r>
      <w:r>
        <w:t xml:space="preserve"> source rocks </w:t>
      </w:r>
      <w:r w:rsidR="00411F63">
        <w:t>and</w:t>
      </w:r>
      <w:r>
        <w:t xml:space="preserve"> seals for conventional reservoirs since the beginning of the petroleum industry. With the recent combination of horizontal drilling and hydraulic fracturing, shale formations are now reservoirs for both oil and gas. </w:t>
      </w:r>
    </w:p>
    <w:p w:rsidR="00411F63" w:rsidRDefault="00411F63" w:rsidP="00C30761">
      <w:pPr>
        <w:ind w:firstLine="720"/>
      </w:pPr>
      <w:r>
        <w:t xml:space="preserve">The Barnett Shale is a gas-shale play of the Fort Worth basin. The formation is made up of organic rich, petroliferous black shale formed in the middle to late Mississippian period (Montgomery et al., 2005). </w:t>
      </w:r>
      <w:r w:rsidR="00D92025">
        <w:t>T</w:t>
      </w:r>
      <w:r>
        <w:t xml:space="preserve">he Barnett Shale </w:t>
      </w:r>
      <w:r w:rsidR="00D92025">
        <w:t xml:space="preserve">is the probable source rock for hydrocarbon reservoirs throughout north-central Texas. With its development as a gas play by Mitchell Energy in the 1980s and 1990, the Barnett Shale became a major gas play. The Newark East field, part of the Barnett Shale located in Denton, Tarrant and Wise counties, became the </w:t>
      </w:r>
      <w:r w:rsidR="008C0342">
        <w:t>largest gas field in Texas in terms of monthly production from 2000 to 2003.</w:t>
      </w:r>
      <w:r w:rsidR="00D92025">
        <w:t xml:space="preserve"> </w:t>
      </w:r>
      <w:r w:rsidR="003E4086">
        <w:t xml:space="preserve">The Newark East field is slightly over-pressured at 0.52 psi/ft., has an average porosity of 6% and has </w:t>
      </w:r>
      <w:proofErr w:type="spellStart"/>
      <w:r w:rsidR="003E4086">
        <w:t>permeabilities</w:t>
      </w:r>
      <w:proofErr w:type="spellEnd"/>
      <w:r w:rsidR="003E4086">
        <w:t xml:space="preserve"> ranging from </w:t>
      </w:r>
      <w:proofErr w:type="spellStart"/>
      <w:r w:rsidR="003E4086">
        <w:t>microdarcies</w:t>
      </w:r>
      <w:proofErr w:type="spellEnd"/>
      <w:r w:rsidR="003E4086">
        <w:t xml:space="preserve"> up to 0.01 </w:t>
      </w:r>
      <w:proofErr w:type="spellStart"/>
      <w:r w:rsidR="003E4086">
        <w:t>md.</w:t>
      </w:r>
      <w:proofErr w:type="spellEnd"/>
      <w:r w:rsidR="003E4086">
        <w:t xml:space="preserve"> </w:t>
      </w:r>
    </w:p>
    <w:p w:rsidR="001E4451" w:rsidRDefault="00816CCD" w:rsidP="00486B6E">
      <w:pPr>
        <w:ind w:firstLine="720"/>
      </w:pPr>
      <w:r>
        <w:lastRenderedPageBreak/>
        <w:t xml:space="preserve">The pore-body and pore-throat size distributions used in this thesis are for Barnett Shale cores from the Mitchell 2 T.P. </w:t>
      </w:r>
      <w:r w:rsidR="00486B6E">
        <w:t>Sims well in Wise County, Texas.</w:t>
      </w:r>
      <w:r w:rsidR="00BF4E1D">
        <w:t xml:space="preserve"> </w:t>
      </w:r>
      <w:r w:rsidR="001E4451">
        <w:t xml:space="preserve">The well, drilled in 1991, is roughly 25 miles northwest of Fort Worth. </w:t>
      </w:r>
      <w:r w:rsidR="006F20D4">
        <w:t>In this area, the Barnett is divided into upper and lower Barnett intervals, separated by th</w:t>
      </w:r>
      <w:r w:rsidR="00486B6E">
        <w:t xml:space="preserve">e </w:t>
      </w:r>
      <w:proofErr w:type="spellStart"/>
      <w:r w:rsidR="00486B6E">
        <w:t>Forestburg</w:t>
      </w:r>
      <w:proofErr w:type="spellEnd"/>
      <w:r w:rsidR="00486B6E">
        <w:t xml:space="preserve"> limestone</w:t>
      </w:r>
      <w:r w:rsidR="003E4086">
        <w:t>,</w:t>
      </w:r>
      <w:r w:rsidR="00847F10">
        <w:t xml:space="preserve"> </w:t>
      </w:r>
      <w:r w:rsidR="003E4086">
        <w:t>with</w:t>
      </w:r>
      <w:r w:rsidR="00BF4E1D">
        <w:t xml:space="preserve"> an average reservoir pressure of 3800 psi</w:t>
      </w:r>
      <w:r w:rsidR="003E4086">
        <w:t xml:space="preserve"> (Hickey and </w:t>
      </w:r>
      <w:proofErr w:type="spellStart"/>
      <w:r w:rsidR="003E4086">
        <w:t>Henk</w:t>
      </w:r>
      <w:proofErr w:type="spellEnd"/>
      <w:r w:rsidR="003E4086">
        <w:t>, 2007)</w:t>
      </w:r>
      <w:r w:rsidR="00BF4E1D">
        <w:t>.</w:t>
      </w:r>
      <w:r w:rsidR="00486B6E">
        <w:t xml:space="preserve"> The core samples were from a depth of 7610 to 7756 ft. The Barnett at this location is an organic-rich black shale</w:t>
      </w:r>
      <w:r w:rsidR="00DA0682">
        <w:t xml:space="preserve"> with total organic carbon content larger than 2 to 3%. </w:t>
      </w:r>
      <w:r w:rsidR="00805057">
        <w:t xml:space="preserve">Hickey and </w:t>
      </w:r>
      <w:proofErr w:type="spellStart"/>
      <w:r w:rsidR="00805057">
        <w:t>Henk</w:t>
      </w:r>
      <w:proofErr w:type="spellEnd"/>
      <w:r w:rsidR="00805057">
        <w:t xml:space="preserve"> identified six major </w:t>
      </w:r>
      <w:proofErr w:type="spellStart"/>
      <w:r w:rsidR="00805057">
        <w:t>lithofacies</w:t>
      </w:r>
      <w:proofErr w:type="spellEnd"/>
      <w:r w:rsidR="00805057">
        <w:t xml:space="preserve">: organic shale at 7679 ft., fossiliferous shale at 7658 ft., concretionary carbonate at 7704 ft., dolomitic rhomb shale at 7714 ft., </w:t>
      </w:r>
      <w:proofErr w:type="spellStart"/>
      <w:r w:rsidR="00805057">
        <w:t>phosphatic</w:t>
      </w:r>
      <w:proofErr w:type="spellEnd"/>
      <w:r w:rsidR="00805057">
        <w:t xml:space="preserve"> pellet </w:t>
      </w:r>
      <w:proofErr w:type="spellStart"/>
      <w:r w:rsidR="00805057">
        <w:t>grainstone</w:t>
      </w:r>
      <w:proofErr w:type="spellEnd"/>
      <w:r w:rsidR="00805057">
        <w:t xml:space="preserve"> at 7730 ft. and dolomitic shale at 7751 ft. </w:t>
      </w:r>
    </w:p>
    <w:p w:rsidR="003C1D6C" w:rsidRDefault="003C1D6C" w:rsidP="00486B6E">
      <w:pPr>
        <w:ind w:firstLine="720"/>
      </w:pPr>
    </w:p>
    <w:p w:rsidR="00D41F29" w:rsidRDefault="00D41F29" w:rsidP="008B39D3">
      <w:pPr>
        <w:pStyle w:val="Heading2"/>
        <w:numPr>
          <w:ilvl w:val="0"/>
          <w:numId w:val="0"/>
        </w:numPr>
        <w:ind w:left="360" w:hanging="360"/>
      </w:pPr>
      <w:bookmarkStart w:id="15" w:name="_Toc482347163"/>
      <w:r>
        <w:t>2.2. Pore size measurements</w:t>
      </w:r>
      <w:bookmarkEnd w:id="15"/>
    </w:p>
    <w:p w:rsidR="00D41F29" w:rsidRDefault="00287A81" w:rsidP="00BD249F">
      <w:pPr>
        <w:ind w:firstLine="720"/>
      </w:pPr>
      <w:r>
        <w:t>Pore size measurements can be divided into two groups, those that effectively measure the volume of the pore bodies in a sample and those that measure the capillary pressure and drainage volume in order to calculate the pore-throat diameters and their corresponding distribution.</w:t>
      </w:r>
    </w:p>
    <w:p w:rsidR="00D41F29" w:rsidRDefault="00D41F29" w:rsidP="008B39D3">
      <w:pPr>
        <w:pStyle w:val="Heading3"/>
      </w:pPr>
      <w:bookmarkStart w:id="16" w:name="_Toc482347164"/>
      <w:r>
        <w:t>2.2.</w:t>
      </w:r>
      <w:r w:rsidR="005249F9">
        <w:t>1</w:t>
      </w:r>
      <w:r>
        <w:t xml:space="preserve">. Pore-throat </w:t>
      </w:r>
      <w:r w:rsidR="006503DE">
        <w:t xml:space="preserve">size </w:t>
      </w:r>
      <w:r>
        <w:t>measurements</w:t>
      </w:r>
      <w:bookmarkEnd w:id="16"/>
    </w:p>
    <w:p w:rsidR="00B47C4A" w:rsidRDefault="00CF4820" w:rsidP="00CF4820">
      <w:r>
        <w:tab/>
        <w:t xml:space="preserve">Mercury intrusion capillary pressure (MICP) is commonly used to study </w:t>
      </w:r>
      <w:r w:rsidR="003A6DCA">
        <w:t xml:space="preserve">pore size distribution in </w:t>
      </w:r>
      <w:r>
        <w:t xml:space="preserve">porous medium. </w:t>
      </w:r>
      <w:r w:rsidR="003A6DCA">
        <w:t xml:space="preserve">This method works by applying an external pressure to the non-wetting phase mercury to overcome the surface tension preventing mercury’s injection into the pores of the sample. The pressure required to enter the pore is </w:t>
      </w:r>
      <w:r w:rsidR="00B26055">
        <w:t xml:space="preserve">inversely </w:t>
      </w:r>
      <w:r w:rsidR="003A6DCA">
        <w:t>proportional to the radius of the pore, and is calculated by use of the Washburn equation:</w:t>
      </w:r>
    </w:p>
    <w:p w:rsidR="003A6DCA" w:rsidRDefault="003C2D7F" w:rsidP="0021202F">
      <w:pPr>
        <w:ind w:firstLine="720"/>
      </w:pP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2γcosφ</m:t>
            </m:r>
          </m:num>
          <m:den>
            <m:r>
              <w:rPr>
                <w:rFonts w:ascii="Cambria Math" w:hAnsi="Cambria Math"/>
              </w:rPr>
              <m:t>r</m:t>
            </m:r>
          </m:den>
        </m:f>
      </m:oMath>
      <w:r w:rsidR="00B26055">
        <w:t xml:space="preserve">                                                                                                      (1)</w:t>
      </w:r>
    </w:p>
    <w:p w:rsidR="00B26055" w:rsidRDefault="00B26055" w:rsidP="00CF4820">
      <w:r>
        <w:t xml:space="preserve">where </w:t>
      </w:r>
      <w:r w:rsidRPr="00B26055">
        <w:rPr>
          <w:i/>
        </w:rPr>
        <w:t>P</w:t>
      </w:r>
      <w:r w:rsidRPr="00B26055">
        <w:rPr>
          <w:i/>
          <w:vertAlign w:val="subscript"/>
        </w:rPr>
        <w:t>c</w:t>
      </w:r>
      <w:r>
        <w:rPr>
          <w:i/>
        </w:rPr>
        <w:t xml:space="preserve"> </w:t>
      </w:r>
      <w:r w:rsidRPr="00B26055">
        <w:t xml:space="preserve">is the </w:t>
      </w:r>
      <w:r>
        <w:t xml:space="preserve">capillary pressure, </w:t>
      </w:r>
      <m:oMath>
        <m:r>
          <w:rPr>
            <w:rFonts w:ascii="Cambria Math" w:hAnsi="Cambria Math"/>
          </w:rPr>
          <m:t>γ</m:t>
        </m:r>
      </m:oMath>
      <w:r>
        <w:t xml:space="preserve">is the surface tension, </w:t>
      </w:r>
      <m:oMath>
        <m:r>
          <w:rPr>
            <w:rFonts w:ascii="Cambria Math" w:hAnsi="Cambria Math"/>
          </w:rPr>
          <m:t>φ</m:t>
        </m:r>
      </m:oMath>
      <w:r>
        <w:t xml:space="preserve"> is the contact angle of the liquid on the pore wall, and </w:t>
      </w:r>
      <w:r w:rsidRPr="00B26055">
        <w:rPr>
          <w:i/>
        </w:rPr>
        <w:t>r</w:t>
      </w:r>
      <w:r>
        <w:t xml:space="preserve"> is the radius of the pore (Washburn, 1921). </w:t>
      </w:r>
      <w:r w:rsidR="00F738B2">
        <w:t xml:space="preserve">This equation assumes that pores are cylindrical and equally accessible from the outer surface of the sample. </w:t>
      </w:r>
      <w:r>
        <w:t xml:space="preserve">The </w:t>
      </w:r>
      <w:r w:rsidR="006B75F6">
        <w:t>pore radius measurements are therefore limited only by</w:t>
      </w:r>
      <w:r>
        <w:t xml:space="preserve"> the pressure th</w:t>
      </w:r>
      <w:r w:rsidR="006B75F6">
        <w:t xml:space="preserve">at can be applied to the sample, typically 60,000 psi.  </w:t>
      </w:r>
      <w:r w:rsidR="005920D0">
        <w:t xml:space="preserve">By increasing the pressure in a series of steps and measuring the volume of mercury injected at each step, a distribution of pore radii is generated. </w:t>
      </w:r>
      <w:r w:rsidR="006B75F6">
        <w:t>M</w:t>
      </w:r>
      <w:r w:rsidR="005920D0">
        <w:t>ercury intrusion</w:t>
      </w:r>
      <w:r w:rsidR="006B75F6">
        <w:t xml:space="preserve"> is routinely used to measure pores from 3.6 nm to 360 </w:t>
      </w:r>
      <w:r w:rsidR="006B75F6">
        <w:rPr>
          <w:rFonts w:cstheme="minorHAnsi"/>
        </w:rPr>
        <w:t>µ</w:t>
      </w:r>
      <w:r w:rsidR="006B75F6">
        <w:t>m</w:t>
      </w:r>
      <w:r w:rsidR="00B10CFB">
        <w:t xml:space="preserve"> (Webb 2001)</w:t>
      </w:r>
      <w:r w:rsidR="006B75F6">
        <w:t>.</w:t>
      </w:r>
      <w:r w:rsidR="00F738B2">
        <w:t xml:space="preserve"> </w:t>
      </w:r>
    </w:p>
    <w:p w:rsidR="007617B8" w:rsidRDefault="008E7423" w:rsidP="00CF4820">
      <w:r>
        <w:tab/>
        <w:t xml:space="preserve">There are however issues with using MICP. </w:t>
      </w:r>
      <w:r w:rsidR="00642E48">
        <w:t>First, there is the issue of rock compressibility at the high pressures required to measure the smallest pores. There is also the possibility of breaking the rock particles and accessing closed pore space.</w:t>
      </w:r>
    </w:p>
    <w:p w:rsidR="00EC1947" w:rsidRPr="00CF4820" w:rsidRDefault="00642E48" w:rsidP="00CF4820">
      <w:r>
        <w:t>Also</w:t>
      </w:r>
      <w:r w:rsidR="00F738B2">
        <w:t xml:space="preserve">, </w:t>
      </w:r>
      <w:r>
        <w:t xml:space="preserve">accurate pore-body size distributions require all </w:t>
      </w:r>
      <w:r w:rsidR="00F738B2">
        <w:t xml:space="preserve">small pores </w:t>
      </w:r>
      <w:r>
        <w:t>to</w:t>
      </w:r>
      <w:r w:rsidR="00F738B2">
        <w:t xml:space="preserve"> be access</w:t>
      </w:r>
      <w:r>
        <w:t>ible</w:t>
      </w:r>
      <w:r w:rsidR="00F738B2">
        <w:t xml:space="preserve"> by larger pores</w:t>
      </w:r>
      <w:r>
        <w:t>.</w:t>
      </w:r>
      <w:r w:rsidR="00EC1947">
        <w:t xml:space="preserve"> Actual pore geometry tends to be made up of larger pore bodies accessed by smaller pore throats. Because the larger pore-body volumes cannot be accessed by the mercury until sufficient pressure is reached to overcome the surface tension of the pore throats, this should limit MCIP to measuring pore-throat size distributions. Errors can and do occur when MCIP data is used for pore-body size distributions</w:t>
      </w:r>
      <w:r w:rsidRPr="00642E48">
        <w:t>.</w:t>
      </w:r>
      <w:r>
        <w:t xml:space="preserve"> Finally, actual pores are not cylindrical as assumed in the Washburn equation.</w:t>
      </w:r>
    </w:p>
    <w:p w:rsidR="00CF4820" w:rsidRDefault="00CF4820" w:rsidP="00CF4820">
      <w:pPr>
        <w:pStyle w:val="Heading3"/>
      </w:pPr>
      <w:bookmarkStart w:id="17" w:name="_Toc482347165"/>
      <w:r>
        <w:t>2.2.2. Pore-body size measurements</w:t>
      </w:r>
      <w:bookmarkEnd w:id="17"/>
    </w:p>
    <w:p w:rsidR="005920D0" w:rsidRDefault="00CF4820" w:rsidP="00CF4820">
      <w:r>
        <w:tab/>
        <w:t xml:space="preserve">The chemical, ceramic, and pharmaceutical industries commonly use subcritical gas adsorption/desorption test to characterize the pore geometry of microporous materials like activated carbon, carbon nanotubes, zeolites and catalyst. The most </w:t>
      </w:r>
      <w:r>
        <w:lastRenderedPageBreak/>
        <w:t>commonly used gas is for this technique is nitrogen; it performs best for substances with dominated by pores between 2 and 50 nm. This technique is unable to measure pores with diameters larger than 200 nm</w:t>
      </w:r>
      <w:r w:rsidR="00642E48">
        <w:t xml:space="preserve"> (</w:t>
      </w:r>
      <w:proofErr w:type="spellStart"/>
      <w:r w:rsidR="00642E48">
        <w:t>Kuila</w:t>
      </w:r>
      <w:proofErr w:type="spellEnd"/>
      <w:r w:rsidR="00642E48">
        <w:t xml:space="preserve"> and Prasad, 2013)</w:t>
      </w:r>
      <w:r>
        <w:t>.</w:t>
      </w:r>
    </w:p>
    <w:p w:rsidR="00BD2E2B" w:rsidRDefault="00BD2E2B" w:rsidP="002E56D1">
      <w:r>
        <w:tab/>
        <w:t>Nitrogen gas-adsorption works by exposing a degassed sample to nitrogen gas at constant cryo</w:t>
      </w:r>
      <w:r w:rsidR="00DB6CF4">
        <w:t xml:space="preserve">genic liquid nitrogen temperature, -323.14 </w:t>
      </w:r>
      <w:r w:rsidR="00DB6CF4">
        <w:rPr>
          <w:rFonts w:cstheme="minorHAnsi"/>
        </w:rPr>
        <w:t>º</w:t>
      </w:r>
      <w:r w:rsidR="00DB6CF4">
        <w:t xml:space="preserve"> F (-197.3 </w:t>
      </w:r>
      <w:r w:rsidR="00DB6CF4">
        <w:rPr>
          <w:rFonts w:cstheme="minorHAnsi"/>
        </w:rPr>
        <w:t>º</w:t>
      </w:r>
      <w:r w:rsidR="00DB6CF4">
        <w:t xml:space="preserve"> C) in a series of stepwise increasing pressures. The volume of adsorbed nitrogen is measured at each pressure. </w:t>
      </w:r>
      <w:r w:rsidR="008F1834">
        <w:t xml:space="preserve">The porous media adsorbs gas through several different mechanisms. </w:t>
      </w:r>
      <w:proofErr w:type="spellStart"/>
      <w:r w:rsidR="008F1834">
        <w:t>Micropore</w:t>
      </w:r>
      <w:proofErr w:type="spellEnd"/>
      <w:r w:rsidR="008F1834">
        <w:t xml:space="preserve"> filling will occur at low-relative pressures due to interactions between the adsorbent and adsorbate. At slightly greater pressure, </w:t>
      </w:r>
      <w:proofErr w:type="spellStart"/>
      <w:r w:rsidR="008F1834">
        <w:t>mesopores</w:t>
      </w:r>
      <w:proofErr w:type="spellEnd"/>
      <w:r w:rsidR="008F1834">
        <w:t xml:space="preserve"> and </w:t>
      </w:r>
      <w:proofErr w:type="spellStart"/>
      <w:r w:rsidR="008F1834">
        <w:t>macropores</w:t>
      </w:r>
      <w:proofErr w:type="spellEnd"/>
      <w:r w:rsidR="008F1834">
        <w:t xml:space="preserve"> will start, first as a single molecular layer until the available pore surface is covered and then as a multi-molecular layer. </w:t>
      </w:r>
      <w:r w:rsidR="002E56D1">
        <w:t>At larger relative pressures</w:t>
      </w:r>
      <w:r w:rsidR="008F1834">
        <w:t xml:space="preserve"> the gas begins to condense</w:t>
      </w:r>
      <w:r w:rsidR="002E56D1">
        <w:t>,</w:t>
      </w:r>
      <w:r w:rsidR="008F1834">
        <w:t xml:space="preserve"> </w:t>
      </w:r>
      <w:r w:rsidR="002E56D1">
        <w:t>at pressures less than the vapor pressure, into</w:t>
      </w:r>
      <w:r w:rsidR="008F1834">
        <w:t xml:space="preserve"> a liquid due to capillary condensation. Because gas condensates at different pressures for different pore diameters, a pore size distribution can be created by measuring the amount of gas condensing at each relative pressure.</w:t>
      </w:r>
      <w:r w:rsidR="002E56D1">
        <w:t xml:space="preserve"> The pore size distribution is found by creating a</w:t>
      </w:r>
      <w:r w:rsidR="00DB6CF4">
        <w:t xml:space="preserve">n adsorption isotherm by plotting the volume of adsorbed gas as a function or pressure normalized by the </w:t>
      </w:r>
      <w:r w:rsidR="002E56D1">
        <w:t>saturated vapor</w:t>
      </w:r>
      <w:r w:rsidR="00DB6CF4">
        <w:t xml:space="preserve"> pressure. The sample is then depressurized and the volume of nitrogen outgassed is measured. </w:t>
      </w:r>
      <w:r w:rsidR="00F676C2">
        <w:t>Also, due to hysteresis between the adsorption and desorption isotherms, pore connectivity can also be examined.</w:t>
      </w:r>
      <w:r w:rsidR="00DB6CF4">
        <w:t xml:space="preserve"> </w:t>
      </w:r>
    </w:p>
    <w:p w:rsidR="00225905" w:rsidRDefault="002E56D1" w:rsidP="002E56D1">
      <w:r>
        <w:tab/>
      </w:r>
      <w:r w:rsidR="00D74E29">
        <w:t xml:space="preserve">A second method for pore-body size measurements is nuclear magnetic resonance (NMR). </w:t>
      </w:r>
      <w:r w:rsidR="00225905">
        <w:t xml:space="preserve">NMR can be used to determine a pore-body distribution by measuring the amount of fluid present in the sample porosity at discreet relaxation times. Protons within the pores are magnetized and diffuse throughout the entire pore </w:t>
      </w:r>
      <w:r w:rsidR="00225905">
        <w:lastRenderedPageBreak/>
        <w:t>before losing their magnetization. The time required for this lose is the T</w:t>
      </w:r>
      <w:r w:rsidR="00225905" w:rsidRPr="00225905">
        <w:rPr>
          <w:vertAlign w:val="subscript"/>
        </w:rPr>
        <w:t>2</w:t>
      </w:r>
      <w:r w:rsidR="00225905">
        <w:t xml:space="preserve"> relaxation time and can be used to find pore body size with the following equation:</w:t>
      </w:r>
    </w:p>
    <w:p w:rsidR="00DE7E89" w:rsidRDefault="003C2D7F" w:rsidP="002E56D1">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2</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2 bulk</m:t>
                </m:r>
              </m:sub>
            </m:sSub>
          </m:den>
        </m:f>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2</m:t>
            </m:r>
          </m:sub>
        </m:sSub>
        <m:f>
          <m:fPr>
            <m:ctrlPr>
              <w:rPr>
                <w:rFonts w:ascii="Cambria Math" w:hAnsi="Cambria Math"/>
                <w:i/>
              </w:rPr>
            </m:ctrlPr>
          </m:fPr>
          <m:num>
            <m:r>
              <w:rPr>
                <w:rFonts w:ascii="Cambria Math" w:hAnsi="Cambria Math"/>
              </w:rPr>
              <m:t>s</m:t>
            </m:r>
          </m:num>
          <m:den>
            <m:r>
              <w:rPr>
                <w:rFonts w:ascii="Cambria Math" w:hAnsi="Cambria Math"/>
              </w:rPr>
              <m:t>v</m:t>
            </m:r>
          </m:den>
        </m:f>
        <m:r>
          <w:rPr>
            <w:rFonts w:ascii="Cambria Math" w:hAnsi="Cambria Math"/>
          </w:rPr>
          <m:t>+D</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γGTE</m:t>
                    </m:r>
                  </m:e>
                </m:d>
              </m:e>
              <m:sup>
                <m:r>
                  <w:rPr>
                    <w:rFonts w:ascii="Cambria Math" w:hAnsi="Cambria Math"/>
                  </w:rPr>
                  <m:t>2</m:t>
                </m:r>
              </m:sup>
            </m:sSup>
          </m:num>
          <m:den>
            <m:r>
              <w:rPr>
                <w:rFonts w:ascii="Cambria Math" w:hAnsi="Cambria Math"/>
              </w:rPr>
              <m:t>12</m:t>
            </m:r>
          </m:den>
        </m:f>
      </m:oMath>
      <w:r w:rsidR="00225905">
        <w:t xml:space="preserve"> </w:t>
      </w:r>
      <w:r w:rsidR="00DE7E89">
        <w:t xml:space="preserve"> </w:t>
      </w:r>
      <w:r w:rsidR="00DE7E89">
        <w:tab/>
      </w:r>
      <w:r w:rsidR="00DE7E89">
        <w:tab/>
      </w:r>
      <w:r w:rsidR="00DE7E89">
        <w:tab/>
      </w:r>
      <w:r w:rsidR="00DE7E89">
        <w:tab/>
      </w:r>
      <w:r w:rsidR="00DE7E89">
        <w:tab/>
        <w:t xml:space="preserve">                            (2) where </w:t>
      </w:r>
      <m:oMath>
        <m:sSub>
          <m:sSubPr>
            <m:ctrlPr>
              <w:rPr>
                <w:rFonts w:ascii="Cambria Math" w:hAnsi="Cambria Math"/>
                <w:i/>
              </w:rPr>
            </m:ctrlPr>
          </m:sSubPr>
          <m:e>
            <m:r>
              <w:rPr>
                <w:rFonts w:ascii="Cambria Math" w:hAnsi="Cambria Math"/>
              </w:rPr>
              <m:t>T</m:t>
            </m:r>
          </m:e>
          <m:sub>
            <m:r>
              <w:rPr>
                <w:rFonts w:ascii="Cambria Math" w:hAnsi="Cambria Math"/>
              </w:rPr>
              <m:t>2 bulk</m:t>
            </m:r>
          </m:sub>
        </m:sSub>
      </m:oMath>
      <w:r w:rsidR="00DE7E89">
        <w:t xml:space="preserve"> is the bulk relaxation time, </w:t>
      </w:r>
      <m:oMath>
        <m:sSub>
          <m:sSubPr>
            <m:ctrlPr>
              <w:rPr>
                <w:rFonts w:ascii="Cambria Math" w:hAnsi="Cambria Math"/>
                <w:i/>
              </w:rPr>
            </m:ctrlPr>
          </m:sSubPr>
          <m:e>
            <m:r>
              <w:rPr>
                <w:rFonts w:ascii="Cambria Math" w:hAnsi="Cambria Math"/>
              </w:rPr>
              <m:t>ρ</m:t>
            </m:r>
          </m:e>
          <m:sub>
            <m:r>
              <w:rPr>
                <w:rFonts w:ascii="Cambria Math" w:hAnsi="Cambria Math"/>
              </w:rPr>
              <m:t>2</m:t>
            </m:r>
          </m:sub>
        </m:sSub>
      </m:oMath>
      <w:r w:rsidR="00DE7E89">
        <w:t xml:space="preserve"> is the surface </w:t>
      </w:r>
      <w:proofErr w:type="spellStart"/>
      <w:r w:rsidR="00DE7E89">
        <w:t>relaxivity</w:t>
      </w:r>
      <w:proofErr w:type="spellEnd"/>
      <w:r w:rsidR="00DE7E89">
        <w:t xml:space="preserve">, s/v is the pore surface to volume ration, </w:t>
      </w:r>
      <w:r w:rsidR="00DE7E89" w:rsidRPr="00DE7E89">
        <w:rPr>
          <w:i/>
        </w:rPr>
        <w:t>D</w:t>
      </w:r>
      <w:r w:rsidR="00DE7E89">
        <w:t xml:space="preserve"> is the bulk diffusion coefficient of the confined fluid, </w:t>
      </w:r>
      <m:oMath>
        <m:r>
          <w:rPr>
            <w:rFonts w:ascii="Cambria Math" w:hAnsi="Cambria Math"/>
          </w:rPr>
          <m:t>γ</m:t>
        </m:r>
      </m:oMath>
      <w:r w:rsidR="00DE7E89">
        <w:t xml:space="preserve"> is the gyromagnetic ratio, </w:t>
      </w:r>
      <w:r w:rsidR="00DE7E89" w:rsidRPr="00DE7E89">
        <w:rPr>
          <w:i/>
        </w:rPr>
        <w:t>G</w:t>
      </w:r>
      <w:r w:rsidR="00DE7E89">
        <w:t xml:space="preserve"> is the magnetic field gradient, and </w:t>
      </w:r>
      <w:r w:rsidR="00DE7E89" w:rsidRPr="00DE7E89">
        <w:rPr>
          <w:i/>
        </w:rPr>
        <w:t>TE</w:t>
      </w:r>
      <w:r w:rsidR="00DE7E89">
        <w:t xml:space="preserve"> is the echo spacing time. If the surface </w:t>
      </w:r>
      <w:proofErr w:type="spellStart"/>
      <w:r w:rsidR="00DE7E89">
        <w:t>relaxivity</w:t>
      </w:r>
      <w:proofErr w:type="spellEnd"/>
      <w:r w:rsidR="00DE7E89">
        <w:t xml:space="preserve"> is known, then the pore-body size distribution can be determined from the T</w:t>
      </w:r>
      <w:r w:rsidR="00DE7E89" w:rsidRPr="00225905">
        <w:rPr>
          <w:vertAlign w:val="subscript"/>
        </w:rPr>
        <w:t>2</w:t>
      </w:r>
      <w:r w:rsidR="00DE7E89">
        <w:rPr>
          <w:vertAlign w:val="subscript"/>
        </w:rPr>
        <w:t xml:space="preserve"> </w:t>
      </w:r>
      <w:r w:rsidR="00DE7E89">
        <w:t>distribution (</w:t>
      </w:r>
      <w:proofErr w:type="spellStart"/>
      <w:r w:rsidR="00B423E8">
        <w:t>Tinni</w:t>
      </w:r>
      <w:proofErr w:type="spellEnd"/>
      <w:r w:rsidR="00B423E8">
        <w:t xml:space="preserve"> et al., 2014</w:t>
      </w:r>
      <w:r w:rsidR="00DE7E89">
        <w:t xml:space="preserve">). </w:t>
      </w:r>
    </w:p>
    <w:p w:rsidR="00DE7E89" w:rsidRDefault="00DE7E89" w:rsidP="002E56D1">
      <w:r>
        <w:t xml:space="preserve"> </w:t>
      </w:r>
    </w:p>
    <w:p w:rsidR="007617B8" w:rsidRDefault="007617B8" w:rsidP="007617B8">
      <w:pPr>
        <w:pStyle w:val="Heading2"/>
        <w:numPr>
          <w:ilvl w:val="0"/>
          <w:numId w:val="0"/>
        </w:numPr>
      </w:pPr>
      <w:bookmarkStart w:id="18" w:name="_Toc482347166"/>
      <w:r>
        <w:t>2.3. Pore space model</w:t>
      </w:r>
      <w:bookmarkEnd w:id="18"/>
    </w:p>
    <w:p w:rsidR="00C632F9" w:rsidRDefault="005920D0" w:rsidP="00D41F29">
      <w:r>
        <w:tab/>
      </w:r>
      <w:r w:rsidR="00CF4820">
        <w:t xml:space="preserve">  </w:t>
      </w:r>
      <w:r w:rsidR="00F676C2">
        <w:t xml:space="preserve">The model used to characterize the pore space of a sample is important for analyzing the nitrogen adsorption/desorption data. </w:t>
      </w:r>
      <w:r w:rsidR="00C632F9">
        <w:t>The simplest model is the bundle-of-tubes model proposed by Purcell (1949). This model consists of series of parallel tubes of various diameters. The advantage of this model is its simplicity and that single-phase permeability can be related to MICP drainage data. Unfortunately, this model does not provide a realistic image of the rock and ignores pore connectivity.</w:t>
      </w:r>
    </w:p>
    <w:p w:rsidR="00B02D9D" w:rsidRDefault="00C632F9" w:rsidP="00D41F29">
      <w:r>
        <w:tab/>
      </w:r>
      <w:r w:rsidR="00B02D9D">
        <w:t>In order t</w:t>
      </w:r>
      <w:r>
        <w:t xml:space="preserve">o capture the effect of pore interconnectivity, </w:t>
      </w:r>
      <w:proofErr w:type="spellStart"/>
      <w:r>
        <w:t>Fatt</w:t>
      </w:r>
      <w:proofErr w:type="spellEnd"/>
      <w:r>
        <w:t xml:space="preserve"> (1956) proposed a model comprised of interconnected tubes arranged in a </w:t>
      </w:r>
      <w:r w:rsidR="00B02D9D">
        <w:t>two-dimensional square lattice. With this model, residual wetting phase saturations in both drainage and imbibition could be captured. This model works well when used to represent the pore space of conventional petroleum reservoirs, such as unconsolidated sandstones. However, this model also fails to provide a realistic model of pore space.</w:t>
      </w:r>
    </w:p>
    <w:p w:rsidR="00C632F9" w:rsidRDefault="00B02D9D" w:rsidP="00D41F29">
      <w:r>
        <w:lastRenderedPageBreak/>
        <w:tab/>
        <w:t xml:space="preserve">Bryant </w:t>
      </w:r>
      <w:r w:rsidR="00CF611B">
        <w:t>et al. (1993</w:t>
      </w:r>
      <w:r>
        <w:t xml:space="preserve">) used spheres to represent the grains of a sedimentary rock and </w:t>
      </w:r>
      <w:r w:rsidR="00CF611B">
        <w:t xml:space="preserve">the </w:t>
      </w:r>
      <w:r>
        <w:t xml:space="preserve">random </w:t>
      </w:r>
      <w:r w:rsidR="00CF611B">
        <w:t xml:space="preserve">packing of those </w:t>
      </w:r>
      <w:r>
        <w:t>sphere</w:t>
      </w:r>
      <w:r w:rsidR="00CF611B">
        <w:t xml:space="preserve"> to model the rock. The space between the spheres then represents the pore space of the rock. This model space provided an estimate of permeability when subjected to a pressure gradient. Once again, this model worked best for conventional reservoirs.</w:t>
      </w:r>
      <w:r>
        <w:t xml:space="preserve">  </w:t>
      </w:r>
    </w:p>
    <w:p w:rsidR="00D41F29" w:rsidRDefault="00F676C2" w:rsidP="00C632F9">
      <w:pPr>
        <w:ind w:firstLine="720"/>
      </w:pPr>
      <w:r>
        <w:t xml:space="preserve">For this thesis, the pore-body size distribution was created using an acyclic pore model (Zapata and </w:t>
      </w:r>
      <w:proofErr w:type="spellStart"/>
      <w:r>
        <w:t>Sakhaee</w:t>
      </w:r>
      <w:proofErr w:type="spellEnd"/>
      <w:r>
        <w:t xml:space="preserve">-Pour, 2016). The acyclic pore model features a unique path between any two points in the model. The great advantage to this model is that smaller pores do not restrict access to larger pores; all narrow pores are accessed by larger pore throats. This model overcomes the pore-throat limitation of mercury intrusion. However, this model is limited to </w:t>
      </w:r>
      <w:r w:rsidR="007B1524">
        <w:t>samples where the variation of the capillary pressure with the wetting phase saturation has a non-plateau like trend (</w:t>
      </w:r>
      <w:proofErr w:type="spellStart"/>
      <w:r w:rsidR="007B1524">
        <w:t>Sakhaee</w:t>
      </w:r>
      <w:proofErr w:type="spellEnd"/>
      <w:r w:rsidR="007B1524">
        <w:t>-Pour and Bryant</w:t>
      </w:r>
      <w:r w:rsidR="003C1D6C">
        <w:t>,</w:t>
      </w:r>
      <w:r w:rsidR="007B1524">
        <w:t xml:space="preserve"> 2015). The samples used in this thesis meet </w:t>
      </w:r>
      <w:r w:rsidR="00B10CFB">
        <w:t>this criterion</w:t>
      </w:r>
      <w:r w:rsidR="007B1524">
        <w:t>.</w:t>
      </w:r>
    </w:p>
    <w:p w:rsidR="00D41F29" w:rsidRDefault="00D41F29" w:rsidP="008B39D3">
      <w:pPr>
        <w:pStyle w:val="Heading2"/>
        <w:numPr>
          <w:ilvl w:val="0"/>
          <w:numId w:val="0"/>
        </w:numPr>
      </w:pPr>
      <w:bookmarkStart w:id="19" w:name="_Toc482347167"/>
      <w:r>
        <w:t>2.</w:t>
      </w:r>
      <w:r w:rsidR="007617B8">
        <w:t>4</w:t>
      </w:r>
      <w:r>
        <w:t xml:space="preserve">. </w:t>
      </w:r>
      <w:r w:rsidR="007B1524">
        <w:t>Models of g</w:t>
      </w:r>
      <w:r>
        <w:t>as density in confined spaces</w:t>
      </w:r>
      <w:bookmarkEnd w:id="19"/>
    </w:p>
    <w:p w:rsidR="00D41F29" w:rsidRDefault="00A9665E" w:rsidP="00803E82">
      <w:pPr>
        <w:ind w:firstLine="720"/>
      </w:pPr>
      <w:r>
        <w:t xml:space="preserve">Currently, there are three common models for calculating gas density in confined spaces. First is </w:t>
      </w:r>
      <w:r w:rsidR="00B172C2">
        <w:t>molecular</w:t>
      </w:r>
      <w:r>
        <w:t xml:space="preserve"> simulations that build up a fluid molecule distribution molecule by molecule within a given pore geometry. The seco</w:t>
      </w:r>
      <w:r w:rsidR="00392F58">
        <w:t>nd is the</w:t>
      </w:r>
      <w:r>
        <w:t xml:space="preserve"> density functions that calculate d</w:t>
      </w:r>
      <w:r w:rsidR="00803E82">
        <w:t>ensity as a function of pressure, temperature, and distance from a pore wall for the given pore space. The third is modified equations of state that take existing equations of state, such as van der Waals or Peng-Robinson equations of state, and add additional terms to account for fluid molecule-pore wall interactions.</w:t>
      </w:r>
    </w:p>
    <w:p w:rsidR="00D41F29" w:rsidRDefault="00D41F29" w:rsidP="008B39D3">
      <w:pPr>
        <w:pStyle w:val="Heading3"/>
      </w:pPr>
      <w:bookmarkStart w:id="20" w:name="_Toc482347168"/>
      <w:r>
        <w:lastRenderedPageBreak/>
        <w:t xml:space="preserve">2.4.1. </w:t>
      </w:r>
      <w:r w:rsidR="00B172C2">
        <w:t>Molecular</w:t>
      </w:r>
      <w:r>
        <w:t xml:space="preserve"> simulations</w:t>
      </w:r>
      <w:bookmarkEnd w:id="20"/>
    </w:p>
    <w:p w:rsidR="00D41F29" w:rsidRPr="00B86DA7" w:rsidRDefault="00B10CFB" w:rsidP="00B86DA7">
      <w:pPr>
        <w:ind w:firstLine="720"/>
      </w:pPr>
      <w:r>
        <w:t xml:space="preserve">Molecular simulations determine the density of gas in a confined space by </w:t>
      </w:r>
      <w:r w:rsidR="006F6C7A">
        <w:t xml:space="preserve">modeling a single pore with a set number of fluid molecules within the pore. </w:t>
      </w:r>
      <w:r w:rsidR="007A45E9">
        <w:t>Ambrose et al. (2012)</w:t>
      </w:r>
      <w:r w:rsidR="006F6C7A">
        <w:t xml:space="preserve"> used a molecular dynamics simulation to simulate methane adsorption in slit-shaped pores. The simulation assumed two parallel graphene pore walls set at variable distances apart in the </w:t>
      </w:r>
      <w:r w:rsidR="006F6C7A" w:rsidRPr="006F6C7A">
        <w:rPr>
          <w:i/>
        </w:rPr>
        <w:t>z</w:t>
      </w:r>
      <w:r w:rsidR="006F6C7A">
        <w:t xml:space="preserve"> direction. The length of each wall in the </w:t>
      </w:r>
      <w:r w:rsidR="006F6C7A" w:rsidRPr="006F6C7A">
        <w:rPr>
          <w:i/>
        </w:rPr>
        <w:t>y</w:t>
      </w:r>
      <w:r w:rsidR="006F6C7A">
        <w:t xml:space="preserve"> direction was held constant but the </w:t>
      </w:r>
      <w:r w:rsidR="006F6C7A" w:rsidRPr="006F6C7A">
        <w:rPr>
          <w:i/>
        </w:rPr>
        <w:t>x</w:t>
      </w:r>
      <w:r w:rsidR="006F6C7A">
        <w:t xml:space="preserve"> direction length varied in order to insure roughly the same number of fluid particle were contain</w:t>
      </w:r>
      <w:r w:rsidR="00312AFD">
        <w:t>ed</w:t>
      </w:r>
      <w:r w:rsidR="006F6C7A">
        <w:t xml:space="preserve"> in pore </w:t>
      </w:r>
      <w:r w:rsidR="00312AFD">
        <w:t xml:space="preserve">each </w:t>
      </w:r>
      <w:r w:rsidR="006F6C7A">
        <w:t xml:space="preserve">size. </w:t>
      </w:r>
      <w:r w:rsidR="00312AFD">
        <w:t>The methane molecules were modeled using Lennard-Jones potential to account for interactions between the methane fluid molecules and the carbon pore wall molecules. In order to determine density, the actual number of methane molecules</w:t>
      </w:r>
      <w:r w:rsidR="00B86DA7">
        <w:t xml:space="preserve"> per volume</w:t>
      </w:r>
      <w:r w:rsidR="00312AFD">
        <w:t xml:space="preserve"> </w:t>
      </w:r>
      <w:r w:rsidR="00B86DA7">
        <w:t>were calculated at</w:t>
      </w:r>
      <w:r w:rsidR="00312AFD">
        <w:t xml:space="preserve"> set distances away from the pore walls</w:t>
      </w:r>
      <w:r w:rsidR="00B86DA7">
        <w:t>. From this a density profile for each pore size was generated.</w:t>
      </w:r>
      <w:r w:rsidR="00312AFD">
        <w:t xml:space="preserve"> This simulation predicted adsorbed layer densities of 0.34 g/cm</w:t>
      </w:r>
      <w:r w:rsidR="00312AFD" w:rsidRPr="00312AFD">
        <w:rPr>
          <w:vertAlign w:val="superscript"/>
        </w:rPr>
        <w:t>3</w:t>
      </w:r>
      <w:r w:rsidR="00312AFD">
        <w:t xml:space="preserve"> for methane.</w:t>
      </w:r>
      <w:r w:rsidR="00B86DA7">
        <w:t xml:space="preserve"> This value is less than the 0.37 g/cm</w:t>
      </w:r>
      <w:r w:rsidR="00B86DA7" w:rsidRPr="00312AFD">
        <w:rPr>
          <w:vertAlign w:val="superscript"/>
        </w:rPr>
        <w:t>3</w:t>
      </w:r>
      <w:r w:rsidR="00B86DA7">
        <w:t xml:space="preserve"> reported by </w:t>
      </w:r>
      <w:proofErr w:type="spellStart"/>
      <w:r w:rsidR="00B86DA7">
        <w:t>Haydel</w:t>
      </w:r>
      <w:proofErr w:type="spellEnd"/>
      <w:r w:rsidR="00B86DA7">
        <w:t xml:space="preserve"> and Kobayashi (1967) and the 0.42 by </w:t>
      </w:r>
      <w:proofErr w:type="spellStart"/>
      <w:r w:rsidR="00B86DA7">
        <w:t>Moavor</w:t>
      </w:r>
      <w:proofErr w:type="spellEnd"/>
      <w:r w:rsidR="00B86DA7">
        <w:t xml:space="preserve"> et al. (2004).</w:t>
      </w:r>
    </w:p>
    <w:p w:rsidR="009E1543" w:rsidRDefault="007A45E9" w:rsidP="009E1543">
      <w:pPr>
        <w:ind w:firstLine="720"/>
      </w:pPr>
      <w:proofErr w:type="spellStart"/>
      <w:r>
        <w:t>Didar</w:t>
      </w:r>
      <w:proofErr w:type="spellEnd"/>
      <w:r>
        <w:t xml:space="preserve"> and </w:t>
      </w:r>
      <w:proofErr w:type="spellStart"/>
      <w:r>
        <w:t>Akkutla</w:t>
      </w:r>
      <w:proofErr w:type="spellEnd"/>
      <w:r>
        <w:t xml:space="preserve"> (2013)</w:t>
      </w:r>
      <w:r w:rsidR="00D3145C">
        <w:t xml:space="preserve"> used Monte Carlo simulations to study the adsorption of gases in model </w:t>
      </w:r>
      <w:proofErr w:type="spellStart"/>
      <w:r w:rsidR="00D3145C">
        <w:t>nanopores</w:t>
      </w:r>
      <w:proofErr w:type="spellEnd"/>
      <w:r w:rsidR="00D3145C">
        <w:t xml:space="preserve"> at various pressures and evaluate critical pressure and temperature changes in confined methane. As with the molecular dynamics simulation above, Lennard-Jones potentials were used for the interactions between the pore wall and fluid molecules. </w:t>
      </w:r>
      <w:r w:rsidR="009E1543">
        <w:t xml:space="preserve">The pore walls were modeled as slit-shape graphite, comprised of three layers of graphene. The system is set up as a two box system with the first box containing bulk fluid and the second box containing the slit-shaped pore. The fluid molecules are chosen randomly and allowed to either displace other molecules in the </w:t>
      </w:r>
      <w:r w:rsidR="009E1543">
        <w:lastRenderedPageBreak/>
        <w:t>same box, transition between boxes, or rotate around their center of mass. To evaluate the gas adsorption, an Isobaric-Isothermal Gibbs ensemble was used, where the number of particles, total system pressure and temperature where held constant. To measure the changes in critical pressure and temperature</w:t>
      </w:r>
      <w:r w:rsidR="00D5326C">
        <w:t xml:space="preserve">, a Canonical Gibbs ensemble was used, where the number of particles, volume and temperature remain constant. </w:t>
      </w:r>
    </w:p>
    <w:p w:rsidR="007A45E9" w:rsidRDefault="007A45E9" w:rsidP="007A45E9">
      <w:pPr>
        <w:ind w:firstLine="720"/>
      </w:pPr>
      <w:r>
        <w:t>Mosher et al. (2013)</w:t>
      </w:r>
      <w:r w:rsidR="004C209D">
        <w:t xml:space="preserve"> </w:t>
      </w:r>
      <w:r w:rsidR="00555498">
        <w:t xml:space="preserve">used a grand canonical Monte Carlo algorithm to predict adsorption isotherms at </w:t>
      </w:r>
      <w:r w:rsidR="006112FC">
        <w:t>pressures and temperatures relevant to coal and shale gas formations.</w:t>
      </w:r>
      <w:r w:rsidR="00555498">
        <w:t xml:space="preserve"> </w:t>
      </w:r>
      <w:r w:rsidR="006112FC">
        <w:t xml:space="preserve">The model was a collection of independent, non-interconnected slit-shaped carbon pores of various widths. </w:t>
      </w:r>
      <w:r w:rsidR="00555498">
        <w:t>Their results showed that methane adsorption was highly sensitive to pore size.</w:t>
      </w:r>
      <w:r w:rsidR="006112FC">
        <w:t xml:space="preserve"> As with all simulation based approaches, this algorithm was computationally expensive, requiring 100 million grand canonical Monte Carlo moves during each simulation.</w:t>
      </w:r>
      <w:r w:rsidR="00555498">
        <w:t xml:space="preserve"> </w:t>
      </w:r>
    </w:p>
    <w:p w:rsidR="00D41F29" w:rsidRDefault="00392F58" w:rsidP="008B39D3">
      <w:pPr>
        <w:pStyle w:val="Heading3"/>
      </w:pPr>
      <w:bookmarkStart w:id="21" w:name="_Toc482347169"/>
      <w:r>
        <w:t>2.4.2. D</w:t>
      </w:r>
      <w:r w:rsidR="00D41F29">
        <w:t>ensity functions</w:t>
      </w:r>
      <w:bookmarkEnd w:id="21"/>
    </w:p>
    <w:p w:rsidR="00B717B4" w:rsidRDefault="007A45E9" w:rsidP="00D41F29">
      <w:r>
        <w:tab/>
      </w:r>
      <w:r w:rsidR="00066533">
        <w:t xml:space="preserve">Density functions </w:t>
      </w:r>
      <w:r w:rsidR="00B717B4">
        <w:t xml:space="preserve">are numerical models that couple equations of state and thermodynamic equilibrium relations. This approach requires less computational intensive than simulation models. </w:t>
      </w:r>
    </w:p>
    <w:p w:rsidR="00D41F29" w:rsidRDefault="007A45E9" w:rsidP="00B717B4">
      <w:pPr>
        <w:ind w:firstLine="720"/>
      </w:pPr>
      <w:proofErr w:type="spellStart"/>
      <w:r>
        <w:t>Rangarajan</w:t>
      </w:r>
      <w:proofErr w:type="spellEnd"/>
      <w:r>
        <w:t xml:space="preserve"> et al. (1995)</w:t>
      </w:r>
      <w:r w:rsidR="00B717B4">
        <w:t xml:space="preserve"> was the first to use a </w:t>
      </w:r>
      <w:r w:rsidR="001E7BC6">
        <w:t>s</w:t>
      </w:r>
      <w:r w:rsidR="00B717B4">
        <w:t xml:space="preserve">implified </w:t>
      </w:r>
      <w:r w:rsidR="001E7BC6">
        <w:t>l</w:t>
      </w:r>
      <w:r w:rsidR="00B717B4">
        <w:t xml:space="preserve">ocal </w:t>
      </w:r>
      <w:r w:rsidR="001E7BC6">
        <w:t>d</w:t>
      </w:r>
      <w:r w:rsidR="00B717B4">
        <w:t xml:space="preserve">ensity function to model gas adsorption in </w:t>
      </w:r>
      <w:r w:rsidR="00BF6824">
        <w:t>several different pore wall and fluid type combinations</w:t>
      </w:r>
      <w:r w:rsidR="00B717B4">
        <w:t xml:space="preserve">. The model combined fluid-solid interaction potential with the van der Waals equation of state. </w:t>
      </w:r>
      <w:r w:rsidR="00BF6824">
        <w:t xml:space="preserve">This function predicted </w:t>
      </w:r>
      <w:proofErr w:type="spellStart"/>
      <w:r w:rsidR="00BF6824">
        <w:t>fugacities</w:t>
      </w:r>
      <w:proofErr w:type="spellEnd"/>
      <w:r w:rsidR="00BF6824">
        <w:t xml:space="preserve"> and densities across a wide range of pore pressures. This model </w:t>
      </w:r>
      <w:r w:rsidR="001E7BC6">
        <w:t>under predicted</w:t>
      </w:r>
      <w:r w:rsidR="00BF6824">
        <w:t xml:space="preserve"> gas </w:t>
      </w:r>
      <w:r w:rsidR="001E7BC6">
        <w:t xml:space="preserve">adsorption by as much as 20% at high pressure, but that difference decreased to less than 1% near 1 bar. </w:t>
      </w:r>
    </w:p>
    <w:p w:rsidR="007A45E9" w:rsidRDefault="007A45E9" w:rsidP="00D41F29">
      <w:r>
        <w:lastRenderedPageBreak/>
        <w:tab/>
      </w:r>
      <w:r w:rsidR="001E7BC6">
        <w:t xml:space="preserve">Mohammed et al. (2009) used a simplified local density function based on the Peng-Robinson equation of state to model gas adsorption in coalbeds. </w:t>
      </w:r>
      <w:r w:rsidR="00E30685">
        <w:t xml:space="preserve">This equation of state used a modified </w:t>
      </w:r>
      <w:r w:rsidR="00E30685" w:rsidRPr="00E30685">
        <w:rPr>
          <w:i/>
        </w:rPr>
        <w:t>a</w:t>
      </w:r>
      <w:r w:rsidR="00E30685">
        <w:t xml:space="preserve"> parameter based adsorption data of different fluids on coal. This model predicted adsorbed gas amounts with and average absolute deviation of 4.1%. </w:t>
      </w:r>
    </w:p>
    <w:p w:rsidR="007A45E9" w:rsidRPr="00E25771" w:rsidRDefault="007A45E9" w:rsidP="00D41F29">
      <w:pPr>
        <w:rPr>
          <w:rFonts w:cstheme="minorHAnsi"/>
        </w:rPr>
      </w:pPr>
      <w:r>
        <w:tab/>
      </w:r>
      <w:proofErr w:type="spellStart"/>
      <w:r>
        <w:t>Chareonsuppanimit</w:t>
      </w:r>
      <w:proofErr w:type="spellEnd"/>
      <w:r>
        <w:t xml:space="preserve"> et al. (2012)</w:t>
      </w:r>
      <w:r w:rsidR="00493A78">
        <w:t xml:space="preserve"> compared experimental gas adsorption data obtained for New Albany shale to values predicted by a simplified local density function</w:t>
      </w:r>
      <w:r w:rsidR="004A3B97">
        <w:t xml:space="preserve"> based on the Peng-Robinson equation of state. This model used the same modified </w:t>
      </w:r>
      <w:r w:rsidR="004A3B97" w:rsidRPr="004A3B97">
        <w:rPr>
          <w:i/>
        </w:rPr>
        <w:t>a</w:t>
      </w:r>
      <w:r w:rsidR="004A3B97">
        <w:t xml:space="preserve"> parameter used by Mohammed et al. to calculate the bulk density, and used a modified a parameter based of the fluid molecule distance from the pore wall to calculate the fluid-fluid fugacity</w:t>
      </w:r>
      <w:r w:rsidR="00C474A9">
        <w:t xml:space="preserve"> (Chen et al., 1997)</w:t>
      </w:r>
      <w:r w:rsidR="004A3B97">
        <w:t xml:space="preserve">. This model also modified the </w:t>
      </w:r>
      <w:r w:rsidR="004A3B97" w:rsidRPr="004A3B97">
        <w:rPr>
          <w:i/>
        </w:rPr>
        <w:t>b</w:t>
      </w:r>
      <w:r w:rsidR="004A3B97">
        <w:t xml:space="preserve"> parameter based on empirical correlations. </w:t>
      </w:r>
      <w:r w:rsidR="004A3B97" w:rsidRPr="00E25771">
        <w:rPr>
          <w:rFonts w:cstheme="minorHAnsi"/>
        </w:rPr>
        <w:t xml:space="preserve">Five parameters were also regressed to fit the data: surface area, </w:t>
      </w:r>
      <w:r w:rsidR="00E25771" w:rsidRPr="00E25771">
        <w:rPr>
          <w:rFonts w:cstheme="minorHAnsi"/>
        </w:rPr>
        <w:t xml:space="preserve">Ai, solid-solid interaction energy, </w:t>
      </w:r>
      <w:r w:rsidR="00E25771">
        <w:rPr>
          <w:rFonts w:cstheme="minorHAnsi"/>
          <w:color w:val="000000"/>
          <w:lang w:bidi="ar-SA"/>
        </w:rPr>
        <w:t>the f</w:t>
      </w:r>
      <w:r w:rsidR="00E25771" w:rsidRPr="00E25771">
        <w:rPr>
          <w:rFonts w:cstheme="minorHAnsi"/>
          <w:color w:val="000000"/>
          <w:lang w:bidi="ar-SA"/>
        </w:rPr>
        <w:t>luid molecule-wall molecule interaction energy parameter</w:t>
      </w:r>
      <w:r w:rsidR="00E25771">
        <w:rPr>
          <w:rFonts w:cstheme="minorHAnsi"/>
          <w:color w:val="000000"/>
          <w:lang w:bidi="ar-SA"/>
        </w:rPr>
        <w:t>, and slit length. With these modifications they were able to produce adsorption data with an overall average absolute percentage deviation of 12%.</w:t>
      </w:r>
      <w:r w:rsidR="004A3B97" w:rsidRPr="00E25771">
        <w:rPr>
          <w:rFonts w:cstheme="minorHAnsi"/>
        </w:rPr>
        <w:t xml:space="preserve">  </w:t>
      </w:r>
      <w:r w:rsidR="00493A78" w:rsidRPr="00E25771">
        <w:rPr>
          <w:rFonts w:cstheme="minorHAnsi"/>
        </w:rPr>
        <w:t xml:space="preserve"> </w:t>
      </w:r>
    </w:p>
    <w:p w:rsidR="007A45E9" w:rsidRDefault="007A45E9" w:rsidP="00D41F29">
      <w:r>
        <w:tab/>
      </w:r>
      <w:r w:rsidR="00C474A9">
        <w:t xml:space="preserve">Ma and </w:t>
      </w:r>
      <w:proofErr w:type="spellStart"/>
      <w:r w:rsidR="00C474A9">
        <w:t>Jamili</w:t>
      </w:r>
      <w:proofErr w:type="spellEnd"/>
      <w:r w:rsidR="00C474A9">
        <w:t xml:space="preserve"> (2016</w:t>
      </w:r>
      <w:r>
        <w:t>)</w:t>
      </w:r>
      <w:r w:rsidR="00C474A9">
        <w:t xml:space="preserve"> used a simplified local density function based on the Peng-Robinson equation of state to model density profiles instead of adsorption isotherms for hydrocarbon in shales. </w:t>
      </w:r>
      <w:r w:rsidR="00220583">
        <w:t xml:space="preserve">This model also used slit-shaped pores and the same modified </w:t>
      </w:r>
      <w:r w:rsidR="00220583" w:rsidRPr="00220583">
        <w:rPr>
          <w:i/>
        </w:rPr>
        <w:t>a</w:t>
      </w:r>
      <w:r w:rsidR="00220583">
        <w:t xml:space="preserve"> parameter base on position used above. However, instead of predicting adsorption properties of the gas, their model generated density profiles for the contained fluid across the pore width. This method produced good agreement with density profiles predicted by molecular simulation present in literature.  </w:t>
      </w:r>
    </w:p>
    <w:p w:rsidR="00D41F29" w:rsidRDefault="00D41F29" w:rsidP="008B39D3">
      <w:pPr>
        <w:pStyle w:val="Heading3"/>
      </w:pPr>
      <w:bookmarkStart w:id="22" w:name="_Toc482347170"/>
      <w:r>
        <w:lastRenderedPageBreak/>
        <w:t>2.4.3. Modified equations of state</w:t>
      </w:r>
      <w:bookmarkEnd w:id="22"/>
    </w:p>
    <w:p w:rsidR="00EC0198" w:rsidRDefault="00AF6194" w:rsidP="008F43F1">
      <w:pPr>
        <w:ind w:firstLine="720"/>
      </w:pPr>
      <w:r>
        <w:t>The limitation of</w:t>
      </w:r>
      <w:r w:rsidR="00392F58">
        <w:t xml:space="preserve"> molecular simulations and density functions</w:t>
      </w:r>
      <w:r w:rsidR="001D5D11">
        <w:t xml:space="preserve"> is</w:t>
      </w:r>
      <w:r w:rsidR="00392F58">
        <w:t xml:space="preserve"> that they come with large computational cost. </w:t>
      </w:r>
      <w:r w:rsidR="008F43F1">
        <w:t xml:space="preserve">This computational cost limits the complexity of model for which they can be used. Therefore, to address this issue models that describe the fluid behavior in less detail but still provide fluid properties of adequate detail were developed. </w:t>
      </w:r>
      <w:r w:rsidR="009B101C">
        <w:t xml:space="preserve">Analytical equations of state can model confined fluids with sufficient accuracy so long as only global fluid properties are needed. </w:t>
      </w:r>
      <w:r w:rsidR="00857DEA">
        <w:t>Analytical equations of state also have the additional benefit that they can be used to describe both confined and bulk fluids.</w:t>
      </w:r>
    </w:p>
    <w:p w:rsidR="007525EC" w:rsidRDefault="004254A3" w:rsidP="008F43F1">
      <w:pPr>
        <w:ind w:firstLine="720"/>
      </w:pPr>
      <w:r>
        <w:t xml:space="preserve">Schoen and Diestler (1998) used thermodynamic perturbation theory to model a simple fluid confined in slit-shaped pores. </w:t>
      </w:r>
      <w:r w:rsidR="005978BD">
        <w:t>The</w:t>
      </w:r>
      <w:r w:rsidR="004F0A61">
        <w:t xml:space="preserve">y </w:t>
      </w:r>
      <w:r w:rsidR="005978BD">
        <w:t>assumed</w:t>
      </w:r>
      <w:r w:rsidR="004F0A61">
        <w:t xml:space="preserve"> the fluid had</w:t>
      </w:r>
      <w:r w:rsidR="005978BD">
        <w:t xml:space="preserve"> constant density</w:t>
      </w:r>
      <w:r w:rsidR="004F0A61">
        <w:t xml:space="preserve"> across the pore. </w:t>
      </w:r>
      <w:r>
        <w:t xml:space="preserve">Using this </w:t>
      </w:r>
      <w:r w:rsidR="00202237">
        <w:t>method,</w:t>
      </w:r>
      <w:r>
        <w:t xml:space="preserve"> they modified the van der Waals equation of state. </w:t>
      </w:r>
      <w:r w:rsidR="00E819B5">
        <w:t>They modified</w:t>
      </w:r>
      <w:r w:rsidR="00202237">
        <w:t xml:space="preserve"> </w:t>
      </w:r>
      <w:proofErr w:type="gramStart"/>
      <w:r w:rsidR="00202237">
        <w:t xml:space="preserve">the </w:t>
      </w:r>
      <w:r w:rsidR="00202237" w:rsidRPr="00202237">
        <w:rPr>
          <w:i/>
        </w:rPr>
        <w:t>a</w:t>
      </w:r>
      <w:proofErr w:type="gramEnd"/>
      <w:r w:rsidR="00202237">
        <w:t xml:space="preserve"> parameter in the van der Waals equation of state into </w:t>
      </w:r>
      <w:proofErr w:type="spellStart"/>
      <w:r w:rsidR="00202237" w:rsidRPr="00202237">
        <w:rPr>
          <w:i/>
        </w:rPr>
        <w:t>a</w:t>
      </w:r>
      <w:r w:rsidR="00202237" w:rsidRPr="00202237">
        <w:rPr>
          <w:i/>
          <w:vertAlign w:val="subscript"/>
        </w:rPr>
        <w:t>p</w:t>
      </w:r>
      <w:proofErr w:type="spellEnd"/>
      <w:r w:rsidR="00202237">
        <w:t xml:space="preserve">, a function of distance from the pore wall. </w:t>
      </w:r>
      <w:r w:rsidR="00FD544A">
        <w:t>Thus,</w:t>
      </w:r>
      <w:r w:rsidR="00202237">
        <w:t xml:space="preserve"> they were able to develop an equation of state with the same temperature and density dependence as the van der Waals but </w:t>
      </w:r>
      <w:r w:rsidR="007D6D36">
        <w:t>that wa</w:t>
      </w:r>
      <w:r w:rsidR="00FD544A">
        <w:t xml:space="preserve">s also a function of pore radius. </w:t>
      </w:r>
      <w:r w:rsidR="007D6D36">
        <w:t>This model predicted lower critical temperatures in confined pores and pore condensation over a range of pressures comparable to experimental results.</w:t>
      </w:r>
      <w:r w:rsidR="005978BD">
        <w:t xml:space="preserve"> Unfortunately, because of the simplicity of their model fluid this model failed to predict the correct depression of critical temperature or fluid behavior near the critical point.</w:t>
      </w:r>
      <w:r w:rsidR="007D6D36">
        <w:t xml:space="preserve"> </w:t>
      </w:r>
    </w:p>
    <w:p w:rsidR="004C3643" w:rsidRDefault="007525EC" w:rsidP="008F43F1">
      <w:pPr>
        <w:ind w:firstLine="720"/>
      </w:pPr>
      <w:r>
        <w:t xml:space="preserve">Additional </w:t>
      </w:r>
      <w:r w:rsidR="001D5D11">
        <w:t>earl</w:t>
      </w:r>
      <w:r>
        <w:t>y</w:t>
      </w:r>
      <w:r w:rsidR="001D5D11">
        <w:t xml:space="preserve"> work at developing a pore-size dependent equation of state was developed by Zhu, Ni and Lu (1999). </w:t>
      </w:r>
      <w:r w:rsidR="00A76538">
        <w:t xml:space="preserve">Their goal was to model multilayer adsorption in </w:t>
      </w:r>
      <w:proofErr w:type="spellStart"/>
      <w:r w:rsidR="00A76538">
        <w:t>mesopores</w:t>
      </w:r>
      <w:proofErr w:type="spellEnd"/>
      <w:r w:rsidR="00A76538">
        <w:t xml:space="preserve">, especially the affect pore radius had on adsorbed layer thickness. </w:t>
      </w:r>
      <w:r w:rsidR="0076409E">
        <w:t>They used</w:t>
      </w:r>
      <w:r w:rsidR="001D5D11">
        <w:t xml:space="preserve"> </w:t>
      </w:r>
      <w:r w:rsidR="001D5D11">
        <w:lastRenderedPageBreak/>
        <w:t xml:space="preserve">nitrogen adsorption </w:t>
      </w:r>
      <w:r w:rsidR="0076409E">
        <w:t>test on</w:t>
      </w:r>
      <w:r w:rsidR="001D5D11">
        <w:t xml:space="preserve"> </w:t>
      </w:r>
      <w:r w:rsidR="0076409E">
        <w:t xml:space="preserve">MCM-41 </w:t>
      </w:r>
      <w:r w:rsidR="001D5D11">
        <w:t>sample</w:t>
      </w:r>
      <w:r w:rsidR="0076409E">
        <w:t>s</w:t>
      </w:r>
      <w:r w:rsidR="001D5D11">
        <w:t xml:space="preserve"> </w:t>
      </w:r>
      <w:r w:rsidR="0076409E">
        <w:t xml:space="preserve">with wall thicknesses of 1 nm and pore radii of 2 to 5 nm. </w:t>
      </w:r>
      <w:r w:rsidR="00E33FCC">
        <w:t xml:space="preserve">Using this </w:t>
      </w:r>
      <w:r w:rsidR="009C2236">
        <w:t>method,</w:t>
      </w:r>
      <w:r w:rsidR="00E33FCC">
        <w:t xml:space="preserve"> they were able to develop a relationship between condensation vapor pressure, radius of cylindrical pore, and thickness of the adsorbed film in the pores. This</w:t>
      </w:r>
      <w:r w:rsidR="00BE34E7">
        <w:t xml:space="preserve"> research produced an equation to describe of multilayer adsorption in cylindrical </w:t>
      </w:r>
      <w:proofErr w:type="spellStart"/>
      <w:r w:rsidR="00BE34E7">
        <w:t>mesopores</w:t>
      </w:r>
      <w:proofErr w:type="spellEnd"/>
      <w:r w:rsidR="00BE34E7">
        <w:t xml:space="preserve"> as well as determine the radii of cylindrical pores from adsorption data.</w:t>
      </w:r>
    </w:p>
    <w:p w:rsidR="00683F51" w:rsidRDefault="004C3643" w:rsidP="008F43F1">
      <w:pPr>
        <w:ind w:firstLine="720"/>
      </w:pPr>
      <w:proofErr w:type="spellStart"/>
      <w:r>
        <w:t>Giaya</w:t>
      </w:r>
      <w:proofErr w:type="spellEnd"/>
      <w:r>
        <w:t xml:space="preserve"> and Thompson (2002) </w:t>
      </w:r>
      <w:r w:rsidR="00536E41">
        <w:t xml:space="preserve">used similar methodology to Schoen and Diestler to study water </w:t>
      </w:r>
      <w:r w:rsidR="00585973">
        <w:t xml:space="preserve">contain </w:t>
      </w:r>
      <w:r w:rsidR="00536E41">
        <w:t xml:space="preserve">in </w:t>
      </w:r>
      <w:r w:rsidR="00585973">
        <w:t xml:space="preserve">two different </w:t>
      </w:r>
      <w:r w:rsidR="00536E41">
        <w:t xml:space="preserve">hydrophobic pores. </w:t>
      </w:r>
      <w:r w:rsidR="00AD1C8C">
        <w:t xml:space="preserve">They created a model that predicted the density of water inside the pores </w:t>
      </w:r>
      <w:r w:rsidR="00204CF8">
        <w:t xml:space="preserve">based </w:t>
      </w:r>
      <w:r w:rsidR="00AD1C8C">
        <w:t xml:space="preserve">on the density of the water outside the pores, the pore radius, and the water-molecule-wall molecule attraction. </w:t>
      </w:r>
      <w:r w:rsidR="00626684">
        <w:t xml:space="preserve">This model was very sensitive </w:t>
      </w:r>
      <w:r w:rsidR="00536E41">
        <w:t xml:space="preserve">to </w:t>
      </w:r>
      <w:r w:rsidR="00626684">
        <w:t>the fluid-fluid and fluid-wall parameters selected</w:t>
      </w:r>
      <w:r w:rsidR="00BE34E7">
        <w:t xml:space="preserve"> </w:t>
      </w:r>
      <w:r w:rsidR="00626684">
        <w:t>and showed that parameter</w:t>
      </w:r>
      <w:r w:rsidR="00536E41">
        <w:t xml:space="preserve"> value</w:t>
      </w:r>
      <w:r w:rsidR="00626684">
        <w:t>s that were reasonable for global descriptions of water phase behavior may not work</w:t>
      </w:r>
      <w:r w:rsidR="00536E41">
        <w:t xml:space="preserve"> in confined conditions.</w:t>
      </w:r>
    </w:p>
    <w:p w:rsidR="00E819B5" w:rsidRDefault="00523652" w:rsidP="00E819B5">
      <w:pPr>
        <w:ind w:firstLine="720"/>
      </w:pPr>
      <w:r>
        <w:t xml:space="preserve">By treating pressure as a tensor, </w:t>
      </w:r>
      <w:proofErr w:type="spellStart"/>
      <w:r w:rsidR="00E819B5">
        <w:t>Zarragoicoechea</w:t>
      </w:r>
      <w:proofErr w:type="spellEnd"/>
      <w:r w:rsidR="00E819B5">
        <w:t xml:space="preserve"> and </w:t>
      </w:r>
      <w:proofErr w:type="spellStart"/>
      <w:r w:rsidR="00E819B5">
        <w:t>Kuz</w:t>
      </w:r>
      <w:proofErr w:type="spellEnd"/>
      <w:r w:rsidR="00E819B5">
        <w:t xml:space="preserve"> (2002)</w:t>
      </w:r>
      <w:r>
        <w:t xml:space="preserve"> developed a modified equation of state </w:t>
      </w:r>
      <w:r w:rsidR="00C76A79">
        <w:t>for a fluid confined in a square pore with infinite length and a width of less than 5 nm. This work assumed that pore walls were inert, thus ignoring fluid-wall interactions. This equation showed agreement with lattice model based numerical simulation in regards to critical temperature shift</w:t>
      </w:r>
      <w:r w:rsidR="00C63C2E">
        <w:t xml:space="preserve"> and capillary condensation.</w:t>
      </w:r>
      <w:r w:rsidR="00C76A79">
        <w:t xml:space="preserve"> This method did not change the pre-existing van der Waals parameters</w:t>
      </w:r>
      <w:r w:rsidR="00C63C2E">
        <w:t xml:space="preserve"> </w:t>
      </w:r>
      <w:proofErr w:type="gramStart"/>
      <w:r w:rsidR="00C63C2E" w:rsidRPr="00C63C2E">
        <w:rPr>
          <w:i/>
        </w:rPr>
        <w:t>a</w:t>
      </w:r>
      <w:r w:rsidR="00C63C2E">
        <w:t xml:space="preserve"> or</w:t>
      </w:r>
      <w:proofErr w:type="gramEnd"/>
      <w:r w:rsidR="00C63C2E">
        <w:t xml:space="preserve"> </w:t>
      </w:r>
      <w:r w:rsidR="00C63C2E" w:rsidRPr="00C63C2E">
        <w:rPr>
          <w:i/>
        </w:rPr>
        <w:t>b</w:t>
      </w:r>
      <w:r w:rsidR="00C76A79">
        <w:t xml:space="preserve">. </w:t>
      </w:r>
      <w:proofErr w:type="spellStart"/>
      <w:r w:rsidR="00E819B5">
        <w:t>Zarragoicoechea</w:t>
      </w:r>
      <w:proofErr w:type="spellEnd"/>
      <w:r w:rsidR="00E819B5">
        <w:t xml:space="preserve"> and </w:t>
      </w:r>
      <w:proofErr w:type="spellStart"/>
      <w:r w:rsidR="00E819B5">
        <w:t>Kuz</w:t>
      </w:r>
      <w:proofErr w:type="spellEnd"/>
      <w:r w:rsidR="00E819B5">
        <w:t xml:space="preserve"> (2004)</w:t>
      </w:r>
      <w:r w:rsidR="00C76A79">
        <w:t xml:space="preserve"> extended this </w:t>
      </w:r>
      <w:r w:rsidR="00C63C2E">
        <w:t xml:space="preserve">to a van der Waals equation of state with modified </w:t>
      </w:r>
      <w:r w:rsidR="00C63C2E" w:rsidRPr="00C63C2E">
        <w:rPr>
          <w:i/>
        </w:rPr>
        <w:t>a</w:t>
      </w:r>
      <w:r w:rsidR="00C63C2E">
        <w:t xml:space="preserve"> and </w:t>
      </w:r>
      <w:r w:rsidR="00C63C2E" w:rsidRPr="00C63C2E">
        <w:rPr>
          <w:i/>
        </w:rPr>
        <w:t>b</w:t>
      </w:r>
      <w:r w:rsidR="00C63C2E">
        <w:t xml:space="preserve"> parameters.</w:t>
      </w:r>
    </w:p>
    <w:p w:rsidR="00E819B5" w:rsidRDefault="00E819B5" w:rsidP="00E819B5">
      <w:pPr>
        <w:ind w:firstLine="720"/>
      </w:pPr>
      <w:proofErr w:type="spellStart"/>
      <w:r>
        <w:t>Holovko</w:t>
      </w:r>
      <w:proofErr w:type="spellEnd"/>
      <w:r>
        <w:t xml:space="preserve"> and Dong (2009)</w:t>
      </w:r>
      <w:r w:rsidR="00CE2483">
        <w:t xml:space="preserve"> </w:t>
      </w:r>
      <w:r w:rsidR="00A84FCD">
        <w:t xml:space="preserve">used scaled particle theory to develop an analytical equation of state for a confined hard sphere fluid. An initial error in fluid </w:t>
      </w:r>
      <w:r w:rsidR="00A84FCD">
        <w:lastRenderedPageBreak/>
        <w:t xml:space="preserve">compressibility of less than 20%, when compared to grand canonical ensemble Monte Carlo simulation results, was further refined with an empirical correction to less than 7.6%. </w:t>
      </w:r>
    </w:p>
    <w:p w:rsidR="00351732" w:rsidRDefault="00E819B5" w:rsidP="00351732">
      <w:pPr>
        <w:ind w:firstLine="720"/>
      </w:pPr>
      <w:proofErr w:type="spellStart"/>
      <w:r>
        <w:t>Travalloni</w:t>
      </w:r>
      <w:proofErr w:type="spellEnd"/>
      <w:r>
        <w:t xml:space="preserve"> et al. (2010)</w:t>
      </w:r>
      <w:r w:rsidR="00351732">
        <w:t xml:space="preserve"> developed a modified van der Waals equation of state for pure fluids confined in cylindrical pores</w:t>
      </w:r>
      <w:r w:rsidR="00BF29D8">
        <w:t xml:space="preserve"> based on empirical modeling of confined fluid properties</w:t>
      </w:r>
      <w:r w:rsidR="00351732">
        <w:t xml:space="preserve">. The purpose of this model was to continuously describe the behavior of fluids as a function of pore radius regardless of confinement degree. It used the same modified parameters </w:t>
      </w:r>
      <w:proofErr w:type="gramStart"/>
      <w:r w:rsidR="00973DD6" w:rsidRPr="00973DD6">
        <w:rPr>
          <w:i/>
        </w:rPr>
        <w:t>a</w:t>
      </w:r>
      <w:r w:rsidR="00973DD6">
        <w:t xml:space="preserve"> and</w:t>
      </w:r>
      <w:proofErr w:type="gramEnd"/>
      <w:r w:rsidR="00973DD6">
        <w:t xml:space="preserve"> </w:t>
      </w:r>
      <w:r w:rsidR="00973DD6" w:rsidRPr="00973DD6">
        <w:rPr>
          <w:i/>
        </w:rPr>
        <w:t>b</w:t>
      </w:r>
      <w:r w:rsidR="00973DD6">
        <w:t xml:space="preserve"> for all pore sizes and had good correlation for pure fluid adsorption data and some mixed fluid adsorption data.</w:t>
      </w:r>
    </w:p>
    <w:p w:rsidR="00E819B5" w:rsidRDefault="00E819B5" w:rsidP="00E819B5">
      <w:pPr>
        <w:ind w:firstLine="720"/>
      </w:pPr>
      <w:proofErr w:type="spellStart"/>
      <w:r>
        <w:t>Travalloni</w:t>
      </w:r>
      <w:proofErr w:type="spellEnd"/>
      <w:r>
        <w:t xml:space="preserve"> et al. (2014)</w:t>
      </w:r>
      <w:r w:rsidR="00BF29D8">
        <w:t xml:space="preserve"> </w:t>
      </w:r>
      <w:r w:rsidR="006D6979">
        <w:t xml:space="preserve">later </w:t>
      </w:r>
      <w:r w:rsidR="00BF29D8">
        <w:t xml:space="preserve">used the same empirical approach to develop a modified Peng-Robinson equation of state. </w:t>
      </w:r>
      <w:r w:rsidR="001628FA">
        <w:t>Barbosa</w:t>
      </w:r>
      <w:r w:rsidR="00BF29D8">
        <w:t xml:space="preserve"> et al. (2016) further refined this modified Peng-Robinson</w:t>
      </w:r>
      <w:r w:rsidR="006D6979">
        <w:t xml:space="preserve"> equation of state to correlate</w:t>
      </w:r>
      <w:r w:rsidR="00BF29D8">
        <w:t xml:space="preserve"> with molecular simulation data. This modified Peng-Robinson EOS exhibited better results when compared to experimental data </w:t>
      </w:r>
      <w:r w:rsidR="009667FE">
        <w:t>of mixed gas adsorption.</w:t>
      </w:r>
    </w:p>
    <w:p w:rsidR="00E819B5" w:rsidRDefault="00523652" w:rsidP="00E819B5">
      <w:pPr>
        <w:ind w:firstLine="720"/>
      </w:pPr>
      <w:r>
        <w:t>Dong et al. (2016)</w:t>
      </w:r>
      <w:r w:rsidR="00A26D5F">
        <w:t xml:space="preserve"> used the Peng-Robinson equation of state, a capillary pressure equation, and adsorption theory to model critical point shift, capillary pressure rise, and adsorption behavior for a fluid confined in </w:t>
      </w:r>
      <w:proofErr w:type="spellStart"/>
      <w:r w:rsidR="00A26D5F">
        <w:t>nanopores</w:t>
      </w:r>
      <w:proofErr w:type="spellEnd"/>
      <w:r w:rsidR="00A26D5F">
        <w:t xml:space="preserve">. Their model ignored capillary condensation and Coulombic forces between the fluid molecules and the pore walls. </w:t>
      </w:r>
    </w:p>
    <w:p w:rsidR="00A76538" w:rsidRDefault="00A76538" w:rsidP="008F43F1">
      <w:pPr>
        <w:ind w:firstLine="720"/>
      </w:pPr>
    </w:p>
    <w:p w:rsidR="00654A3B" w:rsidRPr="00EC0198" w:rsidRDefault="00654A3B" w:rsidP="008F43F1">
      <w:pPr>
        <w:ind w:firstLine="720"/>
      </w:pPr>
    </w:p>
    <w:p w:rsidR="00D41F29" w:rsidRDefault="00D41F29" w:rsidP="00D41F29"/>
    <w:p w:rsidR="008B39D3" w:rsidRDefault="008B39D3">
      <w:pPr>
        <w:spacing w:line="240" w:lineRule="auto"/>
        <w:rPr>
          <w:rFonts w:asciiTheme="majorHAnsi" w:hAnsiTheme="majorHAnsi"/>
          <w:b/>
          <w:bCs/>
          <w:sz w:val="28"/>
          <w:szCs w:val="32"/>
        </w:rPr>
      </w:pPr>
      <w:r>
        <w:br w:type="page"/>
      </w:r>
    </w:p>
    <w:p w:rsidR="00D41F29" w:rsidRDefault="00D41F29" w:rsidP="00D41F29">
      <w:pPr>
        <w:pStyle w:val="Heading1"/>
      </w:pPr>
      <w:bookmarkStart w:id="23" w:name="_Toc482347171"/>
      <w:r>
        <w:lastRenderedPageBreak/>
        <w:t>Chapter 3: Methodology</w:t>
      </w:r>
      <w:bookmarkEnd w:id="23"/>
    </w:p>
    <w:p w:rsidR="00B30312" w:rsidRDefault="00994BEE" w:rsidP="00994BEE">
      <w:pPr>
        <w:ind w:firstLine="720"/>
      </w:pPr>
      <w:r>
        <w:t xml:space="preserve">In order to compare the effect pore-body and pore-throat sizes have on the effective density of gas in shale </w:t>
      </w:r>
      <w:proofErr w:type="spellStart"/>
      <w:r>
        <w:t>nanopores</w:t>
      </w:r>
      <w:proofErr w:type="spellEnd"/>
      <w:r>
        <w:t>, it is necessary to collect data on pore-body and pore-throat diameters for representative pore samples and to determine the average density for each of those pore radii.</w:t>
      </w:r>
      <w:r w:rsidR="00B87AE7">
        <w:t xml:space="preserve"> Data available in literature provided the pore-body and pore-throat data. A </w:t>
      </w:r>
      <w:r w:rsidR="006503DE">
        <w:t>Simplified Local Density model, based on the Peng-Robinson equation of state (</w:t>
      </w:r>
      <w:r w:rsidR="00B87AE7">
        <w:t>SLD-PR</w:t>
      </w:r>
      <w:r w:rsidR="006503DE">
        <w:t>),</w:t>
      </w:r>
      <w:r w:rsidR="00B87AE7">
        <w:t xml:space="preserve"> was used to calculate average density for pore-body and pore-throat sizes.</w:t>
      </w:r>
    </w:p>
    <w:p w:rsidR="007617B8" w:rsidRDefault="007617B8" w:rsidP="00994BEE">
      <w:pPr>
        <w:ind w:firstLine="720"/>
      </w:pPr>
    </w:p>
    <w:p w:rsidR="00897391" w:rsidRDefault="00897391" w:rsidP="00897391">
      <w:pPr>
        <w:pStyle w:val="Heading2"/>
        <w:numPr>
          <w:ilvl w:val="0"/>
          <w:numId w:val="0"/>
        </w:numPr>
        <w:ind w:left="360" w:hanging="360"/>
      </w:pPr>
      <w:bookmarkStart w:id="24" w:name="_Toc482347172"/>
      <w:r>
        <w:t>3.1. Pore-body and pore-throat size distribution</w:t>
      </w:r>
      <w:r w:rsidR="006503DE">
        <w:t>s</w:t>
      </w:r>
      <w:bookmarkEnd w:id="24"/>
    </w:p>
    <w:p w:rsidR="00D41F29" w:rsidRDefault="00B30312" w:rsidP="00994BEE">
      <w:pPr>
        <w:ind w:firstLine="720"/>
      </w:pPr>
      <w:r>
        <w:t xml:space="preserve">Pore-body </w:t>
      </w:r>
      <w:r w:rsidR="00895673">
        <w:t xml:space="preserve">and pore-throat </w:t>
      </w:r>
      <w:r>
        <w:t>size distributions for two samples</w:t>
      </w:r>
      <w:r w:rsidR="00994BEE">
        <w:t xml:space="preserve"> </w:t>
      </w:r>
      <w:r>
        <w:t xml:space="preserve">of </w:t>
      </w:r>
      <w:r w:rsidR="00905733">
        <w:t xml:space="preserve">unpreserved </w:t>
      </w:r>
      <w:r>
        <w:t xml:space="preserve">Barnett Shale </w:t>
      </w:r>
      <w:r w:rsidR="00B85739">
        <w:t xml:space="preserve">available in literature </w:t>
      </w:r>
      <w:r>
        <w:t>were used</w:t>
      </w:r>
      <w:r w:rsidR="00905733">
        <w:t xml:space="preserve"> for this thesis</w:t>
      </w:r>
      <w:r>
        <w:t xml:space="preserve">. </w:t>
      </w:r>
      <w:r w:rsidR="0089466A">
        <w:t xml:space="preserve">The </w:t>
      </w:r>
      <w:r w:rsidR="000B0171">
        <w:t xml:space="preserve">mercury </w:t>
      </w:r>
      <w:r w:rsidR="006503DE">
        <w:t>intrusion</w:t>
      </w:r>
      <w:r w:rsidR="0089466A">
        <w:t xml:space="preserve"> </w:t>
      </w:r>
      <w:r w:rsidR="006503DE">
        <w:t xml:space="preserve">capillary pressure measurements </w:t>
      </w:r>
      <w:r w:rsidR="000B0171">
        <w:t>and</w:t>
      </w:r>
      <w:r w:rsidR="006503DE">
        <w:t xml:space="preserve"> nitrogen adsorption/desorption wer</w:t>
      </w:r>
      <w:r w:rsidR="008966E7">
        <w:t>e</w:t>
      </w:r>
      <w:r w:rsidR="0089466A">
        <w:t xml:space="preserve"> conducted by </w:t>
      </w:r>
      <w:proofErr w:type="spellStart"/>
      <w:r w:rsidR="0089466A">
        <w:t>Jaing</w:t>
      </w:r>
      <w:proofErr w:type="spellEnd"/>
      <w:r w:rsidR="0089466A">
        <w:t xml:space="preserve"> et al. (2015)</w:t>
      </w:r>
      <w:r>
        <w:t xml:space="preserve"> </w:t>
      </w:r>
      <w:r w:rsidR="0089466A">
        <w:t>and further analysis</w:t>
      </w:r>
      <w:r w:rsidR="00905733">
        <w:t xml:space="preserve"> on pore size distribution</w:t>
      </w:r>
      <w:r w:rsidR="0089466A">
        <w:t xml:space="preserve"> was completed by Zapata and </w:t>
      </w:r>
      <w:proofErr w:type="spellStart"/>
      <w:r w:rsidR="0089466A">
        <w:t>Sakhaee</w:t>
      </w:r>
      <w:proofErr w:type="spellEnd"/>
      <w:r w:rsidR="0089466A">
        <w:t xml:space="preserve">-Pour (2016). </w:t>
      </w:r>
      <w:r w:rsidR="00905733">
        <w:t xml:space="preserve">The samples </w:t>
      </w:r>
      <w:r w:rsidR="000B0171">
        <w:t>are organic rich shales</w:t>
      </w:r>
      <w:r w:rsidR="00905733">
        <w:t xml:space="preserve"> from the Mitchell 2 T.P. Sims well in Wise County, Texas, from depths between 7610 to 7756 </w:t>
      </w:r>
      <w:r w:rsidR="000B0171">
        <w:t>ft. (Hickey</w:t>
      </w:r>
      <w:r w:rsidR="00BB0B0D">
        <w:t xml:space="preserve"> and </w:t>
      </w:r>
      <w:proofErr w:type="spellStart"/>
      <w:r w:rsidR="00BB0B0D">
        <w:t>Henk</w:t>
      </w:r>
      <w:proofErr w:type="spellEnd"/>
      <w:r w:rsidR="00BB0B0D">
        <w:t>,</w:t>
      </w:r>
      <w:r w:rsidR="000B0171">
        <w:t xml:space="preserve"> 2007)</w:t>
      </w:r>
      <w:r w:rsidR="00905733">
        <w:t>.</w:t>
      </w:r>
    </w:p>
    <w:p w:rsidR="00A75B21" w:rsidRDefault="002912AA" w:rsidP="00994BEE">
      <w:pPr>
        <w:ind w:firstLine="720"/>
      </w:pPr>
      <w:proofErr w:type="spellStart"/>
      <w:r>
        <w:t>Jaing</w:t>
      </w:r>
      <w:proofErr w:type="spellEnd"/>
      <w:r>
        <w:t xml:space="preserve"> et al. (2015) prepared b</w:t>
      </w:r>
      <w:r w:rsidR="000B0171">
        <w:t xml:space="preserve">oth samples </w:t>
      </w:r>
      <w:r>
        <w:t>b</w:t>
      </w:r>
      <w:r w:rsidR="000B0171">
        <w:t>y crush</w:t>
      </w:r>
      <w:r>
        <w:t>ing them</w:t>
      </w:r>
      <w:r w:rsidR="000B0171">
        <w:t xml:space="preserve"> into small fragments</w:t>
      </w:r>
      <w:r>
        <w:t>, between 70 and 125 micrometers, and then drying them</w:t>
      </w:r>
      <w:r w:rsidR="000B0171">
        <w:t xml:space="preserve"> for 48 hours at 220 </w:t>
      </w:r>
      <w:r w:rsidR="000B0171">
        <w:rPr>
          <w:rFonts w:cstheme="minorHAnsi"/>
        </w:rPr>
        <w:t>°</w:t>
      </w:r>
      <w:r w:rsidR="000B0171">
        <w:t xml:space="preserve">C. Two grams of each sample were used for mercury </w:t>
      </w:r>
      <w:r w:rsidR="00A75B21">
        <w:t xml:space="preserve">intrusion/extrusion testing performed on a Micrometrics </w:t>
      </w:r>
      <w:proofErr w:type="spellStart"/>
      <w:r w:rsidR="00A75B21">
        <w:t>AutoPore</w:t>
      </w:r>
      <w:proofErr w:type="spellEnd"/>
      <w:r w:rsidR="00A75B21">
        <w:t xml:space="preserve"> III with a pressure range from 1 to 60,000 psi. Approximately 0.5 g of each sample were tested in a 3Flex Surface Characterization Analyzer from Micrometrics to produce nitrogen sorption isotherms at 77 K. </w:t>
      </w:r>
      <w:r>
        <w:t xml:space="preserve">Mercury intrusion </w:t>
      </w:r>
      <w:r>
        <w:lastRenderedPageBreak/>
        <w:t xml:space="preserve">capillary pressure data was conformance corrected using </w:t>
      </w:r>
      <w:proofErr w:type="spellStart"/>
      <w:r>
        <w:t>Comisky’s</w:t>
      </w:r>
      <w:proofErr w:type="spellEnd"/>
      <w:r>
        <w:t xml:space="preserve"> method (</w:t>
      </w:r>
      <w:proofErr w:type="spellStart"/>
      <w:r>
        <w:t>Comisky</w:t>
      </w:r>
      <w:proofErr w:type="spellEnd"/>
      <w:r>
        <w:t xml:space="preserve"> et al. 2011). </w:t>
      </w:r>
    </w:p>
    <w:p w:rsidR="00FA2412" w:rsidRDefault="00FA2412" w:rsidP="00994BEE">
      <w:pPr>
        <w:ind w:firstLine="720"/>
      </w:pPr>
      <w:r>
        <w:t xml:space="preserve">Zapata and </w:t>
      </w:r>
      <w:proofErr w:type="spellStart"/>
      <w:r>
        <w:t>Sakhaee</w:t>
      </w:r>
      <w:proofErr w:type="spellEnd"/>
      <w:r>
        <w:t xml:space="preserve">-Pour (2016) used an acyclic pore model to determine pore-throat and pore-body size distributions, reproduced in Fig. 1 and 2, from the nitrogen adsorption/desorption and mercury intrusion capillary pressure measurements published in </w:t>
      </w:r>
      <w:proofErr w:type="spellStart"/>
      <w:r>
        <w:t>Jaing</w:t>
      </w:r>
      <w:proofErr w:type="spellEnd"/>
      <w:r>
        <w:t xml:space="preserve"> et al. (2015).</w:t>
      </w:r>
    </w:p>
    <w:p w:rsidR="00FA2412" w:rsidRDefault="00FA2412" w:rsidP="00FA2412">
      <w:pPr>
        <w:keepNext/>
      </w:pPr>
      <w:r>
        <w:rPr>
          <w:noProof/>
          <w:lang w:bidi="ar-SA"/>
        </w:rPr>
        <w:drawing>
          <wp:inline distT="0" distB="0" distL="0" distR="0" wp14:anchorId="032178E6" wp14:editId="3627AECD">
            <wp:extent cx="5394960" cy="36449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879D9" w:rsidRDefault="00FA2412" w:rsidP="00392CDF">
      <w:pPr>
        <w:pStyle w:val="Caption"/>
        <w:jc w:val="center"/>
      </w:pPr>
      <w:bookmarkStart w:id="25" w:name="_Toc482347126"/>
      <w:r>
        <w:t xml:space="preserve">Figure </w:t>
      </w:r>
      <w:r w:rsidR="003C2D7F">
        <w:fldChar w:fldCharType="begin"/>
      </w:r>
      <w:r w:rsidR="003C2D7F">
        <w:instrText xml:space="preserve"> SEQ Figure \* ARABIC </w:instrText>
      </w:r>
      <w:r w:rsidR="003C2D7F">
        <w:fldChar w:fldCharType="separate"/>
      </w:r>
      <w:r w:rsidR="009A340A">
        <w:rPr>
          <w:noProof/>
        </w:rPr>
        <w:t>1</w:t>
      </w:r>
      <w:r w:rsidR="003C2D7F">
        <w:rPr>
          <w:noProof/>
        </w:rPr>
        <w:fldChar w:fldCharType="end"/>
      </w:r>
      <w:r w:rsidR="004A3263">
        <w:t xml:space="preserve">: </w:t>
      </w:r>
      <w:r w:rsidR="004A3263" w:rsidRPr="00B03381">
        <w:rPr>
          <w:b w:val="0"/>
        </w:rPr>
        <w:t>Pore-body and pore-throat distributions for Sample 1.</w:t>
      </w:r>
      <w:bookmarkEnd w:id="25"/>
    </w:p>
    <w:p w:rsidR="00392CDF" w:rsidRPr="00392CDF" w:rsidRDefault="00392CDF" w:rsidP="00392CDF">
      <w:pPr>
        <w:spacing w:line="240" w:lineRule="auto"/>
      </w:pPr>
      <w:r>
        <w:t xml:space="preserve">Pore-body size data was produced using nitrogen adsorption/desorption data and pore-throat size data was produced using mercury intrusion capillary pressure measurements. </w:t>
      </w:r>
    </w:p>
    <w:p w:rsidR="00FA2412" w:rsidRDefault="00FA2412" w:rsidP="00FA2412">
      <w:pPr>
        <w:keepNext/>
      </w:pPr>
      <w:r>
        <w:rPr>
          <w:noProof/>
          <w:lang w:bidi="ar-SA"/>
        </w:rPr>
        <w:lastRenderedPageBreak/>
        <w:drawing>
          <wp:inline distT="0" distB="0" distL="0" distR="0" wp14:anchorId="2B69BE80" wp14:editId="12BDFEAF">
            <wp:extent cx="5394960" cy="337629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92CDF" w:rsidRPr="00B03381" w:rsidRDefault="00FA2412" w:rsidP="00392CDF">
      <w:pPr>
        <w:pStyle w:val="Caption"/>
        <w:jc w:val="center"/>
        <w:rPr>
          <w:b w:val="0"/>
        </w:rPr>
      </w:pPr>
      <w:bookmarkStart w:id="26" w:name="_Toc482347127"/>
      <w:r>
        <w:t xml:space="preserve">Figure </w:t>
      </w:r>
      <w:r w:rsidR="003C2D7F">
        <w:fldChar w:fldCharType="begin"/>
      </w:r>
      <w:r w:rsidR="003C2D7F">
        <w:instrText xml:space="preserve"> SEQ Figure \* ARABIC </w:instrText>
      </w:r>
      <w:r w:rsidR="003C2D7F">
        <w:fldChar w:fldCharType="separate"/>
      </w:r>
      <w:r w:rsidR="009A340A">
        <w:rPr>
          <w:noProof/>
        </w:rPr>
        <w:t>2</w:t>
      </w:r>
      <w:r w:rsidR="003C2D7F">
        <w:rPr>
          <w:noProof/>
        </w:rPr>
        <w:fldChar w:fldCharType="end"/>
      </w:r>
      <w:r w:rsidR="00392CDF">
        <w:t xml:space="preserve">: </w:t>
      </w:r>
      <w:r w:rsidR="00392CDF" w:rsidRPr="00B03381">
        <w:rPr>
          <w:b w:val="0"/>
        </w:rPr>
        <w:t>Pore-body and pore-throat distributions for Sample 2.</w:t>
      </w:r>
      <w:bookmarkEnd w:id="26"/>
    </w:p>
    <w:p w:rsidR="00392CDF" w:rsidRPr="00392CDF" w:rsidRDefault="00392CDF" w:rsidP="00392CDF">
      <w:pPr>
        <w:spacing w:line="240" w:lineRule="auto"/>
      </w:pPr>
      <w:r>
        <w:t xml:space="preserve">Pore-body size data was produced using nitrogen adsorption/desorption data and pore-throat size data was produced using mercury intrusion capillary pressure measurements. </w:t>
      </w:r>
    </w:p>
    <w:p w:rsidR="007617B8" w:rsidRDefault="007617B8" w:rsidP="00897391">
      <w:pPr>
        <w:pStyle w:val="Heading2"/>
        <w:numPr>
          <w:ilvl w:val="0"/>
          <w:numId w:val="0"/>
        </w:numPr>
      </w:pPr>
    </w:p>
    <w:p w:rsidR="00897391" w:rsidRDefault="00897391" w:rsidP="00897391">
      <w:pPr>
        <w:pStyle w:val="Heading2"/>
        <w:numPr>
          <w:ilvl w:val="0"/>
          <w:numId w:val="0"/>
        </w:numPr>
      </w:pPr>
      <w:bookmarkStart w:id="27" w:name="_Toc482347173"/>
      <w:r>
        <w:t xml:space="preserve">3.2. </w:t>
      </w:r>
      <w:r w:rsidR="00D21D56">
        <w:t>Effective density</w:t>
      </w:r>
      <w:bookmarkEnd w:id="27"/>
    </w:p>
    <w:p w:rsidR="006131DD" w:rsidRPr="00194879" w:rsidRDefault="006503DE" w:rsidP="00BD249F">
      <w:pPr>
        <w:spacing w:before="240"/>
        <w:ind w:firstLine="720"/>
      </w:pPr>
      <w:r>
        <w:t>The present research uses a Simplified Local Density (SLD) function based on the Peng-Robinson equation of state</w:t>
      </w:r>
      <w:r w:rsidR="00897391">
        <w:t xml:space="preserve"> to determine the </w:t>
      </w:r>
      <w:r w:rsidR="00772424">
        <w:t>average fluid density for ea</w:t>
      </w:r>
      <w:r w:rsidR="00967183">
        <w:t xml:space="preserve">ch pore size. </w:t>
      </w:r>
      <w:r w:rsidR="00C97811">
        <w:t>The particular SLD used in this thesis was p</w:t>
      </w:r>
      <w:r>
        <w:t>roposed</w:t>
      </w:r>
      <w:r w:rsidR="00C97811">
        <w:t xml:space="preserve"> by Ma and </w:t>
      </w:r>
      <w:proofErr w:type="spellStart"/>
      <w:r w:rsidR="00C97811">
        <w:t>Jamili</w:t>
      </w:r>
      <w:proofErr w:type="spellEnd"/>
      <w:r w:rsidR="00C97811">
        <w:t xml:space="preserve"> (2016) and the </w:t>
      </w:r>
      <w:r w:rsidR="00D21D56">
        <w:t xml:space="preserve">full </w:t>
      </w:r>
      <w:r w:rsidR="00C97811">
        <w:t xml:space="preserve">details of the function calculations can be found in their paper. This SLD assumes a slit shape pore profile and produces a fluid density profile across for a given fluid pressure, </w:t>
      </w:r>
      <w:r w:rsidR="00841771">
        <w:t xml:space="preserve">fluid composition, </w:t>
      </w:r>
      <w:r w:rsidR="00C97811">
        <w:t xml:space="preserve">temperature and pore </w:t>
      </w:r>
      <w:r w:rsidR="00841771">
        <w:t>size</w:t>
      </w:r>
      <w:r w:rsidR="00C97811">
        <w:t>.</w:t>
      </w:r>
      <w:r w:rsidR="00D21D56">
        <w:t xml:space="preserve"> With the fluid pressure</w:t>
      </w:r>
      <w:r w:rsidR="006131DD">
        <w:t xml:space="preserve">, </w:t>
      </w:r>
      <w:r w:rsidR="006131DD" w:rsidRPr="006131DD">
        <w:rPr>
          <w:rFonts w:ascii="Cambria Math" w:hAnsi="Cambria Math"/>
          <w:i/>
        </w:rPr>
        <w:t>P</w:t>
      </w:r>
      <w:r w:rsidR="00D21D56">
        <w:t>, composition, temperature</w:t>
      </w:r>
      <w:r w:rsidR="006131DD">
        <w:t xml:space="preserve">, </w:t>
      </w:r>
      <w:r w:rsidR="006131DD" w:rsidRPr="006131DD">
        <w:rPr>
          <w:rFonts w:ascii="Cambria Math" w:hAnsi="Cambria Math"/>
          <w:i/>
        </w:rPr>
        <w:t>T</w:t>
      </w:r>
      <w:r w:rsidR="006131DD">
        <w:t xml:space="preserve">, and pore size, </w:t>
      </w:r>
      <w:r w:rsidR="006131DD" w:rsidRPr="006131DD">
        <w:rPr>
          <w:rFonts w:ascii="Cambria Math" w:hAnsi="Cambria Math"/>
          <w:i/>
        </w:rPr>
        <w:t>L</w:t>
      </w:r>
      <w:r w:rsidR="006131DD">
        <w:t xml:space="preserve">, </w:t>
      </w:r>
      <w:r w:rsidR="00D21D56">
        <w:t xml:space="preserve">has been selected, a position relative to </w:t>
      </w:r>
      <w:r w:rsidR="00D21D56" w:rsidRPr="00194879">
        <w:t>the pore wall</w:t>
      </w:r>
      <w:r w:rsidR="006131DD" w:rsidRPr="00194879">
        <w:t xml:space="preserve">, </w:t>
      </w:r>
      <w:r w:rsidR="006131DD" w:rsidRPr="00194879">
        <w:rPr>
          <w:rFonts w:ascii="Cambria Math" w:hAnsi="Cambria Math"/>
          <w:i/>
        </w:rPr>
        <w:t>z</w:t>
      </w:r>
      <w:r w:rsidR="006131DD" w:rsidRPr="00194879">
        <w:t>,</w:t>
      </w:r>
      <w:r w:rsidR="00D21D56" w:rsidRPr="00194879">
        <w:t xml:space="preserve"> is selected. The fluid-solid chemical potential for both walls</w:t>
      </w:r>
      <w:r w:rsidR="006131DD" w:rsidRPr="00194879">
        <w:t xml:space="preserve">, </w:t>
      </w:r>
      <m:oMath>
        <m:sSub>
          <m:sSubPr>
            <m:ctrlPr>
              <w:rPr>
                <w:rFonts w:ascii="Cambria Math" w:eastAsiaTheme="minorHAnsi" w:hAnsi="Cambria Math"/>
                <w:i/>
                <w:lang w:bidi="ar-SA"/>
              </w:rPr>
            </m:ctrlPr>
          </m:sSubPr>
          <m:e>
            <m:r>
              <w:rPr>
                <w:rFonts w:ascii="Cambria Math" w:hAnsi="Cambria Math"/>
              </w:rPr>
              <m:t>μ</m:t>
            </m:r>
          </m:e>
          <m:sub>
            <m:r>
              <w:rPr>
                <w:rFonts w:ascii="Cambria Math" w:hAnsi="Cambria Math"/>
              </w:rPr>
              <m:t>fs</m:t>
            </m:r>
          </m:sub>
        </m:sSub>
        <m:d>
          <m:dPr>
            <m:ctrlPr>
              <w:rPr>
                <w:rFonts w:ascii="Cambria Math" w:hAnsi="Cambria Math"/>
                <w:i/>
              </w:rPr>
            </m:ctrlPr>
          </m:dPr>
          <m:e>
            <m:r>
              <w:rPr>
                <w:rFonts w:ascii="Cambria Math" w:hAnsi="Cambria Math"/>
              </w:rPr>
              <m:t>z</m:t>
            </m:r>
          </m:e>
        </m:d>
      </m:oMath>
      <w:r w:rsidR="006131DD" w:rsidRPr="00194879">
        <w:t>,</w:t>
      </w:r>
      <w:r w:rsidR="00D21D56" w:rsidRPr="00194879">
        <w:t xml:space="preserve"> at that position is then calculated</w:t>
      </w:r>
      <w:r w:rsidR="006131DD" w:rsidRPr="00194879">
        <w:t>:</w:t>
      </w:r>
      <w:r w:rsidR="00D21D56" w:rsidRPr="00194879">
        <w:t xml:space="preserve"> </w:t>
      </w:r>
    </w:p>
    <w:p w:rsidR="006131DD" w:rsidRPr="00194879" w:rsidRDefault="003C2D7F" w:rsidP="00682AF7">
      <w:pPr>
        <w:ind w:firstLine="720"/>
        <w:rPr>
          <w:rFonts w:ascii="Times New Roman" w:eastAsiaTheme="minorEastAsia" w:hAnsi="Times New Roman"/>
        </w:rPr>
      </w:pPr>
      <m:oMath>
        <m:sSub>
          <m:sSubPr>
            <m:ctrlPr>
              <w:rPr>
                <w:rFonts w:ascii="Cambria Math" w:eastAsiaTheme="minorHAnsi" w:hAnsi="Cambria Math"/>
                <w:i/>
                <w:lang w:bidi="ar-SA"/>
              </w:rPr>
            </m:ctrlPr>
          </m:sSubPr>
          <m:e>
            <m:r>
              <w:rPr>
                <w:rFonts w:ascii="Cambria Math" w:hAnsi="Cambria Math"/>
              </w:rPr>
              <m:t>μ</m:t>
            </m:r>
          </m:e>
          <m:sub>
            <m:r>
              <w:rPr>
                <w:rFonts w:ascii="Cambria Math" w:hAnsi="Cambria Math"/>
              </w:rPr>
              <m:t>fs</m:t>
            </m:r>
          </m:sub>
        </m:sSub>
        <m:d>
          <m:dPr>
            <m:ctrlPr>
              <w:rPr>
                <w:rFonts w:ascii="Cambria Math" w:hAnsi="Cambria Math"/>
                <w:i/>
              </w:rPr>
            </m:ctrlPr>
          </m:dPr>
          <m:e>
            <m:r>
              <w:rPr>
                <w:rFonts w:ascii="Cambria Math" w:hAnsi="Cambria Math"/>
              </w:rPr>
              <m:t>z</m:t>
            </m:r>
          </m:e>
        </m:d>
        <m:r>
          <w:rPr>
            <w:rFonts w:ascii="Cambria Math" w:hAnsi="Cambria Math"/>
          </w:rPr>
          <m:t>=</m:t>
        </m:r>
        <m:sSub>
          <m:sSubPr>
            <m:ctrlPr>
              <w:rPr>
                <w:rFonts w:ascii="Cambria Math" w:eastAsiaTheme="minorHAnsi" w:hAnsi="Cambria Math"/>
                <w:i/>
                <w:lang w:bidi="ar-SA"/>
              </w:rPr>
            </m:ctrlPr>
          </m:sSubPr>
          <m:e>
            <m:r>
              <w:rPr>
                <w:rFonts w:ascii="Cambria Math" w:hAnsi="Cambria Math"/>
              </w:rPr>
              <m:t>N</m:t>
            </m:r>
          </m:e>
          <m:sub>
            <m:r>
              <w:rPr>
                <w:rFonts w:ascii="Cambria Math" w:hAnsi="Cambria Math"/>
              </w:rPr>
              <m:t>A</m:t>
            </m:r>
          </m:sub>
        </m:sSub>
        <m:sSup>
          <m:sSupPr>
            <m:ctrlPr>
              <w:rPr>
                <w:rFonts w:ascii="Cambria Math" w:eastAsiaTheme="minorHAnsi" w:hAnsi="Cambria Math"/>
                <w:i/>
                <w:lang w:bidi="ar-SA"/>
              </w:rPr>
            </m:ctrlPr>
          </m:sSupPr>
          <m:e>
            <m:r>
              <w:rPr>
                <w:rFonts w:ascii="Cambria Math" w:hAnsi="Cambria Math"/>
              </w:rPr>
              <m:t>Ψ</m:t>
            </m:r>
          </m:e>
          <m:sup>
            <m:r>
              <w:rPr>
                <w:rFonts w:ascii="Cambria Math" w:hAnsi="Cambria Math"/>
              </w:rPr>
              <m:t>fs</m:t>
            </m:r>
          </m:sup>
        </m:sSup>
        <m:r>
          <w:rPr>
            <w:rFonts w:ascii="Cambria Math" w:hAnsi="Cambria Math"/>
          </w:rPr>
          <m:t>(z)</m:t>
        </m:r>
      </m:oMath>
      <w:r w:rsidR="0021202F">
        <w:rPr>
          <w:rFonts w:ascii="Times New Roman" w:eastAsiaTheme="minorEastAsia" w:hAnsi="Times New Roman"/>
        </w:rPr>
        <w:tab/>
      </w:r>
      <w:r w:rsidR="0021202F">
        <w:rPr>
          <w:rFonts w:ascii="Times New Roman" w:eastAsiaTheme="minorEastAsia" w:hAnsi="Times New Roman"/>
        </w:rPr>
        <w:tab/>
      </w:r>
      <w:r w:rsidR="0021202F">
        <w:rPr>
          <w:rFonts w:ascii="Times New Roman" w:eastAsiaTheme="minorEastAsia" w:hAnsi="Times New Roman"/>
        </w:rPr>
        <w:tab/>
      </w:r>
      <w:r w:rsidR="0021202F">
        <w:rPr>
          <w:rFonts w:ascii="Times New Roman" w:eastAsiaTheme="minorEastAsia" w:hAnsi="Times New Roman"/>
        </w:rPr>
        <w:tab/>
      </w:r>
      <w:r w:rsidR="006131DD" w:rsidRPr="00194879">
        <w:rPr>
          <w:rFonts w:ascii="Times New Roman" w:eastAsiaTheme="minorEastAsia" w:hAnsi="Times New Roman"/>
        </w:rPr>
        <w:tab/>
      </w:r>
      <w:r w:rsidR="006131DD" w:rsidRPr="00194879">
        <w:rPr>
          <w:rFonts w:ascii="Times New Roman" w:eastAsiaTheme="minorEastAsia" w:hAnsi="Times New Roman"/>
        </w:rPr>
        <w:tab/>
      </w:r>
      <w:r w:rsidR="006131DD" w:rsidRPr="00194879">
        <w:rPr>
          <w:rFonts w:ascii="Times New Roman" w:eastAsiaTheme="minorEastAsia" w:hAnsi="Times New Roman"/>
        </w:rPr>
        <w:tab/>
        <w:t xml:space="preserve">                (</w:t>
      </w:r>
      <w:r w:rsidR="00DE7E89">
        <w:rPr>
          <w:rFonts w:ascii="Times New Roman" w:eastAsiaTheme="minorEastAsia" w:hAnsi="Times New Roman"/>
        </w:rPr>
        <w:t>3</w:t>
      </w:r>
      <w:r w:rsidR="006131DD" w:rsidRPr="00194879">
        <w:rPr>
          <w:rFonts w:ascii="Times New Roman" w:eastAsiaTheme="minorEastAsia" w:hAnsi="Times New Roman"/>
        </w:rPr>
        <w:t>)</w:t>
      </w:r>
    </w:p>
    <w:p w:rsidR="00E8417E" w:rsidRPr="00194879" w:rsidRDefault="006131DD" w:rsidP="00E8417E">
      <w:r w:rsidRPr="00194879">
        <w:t xml:space="preserve">Where </w:t>
      </w:r>
      <w:r w:rsidRPr="00194879">
        <w:rPr>
          <w:rFonts w:ascii="Cambria Math" w:hAnsi="Cambria Math"/>
          <w:i/>
        </w:rPr>
        <w:t>N</w:t>
      </w:r>
      <w:r w:rsidRPr="00194879">
        <w:rPr>
          <w:rFonts w:ascii="Cambria Math" w:hAnsi="Cambria Math"/>
          <w:i/>
          <w:vertAlign w:val="subscript"/>
        </w:rPr>
        <w:t>A</w:t>
      </w:r>
      <w:r w:rsidRPr="00194879">
        <w:t xml:space="preserve"> is Avogadro’s number and </w:t>
      </w:r>
      <m:oMath>
        <m:sSup>
          <m:sSupPr>
            <m:ctrlPr>
              <w:rPr>
                <w:rFonts w:ascii="Cambria Math" w:eastAsiaTheme="minorHAnsi" w:hAnsi="Cambria Math"/>
                <w:i/>
                <w:lang w:bidi="ar-SA"/>
              </w:rPr>
            </m:ctrlPr>
          </m:sSupPr>
          <m:e>
            <m:r>
              <w:rPr>
                <w:rFonts w:ascii="Cambria Math" w:hAnsi="Cambria Math"/>
              </w:rPr>
              <m:t>Ψ</m:t>
            </m:r>
          </m:e>
          <m:sup>
            <m:r>
              <w:rPr>
                <w:rFonts w:ascii="Cambria Math" w:hAnsi="Cambria Math"/>
              </w:rPr>
              <m:t>fs</m:t>
            </m:r>
          </m:sup>
        </m:sSup>
        <m:r>
          <w:rPr>
            <w:rFonts w:ascii="Cambria Math" w:hAnsi="Cambria Math"/>
          </w:rPr>
          <m:t>(z)</m:t>
        </m:r>
      </m:oMath>
      <w:r w:rsidRPr="00194879">
        <w:t xml:space="preserve"> is the fluid mol</w:t>
      </w:r>
      <w:r w:rsidR="00E8417E" w:rsidRPr="00194879">
        <w:t xml:space="preserve">ecule-wall molecule potential energy function. Lee’s partially integrated 10-4 Lennard-Jones potential model (Lee 1988) was used to calculate  </w:t>
      </w:r>
      <m:oMath>
        <m:sSup>
          <m:sSupPr>
            <m:ctrlPr>
              <w:rPr>
                <w:rFonts w:ascii="Cambria Math" w:eastAsiaTheme="minorHAnsi" w:hAnsi="Cambria Math"/>
                <w:i/>
                <w:lang w:bidi="ar-SA"/>
              </w:rPr>
            </m:ctrlPr>
          </m:sSupPr>
          <m:e>
            <m:r>
              <w:rPr>
                <w:rFonts w:ascii="Cambria Math" w:hAnsi="Cambria Math"/>
              </w:rPr>
              <m:t>Ψ</m:t>
            </m:r>
          </m:e>
          <m:sup>
            <m:r>
              <w:rPr>
                <w:rFonts w:ascii="Cambria Math" w:hAnsi="Cambria Math"/>
              </w:rPr>
              <m:t>fs</m:t>
            </m:r>
          </m:sup>
        </m:sSup>
        <m:r>
          <w:rPr>
            <w:rFonts w:ascii="Cambria Math" w:hAnsi="Cambria Math"/>
          </w:rPr>
          <m:t>(z)</m:t>
        </m:r>
      </m:oMath>
      <w:r w:rsidR="00E8417E" w:rsidRPr="00194879">
        <w:t>:</w:t>
      </w:r>
    </w:p>
    <w:p w:rsidR="00E8417E" w:rsidRPr="00194879" w:rsidRDefault="003C2D7F" w:rsidP="0021202F">
      <w:pPr>
        <w:ind w:firstLine="720"/>
        <w:rPr>
          <w:rFonts w:ascii="Times New Roman" w:eastAsiaTheme="minorEastAsia" w:hAnsi="Times New Roman"/>
        </w:rPr>
      </w:pPr>
      <m:oMath>
        <m:sSup>
          <m:sSupPr>
            <m:ctrlPr>
              <w:rPr>
                <w:rFonts w:ascii="Cambria Math" w:eastAsiaTheme="minorHAnsi" w:hAnsi="Cambria Math"/>
                <w:i/>
                <w:lang w:bidi="ar-SA"/>
              </w:rPr>
            </m:ctrlPr>
          </m:sSupPr>
          <m:e>
            <m:r>
              <w:rPr>
                <w:rFonts w:ascii="Cambria Math" w:hAnsi="Cambria Math"/>
              </w:rPr>
              <m:t>Ψ</m:t>
            </m:r>
          </m:e>
          <m:sup>
            <m:r>
              <w:rPr>
                <w:rFonts w:ascii="Cambria Math" w:hAnsi="Cambria Math"/>
              </w:rPr>
              <m:t>fs</m:t>
            </m:r>
          </m:sup>
        </m:sSup>
        <m:d>
          <m:dPr>
            <m:ctrlPr>
              <w:rPr>
                <w:rFonts w:ascii="Cambria Math" w:hAnsi="Cambria Math"/>
                <w:i/>
              </w:rPr>
            </m:ctrlPr>
          </m:dPr>
          <m:e>
            <m:r>
              <w:rPr>
                <w:rFonts w:ascii="Cambria Math" w:hAnsi="Cambria Math"/>
              </w:rPr>
              <m:t>z</m:t>
            </m:r>
          </m:e>
        </m:d>
        <m:r>
          <w:rPr>
            <w:rFonts w:ascii="Cambria Math" w:hAnsi="Cambria Math"/>
          </w:rPr>
          <m:t>=4π</m:t>
        </m:r>
        <m:sSub>
          <m:sSubPr>
            <m:ctrlPr>
              <w:rPr>
                <w:rFonts w:ascii="Cambria Math" w:eastAsiaTheme="minorHAnsi" w:hAnsi="Cambria Math"/>
                <w:i/>
                <w:lang w:bidi="ar-SA"/>
              </w:rPr>
            </m:ctrlPr>
          </m:sSubPr>
          <m:e>
            <m:r>
              <w:rPr>
                <w:rFonts w:ascii="Cambria Math" w:hAnsi="Cambria Math"/>
              </w:rPr>
              <m:t>ρ</m:t>
            </m:r>
          </m:e>
          <m:sub>
            <m:r>
              <w:rPr>
                <w:rFonts w:ascii="Cambria Math" w:hAnsi="Cambria Math"/>
              </w:rPr>
              <m:t>atoms</m:t>
            </m:r>
          </m:sub>
        </m:sSub>
        <m:sSub>
          <m:sSubPr>
            <m:ctrlPr>
              <w:rPr>
                <w:rFonts w:ascii="Cambria Math" w:eastAsiaTheme="minorHAnsi" w:hAnsi="Cambria Math"/>
                <w:i/>
                <w:lang w:bidi="ar-SA"/>
              </w:rPr>
            </m:ctrlPr>
          </m:sSubPr>
          <m:e>
            <m:r>
              <w:rPr>
                <w:rFonts w:ascii="Cambria Math" w:hAnsi="Cambria Math"/>
              </w:rPr>
              <m:t>ε</m:t>
            </m:r>
          </m:e>
          <m:sub>
            <m:r>
              <w:rPr>
                <w:rFonts w:ascii="Cambria Math" w:hAnsi="Cambria Math"/>
              </w:rPr>
              <m:t>fs</m:t>
            </m:r>
          </m:sub>
        </m:sSub>
        <m:sSubSup>
          <m:sSubSupPr>
            <m:ctrlPr>
              <w:rPr>
                <w:rFonts w:ascii="Cambria Math" w:eastAsiaTheme="minorHAnsi" w:hAnsi="Cambria Math"/>
                <w:i/>
                <w:lang w:bidi="ar-SA"/>
              </w:rPr>
            </m:ctrlPr>
          </m:sSubSupPr>
          <m:e>
            <m:r>
              <w:rPr>
                <w:rFonts w:ascii="Cambria Math" w:hAnsi="Cambria Math"/>
              </w:rPr>
              <m:t>σ</m:t>
            </m:r>
          </m:e>
          <m:sub>
            <m:r>
              <w:rPr>
                <w:rFonts w:ascii="Cambria Math" w:hAnsi="Cambria Math"/>
              </w:rPr>
              <m:t>fs</m:t>
            </m:r>
          </m:sub>
          <m:sup>
            <m:r>
              <w:rPr>
                <w:rFonts w:ascii="Cambria Math" w:hAnsi="Cambria Math"/>
              </w:rPr>
              <m:t>2</m:t>
            </m:r>
          </m:sup>
        </m:sSubSup>
        <m:r>
          <w:rPr>
            <w:rFonts w:ascii="Cambria Math" w:hAnsi="Cambria Math"/>
          </w:rPr>
          <m:t>(</m:t>
        </m:r>
        <m:f>
          <m:fPr>
            <m:ctrlPr>
              <w:rPr>
                <w:rFonts w:ascii="Cambria Math" w:eastAsiaTheme="minorHAnsi" w:hAnsi="Cambria Math"/>
                <w:i/>
                <w:lang w:bidi="ar-SA"/>
              </w:rPr>
            </m:ctrlPr>
          </m:fPr>
          <m:num>
            <m:sSubSup>
              <m:sSubSupPr>
                <m:ctrlPr>
                  <w:rPr>
                    <w:rFonts w:ascii="Cambria Math" w:eastAsiaTheme="minorHAnsi" w:hAnsi="Cambria Math"/>
                    <w:i/>
                    <w:lang w:bidi="ar-SA"/>
                  </w:rPr>
                </m:ctrlPr>
              </m:sSubSupPr>
              <m:e>
                <m:r>
                  <w:rPr>
                    <w:rFonts w:ascii="Cambria Math" w:hAnsi="Cambria Math"/>
                  </w:rPr>
                  <m:t>σ</m:t>
                </m:r>
              </m:e>
              <m:sub>
                <m:r>
                  <w:rPr>
                    <w:rFonts w:ascii="Cambria Math" w:hAnsi="Cambria Math"/>
                  </w:rPr>
                  <m:t>fs</m:t>
                </m:r>
              </m:sub>
              <m:sup>
                <m:r>
                  <w:rPr>
                    <w:rFonts w:ascii="Cambria Math" w:hAnsi="Cambria Math"/>
                  </w:rPr>
                  <m:t>10</m:t>
                </m:r>
              </m:sup>
            </m:sSubSup>
          </m:num>
          <m:den>
            <m:r>
              <w:rPr>
                <w:rFonts w:ascii="Cambria Math" w:hAnsi="Cambria Math"/>
              </w:rPr>
              <m:t>5</m:t>
            </m:r>
            <m:sSup>
              <m:sSupPr>
                <m:ctrlPr>
                  <w:rPr>
                    <w:rFonts w:ascii="Cambria Math" w:eastAsiaTheme="minorHAnsi" w:hAnsi="Cambria Math"/>
                    <w:i/>
                    <w:lang w:bidi="ar-SA"/>
                  </w:rPr>
                </m:ctrlPr>
              </m:sSupPr>
              <m:e>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m:t>
                </m:r>
              </m:e>
              <m:sup>
                <m:r>
                  <w:rPr>
                    <w:rFonts w:ascii="Cambria Math" w:hAnsi="Cambria Math"/>
                  </w:rPr>
                  <m:t>10</m:t>
                </m:r>
              </m:sup>
            </m:sSup>
          </m:den>
        </m:f>
        <m:r>
          <w:rPr>
            <w:rFonts w:ascii="Cambria Math" w:hAnsi="Cambria Math"/>
          </w:rPr>
          <m:t>-</m:t>
        </m:r>
        <m:f>
          <m:fPr>
            <m:ctrlPr>
              <w:rPr>
                <w:rFonts w:ascii="Cambria Math" w:eastAsiaTheme="minorHAnsi" w:hAnsi="Cambria Math"/>
                <w:i/>
                <w:lang w:bidi="ar-SA"/>
              </w:rPr>
            </m:ctrlPr>
          </m:fPr>
          <m:num>
            <m:r>
              <w:rPr>
                <w:rFonts w:ascii="Cambria Math" w:hAnsi="Cambria Math"/>
              </w:rPr>
              <m:t>1</m:t>
            </m:r>
          </m:num>
          <m:den>
            <m:r>
              <w:rPr>
                <w:rFonts w:ascii="Cambria Math" w:hAnsi="Cambria Math"/>
              </w:rPr>
              <m:t>2</m:t>
            </m:r>
          </m:den>
        </m:f>
        <m:nary>
          <m:naryPr>
            <m:chr m:val="∑"/>
            <m:limLoc m:val="undOvr"/>
            <m:ctrlPr>
              <w:rPr>
                <w:rFonts w:ascii="Cambria Math" w:eastAsiaTheme="minorHAnsi" w:hAnsi="Cambria Math"/>
                <w:i/>
                <w:lang w:bidi="ar-SA"/>
              </w:rPr>
            </m:ctrlPr>
          </m:naryPr>
          <m:sub>
            <m:r>
              <w:rPr>
                <w:rFonts w:ascii="Cambria Math" w:hAnsi="Cambria Math"/>
              </w:rPr>
              <m:t>i=1</m:t>
            </m:r>
          </m:sub>
          <m:sup>
            <m:r>
              <w:rPr>
                <w:rFonts w:ascii="Cambria Math" w:hAnsi="Cambria Math"/>
              </w:rPr>
              <m:t>4</m:t>
            </m:r>
          </m:sup>
          <m:e>
            <m:f>
              <m:fPr>
                <m:ctrlPr>
                  <w:rPr>
                    <w:rFonts w:ascii="Cambria Math" w:eastAsiaTheme="minorHAnsi" w:hAnsi="Cambria Math"/>
                    <w:i/>
                    <w:lang w:bidi="ar-SA"/>
                  </w:rPr>
                </m:ctrlPr>
              </m:fPr>
              <m:num>
                <m:sSubSup>
                  <m:sSubSupPr>
                    <m:ctrlPr>
                      <w:rPr>
                        <w:rFonts w:ascii="Cambria Math" w:eastAsiaTheme="minorHAnsi" w:hAnsi="Cambria Math"/>
                        <w:i/>
                        <w:lang w:bidi="ar-SA"/>
                      </w:rPr>
                    </m:ctrlPr>
                  </m:sSubSupPr>
                  <m:e>
                    <m:r>
                      <w:rPr>
                        <w:rFonts w:ascii="Cambria Math" w:hAnsi="Cambria Math"/>
                      </w:rPr>
                      <m:t>σ</m:t>
                    </m:r>
                  </m:e>
                  <m:sub>
                    <m:r>
                      <w:rPr>
                        <w:rFonts w:ascii="Cambria Math" w:hAnsi="Cambria Math"/>
                      </w:rPr>
                      <m:t>fs</m:t>
                    </m:r>
                  </m:sub>
                  <m:sup>
                    <m:r>
                      <w:rPr>
                        <w:rFonts w:ascii="Cambria Math" w:hAnsi="Cambria Math"/>
                      </w:rPr>
                      <m:t>4</m:t>
                    </m:r>
                  </m:sup>
                </m:sSubSup>
              </m:num>
              <m:den>
                <m:sSup>
                  <m:sSupPr>
                    <m:ctrlPr>
                      <w:rPr>
                        <w:rFonts w:ascii="Cambria Math" w:eastAsiaTheme="minorHAnsi" w:hAnsi="Cambria Math"/>
                        <w:i/>
                        <w:lang w:bidi="ar-SA"/>
                      </w:rPr>
                    </m:ctrlPr>
                  </m:sSupPr>
                  <m:e>
                    <m:r>
                      <w:rPr>
                        <w:rFonts w:ascii="Cambria Math" w:hAnsi="Cambria Math"/>
                      </w:rPr>
                      <m:t>(</m:t>
                    </m:r>
                    <m:sSup>
                      <m:sSupPr>
                        <m:ctrlPr>
                          <w:rPr>
                            <w:rFonts w:ascii="Cambria Math" w:hAnsi="Cambria Math"/>
                            <w:i/>
                          </w:rPr>
                        </m:ctrlPr>
                      </m:sSupPr>
                      <m:e>
                        <m:r>
                          <w:rPr>
                            <w:rFonts w:ascii="Cambria Math" w:hAnsi="Cambria Math"/>
                          </w:rPr>
                          <m:t>z</m:t>
                        </m:r>
                      </m:e>
                      <m:sup>
                        <m:r>
                          <w:rPr>
                            <w:rFonts w:ascii="Cambria Math" w:hAnsi="Cambria Math"/>
                          </w:rPr>
                          <m:t>'</m:t>
                        </m:r>
                      </m:sup>
                    </m:sSup>
                    <m:r>
                      <w:rPr>
                        <w:rFonts w:ascii="Cambria Math" w:hAnsi="Cambria Math"/>
                      </w:rPr>
                      <m:t>+</m:t>
                    </m:r>
                    <m:d>
                      <m:dPr>
                        <m:ctrlPr>
                          <w:rPr>
                            <w:rFonts w:ascii="Cambria Math" w:hAnsi="Cambria Math"/>
                            <w:i/>
                          </w:rPr>
                        </m:ctrlPr>
                      </m:dPr>
                      <m:e>
                        <m:r>
                          <w:rPr>
                            <w:rFonts w:ascii="Cambria Math" w:hAnsi="Cambria Math"/>
                          </w:rPr>
                          <m:t>i+1</m:t>
                        </m:r>
                      </m:e>
                    </m:d>
                    <m:sSub>
                      <m:sSubPr>
                        <m:ctrlPr>
                          <w:rPr>
                            <w:rFonts w:ascii="Cambria Math" w:eastAsiaTheme="minorHAnsi" w:hAnsi="Cambria Math"/>
                            <w:i/>
                            <w:lang w:bidi="ar-SA"/>
                          </w:rPr>
                        </m:ctrlPr>
                      </m:sSubPr>
                      <m:e>
                        <m:r>
                          <w:rPr>
                            <w:rFonts w:ascii="Cambria Math" w:hAnsi="Cambria Math"/>
                          </w:rPr>
                          <m:t>σ</m:t>
                        </m:r>
                      </m:e>
                      <m:sub>
                        <m:r>
                          <w:rPr>
                            <w:rFonts w:ascii="Cambria Math" w:hAnsi="Cambria Math"/>
                          </w:rPr>
                          <m:t>ss</m:t>
                        </m:r>
                      </m:sub>
                    </m:sSub>
                    <m:r>
                      <w:rPr>
                        <w:rFonts w:ascii="Cambria Math" w:hAnsi="Cambria Math"/>
                      </w:rPr>
                      <m:t>)</m:t>
                    </m:r>
                  </m:e>
                  <m:sup>
                    <m:r>
                      <w:rPr>
                        <w:rFonts w:ascii="Cambria Math" w:hAnsi="Cambria Math"/>
                      </w:rPr>
                      <m:t>4</m:t>
                    </m:r>
                  </m:sup>
                </m:sSup>
              </m:den>
            </m:f>
          </m:e>
        </m:nary>
        <m:r>
          <w:rPr>
            <w:rFonts w:ascii="Cambria Math" w:hAnsi="Cambria Math"/>
          </w:rPr>
          <m:t>)</m:t>
        </m:r>
      </m:oMath>
      <w:r w:rsidR="00E8417E" w:rsidRPr="00194879">
        <w:rPr>
          <w:rFonts w:ascii="Times New Roman" w:eastAsiaTheme="minorEastAsia" w:hAnsi="Times New Roman"/>
        </w:rPr>
        <w:t xml:space="preserve">                 </w:t>
      </w:r>
      <w:r w:rsidR="00194879">
        <w:rPr>
          <w:rFonts w:ascii="Times New Roman" w:eastAsiaTheme="minorEastAsia" w:hAnsi="Times New Roman"/>
        </w:rPr>
        <w:tab/>
      </w:r>
      <w:r w:rsidR="00194879">
        <w:rPr>
          <w:rFonts w:ascii="Times New Roman" w:eastAsiaTheme="minorEastAsia" w:hAnsi="Times New Roman"/>
        </w:rPr>
        <w:tab/>
      </w:r>
      <w:r w:rsidR="0021202F">
        <w:rPr>
          <w:rFonts w:ascii="Times New Roman" w:eastAsiaTheme="minorEastAsia" w:hAnsi="Times New Roman"/>
        </w:rPr>
        <w:t xml:space="preserve"> </w:t>
      </w:r>
      <w:r w:rsidR="00194879">
        <w:rPr>
          <w:rFonts w:ascii="Times New Roman" w:eastAsiaTheme="minorEastAsia" w:hAnsi="Times New Roman"/>
        </w:rPr>
        <w:t xml:space="preserve">   </w:t>
      </w:r>
      <w:r w:rsidR="00E8417E" w:rsidRPr="00194879">
        <w:t>(</w:t>
      </w:r>
      <w:r w:rsidR="00DE7E89">
        <w:t>4</w:t>
      </w:r>
      <w:r w:rsidR="00E8417E" w:rsidRPr="00194879">
        <w:t>)</w:t>
      </w:r>
    </w:p>
    <w:p w:rsidR="00E8417E" w:rsidRPr="00194879" w:rsidRDefault="00D21D56" w:rsidP="006131DD">
      <w:r w:rsidRPr="00194879">
        <w:t>The unconfined fluid density is calculated using the Peng-Robinson equation of state.</w:t>
      </w:r>
    </w:p>
    <w:p w:rsidR="00194879" w:rsidRDefault="003C2D7F" w:rsidP="0021202F">
      <w:pPr>
        <w:ind w:firstLine="720"/>
        <w:rPr>
          <w:rFonts w:ascii="Times New Roman" w:eastAsiaTheme="minorEastAsia" w:hAnsi="Times New Roman"/>
        </w:rPr>
      </w:pPr>
      <m:oMath>
        <m:f>
          <m:fPr>
            <m:ctrlPr>
              <w:rPr>
                <w:rFonts w:ascii="Cambria Math" w:eastAsiaTheme="minorHAnsi" w:hAnsi="Cambria Math"/>
                <w:i/>
                <w:lang w:bidi="ar-SA"/>
              </w:rPr>
            </m:ctrlPr>
          </m:fPr>
          <m:num>
            <m:r>
              <w:rPr>
                <w:rFonts w:ascii="Cambria Math" w:hAnsi="Cambria Math"/>
              </w:rPr>
              <m:t>P</m:t>
            </m:r>
          </m:num>
          <m:den>
            <m:r>
              <w:rPr>
                <w:rFonts w:ascii="Cambria Math" w:hAnsi="Cambria Math"/>
              </w:rPr>
              <m:t>ρRT</m:t>
            </m:r>
          </m:den>
        </m:f>
        <m:r>
          <w:rPr>
            <w:rFonts w:ascii="Cambria Math" w:hAnsi="Cambria Math"/>
          </w:rPr>
          <m:t>=</m:t>
        </m:r>
        <m:f>
          <m:fPr>
            <m:ctrlPr>
              <w:rPr>
                <w:rFonts w:ascii="Cambria Math" w:eastAsiaTheme="minorHAnsi" w:hAnsi="Cambria Math"/>
                <w:i/>
                <w:lang w:bidi="ar-SA"/>
              </w:rPr>
            </m:ctrlPr>
          </m:fPr>
          <m:num>
            <m:r>
              <w:rPr>
                <w:rFonts w:ascii="Cambria Math" w:hAnsi="Cambria Math"/>
              </w:rPr>
              <m:t>1</m:t>
            </m:r>
          </m:num>
          <m:den>
            <m:r>
              <w:rPr>
                <w:rFonts w:ascii="Cambria Math" w:hAnsi="Cambria Math"/>
              </w:rPr>
              <m:t>(1-ρb)</m:t>
            </m:r>
          </m:den>
        </m:f>
        <m:r>
          <w:rPr>
            <w:rFonts w:ascii="Cambria Math" w:hAnsi="Cambria Math"/>
          </w:rPr>
          <m:t>-</m:t>
        </m:r>
        <m:f>
          <m:fPr>
            <m:ctrlPr>
              <w:rPr>
                <w:rFonts w:ascii="Cambria Math" w:eastAsiaTheme="minorHAnsi" w:hAnsi="Cambria Math"/>
                <w:i/>
                <w:lang w:bidi="ar-SA"/>
              </w:rPr>
            </m:ctrlPr>
          </m:fPr>
          <m:num>
            <m:r>
              <w:rPr>
                <w:rFonts w:ascii="Cambria Math" w:hAnsi="Cambria Math"/>
              </w:rPr>
              <m:t>aρ</m:t>
            </m:r>
          </m:num>
          <m:den>
            <m:r>
              <w:rPr>
                <w:rFonts w:ascii="Cambria Math" w:hAnsi="Cambria Math"/>
              </w:rPr>
              <m:t>RT</m:t>
            </m:r>
            <m:d>
              <m:dPr>
                <m:begChr m:val="["/>
                <m:endChr m:val="]"/>
                <m:ctrlPr>
                  <w:rPr>
                    <w:rFonts w:ascii="Cambria Math" w:hAnsi="Cambria Math"/>
                    <w:i/>
                  </w:rPr>
                </m:ctrlPr>
              </m:dPr>
              <m:e>
                <m:r>
                  <w:rPr>
                    <w:rFonts w:ascii="Cambria Math" w:hAnsi="Cambria Math"/>
                  </w:rPr>
                  <m:t>1+</m:t>
                </m:r>
                <m:d>
                  <m:dPr>
                    <m:ctrlPr>
                      <w:rPr>
                        <w:rFonts w:ascii="Cambria Math" w:hAnsi="Cambria Math"/>
                        <w:i/>
                      </w:rPr>
                    </m:ctrlPr>
                  </m:dPr>
                  <m:e>
                    <m:r>
                      <w:rPr>
                        <w:rFonts w:ascii="Cambria Math" w:hAnsi="Cambria Math"/>
                      </w:rPr>
                      <m:t>1-</m:t>
                    </m:r>
                    <m:rad>
                      <m:radPr>
                        <m:degHide m:val="1"/>
                        <m:ctrlPr>
                          <w:rPr>
                            <w:rFonts w:ascii="Cambria Math" w:eastAsiaTheme="minorHAnsi" w:hAnsi="Cambria Math"/>
                            <w:i/>
                            <w:lang w:bidi="ar-SA"/>
                          </w:rPr>
                        </m:ctrlPr>
                      </m:radPr>
                      <m:deg/>
                      <m:e>
                        <m:r>
                          <w:rPr>
                            <w:rFonts w:ascii="Cambria Math" w:hAnsi="Cambria Math"/>
                          </w:rPr>
                          <m:t>2</m:t>
                        </m:r>
                      </m:e>
                    </m:rad>
                  </m:e>
                </m:d>
                <m:r>
                  <w:rPr>
                    <w:rFonts w:ascii="Cambria Math" w:hAnsi="Cambria Math"/>
                  </w:rPr>
                  <m:t>ρb</m:t>
                </m:r>
              </m:e>
            </m:d>
            <m:r>
              <w:rPr>
                <w:rFonts w:ascii="Cambria Math" w:hAnsi="Cambria Math"/>
              </w:rPr>
              <m:t>[1+(1+</m:t>
            </m:r>
            <m:rad>
              <m:radPr>
                <m:degHide m:val="1"/>
                <m:ctrlPr>
                  <w:rPr>
                    <w:rFonts w:ascii="Cambria Math" w:eastAsiaTheme="minorHAnsi" w:hAnsi="Cambria Math"/>
                    <w:i/>
                    <w:lang w:bidi="ar-SA"/>
                  </w:rPr>
                </m:ctrlPr>
              </m:radPr>
              <m:deg/>
              <m:e>
                <m:r>
                  <w:rPr>
                    <w:rFonts w:ascii="Cambria Math" w:hAnsi="Cambria Math"/>
                  </w:rPr>
                  <m:t>2</m:t>
                </m:r>
              </m:e>
            </m:rad>
            <m:r>
              <w:rPr>
                <w:rFonts w:ascii="Cambria Math" w:hAnsi="Cambria Math"/>
              </w:rPr>
              <m:t>)ρb</m:t>
            </m:r>
          </m:den>
        </m:f>
      </m:oMath>
      <w:r w:rsidR="00E8417E" w:rsidRPr="00194879">
        <w:rPr>
          <w:rFonts w:ascii="Times New Roman" w:eastAsiaTheme="minorEastAsia" w:hAnsi="Times New Roman"/>
          <w:lang w:bidi="ar-SA"/>
        </w:rPr>
        <w:t xml:space="preserve">                                  </w:t>
      </w:r>
      <w:r w:rsidR="0021202F">
        <w:rPr>
          <w:rFonts w:ascii="Times New Roman" w:eastAsiaTheme="minorEastAsia" w:hAnsi="Times New Roman"/>
          <w:lang w:bidi="ar-SA"/>
        </w:rPr>
        <w:t xml:space="preserve"> </w:t>
      </w:r>
      <w:r w:rsidR="00E8417E" w:rsidRPr="00194879">
        <w:rPr>
          <w:rFonts w:ascii="Times New Roman" w:eastAsiaTheme="minorEastAsia" w:hAnsi="Times New Roman"/>
          <w:lang w:bidi="ar-SA"/>
        </w:rPr>
        <w:t xml:space="preserve">                  </w:t>
      </w:r>
      <w:r w:rsidR="00194879">
        <w:rPr>
          <w:rFonts w:ascii="Times New Roman" w:eastAsiaTheme="minorEastAsia" w:hAnsi="Times New Roman"/>
          <w:lang w:bidi="ar-SA"/>
        </w:rPr>
        <w:t xml:space="preserve">      </w:t>
      </w:r>
      <w:r w:rsidR="00E8417E" w:rsidRPr="00194879">
        <w:rPr>
          <w:rFonts w:ascii="Times New Roman" w:eastAsiaTheme="minorEastAsia" w:hAnsi="Times New Roman"/>
          <w:lang w:bidi="ar-SA"/>
        </w:rPr>
        <w:t>(</w:t>
      </w:r>
      <w:r w:rsidR="00DE7E89">
        <w:rPr>
          <w:rFonts w:ascii="Times New Roman" w:eastAsiaTheme="minorEastAsia" w:hAnsi="Times New Roman"/>
          <w:lang w:bidi="ar-SA"/>
        </w:rPr>
        <w:t>5</w:t>
      </w:r>
      <w:r w:rsidR="00E8417E" w:rsidRPr="00194879">
        <w:rPr>
          <w:rFonts w:ascii="Times New Roman" w:eastAsiaTheme="minorEastAsia" w:hAnsi="Times New Roman"/>
          <w:lang w:bidi="ar-SA"/>
        </w:rPr>
        <w:t>)</w:t>
      </w:r>
    </w:p>
    <w:p w:rsidR="00194879" w:rsidRDefault="00194879" w:rsidP="006131DD">
      <w:r>
        <w:rPr>
          <w:rFonts w:ascii="Times New Roman" w:eastAsiaTheme="minorEastAsia" w:hAnsi="Times New Roman"/>
        </w:rPr>
        <w:t>Using the unconfined fluid density, t</w:t>
      </w:r>
      <w:r w:rsidR="00D21D56">
        <w:t>he bulk fugacity</w:t>
      </w:r>
      <w:r w:rsidR="0090370B">
        <w:t>,</w:t>
      </w:r>
      <m:oMath>
        <m:r>
          <w:rPr>
            <w:rFonts w:ascii="Cambria Math" w:eastAsiaTheme="minorHAnsi" w:hAnsi="Cambria Math"/>
            <w:lang w:bidi="ar-SA"/>
          </w:rPr>
          <m:t xml:space="preserve"> </m:t>
        </m:r>
        <m:sSub>
          <m:sSubPr>
            <m:ctrlPr>
              <w:rPr>
                <w:rFonts w:ascii="Cambria Math" w:eastAsiaTheme="minorHAnsi" w:hAnsi="Cambria Math"/>
                <w:i/>
                <w:lang w:bidi="ar-SA"/>
              </w:rPr>
            </m:ctrlPr>
          </m:sSubPr>
          <m:e>
            <m:r>
              <w:rPr>
                <w:rFonts w:ascii="Cambria Math" w:hAnsi="Cambria Math"/>
              </w:rPr>
              <m:t>f</m:t>
            </m:r>
          </m:e>
          <m:sub>
            <m:r>
              <w:rPr>
                <w:rFonts w:ascii="Cambria Math" w:hAnsi="Cambria Math"/>
              </w:rPr>
              <m:t>bulk</m:t>
            </m:r>
          </m:sub>
        </m:sSub>
      </m:oMath>
      <w:r w:rsidR="0090370B">
        <w:t xml:space="preserve">, </w:t>
      </w:r>
      <w:r w:rsidR="00D21D56">
        <w:t xml:space="preserve"> is </w:t>
      </w:r>
      <w:r>
        <w:t xml:space="preserve">then </w:t>
      </w:r>
      <w:r w:rsidR="00D21D56">
        <w:t xml:space="preserve">calculated. </w:t>
      </w:r>
    </w:p>
    <w:p w:rsidR="00194879" w:rsidRPr="00194879" w:rsidRDefault="00194879" w:rsidP="0021202F">
      <w:pPr>
        <w:ind w:left="1440" w:hanging="720"/>
        <w:rPr>
          <w:rFonts w:ascii="Times New Roman" w:eastAsiaTheme="minorEastAsia" w:hAnsi="Times New Roman"/>
        </w:rPr>
      </w:pPr>
      <m:oMath>
        <m:r>
          <w:rPr>
            <w:rFonts w:ascii="Cambria Math" w:hAnsi="Cambria Math"/>
          </w:rPr>
          <m:t>ln</m:t>
        </m:r>
        <m:f>
          <m:fPr>
            <m:ctrlPr>
              <w:rPr>
                <w:rFonts w:ascii="Cambria Math" w:eastAsiaTheme="minorHAnsi" w:hAnsi="Cambria Math"/>
                <w:i/>
                <w:lang w:bidi="ar-SA"/>
              </w:rPr>
            </m:ctrlPr>
          </m:fPr>
          <m:num>
            <m:sSub>
              <m:sSubPr>
                <m:ctrlPr>
                  <w:rPr>
                    <w:rFonts w:ascii="Cambria Math" w:eastAsiaTheme="minorHAnsi" w:hAnsi="Cambria Math"/>
                    <w:i/>
                    <w:lang w:bidi="ar-SA"/>
                  </w:rPr>
                </m:ctrlPr>
              </m:sSubPr>
              <m:e>
                <m:r>
                  <w:rPr>
                    <w:rFonts w:ascii="Cambria Math" w:hAnsi="Cambria Math"/>
                  </w:rPr>
                  <m:t>f</m:t>
                </m:r>
              </m:e>
              <m:sub>
                <m:r>
                  <w:rPr>
                    <w:rFonts w:ascii="Cambria Math" w:hAnsi="Cambria Math"/>
                  </w:rPr>
                  <m:t>bulk</m:t>
                </m:r>
              </m:sub>
            </m:sSub>
          </m:num>
          <m:den>
            <m:r>
              <w:rPr>
                <w:rFonts w:ascii="Cambria Math" w:hAnsi="Cambria Math"/>
              </w:rPr>
              <m:t>P</m:t>
            </m:r>
          </m:den>
        </m:f>
        <m:r>
          <w:rPr>
            <w:rFonts w:ascii="Cambria Math" w:hAnsi="Cambria Math"/>
          </w:rPr>
          <m:t>=</m:t>
        </m:r>
        <m:f>
          <m:fPr>
            <m:ctrlPr>
              <w:rPr>
                <w:rFonts w:ascii="Cambria Math" w:eastAsiaTheme="minorHAnsi" w:hAnsi="Cambria Math"/>
                <w:i/>
                <w:lang w:bidi="ar-SA"/>
              </w:rPr>
            </m:ctrlPr>
          </m:fPr>
          <m:num>
            <m:r>
              <w:rPr>
                <w:rFonts w:ascii="Cambria Math" w:hAnsi="Cambria Math"/>
              </w:rPr>
              <m:t>b</m:t>
            </m:r>
            <m:sSub>
              <m:sSubPr>
                <m:ctrlPr>
                  <w:rPr>
                    <w:rFonts w:ascii="Cambria Math" w:eastAsiaTheme="minorHAnsi" w:hAnsi="Cambria Math"/>
                    <w:i/>
                    <w:lang w:bidi="ar-SA"/>
                  </w:rPr>
                </m:ctrlPr>
              </m:sSubPr>
              <m:e>
                <m:r>
                  <w:rPr>
                    <w:rFonts w:ascii="Cambria Math" w:hAnsi="Cambria Math"/>
                  </w:rPr>
                  <m:t>ρ</m:t>
                </m:r>
              </m:e>
              <m:sub>
                <m:r>
                  <w:rPr>
                    <w:rFonts w:ascii="Cambria Math" w:hAnsi="Cambria Math"/>
                  </w:rPr>
                  <m:t>bulk</m:t>
                </m:r>
              </m:sub>
            </m:sSub>
          </m:num>
          <m:den>
            <m:r>
              <w:rPr>
                <w:rFonts w:ascii="Cambria Math" w:hAnsi="Cambria Math"/>
              </w:rPr>
              <m:t>1-b</m:t>
            </m:r>
            <m:sSub>
              <m:sSubPr>
                <m:ctrlPr>
                  <w:rPr>
                    <w:rFonts w:ascii="Cambria Math" w:eastAsiaTheme="minorHAnsi" w:hAnsi="Cambria Math"/>
                    <w:i/>
                    <w:lang w:bidi="ar-SA"/>
                  </w:rPr>
                </m:ctrlPr>
              </m:sSubPr>
              <m:e>
                <m:r>
                  <w:rPr>
                    <w:rFonts w:ascii="Cambria Math" w:hAnsi="Cambria Math"/>
                  </w:rPr>
                  <m:t>ρ</m:t>
                </m:r>
              </m:e>
              <m:sub>
                <m:r>
                  <w:rPr>
                    <w:rFonts w:ascii="Cambria Math" w:hAnsi="Cambria Math"/>
                  </w:rPr>
                  <m:t>bulk</m:t>
                </m:r>
              </m:sub>
            </m:sSub>
          </m:den>
        </m:f>
        <m:r>
          <w:rPr>
            <w:rFonts w:ascii="Cambria Math" w:hAnsi="Cambria Math"/>
          </w:rPr>
          <m:t>-</m:t>
        </m:r>
        <m:f>
          <m:fPr>
            <m:ctrlPr>
              <w:rPr>
                <w:rFonts w:ascii="Cambria Math" w:eastAsiaTheme="minorHAnsi" w:hAnsi="Cambria Math"/>
                <w:i/>
                <w:lang w:bidi="ar-SA"/>
              </w:rPr>
            </m:ctrlPr>
          </m:fPr>
          <m:num>
            <m:r>
              <w:rPr>
                <w:rFonts w:ascii="Cambria Math" w:hAnsi="Cambria Math"/>
              </w:rPr>
              <m:t>a</m:t>
            </m:r>
            <m:sSub>
              <m:sSubPr>
                <m:ctrlPr>
                  <w:rPr>
                    <w:rFonts w:ascii="Cambria Math" w:eastAsiaTheme="minorHAnsi" w:hAnsi="Cambria Math"/>
                    <w:i/>
                    <w:lang w:bidi="ar-SA"/>
                  </w:rPr>
                </m:ctrlPr>
              </m:sSubPr>
              <m:e>
                <m:r>
                  <w:rPr>
                    <w:rFonts w:ascii="Cambria Math" w:hAnsi="Cambria Math"/>
                  </w:rPr>
                  <m:t>ρ</m:t>
                </m:r>
              </m:e>
              <m:sub>
                <m:r>
                  <w:rPr>
                    <w:rFonts w:ascii="Cambria Math" w:hAnsi="Cambria Math"/>
                  </w:rPr>
                  <m:t>bulk</m:t>
                </m:r>
              </m:sub>
            </m:sSub>
          </m:num>
          <m:den>
            <m:r>
              <w:rPr>
                <w:rFonts w:ascii="Cambria Math" w:hAnsi="Cambria Math"/>
              </w:rPr>
              <m:t>RT</m:t>
            </m:r>
            <m:d>
              <m:dPr>
                <m:ctrlPr>
                  <w:rPr>
                    <w:rFonts w:ascii="Cambria Math" w:eastAsiaTheme="minorHAnsi" w:hAnsi="Cambria Math"/>
                    <w:i/>
                    <w:lang w:bidi="ar-SA"/>
                  </w:rPr>
                </m:ctrlPr>
              </m:dPr>
              <m:e>
                <m:r>
                  <w:rPr>
                    <w:rFonts w:ascii="Cambria Math" w:hAnsi="Cambria Math"/>
                  </w:rPr>
                  <m:t>1+2b</m:t>
                </m:r>
                <m:sSub>
                  <m:sSubPr>
                    <m:ctrlPr>
                      <w:rPr>
                        <w:rFonts w:ascii="Cambria Math" w:eastAsiaTheme="minorHAnsi" w:hAnsi="Cambria Math"/>
                        <w:i/>
                        <w:lang w:bidi="ar-SA"/>
                      </w:rPr>
                    </m:ctrlPr>
                  </m:sSubPr>
                  <m:e>
                    <m:r>
                      <w:rPr>
                        <w:rFonts w:ascii="Cambria Math" w:hAnsi="Cambria Math"/>
                      </w:rPr>
                      <m:t>ρ</m:t>
                    </m:r>
                  </m:e>
                  <m:sub>
                    <m:r>
                      <w:rPr>
                        <w:rFonts w:ascii="Cambria Math" w:hAnsi="Cambria Math"/>
                      </w:rPr>
                      <m:t>bulk</m:t>
                    </m:r>
                  </m:sub>
                </m:sSub>
                <m:r>
                  <w:rPr>
                    <w:rFonts w:ascii="Cambria Math" w:hAnsi="Cambria Math"/>
                  </w:rPr>
                  <m:t>-</m:t>
                </m:r>
                <m:sSup>
                  <m:sSupPr>
                    <m:ctrlPr>
                      <w:rPr>
                        <w:rFonts w:ascii="Cambria Math" w:eastAsiaTheme="minorHAnsi" w:hAnsi="Cambria Math"/>
                        <w:i/>
                        <w:lang w:bidi="ar-SA"/>
                      </w:rPr>
                    </m:ctrlPr>
                  </m:sSupPr>
                  <m:e>
                    <m:r>
                      <w:rPr>
                        <w:rFonts w:ascii="Cambria Math" w:hAnsi="Cambria Math"/>
                      </w:rPr>
                      <m:t>b</m:t>
                    </m:r>
                  </m:e>
                  <m:sup>
                    <m:r>
                      <w:rPr>
                        <w:rFonts w:ascii="Cambria Math" w:hAnsi="Cambria Math"/>
                      </w:rPr>
                      <m:t>2</m:t>
                    </m:r>
                  </m:sup>
                </m:sSup>
                <m:sSubSup>
                  <m:sSubSupPr>
                    <m:ctrlPr>
                      <w:rPr>
                        <w:rFonts w:ascii="Cambria Math" w:eastAsiaTheme="minorHAnsi" w:hAnsi="Cambria Math"/>
                        <w:i/>
                        <w:lang w:bidi="ar-SA"/>
                      </w:rPr>
                    </m:ctrlPr>
                  </m:sSubSupPr>
                  <m:e>
                    <m:r>
                      <w:rPr>
                        <w:rFonts w:ascii="Cambria Math" w:hAnsi="Cambria Math"/>
                      </w:rPr>
                      <m:t>ρ</m:t>
                    </m:r>
                  </m:e>
                  <m:sub>
                    <m:r>
                      <w:rPr>
                        <w:rFonts w:ascii="Cambria Math" w:hAnsi="Cambria Math"/>
                      </w:rPr>
                      <m:t>bulk</m:t>
                    </m:r>
                  </m:sub>
                  <m:sup>
                    <m:r>
                      <w:rPr>
                        <w:rFonts w:ascii="Cambria Math" w:hAnsi="Cambria Math"/>
                      </w:rPr>
                      <m:t>2</m:t>
                    </m:r>
                  </m:sup>
                </m:sSubSup>
              </m:e>
            </m:d>
          </m:den>
        </m:f>
        <m:r>
          <w:rPr>
            <w:rFonts w:ascii="Cambria Math" w:hAnsi="Cambria Math"/>
          </w:rPr>
          <m:t>-</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begChr m:val="["/>
                <m:endChr m:val="]"/>
                <m:ctrlPr>
                  <w:rPr>
                    <w:rFonts w:ascii="Cambria Math" w:eastAsiaTheme="minorHAnsi" w:hAnsi="Cambria Math"/>
                    <w:i/>
                    <w:lang w:bidi="ar-SA"/>
                  </w:rPr>
                </m:ctrlPr>
              </m:dPr>
              <m:e>
                <m:f>
                  <m:fPr>
                    <m:ctrlPr>
                      <w:rPr>
                        <w:rFonts w:ascii="Cambria Math" w:eastAsiaTheme="minorHAnsi" w:hAnsi="Cambria Math"/>
                        <w:i/>
                        <w:lang w:bidi="ar-SA"/>
                      </w:rPr>
                    </m:ctrlPr>
                  </m:fPr>
                  <m:num>
                    <m:r>
                      <w:rPr>
                        <w:rFonts w:ascii="Cambria Math" w:hAnsi="Cambria Math"/>
                      </w:rPr>
                      <m:t>P</m:t>
                    </m:r>
                  </m:num>
                  <m:den>
                    <m:r>
                      <w:rPr>
                        <w:rFonts w:ascii="Cambria Math" w:hAnsi="Cambria Math"/>
                      </w:rPr>
                      <m:t>RT</m:t>
                    </m:r>
                    <m:sSub>
                      <m:sSubPr>
                        <m:ctrlPr>
                          <w:rPr>
                            <w:rFonts w:ascii="Cambria Math" w:eastAsiaTheme="minorHAnsi" w:hAnsi="Cambria Math"/>
                            <w:i/>
                            <w:lang w:bidi="ar-SA"/>
                          </w:rPr>
                        </m:ctrlPr>
                      </m:sSubPr>
                      <m:e>
                        <m:r>
                          <w:rPr>
                            <w:rFonts w:ascii="Cambria Math" w:hAnsi="Cambria Math"/>
                          </w:rPr>
                          <m:t>ρ</m:t>
                        </m:r>
                      </m:e>
                      <m:sub>
                        <m:r>
                          <w:rPr>
                            <w:rFonts w:ascii="Cambria Math" w:hAnsi="Cambria Math"/>
                          </w:rPr>
                          <m:t>bulk</m:t>
                        </m:r>
                      </m:sub>
                    </m:sSub>
                  </m:den>
                </m:f>
                <m:r>
                  <w:rPr>
                    <w:rFonts w:ascii="Cambria Math" w:hAnsi="Cambria Math"/>
                  </w:rPr>
                  <m:t>-</m:t>
                </m:r>
                <m:f>
                  <m:fPr>
                    <m:ctrlPr>
                      <w:rPr>
                        <w:rFonts w:ascii="Cambria Math" w:eastAsiaTheme="minorHAnsi" w:hAnsi="Cambria Math"/>
                        <w:i/>
                        <w:lang w:bidi="ar-SA"/>
                      </w:rPr>
                    </m:ctrlPr>
                  </m:fPr>
                  <m:num>
                    <m:r>
                      <w:rPr>
                        <w:rFonts w:ascii="Cambria Math" w:hAnsi="Cambria Math"/>
                      </w:rPr>
                      <m:t>Pb</m:t>
                    </m:r>
                  </m:num>
                  <m:den>
                    <m:r>
                      <w:rPr>
                        <w:rFonts w:ascii="Cambria Math" w:hAnsi="Cambria Math"/>
                      </w:rPr>
                      <m:t>RT</m:t>
                    </m:r>
                  </m:den>
                </m:f>
              </m:e>
            </m:d>
          </m:e>
        </m:func>
        <m:r>
          <w:rPr>
            <w:rFonts w:ascii="Cambria Math" w:hAnsi="Cambria Math"/>
          </w:rPr>
          <m:t>-</m:t>
        </m:r>
        <m:f>
          <m:fPr>
            <m:ctrlPr>
              <w:rPr>
                <w:rFonts w:ascii="Cambria Math" w:eastAsiaTheme="minorHAnsi" w:hAnsi="Cambria Math"/>
                <w:i/>
                <w:lang w:bidi="ar-SA"/>
              </w:rPr>
            </m:ctrlPr>
          </m:fPr>
          <m:num>
            <m:r>
              <w:rPr>
                <w:rFonts w:ascii="Cambria Math" w:hAnsi="Cambria Math"/>
              </w:rPr>
              <m:t>a</m:t>
            </m:r>
          </m:num>
          <m:den>
            <m:r>
              <w:rPr>
                <w:rFonts w:ascii="Cambria Math" w:hAnsi="Cambria Math"/>
              </w:rPr>
              <m:t>2</m:t>
            </m:r>
            <m:rad>
              <m:radPr>
                <m:degHide m:val="1"/>
                <m:ctrlPr>
                  <w:rPr>
                    <w:rFonts w:ascii="Cambria Math" w:eastAsiaTheme="minorHAnsi" w:hAnsi="Cambria Math"/>
                    <w:i/>
                    <w:lang w:bidi="ar-SA"/>
                  </w:rPr>
                </m:ctrlPr>
              </m:radPr>
              <m:deg/>
              <m:e>
                <m:r>
                  <w:rPr>
                    <w:rFonts w:ascii="Cambria Math" w:hAnsi="Cambria Math"/>
                  </w:rPr>
                  <m:t>2</m:t>
                </m:r>
              </m:e>
            </m:rad>
            <m:r>
              <w:rPr>
                <w:rFonts w:ascii="Cambria Math" w:hAnsi="Cambria Math"/>
              </w:rPr>
              <m:t>bRT</m:t>
            </m:r>
          </m:den>
        </m:f>
        <m:r>
          <m:rPr>
            <m:sty m:val="p"/>
          </m:rPr>
          <w:rPr>
            <w:rFonts w:ascii="Cambria Math" w:hAnsi="Cambria Math"/>
          </w:rPr>
          <m:t xml:space="preserve"> x </m:t>
        </m:r>
        <m:r>
          <w:rPr>
            <w:rFonts w:ascii="Cambria Math" w:hAnsi="Cambria Math"/>
          </w:rPr>
          <m:t>ln</m:t>
        </m:r>
        <m:d>
          <m:dPr>
            <m:begChr m:val="["/>
            <m:endChr m:val="]"/>
            <m:ctrlPr>
              <w:rPr>
                <w:rFonts w:ascii="Cambria Math" w:eastAsiaTheme="minorHAnsi" w:hAnsi="Cambria Math"/>
                <w:i/>
                <w:lang w:bidi="ar-SA"/>
              </w:rPr>
            </m:ctrlPr>
          </m:dPr>
          <m:e>
            <m:f>
              <m:fPr>
                <m:ctrlPr>
                  <w:rPr>
                    <w:rFonts w:ascii="Cambria Math" w:eastAsiaTheme="minorHAnsi" w:hAnsi="Cambria Math"/>
                    <w:i/>
                    <w:lang w:bidi="ar-SA"/>
                  </w:rPr>
                </m:ctrlPr>
              </m:fPr>
              <m:num>
                <m:r>
                  <w:rPr>
                    <w:rFonts w:ascii="Cambria Math" w:hAnsi="Cambria Math"/>
                  </w:rPr>
                  <m:t>1+(1+</m:t>
                </m:r>
                <m:rad>
                  <m:radPr>
                    <m:degHide m:val="1"/>
                    <m:ctrlPr>
                      <w:rPr>
                        <w:rFonts w:ascii="Cambria Math" w:eastAsiaTheme="minorHAnsi" w:hAnsi="Cambria Math"/>
                        <w:i/>
                        <w:lang w:bidi="ar-SA"/>
                      </w:rPr>
                    </m:ctrlPr>
                  </m:radPr>
                  <m:deg/>
                  <m:e>
                    <m:r>
                      <w:rPr>
                        <w:rFonts w:ascii="Cambria Math" w:hAnsi="Cambria Math"/>
                      </w:rPr>
                      <m:t>2</m:t>
                    </m:r>
                  </m:e>
                </m:rad>
                <m:sSub>
                  <m:sSubPr>
                    <m:ctrlPr>
                      <w:rPr>
                        <w:rFonts w:ascii="Cambria Math" w:eastAsiaTheme="minorHAnsi" w:hAnsi="Cambria Math"/>
                        <w:i/>
                        <w:lang w:bidi="ar-SA"/>
                      </w:rPr>
                    </m:ctrlPr>
                  </m:sSubPr>
                  <m:e>
                    <m:r>
                      <w:rPr>
                        <w:rFonts w:ascii="Cambria Math" w:hAnsi="Cambria Math"/>
                      </w:rPr>
                      <m:t>ρ</m:t>
                    </m:r>
                  </m:e>
                  <m:sub>
                    <m:r>
                      <w:rPr>
                        <w:rFonts w:ascii="Cambria Math" w:hAnsi="Cambria Math"/>
                      </w:rPr>
                      <m:t>bulk</m:t>
                    </m:r>
                  </m:sub>
                </m:sSub>
                <m:r>
                  <w:rPr>
                    <w:rFonts w:ascii="Cambria Math" w:hAnsi="Cambria Math"/>
                  </w:rPr>
                  <m:t>b</m:t>
                </m:r>
              </m:num>
              <m:den>
                <m:r>
                  <w:rPr>
                    <w:rFonts w:ascii="Cambria Math" w:hAnsi="Cambria Math"/>
                  </w:rPr>
                  <m:t>1+(1-</m:t>
                </m:r>
                <m:rad>
                  <m:radPr>
                    <m:degHide m:val="1"/>
                    <m:ctrlPr>
                      <w:rPr>
                        <w:rFonts w:ascii="Cambria Math" w:eastAsiaTheme="minorHAnsi" w:hAnsi="Cambria Math"/>
                        <w:i/>
                        <w:lang w:bidi="ar-SA"/>
                      </w:rPr>
                    </m:ctrlPr>
                  </m:radPr>
                  <m:deg/>
                  <m:e>
                    <m:r>
                      <w:rPr>
                        <w:rFonts w:ascii="Cambria Math" w:hAnsi="Cambria Math"/>
                      </w:rPr>
                      <m:t>2</m:t>
                    </m:r>
                  </m:e>
                </m:rad>
                <m:sSub>
                  <m:sSubPr>
                    <m:ctrlPr>
                      <w:rPr>
                        <w:rFonts w:ascii="Cambria Math" w:eastAsiaTheme="minorHAnsi" w:hAnsi="Cambria Math"/>
                        <w:i/>
                        <w:lang w:bidi="ar-SA"/>
                      </w:rPr>
                    </m:ctrlPr>
                  </m:sSubPr>
                  <m:e>
                    <m:r>
                      <w:rPr>
                        <w:rFonts w:ascii="Cambria Math" w:hAnsi="Cambria Math"/>
                      </w:rPr>
                      <m:t>ρ</m:t>
                    </m:r>
                  </m:e>
                  <m:sub>
                    <m:r>
                      <w:rPr>
                        <w:rFonts w:ascii="Cambria Math" w:hAnsi="Cambria Math"/>
                      </w:rPr>
                      <m:t>bulk</m:t>
                    </m:r>
                  </m:sub>
                </m:sSub>
                <m:r>
                  <w:rPr>
                    <w:rFonts w:ascii="Cambria Math" w:hAnsi="Cambria Math"/>
                  </w:rPr>
                  <m:t>b</m:t>
                </m:r>
              </m:den>
            </m:f>
          </m:e>
        </m:d>
      </m:oMath>
      <w:r>
        <w:rPr>
          <w:rFonts w:ascii="Times New Roman" w:eastAsiaTheme="minorEastAsia" w:hAnsi="Times New Roman"/>
        </w:rPr>
        <w:t xml:space="preserve">                                        </w:t>
      </w:r>
      <w:r w:rsidR="0021202F">
        <w:rPr>
          <w:rFonts w:ascii="Times New Roman" w:eastAsiaTheme="minorEastAsia" w:hAnsi="Times New Roman"/>
        </w:rPr>
        <w:t xml:space="preserve"> </w:t>
      </w:r>
      <w:r>
        <w:rPr>
          <w:rFonts w:ascii="Times New Roman" w:eastAsiaTheme="minorEastAsia" w:hAnsi="Times New Roman"/>
        </w:rPr>
        <w:t xml:space="preserve">         </w:t>
      </w:r>
      <w:r w:rsidR="007214C3">
        <w:rPr>
          <w:rFonts w:ascii="Times New Roman" w:eastAsiaTheme="minorEastAsia" w:hAnsi="Times New Roman"/>
        </w:rPr>
        <w:t xml:space="preserve">                   </w:t>
      </w:r>
      <w:r>
        <w:t>(</w:t>
      </w:r>
      <w:r w:rsidR="00DE7E89">
        <w:t>6</w:t>
      </w:r>
      <w:r>
        <w:t>)</w:t>
      </w:r>
    </w:p>
    <w:p w:rsidR="00687735" w:rsidRDefault="00D21D56" w:rsidP="006131DD">
      <w:r>
        <w:t>The</w:t>
      </w:r>
      <w:r w:rsidR="00687735">
        <w:t>n the</w:t>
      </w:r>
      <w:r>
        <w:t xml:space="preserve"> fluid-fluid fugacity is calculated </w:t>
      </w:r>
      <w:r w:rsidR="00CF273C">
        <w:t>for the selected position.</w:t>
      </w:r>
    </w:p>
    <w:p w:rsidR="00687735" w:rsidRPr="004449C1" w:rsidRDefault="003C2D7F" w:rsidP="0021202F">
      <w:pPr>
        <w:ind w:firstLine="720"/>
        <w:rPr>
          <w:rFonts w:ascii="Times New Roman" w:eastAsiaTheme="minorEastAsia" w:hAnsi="Times New Roman"/>
        </w:rPr>
      </w:pPr>
      <m:oMath>
        <m:sSub>
          <m:sSubPr>
            <m:ctrlPr>
              <w:rPr>
                <w:rFonts w:ascii="Cambria Math" w:eastAsiaTheme="minorHAnsi" w:hAnsi="Cambria Math"/>
                <w:i/>
                <w:sz w:val="22"/>
                <w:szCs w:val="22"/>
                <w:lang w:bidi="ar-SA"/>
              </w:rPr>
            </m:ctrlPr>
          </m:sSubPr>
          <m:e>
            <m:r>
              <w:rPr>
                <w:rFonts w:ascii="Cambria Math" w:hAnsi="Cambria Math"/>
              </w:rPr>
              <m:t>f</m:t>
            </m:r>
          </m:e>
          <m:sub>
            <m:r>
              <w:rPr>
                <w:rFonts w:ascii="Cambria Math" w:hAnsi="Cambria Math"/>
              </w:rPr>
              <m:t>ff</m:t>
            </m:r>
          </m:sub>
        </m:sSub>
        <m:d>
          <m:dPr>
            <m:ctrlPr>
              <w:rPr>
                <w:rFonts w:ascii="Cambria Math" w:hAnsi="Cambria Math"/>
                <w:i/>
              </w:rPr>
            </m:ctrlPr>
          </m:dPr>
          <m:e>
            <m:r>
              <w:rPr>
                <w:rFonts w:ascii="Cambria Math" w:hAnsi="Cambria Math"/>
              </w:rPr>
              <m:t>z</m:t>
            </m:r>
          </m:e>
        </m:d>
        <m:r>
          <w:rPr>
            <w:rFonts w:ascii="Cambria Math" w:hAnsi="Cambria Math"/>
          </w:rPr>
          <m:t>=</m:t>
        </m:r>
        <m:sSub>
          <m:sSubPr>
            <m:ctrlPr>
              <w:rPr>
                <w:rFonts w:ascii="Cambria Math" w:eastAsiaTheme="minorHAnsi" w:hAnsi="Cambria Math"/>
                <w:i/>
                <w:sz w:val="22"/>
                <w:szCs w:val="22"/>
                <w:lang w:bidi="ar-SA"/>
              </w:rPr>
            </m:ctrlPr>
          </m:sSubPr>
          <m:e>
            <m:r>
              <w:rPr>
                <w:rFonts w:ascii="Cambria Math" w:hAnsi="Cambria Math"/>
              </w:rPr>
              <m:t>f</m:t>
            </m:r>
          </m:e>
          <m:sub>
            <m:r>
              <w:rPr>
                <w:rFonts w:ascii="Cambria Math" w:hAnsi="Cambria Math"/>
              </w:rPr>
              <m:t>bulk</m:t>
            </m:r>
          </m:sub>
        </m:sSub>
        <m:r>
          <w:rPr>
            <w:rFonts w:ascii="Cambria Math" w:hAnsi="Cambria Math"/>
          </w:rPr>
          <m:t>exp</m:t>
        </m:r>
        <m:d>
          <m:dPr>
            <m:ctrlPr>
              <w:rPr>
                <w:rFonts w:ascii="Cambria Math" w:eastAsiaTheme="minorHAnsi" w:hAnsi="Cambria Math"/>
                <w:i/>
                <w:sz w:val="22"/>
                <w:szCs w:val="22"/>
                <w:lang w:bidi="ar-SA"/>
              </w:rPr>
            </m:ctrlPr>
          </m:dPr>
          <m:e>
            <m:r>
              <w:rPr>
                <w:rFonts w:ascii="Cambria Math" w:hAnsi="Cambria Math"/>
              </w:rPr>
              <m:t>-</m:t>
            </m:r>
            <m:f>
              <m:fPr>
                <m:ctrlPr>
                  <w:rPr>
                    <w:rFonts w:ascii="Cambria Math" w:eastAsiaTheme="minorHAnsi" w:hAnsi="Cambria Math"/>
                    <w:i/>
                    <w:sz w:val="22"/>
                    <w:szCs w:val="22"/>
                    <w:lang w:bidi="ar-SA"/>
                  </w:rPr>
                </m:ctrlPr>
              </m:fPr>
              <m:num>
                <m:sSub>
                  <m:sSubPr>
                    <m:ctrlPr>
                      <w:rPr>
                        <w:rFonts w:ascii="Cambria Math" w:eastAsiaTheme="minorHAnsi" w:hAnsi="Cambria Math"/>
                        <w:i/>
                        <w:sz w:val="22"/>
                        <w:szCs w:val="22"/>
                        <w:lang w:bidi="ar-SA"/>
                      </w:rPr>
                    </m:ctrlPr>
                  </m:sSubPr>
                  <m:e>
                    <m:r>
                      <w:rPr>
                        <w:rFonts w:ascii="Cambria Math" w:hAnsi="Cambria Math"/>
                      </w:rPr>
                      <m:t>μ</m:t>
                    </m:r>
                  </m:e>
                  <m:sub>
                    <m:r>
                      <w:rPr>
                        <w:rFonts w:ascii="Cambria Math" w:hAnsi="Cambria Math"/>
                      </w:rPr>
                      <m:t>fs1</m:t>
                    </m:r>
                  </m:sub>
                </m:sSub>
                <m:d>
                  <m:dPr>
                    <m:ctrlPr>
                      <w:rPr>
                        <w:rFonts w:ascii="Cambria Math" w:hAnsi="Cambria Math"/>
                        <w:i/>
                      </w:rPr>
                    </m:ctrlPr>
                  </m:dPr>
                  <m:e>
                    <m:r>
                      <w:rPr>
                        <w:rFonts w:ascii="Cambria Math" w:hAnsi="Cambria Math"/>
                      </w:rPr>
                      <m:t>z</m:t>
                    </m:r>
                  </m:e>
                </m:d>
                <m:r>
                  <w:rPr>
                    <w:rFonts w:ascii="Cambria Math" w:hAnsi="Cambria Math"/>
                  </w:rPr>
                  <m:t>+</m:t>
                </m:r>
                <m:sSub>
                  <m:sSubPr>
                    <m:ctrlPr>
                      <w:rPr>
                        <w:rFonts w:ascii="Cambria Math" w:eastAsiaTheme="minorHAnsi" w:hAnsi="Cambria Math"/>
                        <w:i/>
                        <w:sz w:val="22"/>
                        <w:szCs w:val="22"/>
                        <w:lang w:bidi="ar-SA"/>
                      </w:rPr>
                    </m:ctrlPr>
                  </m:sSubPr>
                  <m:e>
                    <m:r>
                      <w:rPr>
                        <w:rFonts w:ascii="Cambria Math" w:hAnsi="Cambria Math"/>
                      </w:rPr>
                      <m:t>μ</m:t>
                    </m:r>
                  </m:e>
                  <m:sub>
                    <m:r>
                      <w:rPr>
                        <w:rFonts w:ascii="Cambria Math" w:hAnsi="Cambria Math"/>
                      </w:rPr>
                      <m:t>fs2</m:t>
                    </m:r>
                  </m:sub>
                </m:sSub>
                <m:r>
                  <w:rPr>
                    <w:rFonts w:ascii="Cambria Math" w:hAnsi="Cambria Math"/>
                  </w:rPr>
                  <m:t>(L-z)</m:t>
                </m:r>
              </m:num>
              <m:den>
                <m:r>
                  <w:rPr>
                    <w:rFonts w:ascii="Cambria Math" w:hAnsi="Cambria Math"/>
                  </w:rPr>
                  <m:t>RT</m:t>
                </m:r>
              </m:den>
            </m:f>
          </m:e>
        </m:d>
      </m:oMath>
      <w:r w:rsidR="00687735">
        <w:rPr>
          <w:rFonts w:ascii="Times New Roman" w:eastAsiaTheme="minorEastAsia" w:hAnsi="Times New Roman"/>
          <w:sz w:val="22"/>
          <w:szCs w:val="22"/>
          <w:lang w:bidi="ar-SA"/>
        </w:rPr>
        <w:t xml:space="preserve">                </w:t>
      </w:r>
      <w:r w:rsidR="0021202F">
        <w:rPr>
          <w:rFonts w:ascii="Times New Roman" w:eastAsiaTheme="minorEastAsia" w:hAnsi="Times New Roman"/>
          <w:sz w:val="22"/>
          <w:szCs w:val="22"/>
          <w:lang w:bidi="ar-SA"/>
        </w:rPr>
        <w:t xml:space="preserve"> </w:t>
      </w:r>
      <w:r w:rsidR="00687735">
        <w:rPr>
          <w:rFonts w:ascii="Times New Roman" w:eastAsiaTheme="minorEastAsia" w:hAnsi="Times New Roman"/>
          <w:sz w:val="22"/>
          <w:szCs w:val="22"/>
          <w:lang w:bidi="ar-SA"/>
        </w:rPr>
        <w:t xml:space="preserve">                                                    (</w:t>
      </w:r>
      <w:r w:rsidR="00DE7E89">
        <w:rPr>
          <w:rFonts w:ascii="Times New Roman" w:eastAsiaTheme="minorEastAsia" w:hAnsi="Times New Roman"/>
          <w:sz w:val="22"/>
          <w:szCs w:val="22"/>
          <w:lang w:bidi="ar-SA"/>
        </w:rPr>
        <w:t>7</w:t>
      </w:r>
      <w:r w:rsidR="00687735">
        <w:rPr>
          <w:rFonts w:ascii="Times New Roman" w:eastAsiaTheme="minorEastAsia" w:hAnsi="Times New Roman"/>
          <w:sz w:val="22"/>
          <w:szCs w:val="22"/>
          <w:lang w:bidi="ar-SA"/>
        </w:rPr>
        <w:t>)</w:t>
      </w:r>
    </w:p>
    <w:p w:rsidR="00C521B3" w:rsidRDefault="00CF273C" w:rsidP="006131DD">
      <w:r>
        <w:t xml:space="preserve"> Finally, the density at the selected position is calculated</w:t>
      </w:r>
      <w:r w:rsidR="00C521B3">
        <w:t xml:space="preserve"> using the Peng-Robinson EOS in terms of fluid-fluid fugacity</w:t>
      </w:r>
      <w:r>
        <w:t>.</w:t>
      </w:r>
    </w:p>
    <w:p w:rsidR="00C521B3" w:rsidRPr="00C521B3" w:rsidRDefault="00C521B3" w:rsidP="0021202F">
      <w:pPr>
        <w:ind w:left="1440" w:hanging="720"/>
        <w:rPr>
          <w:rFonts w:ascii="Times New Roman" w:eastAsiaTheme="minorEastAsia" w:hAnsi="Times New Roman"/>
        </w:rPr>
      </w:pPr>
      <m:oMath>
        <m:r>
          <w:rPr>
            <w:rFonts w:ascii="Cambria Math" w:hAnsi="Cambria Math"/>
          </w:rPr>
          <m:t>ln</m:t>
        </m:r>
        <m:f>
          <m:fPr>
            <m:ctrlPr>
              <w:rPr>
                <w:rFonts w:ascii="Cambria Math" w:eastAsiaTheme="minorHAnsi" w:hAnsi="Cambria Math"/>
                <w:i/>
                <w:sz w:val="22"/>
                <w:szCs w:val="22"/>
                <w:lang w:bidi="ar-SA"/>
              </w:rPr>
            </m:ctrlPr>
          </m:fPr>
          <m:num>
            <m:sSub>
              <m:sSubPr>
                <m:ctrlPr>
                  <w:rPr>
                    <w:rFonts w:ascii="Cambria Math" w:eastAsiaTheme="minorHAnsi" w:hAnsi="Cambria Math"/>
                    <w:i/>
                    <w:sz w:val="22"/>
                    <w:szCs w:val="22"/>
                    <w:lang w:bidi="ar-SA"/>
                  </w:rPr>
                </m:ctrlPr>
              </m:sSubPr>
              <m:e>
                <m:r>
                  <w:rPr>
                    <w:rFonts w:ascii="Cambria Math" w:hAnsi="Cambria Math"/>
                  </w:rPr>
                  <m:t>f</m:t>
                </m:r>
              </m:e>
              <m:sub>
                <m:r>
                  <w:rPr>
                    <w:rFonts w:ascii="Cambria Math" w:hAnsi="Cambria Math"/>
                  </w:rPr>
                  <m:t>ff</m:t>
                </m:r>
              </m:sub>
            </m:sSub>
          </m:num>
          <m:den>
            <m:r>
              <w:rPr>
                <w:rFonts w:ascii="Cambria Math" w:hAnsi="Cambria Math"/>
              </w:rPr>
              <m:t>P</m:t>
            </m:r>
          </m:den>
        </m:f>
        <m:r>
          <w:rPr>
            <w:rFonts w:ascii="Cambria Math" w:hAnsi="Cambria Math"/>
          </w:rPr>
          <m:t>=</m:t>
        </m:r>
        <m:f>
          <m:fPr>
            <m:ctrlPr>
              <w:rPr>
                <w:rFonts w:ascii="Cambria Math" w:eastAsiaTheme="minorHAnsi" w:hAnsi="Cambria Math"/>
                <w:i/>
                <w:sz w:val="22"/>
                <w:szCs w:val="22"/>
                <w:lang w:bidi="ar-SA"/>
              </w:rPr>
            </m:ctrlPr>
          </m:fPr>
          <m:num>
            <m:r>
              <w:rPr>
                <w:rFonts w:ascii="Cambria Math" w:hAnsi="Cambria Math"/>
              </w:rPr>
              <m:t>b</m:t>
            </m:r>
            <m:sSub>
              <m:sSubPr>
                <m:ctrlPr>
                  <w:rPr>
                    <w:rFonts w:ascii="Cambria Math" w:eastAsiaTheme="minorHAnsi" w:hAnsi="Cambria Math"/>
                    <w:i/>
                    <w:sz w:val="22"/>
                    <w:szCs w:val="22"/>
                    <w:lang w:bidi="ar-SA"/>
                  </w:rPr>
                </m:ctrlPr>
              </m:sSubPr>
              <m:e>
                <m:r>
                  <w:rPr>
                    <w:rFonts w:ascii="Cambria Math" w:hAnsi="Cambria Math"/>
                  </w:rPr>
                  <m:t>ρ</m:t>
                </m:r>
              </m:e>
              <m:sub>
                <m:r>
                  <w:rPr>
                    <w:rFonts w:ascii="Cambria Math" w:hAnsi="Cambria Math"/>
                  </w:rPr>
                  <m:t>local</m:t>
                </m:r>
              </m:sub>
            </m:sSub>
            <m:r>
              <w:rPr>
                <w:rFonts w:ascii="Cambria Math" w:hAnsi="Cambria Math"/>
              </w:rPr>
              <m:t>(z)</m:t>
            </m:r>
          </m:num>
          <m:den>
            <m:r>
              <w:rPr>
                <w:rFonts w:ascii="Cambria Math" w:hAnsi="Cambria Math"/>
              </w:rPr>
              <m:t>1-b</m:t>
            </m:r>
            <m:sSub>
              <m:sSubPr>
                <m:ctrlPr>
                  <w:rPr>
                    <w:rFonts w:ascii="Cambria Math" w:eastAsiaTheme="minorHAnsi" w:hAnsi="Cambria Math"/>
                    <w:i/>
                    <w:sz w:val="22"/>
                    <w:szCs w:val="22"/>
                    <w:lang w:bidi="ar-SA"/>
                  </w:rPr>
                </m:ctrlPr>
              </m:sSubPr>
              <m:e>
                <m:r>
                  <w:rPr>
                    <w:rFonts w:ascii="Cambria Math" w:hAnsi="Cambria Math"/>
                  </w:rPr>
                  <m:t>ρ</m:t>
                </m:r>
              </m:e>
              <m:sub>
                <m:r>
                  <w:rPr>
                    <w:rFonts w:ascii="Cambria Math" w:hAnsi="Cambria Math"/>
                  </w:rPr>
                  <m:t>local(z)</m:t>
                </m:r>
              </m:sub>
            </m:sSub>
          </m:den>
        </m:f>
        <m:r>
          <w:rPr>
            <w:rFonts w:ascii="Cambria Math" w:hAnsi="Cambria Math"/>
          </w:rPr>
          <m:t>-</m:t>
        </m:r>
        <m:f>
          <m:fPr>
            <m:ctrlPr>
              <w:rPr>
                <w:rFonts w:ascii="Cambria Math" w:eastAsiaTheme="minorHAnsi" w:hAnsi="Cambria Math"/>
                <w:i/>
                <w:sz w:val="22"/>
                <w:szCs w:val="22"/>
                <w:lang w:bidi="ar-SA"/>
              </w:rPr>
            </m:ctrlPr>
          </m:fPr>
          <m:num>
            <m:sSub>
              <m:sSubPr>
                <m:ctrlPr>
                  <w:rPr>
                    <w:rFonts w:ascii="Cambria Math" w:eastAsiaTheme="minorHAnsi" w:hAnsi="Cambria Math"/>
                    <w:i/>
                    <w:sz w:val="22"/>
                    <w:szCs w:val="22"/>
                    <w:lang w:bidi="ar-SA"/>
                  </w:rPr>
                </m:ctrlPr>
              </m:sSubPr>
              <m:e>
                <m:r>
                  <w:rPr>
                    <w:rFonts w:ascii="Cambria Math" w:hAnsi="Cambria Math"/>
                  </w:rPr>
                  <m:t>a</m:t>
                </m:r>
              </m:e>
              <m:sub>
                <m:r>
                  <w:rPr>
                    <w:rFonts w:ascii="Cambria Math" w:hAnsi="Cambria Math"/>
                  </w:rPr>
                  <m:t>ff</m:t>
                </m:r>
                <m:d>
                  <m:dPr>
                    <m:ctrlPr>
                      <w:rPr>
                        <w:rFonts w:ascii="Cambria Math" w:hAnsi="Cambria Math"/>
                        <w:i/>
                      </w:rPr>
                    </m:ctrlPr>
                  </m:dPr>
                  <m:e>
                    <m:r>
                      <w:rPr>
                        <w:rFonts w:ascii="Cambria Math" w:hAnsi="Cambria Math"/>
                      </w:rPr>
                      <m:t>z</m:t>
                    </m:r>
                  </m:e>
                </m:d>
              </m:sub>
            </m:sSub>
            <m:sSub>
              <m:sSubPr>
                <m:ctrlPr>
                  <w:rPr>
                    <w:rFonts w:ascii="Cambria Math" w:eastAsiaTheme="minorHAnsi" w:hAnsi="Cambria Math"/>
                    <w:i/>
                    <w:sz w:val="22"/>
                    <w:szCs w:val="22"/>
                    <w:lang w:bidi="ar-SA"/>
                  </w:rPr>
                </m:ctrlPr>
              </m:sSubPr>
              <m:e>
                <m:r>
                  <w:rPr>
                    <w:rFonts w:ascii="Cambria Math" w:hAnsi="Cambria Math"/>
                  </w:rPr>
                  <m:t>ρ</m:t>
                </m:r>
              </m:e>
              <m:sub>
                <m:r>
                  <w:rPr>
                    <w:rFonts w:ascii="Cambria Math" w:hAnsi="Cambria Math"/>
                  </w:rPr>
                  <m:t>local</m:t>
                </m:r>
              </m:sub>
            </m:sSub>
            <m:r>
              <w:rPr>
                <w:rFonts w:ascii="Cambria Math" w:hAnsi="Cambria Math"/>
              </w:rPr>
              <m:t>(z)</m:t>
            </m:r>
          </m:num>
          <m:den>
            <m:r>
              <w:rPr>
                <w:rFonts w:ascii="Cambria Math" w:hAnsi="Cambria Math"/>
              </w:rPr>
              <m:t>RT</m:t>
            </m:r>
            <m:d>
              <m:dPr>
                <m:ctrlPr>
                  <w:rPr>
                    <w:rFonts w:ascii="Cambria Math" w:eastAsiaTheme="minorHAnsi" w:hAnsi="Cambria Math"/>
                    <w:i/>
                    <w:sz w:val="22"/>
                    <w:szCs w:val="22"/>
                    <w:lang w:bidi="ar-SA"/>
                  </w:rPr>
                </m:ctrlPr>
              </m:dPr>
              <m:e>
                <m:r>
                  <w:rPr>
                    <w:rFonts w:ascii="Cambria Math" w:hAnsi="Cambria Math"/>
                  </w:rPr>
                  <m:t>1+2b</m:t>
                </m:r>
                <m:sSub>
                  <m:sSubPr>
                    <m:ctrlPr>
                      <w:rPr>
                        <w:rFonts w:ascii="Cambria Math" w:eastAsiaTheme="minorHAnsi" w:hAnsi="Cambria Math"/>
                        <w:i/>
                        <w:sz w:val="22"/>
                        <w:szCs w:val="22"/>
                        <w:lang w:bidi="ar-SA"/>
                      </w:rPr>
                    </m:ctrlPr>
                  </m:sSubPr>
                  <m:e>
                    <m:r>
                      <w:rPr>
                        <w:rFonts w:ascii="Cambria Math" w:hAnsi="Cambria Math"/>
                      </w:rPr>
                      <m:t>ρ</m:t>
                    </m:r>
                  </m:e>
                  <m:sub>
                    <m:r>
                      <w:rPr>
                        <w:rFonts w:ascii="Cambria Math" w:hAnsi="Cambria Math"/>
                      </w:rPr>
                      <m:t>local</m:t>
                    </m:r>
                  </m:sub>
                </m:sSub>
                <m:r>
                  <w:rPr>
                    <w:rFonts w:ascii="Cambria Math" w:hAnsi="Cambria Math"/>
                  </w:rPr>
                  <m:t>(z)-</m:t>
                </m:r>
                <m:sSup>
                  <m:sSupPr>
                    <m:ctrlPr>
                      <w:rPr>
                        <w:rFonts w:ascii="Cambria Math" w:eastAsiaTheme="minorHAnsi" w:hAnsi="Cambria Math"/>
                        <w:i/>
                        <w:sz w:val="22"/>
                        <w:szCs w:val="22"/>
                        <w:lang w:bidi="ar-SA"/>
                      </w:rPr>
                    </m:ctrlPr>
                  </m:sSupPr>
                  <m:e>
                    <m:r>
                      <w:rPr>
                        <w:rFonts w:ascii="Cambria Math" w:hAnsi="Cambria Math"/>
                      </w:rPr>
                      <m:t>b</m:t>
                    </m:r>
                  </m:e>
                  <m:sup>
                    <m:r>
                      <w:rPr>
                        <w:rFonts w:ascii="Cambria Math" w:hAnsi="Cambria Math"/>
                      </w:rPr>
                      <m:t>2</m:t>
                    </m:r>
                  </m:sup>
                </m:sSup>
                <m:sSubSup>
                  <m:sSubSupPr>
                    <m:ctrlPr>
                      <w:rPr>
                        <w:rFonts w:ascii="Cambria Math" w:eastAsiaTheme="minorHAnsi" w:hAnsi="Cambria Math"/>
                        <w:i/>
                        <w:sz w:val="22"/>
                        <w:szCs w:val="22"/>
                        <w:lang w:bidi="ar-SA"/>
                      </w:rPr>
                    </m:ctrlPr>
                  </m:sSubSupPr>
                  <m:e>
                    <m:r>
                      <w:rPr>
                        <w:rFonts w:ascii="Cambria Math" w:hAnsi="Cambria Math"/>
                      </w:rPr>
                      <m:t>ρ</m:t>
                    </m:r>
                  </m:e>
                  <m:sub>
                    <m:r>
                      <w:rPr>
                        <w:rFonts w:ascii="Cambria Math" w:hAnsi="Cambria Math"/>
                      </w:rPr>
                      <m:t>local</m:t>
                    </m:r>
                  </m:sub>
                  <m:sup>
                    <m:r>
                      <w:rPr>
                        <w:rFonts w:ascii="Cambria Math" w:hAnsi="Cambria Math"/>
                      </w:rPr>
                      <m:t>2</m:t>
                    </m:r>
                  </m:sup>
                </m:sSubSup>
                <m:r>
                  <w:rPr>
                    <w:rFonts w:ascii="Cambria Math" w:hAnsi="Cambria Math"/>
                  </w:rPr>
                  <m:t>(z)</m:t>
                </m:r>
              </m:e>
            </m:d>
          </m:den>
        </m:f>
        <m:r>
          <w:rPr>
            <w:rFonts w:ascii="Cambria Math" w:hAnsi="Cambria Math"/>
          </w:rPr>
          <m:t>-</m:t>
        </m:r>
        <m:func>
          <m:funcPr>
            <m:ctrlPr>
              <w:rPr>
                <w:rFonts w:ascii="Cambria Math" w:hAnsi="Cambria Math"/>
              </w:rPr>
            </m:ctrlPr>
          </m:funcPr>
          <m:fName>
            <m:r>
              <m:rPr>
                <m:sty m:val="p"/>
              </m:rPr>
              <w:rPr>
                <w:rFonts w:ascii="Cambria Math" w:hAnsi="Cambria Math"/>
              </w:rPr>
              <m:t>ln</m:t>
            </m:r>
            <m:ctrlPr>
              <w:rPr>
                <w:rFonts w:ascii="Cambria Math" w:hAnsi="Cambria Math"/>
                <w:i/>
              </w:rPr>
            </m:ctrlPr>
          </m:fName>
          <m:e>
            <m:d>
              <m:dPr>
                <m:begChr m:val="["/>
                <m:endChr m:val="]"/>
                <m:ctrlPr>
                  <w:rPr>
                    <w:rFonts w:ascii="Cambria Math" w:eastAsiaTheme="minorHAnsi" w:hAnsi="Cambria Math"/>
                    <w:i/>
                    <w:sz w:val="22"/>
                    <w:szCs w:val="22"/>
                    <w:lang w:bidi="ar-SA"/>
                  </w:rPr>
                </m:ctrlPr>
              </m:dPr>
              <m:e>
                <m:f>
                  <m:fPr>
                    <m:ctrlPr>
                      <w:rPr>
                        <w:rFonts w:ascii="Cambria Math" w:eastAsiaTheme="minorHAnsi" w:hAnsi="Cambria Math"/>
                        <w:i/>
                        <w:sz w:val="22"/>
                        <w:szCs w:val="22"/>
                        <w:lang w:bidi="ar-SA"/>
                      </w:rPr>
                    </m:ctrlPr>
                  </m:fPr>
                  <m:num>
                    <m:r>
                      <w:rPr>
                        <w:rFonts w:ascii="Cambria Math" w:hAnsi="Cambria Math"/>
                      </w:rPr>
                      <m:t>P</m:t>
                    </m:r>
                  </m:num>
                  <m:den>
                    <m:r>
                      <w:rPr>
                        <w:rFonts w:ascii="Cambria Math" w:hAnsi="Cambria Math"/>
                      </w:rPr>
                      <m:t>RT</m:t>
                    </m:r>
                    <m:sSub>
                      <m:sSubPr>
                        <m:ctrlPr>
                          <w:rPr>
                            <w:rFonts w:ascii="Cambria Math" w:eastAsiaTheme="minorHAnsi" w:hAnsi="Cambria Math"/>
                            <w:i/>
                            <w:sz w:val="22"/>
                            <w:szCs w:val="22"/>
                            <w:lang w:bidi="ar-SA"/>
                          </w:rPr>
                        </m:ctrlPr>
                      </m:sSubPr>
                      <m:e>
                        <m:r>
                          <w:rPr>
                            <w:rFonts w:ascii="Cambria Math" w:hAnsi="Cambria Math"/>
                          </w:rPr>
                          <m:t>ρ</m:t>
                        </m:r>
                      </m:e>
                      <m:sub>
                        <m:r>
                          <w:rPr>
                            <w:rFonts w:ascii="Cambria Math" w:hAnsi="Cambria Math"/>
                          </w:rPr>
                          <m:t>local</m:t>
                        </m:r>
                      </m:sub>
                    </m:sSub>
                    <m:r>
                      <w:rPr>
                        <w:rFonts w:ascii="Cambria Math" w:hAnsi="Cambria Math"/>
                      </w:rPr>
                      <m:t>(z)</m:t>
                    </m:r>
                  </m:den>
                </m:f>
                <m:r>
                  <w:rPr>
                    <w:rFonts w:ascii="Cambria Math" w:hAnsi="Cambria Math"/>
                  </w:rPr>
                  <m:t>-</m:t>
                </m:r>
                <m:f>
                  <m:fPr>
                    <m:ctrlPr>
                      <w:rPr>
                        <w:rFonts w:ascii="Cambria Math" w:eastAsiaTheme="minorHAnsi" w:hAnsi="Cambria Math"/>
                        <w:i/>
                        <w:sz w:val="22"/>
                        <w:szCs w:val="22"/>
                        <w:lang w:bidi="ar-SA"/>
                      </w:rPr>
                    </m:ctrlPr>
                  </m:fPr>
                  <m:num>
                    <m:r>
                      <w:rPr>
                        <w:rFonts w:ascii="Cambria Math" w:hAnsi="Cambria Math"/>
                      </w:rPr>
                      <m:t>Pb</m:t>
                    </m:r>
                  </m:num>
                  <m:den>
                    <m:r>
                      <w:rPr>
                        <w:rFonts w:ascii="Cambria Math" w:hAnsi="Cambria Math"/>
                      </w:rPr>
                      <m:t>RT</m:t>
                    </m:r>
                  </m:den>
                </m:f>
              </m:e>
            </m:d>
          </m:e>
        </m:func>
        <m:r>
          <w:rPr>
            <w:rFonts w:ascii="Cambria Math" w:hAnsi="Cambria Math"/>
          </w:rPr>
          <m:t>-</m:t>
        </m:r>
        <m:f>
          <m:fPr>
            <m:ctrlPr>
              <w:rPr>
                <w:rFonts w:ascii="Cambria Math" w:eastAsiaTheme="minorHAnsi" w:hAnsi="Cambria Math"/>
                <w:i/>
                <w:sz w:val="22"/>
                <w:szCs w:val="22"/>
                <w:lang w:bidi="ar-SA"/>
              </w:rPr>
            </m:ctrlPr>
          </m:fPr>
          <m:num>
            <m:sSub>
              <m:sSubPr>
                <m:ctrlPr>
                  <w:rPr>
                    <w:rFonts w:ascii="Cambria Math" w:eastAsiaTheme="minorHAnsi" w:hAnsi="Cambria Math"/>
                    <w:i/>
                    <w:sz w:val="22"/>
                    <w:szCs w:val="22"/>
                    <w:lang w:bidi="ar-SA"/>
                  </w:rPr>
                </m:ctrlPr>
              </m:sSubPr>
              <m:e>
                <m:r>
                  <w:rPr>
                    <w:rFonts w:ascii="Cambria Math" w:hAnsi="Cambria Math"/>
                  </w:rPr>
                  <m:t>a</m:t>
                </m:r>
              </m:e>
              <m:sub>
                <m:r>
                  <w:rPr>
                    <w:rFonts w:ascii="Cambria Math" w:hAnsi="Cambria Math"/>
                  </w:rPr>
                  <m:t>ff</m:t>
                </m:r>
              </m:sub>
            </m:sSub>
            <m:r>
              <w:rPr>
                <w:rFonts w:ascii="Cambria Math" w:hAnsi="Cambria Math"/>
              </w:rPr>
              <m:t>(z)</m:t>
            </m:r>
          </m:num>
          <m:den>
            <m:r>
              <w:rPr>
                <w:rFonts w:ascii="Cambria Math" w:hAnsi="Cambria Math"/>
              </w:rPr>
              <m:t>2</m:t>
            </m:r>
            <m:rad>
              <m:radPr>
                <m:degHide m:val="1"/>
                <m:ctrlPr>
                  <w:rPr>
                    <w:rFonts w:ascii="Cambria Math" w:eastAsiaTheme="minorHAnsi" w:hAnsi="Cambria Math"/>
                    <w:i/>
                    <w:sz w:val="22"/>
                    <w:szCs w:val="22"/>
                    <w:lang w:bidi="ar-SA"/>
                  </w:rPr>
                </m:ctrlPr>
              </m:radPr>
              <m:deg/>
              <m:e>
                <m:r>
                  <w:rPr>
                    <w:rFonts w:ascii="Cambria Math" w:hAnsi="Cambria Math"/>
                  </w:rPr>
                  <m:t>2</m:t>
                </m:r>
              </m:e>
            </m:rad>
            <m:r>
              <w:rPr>
                <w:rFonts w:ascii="Cambria Math" w:hAnsi="Cambria Math"/>
              </w:rPr>
              <m:t>bRT</m:t>
            </m:r>
          </m:den>
        </m:f>
        <m:r>
          <m:rPr>
            <m:sty m:val="p"/>
          </m:rPr>
          <w:rPr>
            <w:rFonts w:ascii="Cambria Math" w:hAnsi="Cambria Math"/>
          </w:rPr>
          <m:t xml:space="preserve"> x </m:t>
        </m:r>
        <m:r>
          <w:rPr>
            <w:rFonts w:ascii="Cambria Math" w:hAnsi="Cambria Math"/>
          </w:rPr>
          <m:t>ln</m:t>
        </m:r>
        <m:d>
          <m:dPr>
            <m:begChr m:val="["/>
            <m:endChr m:val="]"/>
            <m:ctrlPr>
              <w:rPr>
                <w:rFonts w:ascii="Cambria Math" w:eastAsiaTheme="minorHAnsi" w:hAnsi="Cambria Math"/>
                <w:i/>
                <w:sz w:val="22"/>
                <w:szCs w:val="22"/>
                <w:lang w:bidi="ar-SA"/>
              </w:rPr>
            </m:ctrlPr>
          </m:dPr>
          <m:e>
            <m:f>
              <m:fPr>
                <m:ctrlPr>
                  <w:rPr>
                    <w:rFonts w:ascii="Cambria Math" w:eastAsiaTheme="minorHAnsi" w:hAnsi="Cambria Math"/>
                    <w:i/>
                    <w:sz w:val="22"/>
                    <w:szCs w:val="22"/>
                    <w:lang w:bidi="ar-SA"/>
                  </w:rPr>
                </m:ctrlPr>
              </m:fPr>
              <m:num>
                <m:r>
                  <w:rPr>
                    <w:rFonts w:ascii="Cambria Math" w:hAnsi="Cambria Math"/>
                  </w:rPr>
                  <m:t>1+(1+</m:t>
                </m:r>
                <m:rad>
                  <m:radPr>
                    <m:degHide m:val="1"/>
                    <m:ctrlPr>
                      <w:rPr>
                        <w:rFonts w:ascii="Cambria Math" w:eastAsiaTheme="minorHAnsi" w:hAnsi="Cambria Math"/>
                        <w:i/>
                        <w:sz w:val="22"/>
                        <w:szCs w:val="22"/>
                        <w:lang w:bidi="ar-SA"/>
                      </w:rPr>
                    </m:ctrlPr>
                  </m:radPr>
                  <m:deg/>
                  <m:e>
                    <m:r>
                      <w:rPr>
                        <w:rFonts w:ascii="Cambria Math" w:hAnsi="Cambria Math"/>
                      </w:rPr>
                      <m:t>2</m:t>
                    </m:r>
                  </m:e>
                </m:rad>
                <m:sSub>
                  <m:sSubPr>
                    <m:ctrlPr>
                      <w:rPr>
                        <w:rFonts w:ascii="Cambria Math" w:eastAsiaTheme="minorHAnsi" w:hAnsi="Cambria Math"/>
                        <w:i/>
                        <w:sz w:val="22"/>
                        <w:szCs w:val="22"/>
                        <w:lang w:bidi="ar-SA"/>
                      </w:rPr>
                    </m:ctrlPr>
                  </m:sSubPr>
                  <m:e>
                    <m:r>
                      <w:rPr>
                        <w:rFonts w:ascii="Cambria Math" w:hAnsi="Cambria Math"/>
                      </w:rPr>
                      <m:t>ρ</m:t>
                    </m:r>
                  </m:e>
                  <m:sub>
                    <m:r>
                      <w:rPr>
                        <w:rFonts w:ascii="Cambria Math" w:hAnsi="Cambria Math"/>
                      </w:rPr>
                      <m:t>local</m:t>
                    </m:r>
                  </m:sub>
                </m:sSub>
                <m:r>
                  <w:rPr>
                    <w:rFonts w:ascii="Cambria Math" w:hAnsi="Cambria Math"/>
                  </w:rPr>
                  <m:t>(z)b</m:t>
                </m:r>
              </m:num>
              <m:den>
                <m:r>
                  <w:rPr>
                    <w:rFonts w:ascii="Cambria Math" w:hAnsi="Cambria Math"/>
                  </w:rPr>
                  <m:t>1+(1-</m:t>
                </m:r>
                <m:rad>
                  <m:radPr>
                    <m:degHide m:val="1"/>
                    <m:ctrlPr>
                      <w:rPr>
                        <w:rFonts w:ascii="Cambria Math" w:eastAsiaTheme="minorHAnsi" w:hAnsi="Cambria Math"/>
                        <w:i/>
                        <w:sz w:val="22"/>
                        <w:szCs w:val="22"/>
                        <w:lang w:bidi="ar-SA"/>
                      </w:rPr>
                    </m:ctrlPr>
                  </m:radPr>
                  <m:deg/>
                  <m:e>
                    <m:r>
                      <w:rPr>
                        <w:rFonts w:ascii="Cambria Math" w:hAnsi="Cambria Math"/>
                      </w:rPr>
                      <m:t>2</m:t>
                    </m:r>
                  </m:e>
                </m:rad>
                <m:sSub>
                  <m:sSubPr>
                    <m:ctrlPr>
                      <w:rPr>
                        <w:rFonts w:ascii="Cambria Math" w:eastAsiaTheme="minorHAnsi" w:hAnsi="Cambria Math"/>
                        <w:i/>
                        <w:sz w:val="22"/>
                        <w:szCs w:val="22"/>
                        <w:lang w:bidi="ar-SA"/>
                      </w:rPr>
                    </m:ctrlPr>
                  </m:sSubPr>
                  <m:e>
                    <m:r>
                      <w:rPr>
                        <w:rFonts w:ascii="Cambria Math" w:hAnsi="Cambria Math"/>
                      </w:rPr>
                      <m:t>ρ</m:t>
                    </m:r>
                  </m:e>
                  <m:sub>
                    <m:r>
                      <w:rPr>
                        <w:rFonts w:ascii="Cambria Math" w:hAnsi="Cambria Math"/>
                      </w:rPr>
                      <m:t>local</m:t>
                    </m:r>
                  </m:sub>
                </m:sSub>
                <m:r>
                  <w:rPr>
                    <w:rFonts w:ascii="Cambria Math" w:hAnsi="Cambria Math"/>
                  </w:rPr>
                  <m:t>(z)b</m:t>
                </m:r>
              </m:den>
            </m:f>
          </m:e>
        </m:d>
      </m:oMath>
      <w:r>
        <w:rPr>
          <w:rFonts w:ascii="Times New Roman" w:eastAsiaTheme="minorEastAsia" w:hAnsi="Times New Roman"/>
        </w:rPr>
        <w:t xml:space="preserve">                </w:t>
      </w:r>
      <w:r w:rsidR="0021202F">
        <w:rPr>
          <w:rFonts w:ascii="Times New Roman" w:eastAsiaTheme="minorEastAsia" w:hAnsi="Times New Roman"/>
        </w:rPr>
        <w:t xml:space="preserve">  </w:t>
      </w:r>
      <w:r>
        <w:rPr>
          <w:rFonts w:ascii="Times New Roman" w:eastAsiaTheme="minorEastAsia" w:hAnsi="Times New Roman"/>
        </w:rPr>
        <w:t xml:space="preserve">                                               </w:t>
      </w:r>
      <w:r>
        <w:t>(</w:t>
      </w:r>
      <w:r w:rsidR="00DE7E89">
        <w:t>8</w:t>
      </w:r>
      <w:r>
        <w:t>)</w:t>
      </w:r>
    </w:p>
    <w:p w:rsidR="00897391" w:rsidRDefault="00CF273C" w:rsidP="006131DD">
      <w:r>
        <w:t xml:space="preserve"> Then the next position is selected and the process repeated until the local density for all positions have been calculated</w:t>
      </w:r>
      <w:r w:rsidR="00C521B3">
        <w:t xml:space="preserve"> and a density profile for the entire pore created</w:t>
      </w:r>
      <w:r>
        <w:t>.</w:t>
      </w:r>
      <w:r w:rsidR="004048C8">
        <w:t xml:space="preserve"> A full list of variables used is located in </w:t>
      </w:r>
      <w:r w:rsidR="00396DE1">
        <w:rPr>
          <w:b/>
        </w:rPr>
        <w:t xml:space="preserve">Table </w:t>
      </w:r>
      <w:r w:rsidR="004048C8" w:rsidRPr="004048C8">
        <w:rPr>
          <w:b/>
        </w:rPr>
        <w:t>1</w:t>
      </w:r>
      <w:r w:rsidR="004048C8">
        <w:t>.</w:t>
      </w:r>
    </w:p>
    <w:p w:rsidR="007B09F2" w:rsidRDefault="007B09F2" w:rsidP="007B09F2">
      <w:pPr>
        <w:pStyle w:val="Caption"/>
        <w:keepNext/>
        <w:jc w:val="center"/>
      </w:pPr>
      <w:bookmarkStart w:id="28" w:name="_Toc482347141"/>
      <w:r>
        <w:lastRenderedPageBreak/>
        <w:t xml:space="preserve">Table </w:t>
      </w:r>
      <w:r w:rsidR="003C2D7F">
        <w:fldChar w:fldCharType="begin"/>
      </w:r>
      <w:r w:rsidR="003C2D7F">
        <w:instrText xml:space="preserve"> SEQ Table \* ARABIC</w:instrText>
      </w:r>
      <w:r w:rsidR="003C2D7F">
        <w:instrText xml:space="preserve"> </w:instrText>
      </w:r>
      <w:r w:rsidR="003C2D7F">
        <w:fldChar w:fldCharType="separate"/>
      </w:r>
      <w:r w:rsidR="009A340A">
        <w:rPr>
          <w:noProof/>
        </w:rPr>
        <w:t>1</w:t>
      </w:r>
      <w:r w:rsidR="003C2D7F">
        <w:rPr>
          <w:noProof/>
        </w:rPr>
        <w:fldChar w:fldCharType="end"/>
      </w:r>
      <w:r>
        <w:t xml:space="preserve">: </w:t>
      </w:r>
      <w:r w:rsidRPr="00B03381">
        <w:rPr>
          <w:b w:val="0"/>
        </w:rPr>
        <w:t>List of variables used in SLD-PR model.</w:t>
      </w:r>
      <w:bookmarkEnd w:id="28"/>
    </w:p>
    <w:p w:rsidR="000312AB" w:rsidRDefault="007B09F2" w:rsidP="007B09F2">
      <w:pPr>
        <w:pStyle w:val="Caption"/>
        <w:keepNext/>
        <w:jc w:val="center"/>
        <w:rPr>
          <w:b w:val="0"/>
        </w:rPr>
      </w:pPr>
      <w:r w:rsidRPr="006476DC">
        <w:rPr>
          <w:b w:val="0"/>
        </w:rPr>
        <w:t xml:space="preserve">The </w:t>
      </w:r>
      <w:proofErr w:type="spellStart"/>
      <w:r w:rsidRPr="006476DC">
        <w:rPr>
          <w:rFonts w:ascii="Cambria" w:hAnsi="Cambria"/>
          <w:b w:val="0"/>
          <w:i/>
          <w:iCs/>
          <w:color w:val="000000"/>
          <w:lang w:bidi="ar-SA"/>
        </w:rPr>
        <w:t>ε</w:t>
      </w:r>
      <w:r w:rsidRPr="006476DC">
        <w:rPr>
          <w:rFonts w:ascii="Cambria" w:hAnsi="Cambria"/>
          <w:b w:val="0"/>
          <w:i/>
          <w:iCs/>
          <w:color w:val="000000"/>
          <w:vertAlign w:val="subscript"/>
          <w:lang w:bidi="ar-SA"/>
        </w:rPr>
        <w:t>fs</w:t>
      </w:r>
      <w:proofErr w:type="spellEnd"/>
      <w:r w:rsidRPr="006476DC">
        <w:rPr>
          <w:rFonts w:ascii="Cambria" w:hAnsi="Cambria"/>
          <w:b w:val="0"/>
          <w:i/>
          <w:iCs/>
          <w:color w:val="000000"/>
          <w:vertAlign w:val="subscript"/>
          <w:lang w:bidi="ar-SA"/>
        </w:rPr>
        <w:t xml:space="preserve"> </w:t>
      </w:r>
      <w:r w:rsidR="000312AB" w:rsidRPr="006476DC">
        <w:rPr>
          <w:rFonts w:ascii="Cambria" w:hAnsi="Cambria"/>
          <w:b w:val="0"/>
          <w:iCs/>
          <w:color w:val="000000"/>
          <w:lang w:bidi="ar-SA"/>
        </w:rPr>
        <w:t>and</w:t>
      </w:r>
      <w:r w:rsidR="000312AB">
        <w:rPr>
          <w:rFonts w:ascii="Cambria" w:hAnsi="Cambria"/>
          <w:b w:val="0"/>
          <w:iCs/>
          <w:color w:val="000000"/>
          <w:lang w:bidi="ar-SA"/>
        </w:rPr>
        <w:t xml:space="preserve"> </w:t>
      </w:r>
      <w:proofErr w:type="spellStart"/>
      <w:r w:rsidR="000312AB" w:rsidRPr="006476DC">
        <w:rPr>
          <w:rFonts w:ascii="Cambria" w:hAnsi="Cambria"/>
          <w:b w:val="0"/>
          <w:i/>
          <w:iCs/>
          <w:color w:val="000000"/>
          <w:lang w:bidi="ar-SA"/>
        </w:rPr>
        <w:t>σ</w:t>
      </w:r>
      <w:r w:rsidR="000312AB" w:rsidRPr="006476DC">
        <w:rPr>
          <w:rFonts w:ascii="Cambria" w:hAnsi="Cambria"/>
          <w:b w:val="0"/>
          <w:i/>
          <w:iCs/>
          <w:color w:val="000000"/>
          <w:vertAlign w:val="subscript"/>
          <w:lang w:bidi="ar-SA"/>
        </w:rPr>
        <w:t>fs</w:t>
      </w:r>
      <w:proofErr w:type="spellEnd"/>
      <w:r w:rsidR="000312AB" w:rsidRPr="006476DC">
        <w:rPr>
          <w:rFonts w:ascii="Cambria" w:hAnsi="Cambria"/>
          <w:b w:val="0"/>
          <w:iCs/>
          <w:color w:val="000000"/>
          <w:lang w:bidi="ar-SA"/>
        </w:rPr>
        <w:t xml:space="preserve"> </w:t>
      </w:r>
      <w:r w:rsidRPr="006476DC">
        <w:rPr>
          <w:rFonts w:ascii="Cambria" w:hAnsi="Cambria"/>
          <w:b w:val="0"/>
          <w:iCs/>
          <w:color w:val="000000"/>
          <w:lang w:bidi="ar-SA"/>
        </w:rPr>
        <w:t>value</w:t>
      </w:r>
      <w:r w:rsidR="000312AB">
        <w:rPr>
          <w:rFonts w:ascii="Cambria" w:hAnsi="Cambria"/>
          <w:b w:val="0"/>
          <w:iCs/>
          <w:color w:val="000000"/>
          <w:lang w:bidi="ar-SA"/>
        </w:rPr>
        <w:t>s</w:t>
      </w:r>
      <w:r w:rsidR="000312AB">
        <w:rPr>
          <w:b w:val="0"/>
        </w:rPr>
        <w:t xml:space="preserve"> are</w:t>
      </w:r>
      <w:r w:rsidRPr="006476DC">
        <w:rPr>
          <w:b w:val="0"/>
        </w:rPr>
        <w:t xml:space="preserve"> for methane in a graphite pore. The </w:t>
      </w:r>
    </w:p>
    <w:p w:rsidR="007B09F2" w:rsidRPr="006476DC" w:rsidRDefault="007B09F2" w:rsidP="007B09F2">
      <w:pPr>
        <w:pStyle w:val="Caption"/>
        <w:keepNext/>
        <w:jc w:val="center"/>
        <w:rPr>
          <w:b w:val="0"/>
        </w:rPr>
      </w:pPr>
      <w:proofErr w:type="spellStart"/>
      <w:r w:rsidRPr="006476DC">
        <w:rPr>
          <w:rFonts w:ascii="Cambria" w:hAnsi="Cambria"/>
          <w:b w:val="0"/>
          <w:i/>
          <w:iCs/>
          <w:color w:val="000000"/>
          <w:lang w:bidi="ar-SA"/>
        </w:rPr>
        <w:t>ρ</w:t>
      </w:r>
      <w:r w:rsidRPr="006476DC">
        <w:rPr>
          <w:rFonts w:ascii="Cambria" w:hAnsi="Cambria"/>
          <w:b w:val="0"/>
          <w:i/>
          <w:iCs/>
          <w:color w:val="000000"/>
          <w:vertAlign w:val="subscript"/>
          <w:lang w:bidi="ar-SA"/>
        </w:rPr>
        <w:t>atoms</w:t>
      </w:r>
      <w:proofErr w:type="spellEnd"/>
      <w:r w:rsidRPr="006476DC">
        <w:rPr>
          <w:rFonts w:ascii="Cambria" w:hAnsi="Cambria"/>
          <w:b w:val="0"/>
          <w:iCs/>
          <w:color w:val="000000"/>
          <w:lang w:bidi="ar-SA"/>
        </w:rPr>
        <w:t xml:space="preserve"> </w:t>
      </w:r>
      <w:r w:rsidR="000312AB" w:rsidRPr="006476DC">
        <w:rPr>
          <w:rFonts w:ascii="Cambria" w:hAnsi="Cambria"/>
          <w:b w:val="0"/>
          <w:iCs/>
          <w:color w:val="000000"/>
          <w:lang w:bidi="ar-SA"/>
        </w:rPr>
        <w:t xml:space="preserve">value </w:t>
      </w:r>
      <w:r w:rsidR="000312AB">
        <w:rPr>
          <w:rFonts w:ascii="Cambria" w:hAnsi="Cambria"/>
          <w:b w:val="0"/>
          <w:iCs/>
          <w:color w:val="000000"/>
          <w:lang w:bidi="ar-SA"/>
        </w:rPr>
        <w:t>is</w:t>
      </w:r>
      <w:r w:rsidR="000312AB" w:rsidRPr="006476DC">
        <w:rPr>
          <w:rFonts w:ascii="Cambria" w:hAnsi="Cambria"/>
          <w:b w:val="0"/>
          <w:iCs/>
          <w:color w:val="000000"/>
          <w:lang w:bidi="ar-SA"/>
        </w:rPr>
        <w:t xml:space="preserve"> for graphite </w:t>
      </w:r>
      <w:r w:rsidRPr="006476DC">
        <w:rPr>
          <w:rFonts w:ascii="Cambria" w:hAnsi="Cambria"/>
          <w:b w:val="0"/>
          <w:iCs/>
          <w:color w:val="000000"/>
          <w:lang w:bidi="ar-SA"/>
        </w:rPr>
        <w:t xml:space="preserve">and the </w:t>
      </w:r>
      <w:proofErr w:type="spellStart"/>
      <w:r w:rsidRPr="006476DC">
        <w:rPr>
          <w:rFonts w:ascii="Cambria" w:hAnsi="Cambria"/>
          <w:b w:val="0"/>
          <w:i/>
          <w:iCs/>
          <w:color w:val="000000"/>
          <w:lang w:bidi="ar-SA"/>
        </w:rPr>
        <w:t>σ</w:t>
      </w:r>
      <w:r w:rsidRPr="006476DC">
        <w:rPr>
          <w:rFonts w:ascii="Cambria" w:hAnsi="Cambria"/>
          <w:b w:val="0"/>
          <w:i/>
          <w:iCs/>
          <w:color w:val="000000"/>
          <w:vertAlign w:val="subscript"/>
          <w:lang w:bidi="ar-SA"/>
        </w:rPr>
        <w:t>ss</w:t>
      </w:r>
      <w:proofErr w:type="spellEnd"/>
      <w:r w:rsidRPr="006476DC">
        <w:rPr>
          <w:rFonts w:ascii="Cambria" w:hAnsi="Cambria"/>
          <w:b w:val="0"/>
          <w:iCs/>
          <w:color w:val="000000"/>
          <w:lang w:bidi="ar-SA"/>
        </w:rPr>
        <w:t xml:space="preserve"> value is for methane.</w:t>
      </w:r>
    </w:p>
    <w:tbl>
      <w:tblPr>
        <w:tblW w:w="8199" w:type="dxa"/>
        <w:tblInd w:w="-10" w:type="dxa"/>
        <w:tblLook w:val="04A0" w:firstRow="1" w:lastRow="0" w:firstColumn="1" w:lastColumn="0" w:noHBand="0" w:noVBand="1"/>
      </w:tblPr>
      <w:tblGrid>
        <w:gridCol w:w="960"/>
        <w:gridCol w:w="3580"/>
        <w:gridCol w:w="1879"/>
        <w:gridCol w:w="1780"/>
      </w:tblGrid>
      <w:tr w:rsidR="00396DE1" w:rsidRPr="009904A1" w:rsidTr="007B09F2">
        <w:trPr>
          <w:trHeight w:val="300"/>
        </w:trPr>
        <w:tc>
          <w:tcPr>
            <w:tcW w:w="960" w:type="dxa"/>
            <w:vMerge w:val="restart"/>
            <w:tcBorders>
              <w:top w:val="single" w:sz="8" w:space="0" w:color="auto"/>
              <w:left w:val="single" w:sz="8" w:space="0" w:color="auto"/>
              <w:bottom w:val="single" w:sz="4" w:space="0" w:color="auto"/>
              <w:right w:val="single" w:sz="4" w:space="0" w:color="auto"/>
            </w:tcBorders>
            <w:shd w:val="clear" w:color="auto" w:fill="auto"/>
            <w:vAlign w:val="bottom"/>
            <w:hideMark/>
          </w:tcPr>
          <w:p w:rsidR="00396DE1" w:rsidRPr="009904A1" w:rsidRDefault="00396DE1" w:rsidP="00E9136A">
            <w:pPr>
              <w:spacing w:line="240" w:lineRule="auto"/>
              <w:jc w:val="center"/>
              <w:rPr>
                <w:rFonts w:ascii="Calibri" w:hAnsi="Calibri"/>
                <w:b/>
                <w:bCs/>
                <w:i/>
                <w:iCs/>
                <w:color w:val="000000"/>
                <w:lang w:bidi="ar-SA"/>
              </w:rPr>
            </w:pPr>
            <w:r w:rsidRPr="009904A1">
              <w:rPr>
                <w:rFonts w:ascii="Calibri" w:hAnsi="Calibri"/>
                <w:b/>
                <w:bCs/>
                <w:i/>
                <w:iCs/>
                <w:color w:val="000000"/>
                <w:lang w:bidi="ar-SA"/>
              </w:rPr>
              <w:t>Symbol</w:t>
            </w:r>
          </w:p>
        </w:tc>
        <w:tc>
          <w:tcPr>
            <w:tcW w:w="3580" w:type="dxa"/>
            <w:vMerge w:val="restart"/>
            <w:tcBorders>
              <w:top w:val="single" w:sz="8" w:space="0" w:color="auto"/>
              <w:left w:val="single" w:sz="4" w:space="0" w:color="auto"/>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jc w:val="center"/>
              <w:rPr>
                <w:rFonts w:ascii="Calibri" w:hAnsi="Calibri"/>
                <w:b/>
                <w:bCs/>
                <w:color w:val="000000"/>
                <w:sz w:val="22"/>
                <w:szCs w:val="22"/>
                <w:lang w:bidi="ar-SA"/>
              </w:rPr>
            </w:pPr>
            <w:r w:rsidRPr="009904A1">
              <w:rPr>
                <w:rFonts w:ascii="Calibri" w:hAnsi="Calibri"/>
                <w:b/>
                <w:bCs/>
                <w:color w:val="000000"/>
                <w:sz w:val="22"/>
                <w:szCs w:val="22"/>
                <w:lang w:bidi="ar-SA"/>
              </w:rPr>
              <w:t>Definition</w:t>
            </w:r>
          </w:p>
        </w:tc>
        <w:tc>
          <w:tcPr>
            <w:tcW w:w="1879" w:type="dxa"/>
            <w:vMerge w:val="restart"/>
            <w:tcBorders>
              <w:top w:val="single" w:sz="8" w:space="0" w:color="auto"/>
              <w:left w:val="single" w:sz="4" w:space="0" w:color="auto"/>
              <w:bottom w:val="single" w:sz="4" w:space="0" w:color="auto"/>
              <w:right w:val="single" w:sz="4" w:space="0" w:color="auto"/>
            </w:tcBorders>
            <w:shd w:val="clear" w:color="auto" w:fill="auto"/>
            <w:vAlign w:val="bottom"/>
            <w:hideMark/>
          </w:tcPr>
          <w:p w:rsidR="00396DE1" w:rsidRPr="009904A1" w:rsidRDefault="00396DE1" w:rsidP="00E9136A">
            <w:pPr>
              <w:spacing w:line="240" w:lineRule="auto"/>
              <w:jc w:val="center"/>
              <w:rPr>
                <w:rFonts w:ascii="Calibri" w:hAnsi="Calibri"/>
                <w:b/>
                <w:bCs/>
                <w:color w:val="000000"/>
                <w:sz w:val="22"/>
                <w:szCs w:val="22"/>
                <w:lang w:bidi="ar-SA"/>
              </w:rPr>
            </w:pPr>
            <w:r w:rsidRPr="009904A1">
              <w:rPr>
                <w:rFonts w:ascii="Calibri" w:hAnsi="Calibri"/>
                <w:b/>
                <w:bCs/>
                <w:color w:val="000000"/>
                <w:sz w:val="22"/>
                <w:szCs w:val="22"/>
                <w:lang w:bidi="ar-SA"/>
              </w:rPr>
              <w:t>Units</w:t>
            </w:r>
          </w:p>
        </w:tc>
        <w:tc>
          <w:tcPr>
            <w:tcW w:w="1780" w:type="dxa"/>
            <w:vMerge w:val="restart"/>
            <w:tcBorders>
              <w:top w:val="single" w:sz="8" w:space="0" w:color="auto"/>
              <w:left w:val="single" w:sz="4" w:space="0" w:color="auto"/>
              <w:bottom w:val="single" w:sz="4" w:space="0" w:color="auto"/>
              <w:right w:val="single" w:sz="8" w:space="0" w:color="auto"/>
            </w:tcBorders>
            <w:shd w:val="clear" w:color="auto" w:fill="auto"/>
            <w:vAlign w:val="bottom"/>
            <w:hideMark/>
          </w:tcPr>
          <w:p w:rsidR="00396DE1" w:rsidRPr="009904A1" w:rsidRDefault="00396DE1" w:rsidP="00E9136A">
            <w:pPr>
              <w:spacing w:line="240" w:lineRule="auto"/>
              <w:jc w:val="center"/>
              <w:rPr>
                <w:rFonts w:ascii="Calibri" w:hAnsi="Calibri"/>
                <w:b/>
                <w:bCs/>
                <w:color w:val="000000"/>
                <w:sz w:val="22"/>
                <w:szCs w:val="22"/>
                <w:lang w:bidi="ar-SA"/>
              </w:rPr>
            </w:pPr>
            <w:r>
              <w:rPr>
                <w:rFonts w:ascii="Calibri" w:hAnsi="Calibri"/>
                <w:b/>
                <w:bCs/>
                <w:color w:val="000000"/>
                <w:sz w:val="22"/>
                <w:szCs w:val="22"/>
                <w:lang w:bidi="ar-SA"/>
              </w:rPr>
              <w:t>Assumed or</w:t>
            </w:r>
            <w:r w:rsidRPr="009904A1">
              <w:rPr>
                <w:rFonts w:ascii="Calibri" w:hAnsi="Calibri"/>
                <w:b/>
                <w:bCs/>
                <w:color w:val="000000"/>
                <w:sz w:val="22"/>
                <w:szCs w:val="22"/>
                <w:lang w:bidi="ar-SA"/>
              </w:rPr>
              <w:t xml:space="preserve"> constant</w:t>
            </w:r>
            <w:r>
              <w:rPr>
                <w:rFonts w:ascii="Calibri" w:hAnsi="Calibri"/>
                <w:b/>
                <w:bCs/>
                <w:color w:val="000000"/>
                <w:sz w:val="22"/>
                <w:szCs w:val="22"/>
                <w:lang w:bidi="ar-SA"/>
              </w:rPr>
              <w:t xml:space="preserve"> values</w:t>
            </w:r>
          </w:p>
        </w:tc>
      </w:tr>
      <w:tr w:rsidR="00396DE1" w:rsidRPr="009904A1" w:rsidTr="007B09F2">
        <w:trPr>
          <w:trHeight w:val="315"/>
        </w:trPr>
        <w:tc>
          <w:tcPr>
            <w:tcW w:w="960" w:type="dxa"/>
            <w:vMerge/>
            <w:tcBorders>
              <w:top w:val="single" w:sz="8" w:space="0" w:color="auto"/>
              <w:left w:val="single" w:sz="8" w:space="0" w:color="auto"/>
              <w:bottom w:val="single" w:sz="4" w:space="0" w:color="auto"/>
              <w:right w:val="single" w:sz="4" w:space="0" w:color="auto"/>
            </w:tcBorders>
            <w:vAlign w:val="center"/>
            <w:hideMark/>
          </w:tcPr>
          <w:p w:rsidR="00396DE1" w:rsidRPr="009904A1" w:rsidRDefault="00396DE1" w:rsidP="00E9136A">
            <w:pPr>
              <w:spacing w:line="240" w:lineRule="auto"/>
              <w:rPr>
                <w:rFonts w:ascii="Calibri" w:hAnsi="Calibri"/>
                <w:b/>
                <w:bCs/>
                <w:i/>
                <w:iCs/>
                <w:color w:val="000000"/>
                <w:lang w:bidi="ar-SA"/>
              </w:rPr>
            </w:pPr>
          </w:p>
        </w:tc>
        <w:tc>
          <w:tcPr>
            <w:tcW w:w="3580" w:type="dxa"/>
            <w:vMerge/>
            <w:tcBorders>
              <w:top w:val="single" w:sz="8" w:space="0" w:color="auto"/>
              <w:left w:val="single" w:sz="4" w:space="0" w:color="auto"/>
              <w:bottom w:val="single" w:sz="4" w:space="0" w:color="auto"/>
              <w:right w:val="single" w:sz="4" w:space="0" w:color="auto"/>
            </w:tcBorders>
            <w:vAlign w:val="center"/>
            <w:hideMark/>
          </w:tcPr>
          <w:p w:rsidR="00396DE1" w:rsidRPr="009904A1" w:rsidRDefault="00396DE1" w:rsidP="00E9136A">
            <w:pPr>
              <w:spacing w:line="240" w:lineRule="auto"/>
              <w:rPr>
                <w:rFonts w:ascii="Calibri" w:hAnsi="Calibri"/>
                <w:b/>
                <w:bCs/>
                <w:color w:val="000000"/>
                <w:sz w:val="22"/>
                <w:szCs w:val="22"/>
                <w:lang w:bidi="ar-SA"/>
              </w:rPr>
            </w:pPr>
          </w:p>
        </w:tc>
        <w:tc>
          <w:tcPr>
            <w:tcW w:w="1879" w:type="dxa"/>
            <w:vMerge/>
            <w:tcBorders>
              <w:top w:val="single" w:sz="8" w:space="0" w:color="auto"/>
              <w:left w:val="single" w:sz="4" w:space="0" w:color="auto"/>
              <w:bottom w:val="single" w:sz="4" w:space="0" w:color="auto"/>
              <w:right w:val="single" w:sz="4" w:space="0" w:color="auto"/>
            </w:tcBorders>
            <w:vAlign w:val="center"/>
            <w:hideMark/>
          </w:tcPr>
          <w:p w:rsidR="00396DE1" w:rsidRPr="009904A1" w:rsidRDefault="00396DE1" w:rsidP="00E9136A">
            <w:pPr>
              <w:spacing w:line="240" w:lineRule="auto"/>
              <w:rPr>
                <w:rFonts w:ascii="Calibri" w:hAnsi="Calibri"/>
                <w:b/>
                <w:bCs/>
                <w:color w:val="000000"/>
                <w:sz w:val="22"/>
                <w:szCs w:val="22"/>
                <w:lang w:bidi="ar-SA"/>
              </w:rPr>
            </w:pPr>
          </w:p>
        </w:tc>
        <w:tc>
          <w:tcPr>
            <w:tcW w:w="1780" w:type="dxa"/>
            <w:vMerge/>
            <w:tcBorders>
              <w:top w:val="single" w:sz="8" w:space="0" w:color="auto"/>
              <w:left w:val="single" w:sz="4" w:space="0" w:color="auto"/>
              <w:bottom w:val="single" w:sz="4" w:space="0" w:color="auto"/>
              <w:right w:val="single" w:sz="8" w:space="0" w:color="auto"/>
            </w:tcBorders>
            <w:vAlign w:val="center"/>
            <w:hideMark/>
          </w:tcPr>
          <w:p w:rsidR="00396DE1" w:rsidRPr="009904A1" w:rsidRDefault="00396DE1" w:rsidP="00E9136A">
            <w:pPr>
              <w:spacing w:line="240" w:lineRule="auto"/>
              <w:rPr>
                <w:rFonts w:ascii="Calibri" w:hAnsi="Calibri"/>
                <w:b/>
                <w:bCs/>
                <w:color w:val="000000"/>
                <w:sz w:val="22"/>
                <w:szCs w:val="22"/>
                <w:lang w:bidi="ar-SA"/>
              </w:rPr>
            </w:pP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r w:rsidRPr="009904A1">
              <w:rPr>
                <w:rFonts w:ascii="Cambria" w:hAnsi="Cambria"/>
                <w:i/>
                <w:iCs/>
                <w:color w:val="000000"/>
                <w:lang w:bidi="ar-SA"/>
              </w:rPr>
              <w:t>a</w:t>
            </w:r>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Attraction parameter</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m</w:t>
            </w:r>
            <w:r w:rsidRPr="009904A1">
              <w:rPr>
                <w:rFonts w:ascii="Calibri" w:hAnsi="Calibri"/>
                <w:color w:val="000000"/>
                <w:sz w:val="22"/>
                <w:szCs w:val="22"/>
                <w:vertAlign w:val="superscript"/>
                <w:lang w:bidi="ar-SA"/>
              </w:rPr>
              <w:t>6</w:t>
            </w:r>
            <w:r w:rsidRPr="009904A1">
              <w:rPr>
                <w:rFonts w:ascii="Calibri" w:hAnsi="Calibri"/>
                <w:color w:val="000000"/>
                <w:sz w:val="22"/>
                <w:szCs w:val="22"/>
                <w:lang w:bidi="ar-SA"/>
              </w:rPr>
              <w:t>Pa/mol</w:t>
            </w:r>
            <w:r w:rsidRPr="009904A1">
              <w:rPr>
                <w:rFonts w:ascii="Calibri" w:hAnsi="Calibri"/>
                <w:color w:val="000000"/>
                <w:sz w:val="22"/>
                <w:szCs w:val="22"/>
                <w:vertAlign w:val="superscript"/>
                <w:lang w:bidi="ar-SA"/>
              </w:rPr>
              <w:t>2</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p>
        </w:tc>
      </w:tr>
      <w:tr w:rsidR="00396DE1" w:rsidRPr="009904A1" w:rsidTr="007B09F2">
        <w:trPr>
          <w:trHeight w:val="360"/>
        </w:trPr>
        <w:tc>
          <w:tcPr>
            <w:tcW w:w="96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proofErr w:type="spellStart"/>
            <w:r w:rsidRPr="009904A1">
              <w:rPr>
                <w:rFonts w:ascii="Cambria" w:hAnsi="Cambria"/>
                <w:i/>
                <w:iCs/>
                <w:color w:val="000000"/>
                <w:lang w:bidi="ar-SA"/>
              </w:rPr>
              <w:t>a</w:t>
            </w:r>
            <w:r w:rsidRPr="009904A1">
              <w:rPr>
                <w:rFonts w:ascii="Cambria" w:hAnsi="Cambria"/>
                <w:i/>
                <w:iCs/>
                <w:color w:val="000000"/>
                <w:vertAlign w:val="subscript"/>
                <w:lang w:bidi="ar-SA"/>
              </w:rPr>
              <w:t>ff</w:t>
            </w:r>
            <w:proofErr w:type="spellEnd"/>
          </w:p>
        </w:tc>
        <w:tc>
          <w:tcPr>
            <w:tcW w:w="3580" w:type="dxa"/>
            <w:vMerge w:val="restart"/>
            <w:tcBorders>
              <w:top w:val="nil"/>
              <w:left w:val="single" w:sz="4" w:space="0" w:color="auto"/>
              <w:bottom w:val="single" w:sz="4" w:space="0" w:color="auto"/>
              <w:right w:val="single" w:sz="4" w:space="0" w:color="auto"/>
            </w:tcBorders>
            <w:shd w:val="clear" w:color="auto" w:fill="auto"/>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Attraction parameter modified for pore position</w:t>
            </w:r>
          </w:p>
        </w:tc>
        <w:tc>
          <w:tcPr>
            <w:tcW w:w="187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m</w:t>
            </w:r>
            <w:r w:rsidRPr="009904A1">
              <w:rPr>
                <w:rFonts w:ascii="Calibri" w:hAnsi="Calibri"/>
                <w:color w:val="000000"/>
                <w:sz w:val="22"/>
                <w:szCs w:val="22"/>
                <w:vertAlign w:val="superscript"/>
                <w:lang w:bidi="ar-SA"/>
              </w:rPr>
              <w:t>6</w:t>
            </w:r>
            <w:r w:rsidRPr="009904A1">
              <w:rPr>
                <w:rFonts w:ascii="Calibri" w:hAnsi="Calibri"/>
                <w:color w:val="000000"/>
                <w:sz w:val="22"/>
                <w:szCs w:val="22"/>
                <w:lang w:bidi="ar-SA"/>
              </w:rPr>
              <w:t>Pa/mol</w:t>
            </w:r>
            <w:r w:rsidRPr="009904A1">
              <w:rPr>
                <w:rFonts w:ascii="Calibri" w:hAnsi="Calibri"/>
                <w:color w:val="000000"/>
                <w:sz w:val="22"/>
                <w:szCs w:val="22"/>
                <w:vertAlign w:val="superscript"/>
                <w:lang w:bidi="ar-SA"/>
              </w:rPr>
              <w:t>2</w:t>
            </w:r>
          </w:p>
        </w:tc>
        <w:tc>
          <w:tcPr>
            <w:tcW w:w="1780" w:type="dxa"/>
            <w:vMerge w:val="restart"/>
            <w:tcBorders>
              <w:top w:val="nil"/>
              <w:left w:val="single" w:sz="4" w:space="0" w:color="auto"/>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 </w:t>
            </w:r>
          </w:p>
        </w:tc>
      </w:tr>
      <w:tr w:rsidR="00396DE1" w:rsidRPr="009904A1" w:rsidTr="007B09F2">
        <w:trPr>
          <w:trHeight w:val="315"/>
        </w:trPr>
        <w:tc>
          <w:tcPr>
            <w:tcW w:w="960" w:type="dxa"/>
            <w:vMerge/>
            <w:tcBorders>
              <w:top w:val="nil"/>
              <w:left w:val="single" w:sz="8" w:space="0" w:color="auto"/>
              <w:bottom w:val="single" w:sz="4" w:space="0" w:color="auto"/>
              <w:right w:val="single" w:sz="4" w:space="0" w:color="auto"/>
            </w:tcBorders>
            <w:vAlign w:val="center"/>
            <w:hideMark/>
          </w:tcPr>
          <w:p w:rsidR="00396DE1" w:rsidRPr="009904A1" w:rsidRDefault="00396DE1" w:rsidP="00E9136A">
            <w:pPr>
              <w:spacing w:line="240" w:lineRule="auto"/>
              <w:rPr>
                <w:rFonts w:ascii="Cambria" w:hAnsi="Cambria"/>
                <w:i/>
                <w:iCs/>
                <w:color w:val="000000"/>
                <w:lang w:bidi="ar-SA"/>
              </w:rPr>
            </w:pPr>
          </w:p>
        </w:tc>
        <w:tc>
          <w:tcPr>
            <w:tcW w:w="3580" w:type="dxa"/>
            <w:vMerge/>
            <w:tcBorders>
              <w:top w:val="nil"/>
              <w:left w:val="single" w:sz="4" w:space="0" w:color="auto"/>
              <w:bottom w:val="single" w:sz="4" w:space="0" w:color="auto"/>
              <w:right w:val="single" w:sz="4" w:space="0" w:color="auto"/>
            </w:tcBorders>
            <w:vAlign w:val="center"/>
            <w:hideMark/>
          </w:tcPr>
          <w:p w:rsidR="00396DE1" w:rsidRPr="009904A1" w:rsidRDefault="00396DE1" w:rsidP="00E9136A">
            <w:pPr>
              <w:spacing w:line="240" w:lineRule="auto"/>
              <w:rPr>
                <w:rFonts w:ascii="Calibri" w:hAnsi="Calibri"/>
                <w:color w:val="000000"/>
                <w:sz w:val="22"/>
                <w:szCs w:val="22"/>
                <w:lang w:bidi="ar-SA"/>
              </w:rPr>
            </w:pPr>
          </w:p>
        </w:tc>
        <w:tc>
          <w:tcPr>
            <w:tcW w:w="1879" w:type="dxa"/>
            <w:vMerge/>
            <w:tcBorders>
              <w:top w:val="nil"/>
              <w:left w:val="single" w:sz="4" w:space="0" w:color="auto"/>
              <w:bottom w:val="single" w:sz="4" w:space="0" w:color="auto"/>
              <w:right w:val="single" w:sz="4" w:space="0" w:color="auto"/>
            </w:tcBorders>
            <w:vAlign w:val="center"/>
            <w:hideMark/>
          </w:tcPr>
          <w:p w:rsidR="00396DE1" w:rsidRPr="009904A1" w:rsidRDefault="00396DE1" w:rsidP="00E9136A">
            <w:pPr>
              <w:spacing w:line="240" w:lineRule="auto"/>
              <w:rPr>
                <w:rFonts w:ascii="Calibri" w:hAnsi="Calibri"/>
                <w:color w:val="000000"/>
                <w:sz w:val="22"/>
                <w:szCs w:val="22"/>
                <w:lang w:bidi="ar-SA"/>
              </w:rPr>
            </w:pPr>
          </w:p>
        </w:tc>
        <w:tc>
          <w:tcPr>
            <w:tcW w:w="1780" w:type="dxa"/>
            <w:vMerge/>
            <w:tcBorders>
              <w:top w:val="nil"/>
              <w:left w:val="single" w:sz="4" w:space="0" w:color="auto"/>
              <w:bottom w:val="single" w:sz="4" w:space="0" w:color="auto"/>
              <w:right w:val="single" w:sz="8" w:space="0" w:color="auto"/>
            </w:tcBorders>
            <w:vAlign w:val="center"/>
            <w:hideMark/>
          </w:tcPr>
          <w:p w:rsidR="00396DE1" w:rsidRPr="009904A1" w:rsidRDefault="00396DE1" w:rsidP="00E9136A">
            <w:pPr>
              <w:spacing w:line="240" w:lineRule="auto"/>
              <w:rPr>
                <w:rFonts w:ascii="Calibri" w:hAnsi="Calibri"/>
                <w:color w:val="000000"/>
                <w:sz w:val="22"/>
                <w:szCs w:val="22"/>
                <w:lang w:bidi="ar-SA"/>
              </w:rPr>
            </w:pP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r w:rsidRPr="009904A1">
              <w:rPr>
                <w:rFonts w:ascii="Cambria" w:hAnsi="Cambria"/>
                <w:i/>
                <w:iCs/>
                <w:color w:val="000000"/>
                <w:lang w:bidi="ar-SA"/>
              </w:rPr>
              <w:t>b</w:t>
            </w:r>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Repulsion parameter</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m</w:t>
            </w:r>
            <w:r w:rsidRPr="009904A1">
              <w:rPr>
                <w:rFonts w:ascii="Calibri" w:hAnsi="Calibri"/>
                <w:color w:val="000000"/>
                <w:sz w:val="22"/>
                <w:szCs w:val="22"/>
                <w:vertAlign w:val="superscript"/>
                <w:lang w:bidi="ar-SA"/>
              </w:rPr>
              <w:t>3</w:t>
            </w:r>
            <w:r w:rsidRPr="009904A1">
              <w:rPr>
                <w:rFonts w:ascii="Calibri" w:hAnsi="Calibri"/>
                <w:color w:val="000000"/>
                <w:sz w:val="22"/>
                <w:szCs w:val="22"/>
                <w:lang w:bidi="ar-SA"/>
              </w:rPr>
              <w:t>/</w:t>
            </w:r>
            <w:proofErr w:type="spellStart"/>
            <w:r w:rsidRPr="009904A1">
              <w:rPr>
                <w:rFonts w:ascii="Calibri" w:hAnsi="Calibri"/>
                <w:color w:val="000000"/>
                <w:sz w:val="22"/>
                <w:szCs w:val="22"/>
                <w:lang w:bidi="ar-SA"/>
              </w:rPr>
              <w:t>mol</w:t>
            </w:r>
            <w:proofErr w:type="spellEnd"/>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proofErr w:type="spellStart"/>
            <w:r w:rsidRPr="009904A1">
              <w:rPr>
                <w:rFonts w:ascii="Cambria" w:hAnsi="Cambria"/>
                <w:i/>
                <w:iCs/>
                <w:color w:val="000000"/>
                <w:lang w:bidi="ar-SA"/>
              </w:rPr>
              <w:t>f</w:t>
            </w:r>
            <w:r w:rsidRPr="009904A1">
              <w:rPr>
                <w:rFonts w:ascii="Cambria" w:hAnsi="Cambria"/>
                <w:i/>
                <w:iCs/>
                <w:color w:val="000000"/>
                <w:vertAlign w:val="subscript"/>
                <w:lang w:bidi="ar-SA"/>
              </w:rPr>
              <w:t>bulk</w:t>
            </w:r>
            <w:proofErr w:type="spellEnd"/>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Bulk fugacity</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Pa</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 </w:t>
            </w: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proofErr w:type="spellStart"/>
            <w:r w:rsidRPr="009904A1">
              <w:rPr>
                <w:rFonts w:ascii="Cambria" w:hAnsi="Cambria"/>
                <w:i/>
                <w:iCs/>
                <w:color w:val="000000"/>
                <w:lang w:bidi="ar-SA"/>
              </w:rPr>
              <w:t>f</w:t>
            </w:r>
            <w:r w:rsidRPr="009904A1">
              <w:rPr>
                <w:rFonts w:ascii="Cambria" w:hAnsi="Cambria"/>
                <w:i/>
                <w:iCs/>
                <w:color w:val="000000"/>
                <w:vertAlign w:val="subscript"/>
                <w:lang w:bidi="ar-SA"/>
              </w:rPr>
              <w:t>ff</w:t>
            </w:r>
            <w:proofErr w:type="spellEnd"/>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Fluid-fluid fugacity</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Pa</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 </w:t>
            </w: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r w:rsidRPr="009904A1">
              <w:rPr>
                <w:rFonts w:ascii="Cambria" w:hAnsi="Cambria"/>
                <w:i/>
                <w:iCs/>
                <w:color w:val="000000"/>
                <w:lang w:bidi="ar-SA"/>
              </w:rPr>
              <w:t>k</w:t>
            </w:r>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Boltzmann constant</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m</w:t>
            </w:r>
            <w:r w:rsidRPr="009904A1">
              <w:rPr>
                <w:rFonts w:ascii="Calibri" w:hAnsi="Calibri"/>
                <w:color w:val="000000"/>
                <w:sz w:val="22"/>
                <w:szCs w:val="22"/>
                <w:vertAlign w:val="superscript"/>
                <w:lang w:bidi="ar-SA"/>
              </w:rPr>
              <w:t>2</w:t>
            </w:r>
            <w:r w:rsidRPr="009904A1">
              <w:rPr>
                <w:rFonts w:ascii="Calibri" w:hAnsi="Calibri"/>
                <w:color w:val="000000"/>
                <w:sz w:val="22"/>
                <w:szCs w:val="22"/>
                <w:lang w:bidi="ar-SA"/>
              </w:rPr>
              <w:t>kg/s</w:t>
            </w:r>
            <w:r w:rsidRPr="009904A1">
              <w:rPr>
                <w:rFonts w:ascii="Calibri" w:hAnsi="Calibri"/>
                <w:color w:val="000000"/>
                <w:sz w:val="22"/>
                <w:szCs w:val="22"/>
                <w:vertAlign w:val="superscript"/>
                <w:lang w:bidi="ar-SA"/>
              </w:rPr>
              <w:t>2</w:t>
            </w:r>
            <w:r w:rsidRPr="009904A1">
              <w:rPr>
                <w:rFonts w:ascii="Calibri" w:hAnsi="Calibri"/>
                <w:color w:val="000000"/>
                <w:sz w:val="22"/>
                <w:szCs w:val="22"/>
                <w:lang w:bidi="ar-SA"/>
              </w:rPr>
              <w:t>K</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1.38064852x10</w:t>
            </w:r>
            <w:r w:rsidRPr="009904A1">
              <w:rPr>
                <w:rFonts w:ascii="Calibri" w:hAnsi="Calibri"/>
                <w:color w:val="000000"/>
                <w:sz w:val="22"/>
                <w:szCs w:val="22"/>
                <w:vertAlign w:val="superscript"/>
                <w:lang w:bidi="ar-SA"/>
              </w:rPr>
              <w:t>-23</w:t>
            </w:r>
          </w:p>
        </w:tc>
      </w:tr>
      <w:tr w:rsidR="00396DE1" w:rsidRPr="009904A1" w:rsidTr="007B09F2">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r w:rsidRPr="009904A1">
              <w:rPr>
                <w:rFonts w:ascii="Cambria" w:hAnsi="Cambria"/>
                <w:i/>
                <w:iCs/>
                <w:color w:val="000000"/>
                <w:lang w:bidi="ar-SA"/>
              </w:rPr>
              <w:t>L</w:t>
            </w:r>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Pore width</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m</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 </w:t>
            </w: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r w:rsidRPr="009904A1">
              <w:rPr>
                <w:rFonts w:ascii="Cambria" w:hAnsi="Cambria"/>
                <w:i/>
                <w:iCs/>
                <w:color w:val="000000"/>
                <w:lang w:bidi="ar-SA"/>
              </w:rPr>
              <w:t>N</w:t>
            </w:r>
            <w:r w:rsidRPr="009904A1">
              <w:rPr>
                <w:rFonts w:ascii="Cambria" w:hAnsi="Cambria"/>
                <w:i/>
                <w:iCs/>
                <w:color w:val="000000"/>
                <w:vertAlign w:val="subscript"/>
                <w:lang w:bidi="ar-SA"/>
              </w:rPr>
              <w:t>A</w:t>
            </w:r>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Avogadro's number</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atoms/</w:t>
            </w:r>
            <w:proofErr w:type="spellStart"/>
            <w:r w:rsidRPr="009904A1">
              <w:rPr>
                <w:rFonts w:ascii="Calibri" w:hAnsi="Calibri"/>
                <w:color w:val="000000"/>
                <w:sz w:val="22"/>
                <w:szCs w:val="22"/>
                <w:lang w:bidi="ar-SA"/>
              </w:rPr>
              <w:t>mol</w:t>
            </w:r>
            <w:proofErr w:type="spellEnd"/>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6.0221409x10</w:t>
            </w:r>
            <w:r w:rsidRPr="009904A1">
              <w:rPr>
                <w:rFonts w:ascii="Calibri" w:hAnsi="Calibri"/>
                <w:color w:val="000000"/>
                <w:sz w:val="22"/>
                <w:szCs w:val="22"/>
                <w:vertAlign w:val="superscript"/>
                <w:lang w:bidi="ar-SA"/>
              </w:rPr>
              <w:t>23</w:t>
            </w:r>
          </w:p>
        </w:tc>
      </w:tr>
      <w:tr w:rsidR="00396DE1" w:rsidRPr="009904A1" w:rsidTr="007B09F2">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r w:rsidRPr="009904A1">
              <w:rPr>
                <w:rFonts w:ascii="Cambria" w:hAnsi="Cambria"/>
                <w:i/>
                <w:iCs/>
                <w:color w:val="000000"/>
                <w:lang w:bidi="ar-SA"/>
              </w:rPr>
              <w:t>P</w:t>
            </w:r>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Pressure</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Pa</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 </w:t>
            </w: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r w:rsidRPr="009904A1">
              <w:rPr>
                <w:rFonts w:ascii="Cambria" w:hAnsi="Cambria"/>
                <w:i/>
                <w:iCs/>
                <w:color w:val="000000"/>
                <w:lang w:bidi="ar-SA"/>
              </w:rPr>
              <w:t>R</w:t>
            </w:r>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Universal gas constant</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m</w:t>
            </w:r>
            <w:r w:rsidRPr="009904A1">
              <w:rPr>
                <w:rFonts w:ascii="Calibri" w:hAnsi="Calibri"/>
                <w:color w:val="000000"/>
                <w:sz w:val="22"/>
                <w:szCs w:val="22"/>
                <w:vertAlign w:val="superscript"/>
                <w:lang w:bidi="ar-SA"/>
              </w:rPr>
              <w:t>3</w:t>
            </w:r>
            <w:r w:rsidRPr="009904A1">
              <w:rPr>
                <w:rFonts w:ascii="Calibri" w:hAnsi="Calibri"/>
                <w:color w:val="000000"/>
                <w:sz w:val="22"/>
                <w:szCs w:val="22"/>
                <w:lang w:bidi="ar-SA"/>
              </w:rPr>
              <w:t>Pa/</w:t>
            </w:r>
            <w:proofErr w:type="spellStart"/>
            <w:r w:rsidRPr="009904A1">
              <w:rPr>
                <w:rFonts w:ascii="Calibri" w:hAnsi="Calibri"/>
                <w:color w:val="000000"/>
                <w:sz w:val="22"/>
                <w:szCs w:val="22"/>
                <w:lang w:bidi="ar-SA"/>
              </w:rPr>
              <w:t>mol</w:t>
            </w:r>
            <w:proofErr w:type="spellEnd"/>
            <w:r w:rsidRPr="009904A1">
              <w:rPr>
                <w:rFonts w:ascii="Calibri" w:hAnsi="Calibri"/>
                <w:color w:val="000000"/>
                <w:sz w:val="22"/>
                <w:szCs w:val="22"/>
                <w:lang w:bidi="ar-SA"/>
              </w:rPr>
              <w:t>*K</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8.314</w:t>
            </w:r>
          </w:p>
        </w:tc>
      </w:tr>
      <w:tr w:rsidR="00396DE1" w:rsidRPr="009904A1" w:rsidTr="007B09F2">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r w:rsidRPr="009904A1">
              <w:rPr>
                <w:rFonts w:ascii="Cambria" w:hAnsi="Cambria"/>
                <w:i/>
                <w:iCs/>
                <w:color w:val="000000"/>
                <w:lang w:bidi="ar-SA"/>
              </w:rPr>
              <w:t>T</w:t>
            </w:r>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Temperature</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K</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 </w:t>
            </w:r>
          </w:p>
        </w:tc>
      </w:tr>
      <w:tr w:rsidR="00396DE1" w:rsidRPr="009904A1" w:rsidTr="007B09F2">
        <w:trPr>
          <w:trHeight w:val="31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r w:rsidRPr="009904A1">
              <w:rPr>
                <w:rFonts w:ascii="Cambria" w:hAnsi="Cambria"/>
                <w:i/>
                <w:iCs/>
                <w:color w:val="000000"/>
                <w:lang w:bidi="ar-SA"/>
              </w:rPr>
              <w:t>z</w:t>
            </w:r>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Position in pore</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m</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 </w:t>
            </w:r>
          </w:p>
        </w:tc>
      </w:tr>
      <w:tr w:rsidR="00396DE1" w:rsidRPr="009904A1" w:rsidTr="007B09F2">
        <w:trPr>
          <w:trHeight w:val="345"/>
        </w:trPr>
        <w:tc>
          <w:tcPr>
            <w:tcW w:w="96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proofErr w:type="spellStart"/>
            <w:r w:rsidRPr="009904A1">
              <w:rPr>
                <w:rFonts w:ascii="Cambria" w:hAnsi="Cambria"/>
                <w:i/>
                <w:iCs/>
                <w:color w:val="000000"/>
                <w:lang w:bidi="ar-SA"/>
              </w:rPr>
              <w:t>ε</w:t>
            </w:r>
            <w:r w:rsidRPr="009904A1">
              <w:rPr>
                <w:rFonts w:ascii="Cambria" w:hAnsi="Cambria"/>
                <w:i/>
                <w:iCs/>
                <w:color w:val="000000"/>
                <w:vertAlign w:val="subscript"/>
                <w:lang w:bidi="ar-SA"/>
              </w:rPr>
              <w:t>fs</w:t>
            </w:r>
            <w:proofErr w:type="spellEnd"/>
          </w:p>
        </w:tc>
        <w:tc>
          <w:tcPr>
            <w:tcW w:w="3580" w:type="dxa"/>
            <w:vMerge w:val="restart"/>
            <w:tcBorders>
              <w:top w:val="nil"/>
              <w:left w:val="single" w:sz="4" w:space="0" w:color="auto"/>
              <w:bottom w:val="single" w:sz="4" w:space="0" w:color="auto"/>
              <w:right w:val="single" w:sz="4" w:space="0" w:color="auto"/>
            </w:tcBorders>
            <w:shd w:val="clear" w:color="auto" w:fill="auto"/>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Fluid molecule-wall molecule interaction energy parameter</w:t>
            </w:r>
          </w:p>
        </w:tc>
        <w:tc>
          <w:tcPr>
            <w:tcW w:w="187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K</w:t>
            </w:r>
          </w:p>
        </w:tc>
        <w:tc>
          <w:tcPr>
            <w:tcW w:w="1780" w:type="dxa"/>
            <w:vMerge w:val="restart"/>
            <w:tcBorders>
              <w:top w:val="nil"/>
              <w:left w:val="single" w:sz="4" w:space="0" w:color="auto"/>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148.6*k</w:t>
            </w:r>
          </w:p>
        </w:tc>
      </w:tr>
      <w:tr w:rsidR="00396DE1" w:rsidRPr="009904A1" w:rsidTr="007B09F2">
        <w:trPr>
          <w:trHeight w:val="315"/>
        </w:trPr>
        <w:tc>
          <w:tcPr>
            <w:tcW w:w="960" w:type="dxa"/>
            <w:vMerge/>
            <w:tcBorders>
              <w:top w:val="nil"/>
              <w:left w:val="single" w:sz="8" w:space="0" w:color="auto"/>
              <w:bottom w:val="single" w:sz="4" w:space="0" w:color="auto"/>
              <w:right w:val="single" w:sz="4" w:space="0" w:color="auto"/>
            </w:tcBorders>
            <w:vAlign w:val="center"/>
            <w:hideMark/>
          </w:tcPr>
          <w:p w:rsidR="00396DE1" w:rsidRPr="009904A1" w:rsidRDefault="00396DE1" w:rsidP="00E9136A">
            <w:pPr>
              <w:spacing w:line="240" w:lineRule="auto"/>
              <w:rPr>
                <w:rFonts w:ascii="Cambria" w:hAnsi="Cambria"/>
                <w:i/>
                <w:iCs/>
                <w:color w:val="000000"/>
                <w:lang w:bidi="ar-SA"/>
              </w:rPr>
            </w:pPr>
          </w:p>
        </w:tc>
        <w:tc>
          <w:tcPr>
            <w:tcW w:w="3580" w:type="dxa"/>
            <w:vMerge/>
            <w:tcBorders>
              <w:top w:val="nil"/>
              <w:left w:val="single" w:sz="4" w:space="0" w:color="auto"/>
              <w:bottom w:val="single" w:sz="4" w:space="0" w:color="auto"/>
              <w:right w:val="single" w:sz="4" w:space="0" w:color="auto"/>
            </w:tcBorders>
            <w:vAlign w:val="center"/>
            <w:hideMark/>
          </w:tcPr>
          <w:p w:rsidR="00396DE1" w:rsidRPr="009904A1" w:rsidRDefault="00396DE1" w:rsidP="00E9136A">
            <w:pPr>
              <w:spacing w:line="240" w:lineRule="auto"/>
              <w:rPr>
                <w:rFonts w:ascii="Calibri" w:hAnsi="Calibri"/>
                <w:color w:val="000000"/>
                <w:sz w:val="22"/>
                <w:szCs w:val="22"/>
                <w:lang w:bidi="ar-SA"/>
              </w:rPr>
            </w:pPr>
          </w:p>
        </w:tc>
        <w:tc>
          <w:tcPr>
            <w:tcW w:w="1879" w:type="dxa"/>
            <w:vMerge/>
            <w:tcBorders>
              <w:top w:val="nil"/>
              <w:left w:val="single" w:sz="4" w:space="0" w:color="auto"/>
              <w:bottom w:val="single" w:sz="4" w:space="0" w:color="auto"/>
              <w:right w:val="single" w:sz="4" w:space="0" w:color="auto"/>
            </w:tcBorders>
            <w:vAlign w:val="center"/>
            <w:hideMark/>
          </w:tcPr>
          <w:p w:rsidR="00396DE1" w:rsidRPr="009904A1" w:rsidRDefault="00396DE1" w:rsidP="00E9136A">
            <w:pPr>
              <w:spacing w:line="240" w:lineRule="auto"/>
              <w:rPr>
                <w:rFonts w:ascii="Calibri" w:hAnsi="Calibri"/>
                <w:color w:val="000000"/>
                <w:sz w:val="22"/>
                <w:szCs w:val="22"/>
                <w:lang w:bidi="ar-SA"/>
              </w:rPr>
            </w:pPr>
          </w:p>
        </w:tc>
        <w:tc>
          <w:tcPr>
            <w:tcW w:w="1780" w:type="dxa"/>
            <w:vMerge/>
            <w:tcBorders>
              <w:top w:val="nil"/>
              <w:left w:val="single" w:sz="4" w:space="0" w:color="auto"/>
              <w:bottom w:val="single" w:sz="4" w:space="0" w:color="auto"/>
              <w:right w:val="single" w:sz="8" w:space="0" w:color="auto"/>
            </w:tcBorders>
            <w:vAlign w:val="center"/>
            <w:hideMark/>
          </w:tcPr>
          <w:p w:rsidR="00396DE1" w:rsidRPr="009904A1" w:rsidRDefault="00396DE1" w:rsidP="00E9136A">
            <w:pPr>
              <w:spacing w:line="240" w:lineRule="auto"/>
              <w:rPr>
                <w:rFonts w:ascii="Calibri" w:hAnsi="Calibri"/>
                <w:color w:val="000000"/>
                <w:sz w:val="22"/>
                <w:szCs w:val="22"/>
                <w:lang w:bidi="ar-SA"/>
              </w:rPr>
            </w:pP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r w:rsidRPr="009904A1">
              <w:rPr>
                <w:rFonts w:ascii="Cambria" w:hAnsi="Cambria"/>
                <w:i/>
                <w:iCs/>
                <w:color w:val="000000"/>
                <w:lang w:bidi="ar-SA"/>
              </w:rPr>
              <w:t>µ</w:t>
            </w:r>
            <w:r w:rsidRPr="009904A1">
              <w:rPr>
                <w:rFonts w:ascii="Cambria" w:hAnsi="Cambria"/>
                <w:i/>
                <w:iCs/>
                <w:color w:val="000000"/>
                <w:vertAlign w:val="subscript"/>
                <w:lang w:bidi="ar-SA"/>
              </w:rPr>
              <w:t>fs</w:t>
            </w:r>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Fluid-solid chemical potential</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atoms</w:t>
            </w:r>
            <w:r w:rsidRPr="009904A1">
              <w:rPr>
                <w:rFonts w:ascii="Calibri" w:hAnsi="Calibri"/>
                <w:color w:val="000000"/>
                <w:sz w:val="22"/>
                <w:szCs w:val="22"/>
                <w:vertAlign w:val="superscript"/>
                <w:lang w:bidi="ar-SA"/>
              </w:rPr>
              <w:t>2</w:t>
            </w:r>
            <w:r w:rsidRPr="009904A1">
              <w:rPr>
                <w:rFonts w:ascii="Calibri" w:hAnsi="Calibri"/>
                <w:color w:val="000000"/>
                <w:sz w:val="22"/>
                <w:szCs w:val="22"/>
                <w:lang w:bidi="ar-SA"/>
              </w:rPr>
              <w:t>m</w:t>
            </w:r>
            <w:r w:rsidRPr="009904A1">
              <w:rPr>
                <w:rFonts w:ascii="Calibri" w:hAnsi="Calibri"/>
                <w:color w:val="000000"/>
                <w:sz w:val="22"/>
                <w:szCs w:val="22"/>
                <w:vertAlign w:val="superscript"/>
                <w:lang w:bidi="ar-SA"/>
              </w:rPr>
              <w:t>2</w:t>
            </w:r>
            <w:r w:rsidRPr="009904A1">
              <w:rPr>
                <w:rFonts w:ascii="Calibri" w:hAnsi="Calibri"/>
                <w:color w:val="000000"/>
                <w:sz w:val="22"/>
                <w:szCs w:val="22"/>
                <w:lang w:bidi="ar-SA"/>
              </w:rPr>
              <w:t>kg/s</w:t>
            </w:r>
            <w:r w:rsidRPr="009904A1">
              <w:rPr>
                <w:rFonts w:ascii="Calibri" w:hAnsi="Calibri"/>
                <w:color w:val="000000"/>
                <w:sz w:val="22"/>
                <w:szCs w:val="22"/>
                <w:vertAlign w:val="superscript"/>
                <w:lang w:bidi="ar-SA"/>
              </w:rPr>
              <w:t>2</w:t>
            </w:r>
            <w:r w:rsidRPr="009904A1">
              <w:rPr>
                <w:rFonts w:ascii="Calibri" w:hAnsi="Calibri"/>
                <w:color w:val="000000"/>
                <w:sz w:val="22"/>
                <w:szCs w:val="22"/>
                <w:lang w:bidi="ar-SA"/>
              </w:rPr>
              <w:t>mol</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 </w:t>
            </w: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r w:rsidRPr="009904A1">
              <w:rPr>
                <w:rFonts w:ascii="Cambria" w:hAnsi="Cambria"/>
                <w:i/>
                <w:iCs/>
                <w:color w:val="000000"/>
                <w:lang w:bidi="ar-SA"/>
              </w:rPr>
              <w:t>ρ</w:t>
            </w:r>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Density</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proofErr w:type="spellStart"/>
            <w:r w:rsidRPr="009904A1">
              <w:rPr>
                <w:rFonts w:ascii="Calibri" w:hAnsi="Calibri"/>
                <w:color w:val="000000"/>
                <w:sz w:val="22"/>
                <w:szCs w:val="22"/>
                <w:lang w:bidi="ar-SA"/>
              </w:rPr>
              <w:t>mol</w:t>
            </w:r>
            <w:proofErr w:type="spellEnd"/>
            <w:r w:rsidRPr="009904A1">
              <w:rPr>
                <w:rFonts w:ascii="Calibri" w:hAnsi="Calibri"/>
                <w:color w:val="000000"/>
                <w:sz w:val="22"/>
                <w:szCs w:val="22"/>
                <w:lang w:bidi="ar-SA"/>
              </w:rPr>
              <w:t>/m</w:t>
            </w:r>
            <w:r w:rsidRPr="009904A1">
              <w:rPr>
                <w:rFonts w:ascii="Calibri" w:hAnsi="Calibri"/>
                <w:color w:val="000000"/>
                <w:sz w:val="22"/>
                <w:szCs w:val="22"/>
                <w:vertAlign w:val="superscript"/>
                <w:lang w:bidi="ar-SA"/>
              </w:rPr>
              <w:t>3</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 </w:t>
            </w:r>
          </w:p>
        </w:tc>
      </w:tr>
      <w:tr w:rsidR="00396DE1" w:rsidRPr="009904A1" w:rsidTr="007B09F2">
        <w:trPr>
          <w:trHeight w:val="360"/>
        </w:trPr>
        <w:tc>
          <w:tcPr>
            <w:tcW w:w="96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proofErr w:type="spellStart"/>
            <w:r w:rsidRPr="009904A1">
              <w:rPr>
                <w:rFonts w:ascii="Cambria" w:hAnsi="Cambria"/>
                <w:i/>
                <w:iCs/>
                <w:color w:val="000000"/>
                <w:lang w:bidi="ar-SA"/>
              </w:rPr>
              <w:t>ρ</w:t>
            </w:r>
            <w:r w:rsidRPr="009904A1">
              <w:rPr>
                <w:rFonts w:ascii="Cambria" w:hAnsi="Cambria"/>
                <w:i/>
                <w:iCs/>
                <w:color w:val="000000"/>
                <w:vertAlign w:val="subscript"/>
                <w:lang w:bidi="ar-SA"/>
              </w:rPr>
              <w:t>atoms</w:t>
            </w:r>
            <w:proofErr w:type="spellEnd"/>
          </w:p>
        </w:tc>
        <w:tc>
          <w:tcPr>
            <w:tcW w:w="3580" w:type="dxa"/>
            <w:vMerge w:val="restart"/>
            <w:tcBorders>
              <w:top w:val="nil"/>
              <w:left w:val="single" w:sz="4" w:space="0" w:color="auto"/>
              <w:bottom w:val="single" w:sz="4" w:space="0" w:color="auto"/>
              <w:right w:val="single" w:sz="4" w:space="0" w:color="auto"/>
            </w:tcBorders>
            <w:shd w:val="clear" w:color="auto" w:fill="auto"/>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Number of carbon plane atoms per unit area</w:t>
            </w:r>
          </w:p>
        </w:tc>
        <w:tc>
          <w:tcPr>
            <w:tcW w:w="187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atoms/m</w:t>
            </w:r>
            <w:r w:rsidRPr="009904A1">
              <w:rPr>
                <w:rFonts w:ascii="Calibri" w:hAnsi="Calibri"/>
                <w:color w:val="000000"/>
                <w:sz w:val="22"/>
                <w:szCs w:val="22"/>
                <w:vertAlign w:val="superscript"/>
                <w:lang w:bidi="ar-SA"/>
              </w:rPr>
              <w:t>2</w:t>
            </w:r>
          </w:p>
        </w:tc>
        <w:tc>
          <w:tcPr>
            <w:tcW w:w="1780" w:type="dxa"/>
            <w:vMerge w:val="restart"/>
            <w:tcBorders>
              <w:top w:val="nil"/>
              <w:left w:val="single" w:sz="4" w:space="0" w:color="auto"/>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38.2x10</w:t>
            </w:r>
            <w:r w:rsidRPr="009904A1">
              <w:rPr>
                <w:rFonts w:ascii="Calibri" w:hAnsi="Calibri"/>
                <w:color w:val="000000"/>
                <w:sz w:val="22"/>
                <w:szCs w:val="22"/>
                <w:vertAlign w:val="superscript"/>
                <w:lang w:bidi="ar-SA"/>
              </w:rPr>
              <w:t>-18</w:t>
            </w:r>
          </w:p>
        </w:tc>
      </w:tr>
      <w:tr w:rsidR="00396DE1" w:rsidRPr="009904A1" w:rsidTr="007B09F2">
        <w:trPr>
          <w:trHeight w:val="315"/>
        </w:trPr>
        <w:tc>
          <w:tcPr>
            <w:tcW w:w="960" w:type="dxa"/>
            <w:vMerge/>
            <w:tcBorders>
              <w:top w:val="nil"/>
              <w:left w:val="single" w:sz="8" w:space="0" w:color="auto"/>
              <w:bottom w:val="single" w:sz="4" w:space="0" w:color="auto"/>
              <w:right w:val="single" w:sz="4" w:space="0" w:color="auto"/>
            </w:tcBorders>
            <w:vAlign w:val="center"/>
            <w:hideMark/>
          </w:tcPr>
          <w:p w:rsidR="00396DE1" w:rsidRPr="009904A1" w:rsidRDefault="00396DE1" w:rsidP="00E9136A">
            <w:pPr>
              <w:spacing w:line="240" w:lineRule="auto"/>
              <w:rPr>
                <w:rFonts w:ascii="Cambria" w:hAnsi="Cambria"/>
                <w:i/>
                <w:iCs/>
                <w:color w:val="000000"/>
                <w:lang w:bidi="ar-SA"/>
              </w:rPr>
            </w:pPr>
          </w:p>
        </w:tc>
        <w:tc>
          <w:tcPr>
            <w:tcW w:w="3580" w:type="dxa"/>
            <w:vMerge/>
            <w:tcBorders>
              <w:top w:val="nil"/>
              <w:left w:val="single" w:sz="4" w:space="0" w:color="auto"/>
              <w:bottom w:val="single" w:sz="4" w:space="0" w:color="auto"/>
              <w:right w:val="single" w:sz="4" w:space="0" w:color="auto"/>
            </w:tcBorders>
            <w:vAlign w:val="center"/>
            <w:hideMark/>
          </w:tcPr>
          <w:p w:rsidR="00396DE1" w:rsidRPr="009904A1" w:rsidRDefault="00396DE1" w:rsidP="00E9136A">
            <w:pPr>
              <w:spacing w:line="240" w:lineRule="auto"/>
              <w:rPr>
                <w:rFonts w:ascii="Calibri" w:hAnsi="Calibri"/>
                <w:color w:val="000000"/>
                <w:sz w:val="22"/>
                <w:szCs w:val="22"/>
                <w:lang w:bidi="ar-SA"/>
              </w:rPr>
            </w:pPr>
          </w:p>
        </w:tc>
        <w:tc>
          <w:tcPr>
            <w:tcW w:w="1879" w:type="dxa"/>
            <w:vMerge/>
            <w:tcBorders>
              <w:top w:val="nil"/>
              <w:left w:val="single" w:sz="4" w:space="0" w:color="auto"/>
              <w:bottom w:val="single" w:sz="4" w:space="0" w:color="auto"/>
              <w:right w:val="single" w:sz="4" w:space="0" w:color="auto"/>
            </w:tcBorders>
            <w:vAlign w:val="center"/>
            <w:hideMark/>
          </w:tcPr>
          <w:p w:rsidR="00396DE1" w:rsidRPr="009904A1" w:rsidRDefault="00396DE1" w:rsidP="00E9136A">
            <w:pPr>
              <w:spacing w:line="240" w:lineRule="auto"/>
              <w:rPr>
                <w:rFonts w:ascii="Calibri" w:hAnsi="Calibri"/>
                <w:color w:val="000000"/>
                <w:sz w:val="22"/>
                <w:szCs w:val="22"/>
                <w:lang w:bidi="ar-SA"/>
              </w:rPr>
            </w:pPr>
          </w:p>
        </w:tc>
        <w:tc>
          <w:tcPr>
            <w:tcW w:w="1780" w:type="dxa"/>
            <w:vMerge/>
            <w:tcBorders>
              <w:top w:val="nil"/>
              <w:left w:val="single" w:sz="4" w:space="0" w:color="auto"/>
              <w:bottom w:val="single" w:sz="4" w:space="0" w:color="auto"/>
              <w:right w:val="single" w:sz="8" w:space="0" w:color="auto"/>
            </w:tcBorders>
            <w:vAlign w:val="center"/>
            <w:hideMark/>
          </w:tcPr>
          <w:p w:rsidR="00396DE1" w:rsidRPr="009904A1" w:rsidRDefault="00396DE1" w:rsidP="00E9136A">
            <w:pPr>
              <w:spacing w:line="240" w:lineRule="auto"/>
              <w:rPr>
                <w:rFonts w:ascii="Calibri" w:hAnsi="Calibri"/>
                <w:color w:val="000000"/>
                <w:sz w:val="22"/>
                <w:szCs w:val="22"/>
                <w:lang w:bidi="ar-SA"/>
              </w:rPr>
            </w:pP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proofErr w:type="spellStart"/>
            <w:r w:rsidRPr="009904A1">
              <w:rPr>
                <w:rFonts w:ascii="Cambria" w:hAnsi="Cambria"/>
                <w:i/>
                <w:iCs/>
                <w:color w:val="000000"/>
                <w:lang w:bidi="ar-SA"/>
              </w:rPr>
              <w:t>ρ</w:t>
            </w:r>
            <w:r w:rsidRPr="009904A1">
              <w:rPr>
                <w:rFonts w:ascii="Cambria" w:hAnsi="Cambria"/>
                <w:i/>
                <w:iCs/>
                <w:color w:val="000000"/>
                <w:vertAlign w:val="subscript"/>
                <w:lang w:bidi="ar-SA"/>
              </w:rPr>
              <w:t>bulk</w:t>
            </w:r>
            <w:proofErr w:type="spellEnd"/>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Bulk density</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proofErr w:type="spellStart"/>
            <w:r w:rsidRPr="009904A1">
              <w:rPr>
                <w:rFonts w:ascii="Calibri" w:hAnsi="Calibri"/>
                <w:color w:val="000000"/>
                <w:sz w:val="22"/>
                <w:szCs w:val="22"/>
                <w:lang w:bidi="ar-SA"/>
              </w:rPr>
              <w:t>mol</w:t>
            </w:r>
            <w:proofErr w:type="spellEnd"/>
            <w:r w:rsidRPr="009904A1">
              <w:rPr>
                <w:rFonts w:ascii="Calibri" w:hAnsi="Calibri"/>
                <w:color w:val="000000"/>
                <w:sz w:val="22"/>
                <w:szCs w:val="22"/>
                <w:lang w:bidi="ar-SA"/>
              </w:rPr>
              <w:t>/m</w:t>
            </w:r>
            <w:r w:rsidRPr="009904A1">
              <w:rPr>
                <w:rFonts w:ascii="Calibri" w:hAnsi="Calibri"/>
                <w:color w:val="000000"/>
                <w:sz w:val="22"/>
                <w:szCs w:val="22"/>
                <w:vertAlign w:val="superscript"/>
                <w:lang w:bidi="ar-SA"/>
              </w:rPr>
              <w:t>3</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 </w:t>
            </w: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proofErr w:type="spellStart"/>
            <w:r w:rsidRPr="009904A1">
              <w:rPr>
                <w:rFonts w:ascii="Cambria" w:hAnsi="Cambria"/>
                <w:i/>
                <w:iCs/>
                <w:color w:val="000000"/>
                <w:lang w:bidi="ar-SA"/>
              </w:rPr>
              <w:t>ρ</w:t>
            </w:r>
            <w:r w:rsidRPr="009904A1">
              <w:rPr>
                <w:rFonts w:ascii="Cambria" w:hAnsi="Cambria"/>
                <w:i/>
                <w:iCs/>
                <w:color w:val="000000"/>
                <w:vertAlign w:val="subscript"/>
                <w:lang w:bidi="ar-SA"/>
              </w:rPr>
              <w:t>local</w:t>
            </w:r>
            <w:proofErr w:type="spellEnd"/>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Local density at position z from wall</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proofErr w:type="spellStart"/>
            <w:r w:rsidRPr="009904A1">
              <w:rPr>
                <w:rFonts w:ascii="Calibri" w:hAnsi="Calibri"/>
                <w:color w:val="000000"/>
                <w:sz w:val="22"/>
                <w:szCs w:val="22"/>
                <w:lang w:bidi="ar-SA"/>
              </w:rPr>
              <w:t>mol</w:t>
            </w:r>
            <w:proofErr w:type="spellEnd"/>
            <w:r w:rsidRPr="009904A1">
              <w:rPr>
                <w:rFonts w:ascii="Calibri" w:hAnsi="Calibri"/>
                <w:color w:val="000000"/>
                <w:sz w:val="22"/>
                <w:szCs w:val="22"/>
                <w:lang w:bidi="ar-SA"/>
              </w:rPr>
              <w:t>/m</w:t>
            </w:r>
            <w:r w:rsidRPr="009904A1">
              <w:rPr>
                <w:rFonts w:ascii="Calibri" w:hAnsi="Calibri"/>
                <w:color w:val="000000"/>
                <w:sz w:val="22"/>
                <w:szCs w:val="22"/>
                <w:vertAlign w:val="superscript"/>
                <w:lang w:bidi="ar-SA"/>
              </w:rPr>
              <w:t>3</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 </w:t>
            </w: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proofErr w:type="spellStart"/>
            <w:r w:rsidRPr="009904A1">
              <w:rPr>
                <w:rFonts w:ascii="Cambria" w:hAnsi="Cambria"/>
                <w:i/>
                <w:iCs/>
                <w:color w:val="000000"/>
                <w:lang w:bidi="ar-SA"/>
              </w:rPr>
              <w:t>σ</w:t>
            </w:r>
            <w:r w:rsidRPr="009904A1">
              <w:rPr>
                <w:rFonts w:ascii="Cambria" w:hAnsi="Cambria"/>
                <w:i/>
                <w:iCs/>
                <w:color w:val="000000"/>
                <w:vertAlign w:val="subscript"/>
                <w:lang w:bidi="ar-SA"/>
              </w:rPr>
              <w:t>fs</w:t>
            </w:r>
            <w:proofErr w:type="spellEnd"/>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Van der Waals molecular diameter</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m</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0312AB" w:rsidP="000312AB">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0.3</w:t>
            </w:r>
            <w:r>
              <w:rPr>
                <w:rFonts w:ascii="Calibri" w:hAnsi="Calibri"/>
                <w:color w:val="000000"/>
                <w:sz w:val="22"/>
                <w:szCs w:val="22"/>
                <w:lang w:bidi="ar-SA"/>
              </w:rPr>
              <w:t>55</w:t>
            </w:r>
            <w:r w:rsidRPr="009904A1">
              <w:rPr>
                <w:rFonts w:ascii="Calibri" w:hAnsi="Calibri"/>
                <w:color w:val="000000"/>
                <w:sz w:val="22"/>
                <w:szCs w:val="22"/>
                <w:lang w:bidi="ar-SA"/>
              </w:rPr>
              <w:t>x10</w:t>
            </w:r>
            <w:r w:rsidRPr="009904A1">
              <w:rPr>
                <w:rFonts w:ascii="Calibri" w:hAnsi="Calibri"/>
                <w:color w:val="000000"/>
                <w:sz w:val="22"/>
                <w:szCs w:val="22"/>
                <w:vertAlign w:val="superscript"/>
                <w:lang w:bidi="ar-SA"/>
              </w:rPr>
              <w:t>-9</w:t>
            </w:r>
          </w:p>
        </w:tc>
      </w:tr>
      <w:tr w:rsidR="00396DE1" w:rsidRPr="009904A1" w:rsidTr="007B09F2">
        <w:trPr>
          <w:trHeight w:val="345"/>
        </w:trPr>
        <w:tc>
          <w:tcPr>
            <w:tcW w:w="960" w:type="dxa"/>
            <w:tcBorders>
              <w:top w:val="nil"/>
              <w:left w:val="single" w:sz="8" w:space="0" w:color="auto"/>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proofErr w:type="spellStart"/>
            <w:r w:rsidRPr="009904A1">
              <w:rPr>
                <w:rFonts w:ascii="Cambria" w:hAnsi="Cambria"/>
                <w:i/>
                <w:iCs/>
                <w:color w:val="000000"/>
                <w:lang w:bidi="ar-SA"/>
              </w:rPr>
              <w:t>σ</w:t>
            </w:r>
            <w:r w:rsidRPr="009904A1">
              <w:rPr>
                <w:rFonts w:ascii="Cambria" w:hAnsi="Cambria"/>
                <w:i/>
                <w:iCs/>
                <w:color w:val="000000"/>
                <w:vertAlign w:val="subscript"/>
                <w:lang w:bidi="ar-SA"/>
              </w:rPr>
              <w:t>ss</w:t>
            </w:r>
            <w:proofErr w:type="spellEnd"/>
          </w:p>
        </w:tc>
        <w:tc>
          <w:tcPr>
            <w:tcW w:w="3580" w:type="dxa"/>
            <w:tcBorders>
              <w:top w:val="nil"/>
              <w:left w:val="nil"/>
              <w:bottom w:val="single" w:sz="4" w:space="0" w:color="auto"/>
              <w:right w:val="single" w:sz="4" w:space="0" w:color="auto"/>
            </w:tcBorders>
            <w:shd w:val="clear" w:color="auto" w:fill="auto"/>
            <w:noWrap/>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 xml:space="preserve">Carbon </w:t>
            </w:r>
            <w:proofErr w:type="spellStart"/>
            <w:r w:rsidRPr="009904A1">
              <w:rPr>
                <w:rFonts w:ascii="Calibri" w:hAnsi="Calibri"/>
                <w:color w:val="000000"/>
                <w:sz w:val="22"/>
                <w:szCs w:val="22"/>
                <w:lang w:bidi="ar-SA"/>
              </w:rPr>
              <w:t>interplaner</w:t>
            </w:r>
            <w:proofErr w:type="spellEnd"/>
            <w:r w:rsidRPr="009904A1">
              <w:rPr>
                <w:rFonts w:ascii="Calibri" w:hAnsi="Calibri"/>
                <w:color w:val="000000"/>
                <w:sz w:val="22"/>
                <w:szCs w:val="22"/>
                <w:lang w:bidi="ar-SA"/>
              </w:rPr>
              <w:t xml:space="preserve"> distance</w:t>
            </w:r>
          </w:p>
        </w:tc>
        <w:tc>
          <w:tcPr>
            <w:tcW w:w="1879" w:type="dxa"/>
            <w:tcBorders>
              <w:top w:val="nil"/>
              <w:left w:val="nil"/>
              <w:bottom w:val="single" w:sz="4" w:space="0" w:color="auto"/>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m</w:t>
            </w:r>
          </w:p>
        </w:tc>
        <w:tc>
          <w:tcPr>
            <w:tcW w:w="1780" w:type="dxa"/>
            <w:tcBorders>
              <w:top w:val="nil"/>
              <w:left w:val="nil"/>
              <w:bottom w:val="single" w:sz="4" w:space="0" w:color="auto"/>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0.34x10</w:t>
            </w:r>
            <w:r w:rsidRPr="009904A1">
              <w:rPr>
                <w:rFonts w:ascii="Calibri" w:hAnsi="Calibri"/>
                <w:color w:val="000000"/>
                <w:sz w:val="22"/>
                <w:szCs w:val="22"/>
                <w:vertAlign w:val="superscript"/>
                <w:lang w:bidi="ar-SA"/>
              </w:rPr>
              <w:t>-9</w:t>
            </w:r>
          </w:p>
        </w:tc>
      </w:tr>
      <w:tr w:rsidR="00396DE1" w:rsidRPr="009904A1" w:rsidTr="007B09F2">
        <w:trPr>
          <w:trHeight w:val="375"/>
        </w:trPr>
        <w:tc>
          <w:tcPr>
            <w:tcW w:w="9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396DE1" w:rsidRPr="009904A1" w:rsidRDefault="00396DE1" w:rsidP="00E9136A">
            <w:pPr>
              <w:spacing w:line="240" w:lineRule="auto"/>
              <w:jc w:val="center"/>
              <w:rPr>
                <w:rFonts w:ascii="Cambria" w:hAnsi="Cambria"/>
                <w:i/>
                <w:iCs/>
                <w:color w:val="000000"/>
                <w:lang w:bidi="ar-SA"/>
              </w:rPr>
            </w:pPr>
            <w:proofErr w:type="spellStart"/>
            <w:r w:rsidRPr="009904A1">
              <w:rPr>
                <w:rFonts w:ascii="Cambria" w:hAnsi="Cambria"/>
                <w:i/>
                <w:iCs/>
                <w:color w:val="000000"/>
                <w:lang w:bidi="ar-SA"/>
              </w:rPr>
              <w:t>Ψ</w:t>
            </w:r>
            <w:r w:rsidRPr="009904A1">
              <w:rPr>
                <w:rFonts w:ascii="Cambria" w:hAnsi="Cambria"/>
                <w:i/>
                <w:iCs/>
                <w:color w:val="000000"/>
                <w:vertAlign w:val="superscript"/>
                <w:lang w:bidi="ar-SA"/>
              </w:rPr>
              <w:t>fs</w:t>
            </w:r>
            <w:proofErr w:type="spellEnd"/>
          </w:p>
        </w:tc>
        <w:tc>
          <w:tcPr>
            <w:tcW w:w="3580" w:type="dxa"/>
            <w:vMerge w:val="restart"/>
            <w:tcBorders>
              <w:top w:val="nil"/>
              <w:left w:val="single" w:sz="4" w:space="0" w:color="auto"/>
              <w:bottom w:val="single" w:sz="8" w:space="0" w:color="000000"/>
              <w:right w:val="single" w:sz="4" w:space="0" w:color="auto"/>
            </w:tcBorders>
            <w:shd w:val="clear" w:color="auto" w:fill="auto"/>
            <w:vAlign w:val="bottom"/>
            <w:hideMark/>
          </w:tcPr>
          <w:p w:rsidR="00396DE1" w:rsidRPr="009904A1" w:rsidRDefault="00396DE1" w:rsidP="00E9136A">
            <w:pPr>
              <w:spacing w:line="240" w:lineRule="auto"/>
              <w:rPr>
                <w:rFonts w:ascii="Calibri" w:hAnsi="Calibri"/>
                <w:color w:val="000000"/>
                <w:sz w:val="22"/>
                <w:szCs w:val="22"/>
                <w:lang w:bidi="ar-SA"/>
              </w:rPr>
            </w:pPr>
            <w:r w:rsidRPr="009904A1">
              <w:rPr>
                <w:rFonts w:ascii="Calibri" w:hAnsi="Calibri"/>
                <w:color w:val="000000"/>
                <w:sz w:val="22"/>
                <w:szCs w:val="22"/>
                <w:lang w:bidi="ar-SA"/>
              </w:rPr>
              <w:t>Fluid molecule-wall molecule potential energy</w:t>
            </w:r>
          </w:p>
        </w:tc>
        <w:tc>
          <w:tcPr>
            <w:tcW w:w="1879"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atoms*m</w:t>
            </w:r>
            <w:r w:rsidRPr="009904A1">
              <w:rPr>
                <w:rFonts w:ascii="Calibri" w:hAnsi="Calibri"/>
                <w:color w:val="000000"/>
                <w:sz w:val="22"/>
                <w:szCs w:val="22"/>
                <w:vertAlign w:val="superscript"/>
                <w:lang w:bidi="ar-SA"/>
              </w:rPr>
              <w:t>2</w:t>
            </w:r>
            <w:r w:rsidRPr="009904A1">
              <w:rPr>
                <w:rFonts w:ascii="Calibri" w:hAnsi="Calibri"/>
                <w:color w:val="000000"/>
                <w:sz w:val="22"/>
                <w:szCs w:val="22"/>
                <w:lang w:bidi="ar-SA"/>
              </w:rPr>
              <w:t>kg/s</w:t>
            </w:r>
            <w:r w:rsidRPr="009904A1">
              <w:rPr>
                <w:rFonts w:ascii="Calibri" w:hAnsi="Calibri"/>
                <w:color w:val="000000"/>
                <w:sz w:val="22"/>
                <w:szCs w:val="22"/>
                <w:vertAlign w:val="superscript"/>
                <w:lang w:bidi="ar-SA"/>
              </w:rPr>
              <w:t>2</w:t>
            </w:r>
          </w:p>
        </w:tc>
        <w:tc>
          <w:tcPr>
            <w:tcW w:w="1780" w:type="dxa"/>
            <w:vMerge w:val="restart"/>
            <w:tcBorders>
              <w:top w:val="nil"/>
              <w:left w:val="single" w:sz="4" w:space="0" w:color="auto"/>
              <w:bottom w:val="single" w:sz="8" w:space="0" w:color="000000"/>
              <w:right w:val="single" w:sz="8" w:space="0" w:color="auto"/>
            </w:tcBorders>
            <w:shd w:val="clear" w:color="auto" w:fill="auto"/>
            <w:noWrap/>
            <w:vAlign w:val="bottom"/>
            <w:hideMark/>
          </w:tcPr>
          <w:p w:rsidR="00396DE1" w:rsidRPr="009904A1" w:rsidRDefault="00396DE1" w:rsidP="00E9136A">
            <w:pPr>
              <w:spacing w:line="240" w:lineRule="auto"/>
              <w:jc w:val="center"/>
              <w:rPr>
                <w:rFonts w:ascii="Calibri" w:hAnsi="Calibri"/>
                <w:color w:val="000000"/>
                <w:sz w:val="22"/>
                <w:szCs w:val="22"/>
                <w:lang w:bidi="ar-SA"/>
              </w:rPr>
            </w:pPr>
            <w:r w:rsidRPr="009904A1">
              <w:rPr>
                <w:rFonts w:ascii="Calibri" w:hAnsi="Calibri"/>
                <w:color w:val="000000"/>
                <w:sz w:val="22"/>
                <w:szCs w:val="22"/>
                <w:lang w:bidi="ar-SA"/>
              </w:rPr>
              <w:t> </w:t>
            </w:r>
          </w:p>
        </w:tc>
      </w:tr>
      <w:tr w:rsidR="00396DE1" w:rsidRPr="009904A1" w:rsidTr="007B09F2">
        <w:trPr>
          <w:trHeight w:val="315"/>
        </w:trPr>
        <w:tc>
          <w:tcPr>
            <w:tcW w:w="960" w:type="dxa"/>
            <w:vMerge/>
            <w:tcBorders>
              <w:top w:val="nil"/>
              <w:left w:val="single" w:sz="8" w:space="0" w:color="auto"/>
              <w:bottom w:val="single" w:sz="8" w:space="0" w:color="000000"/>
              <w:right w:val="single" w:sz="4" w:space="0" w:color="auto"/>
            </w:tcBorders>
            <w:vAlign w:val="center"/>
            <w:hideMark/>
          </w:tcPr>
          <w:p w:rsidR="00396DE1" w:rsidRPr="009904A1" w:rsidRDefault="00396DE1" w:rsidP="00E9136A">
            <w:pPr>
              <w:spacing w:line="240" w:lineRule="auto"/>
              <w:rPr>
                <w:rFonts w:ascii="Cambria" w:hAnsi="Cambria"/>
                <w:i/>
                <w:iCs/>
                <w:color w:val="000000"/>
                <w:lang w:bidi="ar-SA"/>
              </w:rPr>
            </w:pPr>
          </w:p>
        </w:tc>
        <w:tc>
          <w:tcPr>
            <w:tcW w:w="3580" w:type="dxa"/>
            <w:vMerge/>
            <w:tcBorders>
              <w:top w:val="nil"/>
              <w:left w:val="single" w:sz="4" w:space="0" w:color="auto"/>
              <w:bottom w:val="single" w:sz="8" w:space="0" w:color="000000"/>
              <w:right w:val="single" w:sz="4" w:space="0" w:color="auto"/>
            </w:tcBorders>
            <w:vAlign w:val="center"/>
            <w:hideMark/>
          </w:tcPr>
          <w:p w:rsidR="00396DE1" w:rsidRPr="009904A1" w:rsidRDefault="00396DE1" w:rsidP="00E9136A">
            <w:pPr>
              <w:spacing w:line="240" w:lineRule="auto"/>
              <w:rPr>
                <w:rFonts w:ascii="Calibri" w:hAnsi="Calibri"/>
                <w:color w:val="000000"/>
                <w:sz w:val="22"/>
                <w:szCs w:val="22"/>
                <w:lang w:bidi="ar-SA"/>
              </w:rPr>
            </w:pPr>
          </w:p>
        </w:tc>
        <w:tc>
          <w:tcPr>
            <w:tcW w:w="1879" w:type="dxa"/>
            <w:vMerge/>
            <w:tcBorders>
              <w:top w:val="nil"/>
              <w:left w:val="single" w:sz="4" w:space="0" w:color="auto"/>
              <w:bottom w:val="single" w:sz="8" w:space="0" w:color="000000"/>
              <w:right w:val="single" w:sz="4" w:space="0" w:color="auto"/>
            </w:tcBorders>
            <w:vAlign w:val="center"/>
            <w:hideMark/>
          </w:tcPr>
          <w:p w:rsidR="00396DE1" w:rsidRPr="009904A1" w:rsidRDefault="00396DE1" w:rsidP="00E9136A">
            <w:pPr>
              <w:spacing w:line="240" w:lineRule="auto"/>
              <w:rPr>
                <w:rFonts w:ascii="Calibri" w:hAnsi="Calibri"/>
                <w:color w:val="000000"/>
                <w:sz w:val="22"/>
                <w:szCs w:val="22"/>
                <w:lang w:bidi="ar-SA"/>
              </w:rPr>
            </w:pPr>
          </w:p>
        </w:tc>
        <w:tc>
          <w:tcPr>
            <w:tcW w:w="1780" w:type="dxa"/>
            <w:vMerge/>
            <w:tcBorders>
              <w:top w:val="nil"/>
              <w:left w:val="single" w:sz="4" w:space="0" w:color="auto"/>
              <w:bottom w:val="single" w:sz="8" w:space="0" w:color="000000"/>
              <w:right w:val="single" w:sz="8" w:space="0" w:color="auto"/>
            </w:tcBorders>
            <w:vAlign w:val="center"/>
            <w:hideMark/>
          </w:tcPr>
          <w:p w:rsidR="00396DE1" w:rsidRPr="009904A1" w:rsidRDefault="00396DE1" w:rsidP="00E9136A">
            <w:pPr>
              <w:spacing w:line="240" w:lineRule="auto"/>
              <w:rPr>
                <w:rFonts w:ascii="Calibri" w:hAnsi="Calibri"/>
                <w:color w:val="000000"/>
                <w:sz w:val="22"/>
                <w:szCs w:val="22"/>
                <w:lang w:bidi="ar-SA"/>
              </w:rPr>
            </w:pPr>
          </w:p>
        </w:tc>
      </w:tr>
    </w:tbl>
    <w:p w:rsidR="00396DE1" w:rsidRDefault="00396DE1" w:rsidP="00396DE1"/>
    <w:p w:rsidR="00D21D56" w:rsidRDefault="00841771" w:rsidP="00BD249F">
      <w:pPr>
        <w:ind w:firstLine="720"/>
      </w:pPr>
      <w:r>
        <w:t xml:space="preserve">Using the software application </w:t>
      </w:r>
      <w:proofErr w:type="spellStart"/>
      <w:r>
        <w:t>Matlab</w:t>
      </w:r>
      <w:proofErr w:type="spellEnd"/>
      <w:r>
        <w:t xml:space="preserve">, the SLD function </w:t>
      </w:r>
      <w:r w:rsidR="00575A4D">
        <w:t>generated</w:t>
      </w:r>
      <w:r>
        <w:t xml:space="preserve"> density profiles for several pore widths ranging from 1.81 to 10.82 nm at pressures of 1,000 </w:t>
      </w:r>
      <w:proofErr w:type="spellStart"/>
      <w:r>
        <w:t>psia</w:t>
      </w:r>
      <w:proofErr w:type="spellEnd"/>
      <w:r>
        <w:t xml:space="preserve">, 2,000 </w:t>
      </w:r>
      <w:proofErr w:type="spellStart"/>
      <w:r>
        <w:t>psia</w:t>
      </w:r>
      <w:proofErr w:type="spellEnd"/>
      <w:r>
        <w:t xml:space="preserve">, 3,000 </w:t>
      </w:r>
      <w:proofErr w:type="spellStart"/>
      <w:r>
        <w:t>psia</w:t>
      </w:r>
      <w:proofErr w:type="spellEnd"/>
      <w:r>
        <w:t xml:space="preserve"> and 4,000 </w:t>
      </w:r>
      <w:proofErr w:type="spellStart"/>
      <w:r>
        <w:t>psia</w:t>
      </w:r>
      <w:proofErr w:type="spellEnd"/>
      <w:r w:rsidR="00172104">
        <w:t xml:space="preserve">. The </w:t>
      </w:r>
      <w:r w:rsidR="006D6979">
        <w:t xml:space="preserve">modeled </w:t>
      </w:r>
      <w:r w:rsidR="00172104">
        <w:t>fluid was pure methane</w:t>
      </w:r>
      <w:r w:rsidR="00172104" w:rsidRPr="00172104">
        <w:t xml:space="preserve"> </w:t>
      </w:r>
      <w:r w:rsidR="00172104">
        <w:t xml:space="preserve">at 185 </w:t>
      </w:r>
      <w:r w:rsidR="00172104">
        <w:rPr>
          <w:rFonts w:cstheme="minorHAnsi"/>
        </w:rPr>
        <w:t>°</w:t>
      </w:r>
      <w:r w:rsidR="00172104">
        <w:t xml:space="preserve">F. </w:t>
      </w:r>
      <w:r w:rsidR="00C97811">
        <w:t xml:space="preserve">A complete density profile </w:t>
      </w:r>
      <w:r w:rsidR="006D6979">
        <w:t>wa</w:t>
      </w:r>
      <w:r w:rsidR="00C97811">
        <w:t xml:space="preserve">s not necessary for this thesis, so the </w:t>
      </w:r>
      <w:r>
        <w:t>density profile</w:t>
      </w:r>
      <w:r w:rsidR="003071AA">
        <w:t>s</w:t>
      </w:r>
      <w:r>
        <w:t xml:space="preserve"> </w:t>
      </w:r>
      <w:r>
        <w:lastRenderedPageBreak/>
        <w:t xml:space="preserve">for each pore </w:t>
      </w:r>
      <w:r w:rsidR="00D21D56">
        <w:t>between 1.81 and 10.82 nm</w:t>
      </w:r>
      <w:r w:rsidR="003071AA">
        <w:t xml:space="preserve"> were</w:t>
      </w:r>
      <w:r>
        <w:t xml:space="preserve"> averaged using a weighted average based on volume. Pores with diameters </w:t>
      </w:r>
      <w:r w:rsidR="00D21D56">
        <w:t>greater than 10.82 nm were assumed to have densities similar to the bulk or unconfined d</w:t>
      </w:r>
      <w:r w:rsidR="003071AA">
        <w:t>ensity</w:t>
      </w:r>
      <w:r w:rsidR="00D21D56">
        <w:t xml:space="preserve">. </w:t>
      </w:r>
    </w:p>
    <w:p w:rsidR="00C97811" w:rsidRDefault="00F30B08" w:rsidP="00BD249F">
      <w:pPr>
        <w:ind w:firstLine="720"/>
      </w:pPr>
      <w:r>
        <w:t xml:space="preserve">The average density for each pore size calculated above, for pores less than 10.82 nm, was applied to the pore distributions of Samples 1 and 2. Pores larger than or equal to 10.82 nm were assigned the unconfined density. From this an effective density for each sample was obtained. </w:t>
      </w:r>
    </w:p>
    <w:p w:rsidR="00897391" w:rsidRDefault="00897391" w:rsidP="00897391"/>
    <w:p w:rsidR="00897391" w:rsidRDefault="00897391" w:rsidP="00897391"/>
    <w:p w:rsidR="00897391" w:rsidRPr="00897391" w:rsidRDefault="00897391" w:rsidP="00897391"/>
    <w:p w:rsidR="00897391" w:rsidRDefault="00897391" w:rsidP="00897391"/>
    <w:p w:rsidR="00897391" w:rsidRDefault="00897391" w:rsidP="00897391"/>
    <w:p w:rsidR="00897391" w:rsidRDefault="00897391" w:rsidP="00897391"/>
    <w:p w:rsidR="00897391" w:rsidRDefault="00897391" w:rsidP="00994BEE">
      <w:pPr>
        <w:ind w:firstLine="720"/>
      </w:pPr>
    </w:p>
    <w:p w:rsidR="008B39D3" w:rsidRDefault="008B39D3">
      <w:pPr>
        <w:spacing w:line="240" w:lineRule="auto"/>
        <w:rPr>
          <w:rFonts w:asciiTheme="majorHAnsi" w:hAnsiTheme="majorHAnsi"/>
          <w:b/>
          <w:bCs/>
          <w:sz w:val="28"/>
          <w:szCs w:val="32"/>
        </w:rPr>
      </w:pPr>
      <w:r>
        <w:br w:type="page"/>
      </w:r>
    </w:p>
    <w:p w:rsidR="00D41F29" w:rsidRDefault="00D41F29" w:rsidP="00D41F29">
      <w:pPr>
        <w:pStyle w:val="Heading1"/>
      </w:pPr>
      <w:bookmarkStart w:id="29" w:name="_Toc482347174"/>
      <w:r>
        <w:lastRenderedPageBreak/>
        <w:t>Chapter 4: Results</w:t>
      </w:r>
      <w:bookmarkEnd w:id="29"/>
    </w:p>
    <w:p w:rsidR="0030036E" w:rsidRDefault="00230A75" w:rsidP="00D41F29">
      <w:r>
        <w:tab/>
      </w:r>
      <w:r w:rsidR="007214C3">
        <w:t>In this research,</w:t>
      </w:r>
      <w:r>
        <w:t xml:space="preserve"> average densities for Samples 1 and 2 were calculated for pores ranging from 1.81 to 10.82 nm at four different pressures</w:t>
      </w:r>
      <w:r w:rsidR="00F637CD">
        <w:t xml:space="preserve">: 1000, 2000, 3000 and 4000 </w:t>
      </w:r>
      <w:proofErr w:type="spellStart"/>
      <w:r w:rsidR="00F637CD">
        <w:t>psia</w:t>
      </w:r>
      <w:proofErr w:type="spellEnd"/>
      <w:r w:rsidR="00F637CD">
        <w:t xml:space="preserve">, </w:t>
      </w:r>
      <w:r>
        <w:t>and</w:t>
      </w:r>
      <w:r w:rsidR="00F637CD">
        <w:t xml:space="preserve"> a</w:t>
      </w:r>
      <w:r>
        <w:t xml:space="preserve"> constant temperature</w:t>
      </w:r>
      <w:r w:rsidR="00F637CD">
        <w:t xml:space="preserve"> of 185</w:t>
      </w:r>
      <w:r w:rsidR="00F637CD">
        <w:rPr>
          <w:rFonts w:cstheme="minorHAnsi"/>
        </w:rPr>
        <w:t>°</w:t>
      </w:r>
      <w:r w:rsidR="00F637CD">
        <w:t>F</w:t>
      </w:r>
      <w:r>
        <w:t xml:space="preserve">. These average densities were then normalized by the unconfined density and plotted in </w:t>
      </w:r>
      <w:r w:rsidRPr="00230A75">
        <w:rPr>
          <w:b/>
        </w:rPr>
        <w:t>Fig. 3</w:t>
      </w:r>
      <w:r>
        <w:t xml:space="preserve"> and </w:t>
      </w:r>
      <w:r w:rsidRPr="00230A75">
        <w:rPr>
          <w:b/>
        </w:rPr>
        <w:t>Fig. 4</w:t>
      </w:r>
      <w:r>
        <w:t xml:space="preserve">. The plots clearly demonstrate </w:t>
      </w:r>
      <w:r w:rsidR="009C2236">
        <w:t xml:space="preserve">the </w:t>
      </w:r>
      <w:r>
        <w:t xml:space="preserve">relationship of density to </w:t>
      </w:r>
      <w:r w:rsidR="009C2236">
        <w:t xml:space="preserve">pore size; the average density of each pore increases as the pore size decreases. </w:t>
      </w:r>
      <w:r w:rsidR="007C7E46">
        <w:t>The effect of pore size on density is also more pr</w:t>
      </w:r>
      <w:r w:rsidR="00F637CD">
        <w:t>onounced</w:t>
      </w:r>
      <w:r w:rsidR="007C7E46">
        <w:t xml:space="preserve"> at lower pressures than higher ones. For Sample </w:t>
      </w:r>
      <w:r w:rsidR="00DD0C32">
        <w:t>2</w:t>
      </w:r>
      <w:r w:rsidR="007C7E46">
        <w:t>, the density of a 1.8</w:t>
      </w:r>
      <w:r w:rsidR="00DD0C32">
        <w:t>1</w:t>
      </w:r>
      <w:r w:rsidR="007C7E46">
        <w:t xml:space="preserve"> nm diameter pore was more than 3.5</w:t>
      </w:r>
      <w:r w:rsidR="00DD0C32">
        <w:t>8</w:t>
      </w:r>
      <w:r w:rsidR="007C7E46">
        <w:t xml:space="preserve"> times that of the unconfined density at 1,000 </w:t>
      </w:r>
      <w:proofErr w:type="spellStart"/>
      <w:r w:rsidR="007C7E46">
        <w:t>psia</w:t>
      </w:r>
      <w:proofErr w:type="spellEnd"/>
      <w:r w:rsidR="007C7E46">
        <w:t>, but only 1.5</w:t>
      </w:r>
      <w:r w:rsidR="00DD0C32">
        <w:t>6</w:t>
      </w:r>
      <w:r w:rsidR="007C7E46">
        <w:t xml:space="preserve"> times that of </w:t>
      </w:r>
      <w:r w:rsidR="00DD0C32">
        <w:t xml:space="preserve">the bulk density at 4,000 </w:t>
      </w:r>
      <w:proofErr w:type="spellStart"/>
      <w:r w:rsidR="00DD0C32">
        <w:t>psia</w:t>
      </w:r>
      <w:proofErr w:type="spellEnd"/>
      <w:r w:rsidR="00DD0C32">
        <w:t xml:space="preserve">. </w:t>
      </w:r>
    </w:p>
    <w:p w:rsidR="007308FD" w:rsidRDefault="00A378E4" w:rsidP="007308FD">
      <w:pPr>
        <w:keepNext/>
      </w:pPr>
      <w:r>
        <w:rPr>
          <w:noProof/>
          <w:lang w:bidi="ar-SA"/>
        </w:rPr>
        <w:drawing>
          <wp:inline distT="0" distB="0" distL="0" distR="0" wp14:anchorId="1DE02C4F" wp14:editId="3C109709">
            <wp:extent cx="5394960" cy="4017010"/>
            <wp:effectExtent l="0" t="0" r="0" b="25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0036E" w:rsidRDefault="007308FD" w:rsidP="00E52B19">
      <w:pPr>
        <w:pStyle w:val="Caption"/>
        <w:jc w:val="center"/>
      </w:pPr>
      <w:bookmarkStart w:id="30" w:name="_Toc482347128"/>
      <w:r>
        <w:t xml:space="preserve">Figure </w:t>
      </w:r>
      <w:r w:rsidR="003C2D7F">
        <w:fldChar w:fldCharType="begin"/>
      </w:r>
      <w:r w:rsidR="003C2D7F">
        <w:instrText xml:space="preserve"> SEQ Figure \* ARABIC </w:instrText>
      </w:r>
      <w:r w:rsidR="003C2D7F">
        <w:fldChar w:fldCharType="separate"/>
      </w:r>
      <w:r w:rsidR="009A340A">
        <w:rPr>
          <w:noProof/>
        </w:rPr>
        <w:t>3</w:t>
      </w:r>
      <w:r w:rsidR="003C2D7F">
        <w:rPr>
          <w:noProof/>
        </w:rPr>
        <w:fldChar w:fldCharType="end"/>
      </w:r>
      <w:r w:rsidR="00B03381">
        <w:rPr>
          <w:b w:val="0"/>
        </w:rPr>
        <w:t>.</w:t>
      </w:r>
      <w:r w:rsidR="00E52B19" w:rsidRPr="00B03381">
        <w:rPr>
          <w:b w:val="0"/>
        </w:rPr>
        <w:t xml:space="preserve"> Normalized density versus pore size for Sample 1.</w:t>
      </w:r>
      <w:bookmarkEnd w:id="30"/>
    </w:p>
    <w:p w:rsidR="007308FD" w:rsidRDefault="007308FD" w:rsidP="007308FD">
      <w:pPr>
        <w:keepNext/>
      </w:pPr>
      <w:r>
        <w:rPr>
          <w:noProof/>
          <w:lang w:bidi="ar-SA"/>
        </w:rPr>
        <w:lastRenderedPageBreak/>
        <w:drawing>
          <wp:inline distT="0" distB="0" distL="0" distR="0" wp14:anchorId="637F00EB" wp14:editId="1A53309C">
            <wp:extent cx="5394960" cy="4017010"/>
            <wp:effectExtent l="0" t="0" r="0" b="25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308FD" w:rsidRDefault="007308FD" w:rsidP="00E52B19">
      <w:pPr>
        <w:pStyle w:val="Caption"/>
        <w:jc w:val="center"/>
      </w:pPr>
      <w:bookmarkStart w:id="31" w:name="_Toc482347129"/>
      <w:r>
        <w:t xml:space="preserve">Figure </w:t>
      </w:r>
      <w:r w:rsidR="003C2D7F">
        <w:fldChar w:fldCharType="begin"/>
      </w:r>
      <w:r w:rsidR="003C2D7F">
        <w:instrText xml:space="preserve"> SEQ Figure \* ARABIC </w:instrText>
      </w:r>
      <w:r w:rsidR="003C2D7F">
        <w:fldChar w:fldCharType="separate"/>
      </w:r>
      <w:r w:rsidR="009A340A">
        <w:rPr>
          <w:noProof/>
        </w:rPr>
        <w:t>4</w:t>
      </w:r>
      <w:r w:rsidR="003C2D7F">
        <w:rPr>
          <w:noProof/>
        </w:rPr>
        <w:fldChar w:fldCharType="end"/>
      </w:r>
      <w:r w:rsidR="00E52B19">
        <w:t xml:space="preserve">: </w:t>
      </w:r>
      <w:r w:rsidR="00E52B19" w:rsidRPr="00BB0B0D">
        <w:rPr>
          <w:b w:val="0"/>
        </w:rPr>
        <w:t>Normalized density versus pore size for Sample 2.</w:t>
      </w:r>
      <w:bookmarkEnd w:id="31"/>
    </w:p>
    <w:p w:rsidR="007308FD" w:rsidRPr="007308FD" w:rsidRDefault="007308FD" w:rsidP="007308FD"/>
    <w:p w:rsidR="00764EAC" w:rsidRDefault="00DD0C32" w:rsidP="00D41F29">
      <w:r>
        <w:tab/>
        <w:t xml:space="preserve">Also, as suggested by prior publications, the effect of pore size on density becomes insignificant as pore sizes increase over 10 nm. For the largest pore tested on Sample 1, a 10.69 nm pore, the fluid density was only 1.36 times that of the unconfined density at 1,000 </w:t>
      </w:r>
      <w:proofErr w:type="spellStart"/>
      <w:r>
        <w:t>psia</w:t>
      </w:r>
      <w:proofErr w:type="spellEnd"/>
      <w:r>
        <w:t xml:space="preserve"> and only 1.09 times </w:t>
      </w:r>
      <w:r w:rsidR="002739E8">
        <w:t xml:space="preserve">that of </w:t>
      </w:r>
      <w:r>
        <w:t xml:space="preserve">the unconfined density at 4,000 </w:t>
      </w:r>
      <w:proofErr w:type="spellStart"/>
      <w:r>
        <w:t>psia</w:t>
      </w:r>
      <w:proofErr w:type="spellEnd"/>
      <w:r>
        <w:t>.</w:t>
      </w:r>
    </w:p>
    <w:p w:rsidR="00DD0C32" w:rsidRDefault="00DE400B" w:rsidP="00D41F29">
      <w:r>
        <w:tab/>
        <w:t xml:space="preserve">The average densities for each pore size were applied to the pore-body and pore-throat size distributions for Sample1 and Sample 2. In both cases the influence of the small pore sizes increased the effective density of methane for each sample. See </w:t>
      </w:r>
      <w:r w:rsidRPr="00DE400B">
        <w:rPr>
          <w:b/>
        </w:rPr>
        <w:t>Fig. 5</w:t>
      </w:r>
      <w:r>
        <w:t xml:space="preserve"> and </w:t>
      </w:r>
      <w:r w:rsidRPr="00DE400B">
        <w:rPr>
          <w:b/>
        </w:rPr>
        <w:t>Fig. 6</w:t>
      </w:r>
      <w:r>
        <w:t xml:space="preserve">. However, while the increase in effective density for the pore-throat size distribution was significant when compared to bulk values, the pore-body size distribution produced a much more modest increase. </w:t>
      </w:r>
    </w:p>
    <w:p w:rsidR="007308FD" w:rsidRDefault="007308FD" w:rsidP="007308FD">
      <w:pPr>
        <w:keepNext/>
        <w:spacing w:line="240" w:lineRule="auto"/>
      </w:pPr>
      <w:r>
        <w:rPr>
          <w:noProof/>
          <w:lang w:bidi="ar-SA"/>
        </w:rPr>
        <w:lastRenderedPageBreak/>
        <w:drawing>
          <wp:inline distT="0" distB="0" distL="0" distR="0" wp14:anchorId="047C801B" wp14:editId="374B3E76">
            <wp:extent cx="5394960" cy="3686175"/>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64EAC" w:rsidRPr="00BB0B0D" w:rsidRDefault="007308FD" w:rsidP="00E52B19">
      <w:pPr>
        <w:pStyle w:val="Caption"/>
        <w:jc w:val="center"/>
        <w:rPr>
          <w:b w:val="0"/>
        </w:rPr>
      </w:pPr>
      <w:bookmarkStart w:id="32" w:name="_Toc482347130"/>
      <w:r>
        <w:t xml:space="preserve">Figure </w:t>
      </w:r>
      <w:r w:rsidR="003C2D7F">
        <w:fldChar w:fldCharType="begin"/>
      </w:r>
      <w:r w:rsidR="003C2D7F">
        <w:instrText xml:space="preserve"> SEQ Figure \* ARABIC </w:instrText>
      </w:r>
      <w:r w:rsidR="003C2D7F">
        <w:fldChar w:fldCharType="separate"/>
      </w:r>
      <w:r w:rsidR="009A340A">
        <w:rPr>
          <w:noProof/>
        </w:rPr>
        <w:t>5</w:t>
      </w:r>
      <w:r w:rsidR="003C2D7F">
        <w:rPr>
          <w:noProof/>
        </w:rPr>
        <w:fldChar w:fldCharType="end"/>
      </w:r>
      <w:r w:rsidR="00E52B19">
        <w:t xml:space="preserve">: </w:t>
      </w:r>
      <w:r w:rsidR="00E52B19" w:rsidRPr="00BB0B0D">
        <w:rPr>
          <w:b w:val="0"/>
        </w:rPr>
        <w:t>Effective density versus pore pressure for Sample 1.</w:t>
      </w:r>
      <w:bookmarkEnd w:id="32"/>
    </w:p>
    <w:p w:rsidR="00764EAC" w:rsidRDefault="00764EAC">
      <w:pPr>
        <w:spacing w:line="240" w:lineRule="auto"/>
      </w:pPr>
    </w:p>
    <w:p w:rsidR="007308FD" w:rsidRDefault="007308FD" w:rsidP="007308FD">
      <w:pPr>
        <w:keepNext/>
        <w:spacing w:line="240" w:lineRule="auto"/>
      </w:pPr>
      <w:r>
        <w:rPr>
          <w:noProof/>
          <w:lang w:bidi="ar-SA"/>
        </w:rPr>
        <w:drawing>
          <wp:inline distT="0" distB="0" distL="0" distR="0" wp14:anchorId="5CA8069D" wp14:editId="35129565">
            <wp:extent cx="5394960" cy="372427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64EAC" w:rsidRDefault="007308FD" w:rsidP="00E52B19">
      <w:pPr>
        <w:pStyle w:val="Caption"/>
        <w:jc w:val="center"/>
      </w:pPr>
      <w:bookmarkStart w:id="33" w:name="_Toc482347131"/>
      <w:r>
        <w:t xml:space="preserve">Figure </w:t>
      </w:r>
      <w:r w:rsidR="003C2D7F">
        <w:fldChar w:fldCharType="begin"/>
      </w:r>
      <w:r w:rsidR="003C2D7F">
        <w:instrText xml:space="preserve"> SEQ Figure \* ARABIC </w:instrText>
      </w:r>
      <w:r w:rsidR="003C2D7F">
        <w:fldChar w:fldCharType="separate"/>
      </w:r>
      <w:r w:rsidR="009A340A">
        <w:rPr>
          <w:noProof/>
        </w:rPr>
        <w:t>6</w:t>
      </w:r>
      <w:r w:rsidR="003C2D7F">
        <w:rPr>
          <w:noProof/>
        </w:rPr>
        <w:fldChar w:fldCharType="end"/>
      </w:r>
      <w:r w:rsidR="0098018A">
        <w:t>:</w:t>
      </w:r>
      <w:r w:rsidR="00E52B19" w:rsidRPr="00E52B19">
        <w:t xml:space="preserve"> </w:t>
      </w:r>
      <w:r w:rsidR="00E52B19" w:rsidRPr="00BB0B0D">
        <w:rPr>
          <w:b w:val="0"/>
        </w:rPr>
        <w:t>Effective density versus pore pressure for Sample 2.</w:t>
      </w:r>
      <w:bookmarkEnd w:id="33"/>
    </w:p>
    <w:p w:rsidR="00852579" w:rsidRDefault="002739E8" w:rsidP="002739E8">
      <w:pPr>
        <w:ind w:firstLine="720"/>
      </w:pPr>
      <w:r>
        <w:lastRenderedPageBreak/>
        <w:t xml:space="preserve">The full impact of pore-throat versus pore-body size selection was calculated as </w:t>
      </w:r>
      <w:r w:rsidR="00E10C06">
        <w:t xml:space="preserve">a </w:t>
      </w:r>
      <w:r w:rsidR="00444F59">
        <w:t>deviation</w:t>
      </w:r>
      <w:r w:rsidR="00E10C06">
        <w:t xml:space="preserve"> percentage. In </w:t>
      </w:r>
      <w:r w:rsidR="00E10C06" w:rsidRPr="00E10C06">
        <w:rPr>
          <w:b/>
        </w:rPr>
        <w:t>Fig. 7</w:t>
      </w:r>
      <w:r w:rsidR="00E10C06">
        <w:t xml:space="preserve"> and </w:t>
      </w:r>
      <w:r w:rsidR="00E10C06" w:rsidRPr="00E10C06">
        <w:rPr>
          <w:b/>
        </w:rPr>
        <w:t>Fig. 8</w:t>
      </w:r>
      <w:r w:rsidR="00E10C06">
        <w:t xml:space="preserve"> </w:t>
      </w:r>
      <w:r w:rsidR="00444F59">
        <w:t>Deviation</w:t>
      </w:r>
      <w:r w:rsidR="00DA31F0">
        <w:t xml:space="preserve"> 1</w:t>
      </w:r>
      <w:r w:rsidR="00E10C06">
        <w:t xml:space="preserve"> is defined as the </w:t>
      </w:r>
      <w:r w:rsidR="00DA31F0">
        <w:t xml:space="preserve">difference in effective density for the pore-body size distribution compared to the unconfined density and </w:t>
      </w:r>
      <w:r w:rsidR="00444F59">
        <w:t>Deviation</w:t>
      </w:r>
      <w:r w:rsidR="00DA31F0">
        <w:t xml:space="preserve"> 2 is the difference in effective density compared to the bulk density. For Sample 1 the pore-throat size distribution produced a </w:t>
      </w:r>
      <w:r w:rsidR="00444F59">
        <w:t>deviation</w:t>
      </w:r>
      <w:r w:rsidR="00DA31F0">
        <w:t xml:space="preserve"> percent</w:t>
      </w:r>
      <w:r w:rsidR="00444F59">
        <w:t>age</w:t>
      </w:r>
      <w:r w:rsidR="00DA31F0">
        <w:t xml:space="preserve"> from 10.9 to 44.7% depending on pressure. The pore-body size distribution only produced </w:t>
      </w:r>
      <w:r w:rsidR="00444F59">
        <w:t>a deviation</w:t>
      </w:r>
      <w:r w:rsidR="00DA31F0">
        <w:t xml:space="preserve"> percent</w:t>
      </w:r>
      <w:r w:rsidR="00444F59">
        <w:t>age</w:t>
      </w:r>
      <w:r w:rsidR="00DA31F0">
        <w:t xml:space="preserve"> from 0.7 to 3.1% depending on pressure. Similar results were found for Sample 2. The</w:t>
      </w:r>
      <w:r w:rsidR="00444F59">
        <w:t xml:space="preserve"> deviation</w:t>
      </w:r>
      <w:r w:rsidR="00DA31F0">
        <w:t xml:space="preserve"> percent</w:t>
      </w:r>
      <w:r w:rsidR="00444F59">
        <w:t>age</w:t>
      </w:r>
      <w:r w:rsidR="00DA31F0">
        <w:t xml:space="preserve"> for the pore-body size distribution was b</w:t>
      </w:r>
      <w:r w:rsidR="00444F59">
        <w:t>etween 0.7 to 2.8% and the deviation</w:t>
      </w:r>
      <w:r w:rsidR="00DA31F0">
        <w:t xml:space="preserve"> percent</w:t>
      </w:r>
      <w:r w:rsidR="00444F59">
        <w:t>age</w:t>
      </w:r>
      <w:r w:rsidR="00DA31F0">
        <w:t xml:space="preserve"> for the pore-throat size distribution was 13.5 to 55.8%. </w:t>
      </w:r>
    </w:p>
    <w:p w:rsidR="00446754" w:rsidRDefault="00444F59" w:rsidP="00446754">
      <w:pPr>
        <w:keepNext/>
      </w:pPr>
      <w:r>
        <w:rPr>
          <w:noProof/>
          <w:lang w:bidi="ar-SA"/>
        </w:rPr>
        <w:drawing>
          <wp:inline distT="0" distB="0" distL="0" distR="0" wp14:anchorId="24FA0DCC" wp14:editId="27F0173D">
            <wp:extent cx="5394960" cy="38100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6754" w:rsidRDefault="00446754" w:rsidP="00FB5390">
      <w:pPr>
        <w:pStyle w:val="Caption"/>
        <w:jc w:val="center"/>
      </w:pPr>
      <w:bookmarkStart w:id="34" w:name="_Toc482347132"/>
      <w:r>
        <w:t xml:space="preserve">Figure </w:t>
      </w:r>
      <w:r w:rsidR="003C2D7F">
        <w:fldChar w:fldCharType="begin"/>
      </w:r>
      <w:r w:rsidR="003C2D7F">
        <w:instrText xml:space="preserve"> SEQ Figure \* ARABIC </w:instrText>
      </w:r>
      <w:r w:rsidR="003C2D7F">
        <w:fldChar w:fldCharType="separate"/>
      </w:r>
      <w:r w:rsidR="009A340A">
        <w:rPr>
          <w:noProof/>
        </w:rPr>
        <w:t>7</w:t>
      </w:r>
      <w:r w:rsidR="003C2D7F">
        <w:rPr>
          <w:noProof/>
        </w:rPr>
        <w:fldChar w:fldCharType="end"/>
      </w:r>
      <w:r w:rsidR="00FB5390">
        <w:t xml:space="preserve">: </w:t>
      </w:r>
      <w:r w:rsidR="00FB5390" w:rsidRPr="00BB0B0D">
        <w:rPr>
          <w:b w:val="0"/>
        </w:rPr>
        <w:t xml:space="preserve">Sample 1 </w:t>
      </w:r>
      <w:r w:rsidR="00444F59">
        <w:rPr>
          <w:b w:val="0"/>
        </w:rPr>
        <w:t>deviation</w:t>
      </w:r>
      <w:r w:rsidR="00FB5390" w:rsidRPr="00BB0B0D">
        <w:rPr>
          <w:b w:val="0"/>
        </w:rPr>
        <w:t xml:space="preserve"> percent</w:t>
      </w:r>
      <w:r w:rsidR="00444F59">
        <w:rPr>
          <w:b w:val="0"/>
        </w:rPr>
        <w:t>age</w:t>
      </w:r>
      <w:r w:rsidR="00FB5390" w:rsidRPr="00BB0B0D">
        <w:rPr>
          <w:b w:val="0"/>
        </w:rPr>
        <w:t xml:space="preserve"> versus pore pressure.</w:t>
      </w:r>
      <w:bookmarkEnd w:id="34"/>
    </w:p>
    <w:p w:rsidR="00764EAC" w:rsidRDefault="00764EAC">
      <w:pPr>
        <w:spacing w:line="240" w:lineRule="auto"/>
      </w:pPr>
    </w:p>
    <w:p w:rsidR="002F1839" w:rsidRDefault="00444F59" w:rsidP="00444F59">
      <w:pPr>
        <w:keepNext/>
        <w:jc w:val="center"/>
        <w:rPr>
          <w:b/>
        </w:rPr>
      </w:pPr>
      <w:r>
        <w:rPr>
          <w:noProof/>
          <w:lang w:bidi="ar-SA"/>
        </w:rPr>
        <w:lastRenderedPageBreak/>
        <w:drawing>
          <wp:inline distT="0" distB="0" distL="0" distR="0" wp14:anchorId="40B8479E" wp14:editId="78A044AC">
            <wp:extent cx="5394960" cy="39243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64EAC" w:rsidRDefault="00446754" w:rsidP="00444F59">
      <w:pPr>
        <w:keepNext/>
        <w:jc w:val="center"/>
      </w:pPr>
      <w:bookmarkStart w:id="35" w:name="_Toc482347133"/>
      <w:r w:rsidRPr="00444F59">
        <w:rPr>
          <w:b/>
        </w:rPr>
        <w:t xml:space="preserve">Figure </w:t>
      </w:r>
      <w:r w:rsidR="000312AB" w:rsidRPr="00444F59">
        <w:rPr>
          <w:b/>
        </w:rPr>
        <w:fldChar w:fldCharType="begin"/>
      </w:r>
      <w:r w:rsidR="000312AB" w:rsidRPr="00444F59">
        <w:rPr>
          <w:b/>
        </w:rPr>
        <w:instrText xml:space="preserve"> SEQ Figure \* ARABIC </w:instrText>
      </w:r>
      <w:r w:rsidR="000312AB" w:rsidRPr="00444F59">
        <w:rPr>
          <w:b/>
        </w:rPr>
        <w:fldChar w:fldCharType="separate"/>
      </w:r>
      <w:r w:rsidR="009A340A">
        <w:rPr>
          <w:b/>
          <w:noProof/>
        </w:rPr>
        <w:t>8</w:t>
      </w:r>
      <w:r w:rsidR="000312AB" w:rsidRPr="00444F59">
        <w:rPr>
          <w:b/>
          <w:noProof/>
        </w:rPr>
        <w:fldChar w:fldCharType="end"/>
      </w:r>
      <w:r w:rsidR="00FB5390">
        <w:t xml:space="preserve">: </w:t>
      </w:r>
      <w:r w:rsidR="00FB5390" w:rsidRPr="00444F59">
        <w:t xml:space="preserve">Sample 2 </w:t>
      </w:r>
      <w:r w:rsidR="00444F59" w:rsidRPr="00444F59">
        <w:t>deviation</w:t>
      </w:r>
      <w:r w:rsidR="00FB5390" w:rsidRPr="00444F59">
        <w:t xml:space="preserve"> percent</w:t>
      </w:r>
      <w:r w:rsidR="00444F59" w:rsidRPr="00444F59">
        <w:t>age</w:t>
      </w:r>
      <w:r w:rsidR="00FB5390" w:rsidRPr="00444F59">
        <w:t xml:space="preserve"> versus pore</w:t>
      </w:r>
      <w:r w:rsidR="00FB5390" w:rsidRPr="00BB0B0D">
        <w:t xml:space="preserve"> pressure.</w:t>
      </w:r>
      <w:bookmarkEnd w:id="35"/>
    </w:p>
    <w:p w:rsidR="00446754" w:rsidRPr="00446754" w:rsidRDefault="00446754" w:rsidP="00446754"/>
    <w:p w:rsidR="00F637CD" w:rsidRDefault="008860CB" w:rsidP="00BD249F">
      <w:pPr>
        <w:ind w:firstLine="720"/>
      </w:pPr>
      <w:r>
        <w:t xml:space="preserve">Finally, the average density for twelve representative pore sizes was plotted for the four pressures used in this thesis on </w:t>
      </w:r>
      <w:r w:rsidRPr="008860CB">
        <w:rPr>
          <w:b/>
        </w:rPr>
        <w:t>Fig. 9</w:t>
      </w:r>
      <w:r>
        <w:t>. As shown by Fig. 9, the average density for each pore size clearly follows a third order polynomial with R</w:t>
      </w:r>
      <w:r w:rsidRPr="008860CB">
        <w:rPr>
          <w:vertAlign w:val="superscript"/>
        </w:rPr>
        <w:t>2</w:t>
      </w:r>
      <w:r>
        <w:t xml:space="preserve"> values greater than 0.994. This would indicate that when calculating effective density, it is not necessary to generate density profiles and calculate average densities for each pore size so long as a sufficient number of average densities </w:t>
      </w:r>
      <w:r w:rsidR="00F83E61">
        <w:t xml:space="preserve">at the desired temperature and pressure, spanning the desired range, </w:t>
      </w:r>
      <w:r>
        <w:t>have already been found.</w:t>
      </w:r>
    </w:p>
    <w:p w:rsidR="00354345" w:rsidRDefault="00354345" w:rsidP="00354345">
      <w:pPr>
        <w:keepNext/>
        <w:spacing w:line="240" w:lineRule="auto"/>
      </w:pPr>
      <w:r>
        <w:rPr>
          <w:noProof/>
          <w:lang w:bidi="ar-SA"/>
        </w:rPr>
        <w:lastRenderedPageBreak/>
        <w:drawing>
          <wp:inline distT="0" distB="0" distL="0" distR="0" wp14:anchorId="3983965C" wp14:editId="082C2623">
            <wp:extent cx="5394960" cy="411988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64EAC" w:rsidRDefault="00354345" w:rsidP="00FB5390">
      <w:pPr>
        <w:pStyle w:val="Caption"/>
        <w:jc w:val="center"/>
      </w:pPr>
      <w:bookmarkStart w:id="36" w:name="_Toc482347134"/>
      <w:r>
        <w:t xml:space="preserve">Figure </w:t>
      </w:r>
      <w:r w:rsidR="003C2D7F">
        <w:fldChar w:fldCharType="begin"/>
      </w:r>
      <w:r w:rsidR="003C2D7F">
        <w:instrText xml:space="preserve"> SEQ Figure \* ARABIC </w:instrText>
      </w:r>
      <w:r w:rsidR="003C2D7F">
        <w:fldChar w:fldCharType="separate"/>
      </w:r>
      <w:r w:rsidR="009A340A">
        <w:rPr>
          <w:noProof/>
        </w:rPr>
        <w:t>9</w:t>
      </w:r>
      <w:r w:rsidR="003C2D7F">
        <w:rPr>
          <w:noProof/>
        </w:rPr>
        <w:fldChar w:fldCharType="end"/>
      </w:r>
      <w:r w:rsidR="00FB5390">
        <w:t xml:space="preserve">: </w:t>
      </w:r>
      <w:r w:rsidR="00FB5390" w:rsidRPr="00BB0B0D">
        <w:rPr>
          <w:b w:val="0"/>
        </w:rPr>
        <w:t>Average pore density as a function of pore size.</w:t>
      </w:r>
      <w:bookmarkEnd w:id="36"/>
    </w:p>
    <w:p w:rsidR="00764EAC" w:rsidRDefault="00764EAC">
      <w:pPr>
        <w:spacing w:line="240" w:lineRule="auto"/>
      </w:pPr>
    </w:p>
    <w:p w:rsidR="00764EAC" w:rsidRDefault="00764EAC">
      <w:pPr>
        <w:spacing w:line="240" w:lineRule="auto"/>
      </w:pPr>
    </w:p>
    <w:p w:rsidR="00764EAC" w:rsidRDefault="00764EAC">
      <w:pPr>
        <w:spacing w:line="240" w:lineRule="auto"/>
      </w:pPr>
    </w:p>
    <w:p w:rsidR="00764EAC" w:rsidRPr="00764EAC" w:rsidRDefault="00764EAC">
      <w:pPr>
        <w:spacing w:line="240" w:lineRule="auto"/>
      </w:pPr>
    </w:p>
    <w:p w:rsidR="00F637CD" w:rsidRDefault="00F637CD">
      <w:pPr>
        <w:spacing w:line="240" w:lineRule="auto"/>
        <w:rPr>
          <w:rFonts w:asciiTheme="majorHAnsi" w:hAnsiTheme="majorHAnsi"/>
          <w:b/>
          <w:bCs/>
          <w:sz w:val="28"/>
          <w:szCs w:val="32"/>
        </w:rPr>
      </w:pPr>
      <w:r>
        <w:br w:type="page"/>
      </w:r>
    </w:p>
    <w:p w:rsidR="00D41F29" w:rsidRDefault="00D41F29" w:rsidP="00D41F29">
      <w:pPr>
        <w:pStyle w:val="Heading1"/>
      </w:pPr>
      <w:bookmarkStart w:id="37" w:name="_Toc482347175"/>
      <w:r>
        <w:lastRenderedPageBreak/>
        <w:t>Chapter 5: Conclusions</w:t>
      </w:r>
      <w:bookmarkEnd w:id="37"/>
    </w:p>
    <w:p w:rsidR="000E31D4" w:rsidRDefault="00FE6365" w:rsidP="00731383">
      <w:pPr>
        <w:ind w:firstLine="720"/>
      </w:pPr>
      <w:r>
        <w:t>This thesis has demonstrated t</w:t>
      </w:r>
      <w:r w:rsidR="00731383">
        <w:t xml:space="preserve">he </w:t>
      </w:r>
      <w:r w:rsidR="00101D04">
        <w:t>effect</w:t>
      </w:r>
      <w:r w:rsidR="00731383">
        <w:t xml:space="preserve"> of </w:t>
      </w:r>
      <w:r w:rsidR="00101D04">
        <w:t xml:space="preserve">a </w:t>
      </w:r>
      <w:r w:rsidR="00731383">
        <w:t>pore size on fluid densities in</w:t>
      </w:r>
      <w:r>
        <w:t xml:space="preserve"> </w:t>
      </w:r>
      <w:proofErr w:type="spellStart"/>
      <w:r>
        <w:t>nano</w:t>
      </w:r>
      <w:r w:rsidR="00101D04">
        <w:t>size</w:t>
      </w:r>
      <w:proofErr w:type="spellEnd"/>
      <w:r w:rsidR="00101D04">
        <w:t xml:space="preserve"> </w:t>
      </w:r>
      <w:r>
        <w:t>pores</w:t>
      </w:r>
      <w:r w:rsidR="00731383">
        <w:t xml:space="preserve">. The increase in </w:t>
      </w:r>
      <w:r w:rsidR="00101D04">
        <w:t xml:space="preserve">fluid </w:t>
      </w:r>
      <w:r w:rsidR="00731383">
        <w:t xml:space="preserve">density in </w:t>
      </w:r>
      <w:proofErr w:type="spellStart"/>
      <w:r w:rsidR="00731383">
        <w:t>n</w:t>
      </w:r>
      <w:r w:rsidR="0088289A">
        <w:t>anopores</w:t>
      </w:r>
      <w:proofErr w:type="spellEnd"/>
      <w:r w:rsidR="0088289A">
        <w:t xml:space="preserve"> previously reported is shown and can be significant for pores less than 10 nm in diameter</w:t>
      </w:r>
      <w:r w:rsidR="00731383">
        <w:t xml:space="preserve">. However, what has also been shown is that </w:t>
      </w:r>
      <w:r>
        <w:t>the significance</w:t>
      </w:r>
      <w:r w:rsidR="000E31D4">
        <w:t xml:space="preserve"> of </w:t>
      </w:r>
      <w:r w:rsidR="00731383">
        <w:t>th</w:t>
      </w:r>
      <w:r w:rsidR="000E31D4">
        <w:t>is</w:t>
      </w:r>
      <w:r w:rsidR="00731383">
        <w:t xml:space="preserve"> density increase</w:t>
      </w:r>
      <w:r w:rsidR="0088289A">
        <w:t xml:space="preserve"> on a sample</w:t>
      </w:r>
      <w:r w:rsidR="00731383">
        <w:t xml:space="preserve"> is entirely dependent on the </w:t>
      </w:r>
      <w:r w:rsidR="000E31D4">
        <w:t>pore</w:t>
      </w:r>
      <w:r>
        <w:t>-body</w:t>
      </w:r>
      <w:r w:rsidR="000E31D4">
        <w:t xml:space="preserve"> size distribution of the </w:t>
      </w:r>
      <w:r w:rsidR="0088289A">
        <w:t>rock</w:t>
      </w:r>
      <w:r w:rsidR="000E31D4">
        <w:t xml:space="preserve"> being studied. Furthermore, whether that distribution represents pore-body sizes or pore-throat sizes is also important.</w:t>
      </w:r>
    </w:p>
    <w:p w:rsidR="00FE6365" w:rsidRDefault="000E31D4" w:rsidP="00731383">
      <w:pPr>
        <w:ind w:firstLine="720"/>
      </w:pPr>
      <w:r>
        <w:t>For the two Barnett shale samples used in this thesis, it can be assumed that the effect of pore size on effective gas density is insignificant at pressures consistent with formation depth</w:t>
      </w:r>
      <w:r w:rsidR="00907BE8">
        <w:t xml:space="preserve"> when calculating gas in place</w:t>
      </w:r>
      <w:r>
        <w:t xml:space="preserve">. </w:t>
      </w:r>
      <w:r w:rsidR="00907BE8">
        <w:t xml:space="preserve">This conclusion is reached assuming that the pore-body size distribution, not the pore-throat size distribution, best characterizes the pore geometry when calculating gas in place. For both samples, the error between pore-body and unconfined density was </w:t>
      </w:r>
      <w:r w:rsidR="00101D04">
        <w:rPr>
          <w:rFonts w:cstheme="minorHAnsi"/>
        </w:rPr>
        <w:t xml:space="preserve">smaller than </w:t>
      </w:r>
      <w:r w:rsidR="00907BE8">
        <w:t xml:space="preserve">1.0% </w:t>
      </w:r>
      <w:r w:rsidR="00101D04">
        <w:t>when the pore</w:t>
      </w:r>
      <w:r w:rsidR="00907BE8">
        <w:t xml:space="preserve"> pressure</w:t>
      </w:r>
      <w:r w:rsidR="00101D04">
        <w:t xml:space="preserve"> is greater than or equal to 3,000 </w:t>
      </w:r>
      <w:proofErr w:type="spellStart"/>
      <w:r w:rsidR="00101D04">
        <w:t>psia</w:t>
      </w:r>
      <w:proofErr w:type="spellEnd"/>
      <w:r w:rsidR="00907BE8">
        <w:t xml:space="preserve">. Compared to the error generated using the pore-throat </w:t>
      </w:r>
      <w:r w:rsidR="00101D04">
        <w:t xml:space="preserve">size </w:t>
      </w:r>
      <w:r w:rsidR="00907BE8">
        <w:t>distribution at the same pressures, as much as 18%, we see the importance</w:t>
      </w:r>
      <w:r w:rsidR="0088289A">
        <w:t xml:space="preserve"> in specifying</w:t>
      </w:r>
      <w:r w:rsidR="00907BE8">
        <w:t xml:space="preserve"> pore-body </w:t>
      </w:r>
      <w:r w:rsidR="0088289A">
        <w:t>or</w:t>
      </w:r>
      <w:r w:rsidR="00907BE8">
        <w:t xml:space="preserve"> pore-throat </w:t>
      </w:r>
      <w:r w:rsidR="0088289A">
        <w:t xml:space="preserve">sizes when reporting </w:t>
      </w:r>
      <w:r w:rsidR="00907BE8">
        <w:t>data.</w:t>
      </w:r>
    </w:p>
    <w:p w:rsidR="00101D04" w:rsidRDefault="004D1B0E" w:rsidP="00731383">
      <w:pPr>
        <w:ind w:firstLine="720"/>
      </w:pPr>
      <w:r>
        <w:t xml:space="preserve">These </w:t>
      </w:r>
      <w:r w:rsidR="00D74E29">
        <w:t xml:space="preserve">numerical </w:t>
      </w:r>
      <w:r>
        <w:t xml:space="preserve">results </w:t>
      </w:r>
      <w:r w:rsidR="00D74E29">
        <w:t xml:space="preserve">are only valid for shales with similar properties as the Barnett shales used here, but they have </w:t>
      </w:r>
      <w:r>
        <w:t xml:space="preserve">important </w:t>
      </w:r>
      <w:r w:rsidR="00D74E29">
        <w:t xml:space="preserve">qualitative </w:t>
      </w:r>
      <w:r>
        <w:t xml:space="preserve">implications for </w:t>
      </w:r>
      <w:r w:rsidR="00101D04">
        <w:t xml:space="preserve">developing a realistic </w:t>
      </w:r>
      <w:r>
        <w:t>reservoir</w:t>
      </w:r>
      <w:r w:rsidR="00101D04">
        <w:t xml:space="preserve"> model for shale formations. Reservoir simulators that use pore-throat size distributions to account for the presence of </w:t>
      </w:r>
      <w:proofErr w:type="spellStart"/>
      <w:r w:rsidR="00101D04">
        <w:t>nanosize</w:t>
      </w:r>
      <w:proofErr w:type="spellEnd"/>
      <w:r w:rsidR="00101D04">
        <w:t xml:space="preserve"> confinement overestimate effective density.</w:t>
      </w:r>
    </w:p>
    <w:p w:rsidR="00D41F29" w:rsidRPr="00D41F29" w:rsidRDefault="0060584C" w:rsidP="00731383">
      <w:pPr>
        <w:ind w:firstLine="720"/>
      </w:pPr>
      <w:r>
        <w:lastRenderedPageBreak/>
        <w:t xml:space="preserve">Substitution of pore-throat size for pore-body size will also impact gas-in-place estimates for </w:t>
      </w:r>
      <w:r w:rsidR="00101D04">
        <w:t>gas shale</w:t>
      </w:r>
      <w:r>
        <w:t xml:space="preserve"> reservoir</w:t>
      </w:r>
      <w:r w:rsidR="00101D04">
        <w:t>s</w:t>
      </w:r>
      <w:r>
        <w:t xml:space="preserve">. Because the pore-throat size data clearly produces density values greater than </w:t>
      </w:r>
      <w:r w:rsidR="006F33BC">
        <w:t xml:space="preserve">those </w:t>
      </w:r>
      <w:r>
        <w:t xml:space="preserve">actually present in shale formations, gas-in-place estimates using pore-throat data will be overoptimistic. Ultimate recovery values will </w:t>
      </w:r>
      <w:r w:rsidR="006F33BC">
        <w:t>correspondingly</w:t>
      </w:r>
      <w:r>
        <w:t xml:space="preserve"> be overoptimistic and </w:t>
      </w:r>
      <w:r w:rsidR="006F33BC">
        <w:t>projects expected to be profitable may end up g</w:t>
      </w:r>
      <w:r w:rsidR="00101D04">
        <w:t>enerating</w:t>
      </w:r>
      <w:r w:rsidR="006F33BC">
        <w:t xml:space="preserve"> unexpected losses for natural gas producers.</w:t>
      </w:r>
      <w:r w:rsidR="004D1B0E">
        <w:t xml:space="preserve"> </w:t>
      </w:r>
      <w:r w:rsidR="00907BE8">
        <w:t xml:space="preserve"> </w:t>
      </w:r>
    </w:p>
    <w:p w:rsidR="008B39D3" w:rsidRDefault="00A0094B" w:rsidP="008B39D3">
      <w:pPr>
        <w:pStyle w:val="Heading1"/>
      </w:pPr>
      <w:r>
        <w:br w:type="page"/>
      </w:r>
      <w:bookmarkStart w:id="38" w:name="_Toc310579474"/>
      <w:r w:rsidR="008B39D3">
        <w:lastRenderedPageBreak/>
        <w:t xml:space="preserve"> </w:t>
      </w:r>
    </w:p>
    <w:p w:rsidR="004307AC" w:rsidRDefault="00AA0B13" w:rsidP="004307AC">
      <w:pPr>
        <w:pStyle w:val="Heading1"/>
      </w:pPr>
      <w:bookmarkStart w:id="39" w:name="_Toc482347176"/>
      <w:r>
        <w:t>References</w:t>
      </w:r>
      <w:bookmarkEnd w:id="38"/>
      <w:bookmarkEnd w:id="39"/>
    </w:p>
    <w:p w:rsidR="00841D4A" w:rsidRPr="002326F4" w:rsidRDefault="00841D4A" w:rsidP="00AF6C61">
      <w:pPr>
        <w:ind w:left="720" w:hanging="720"/>
        <w:rPr>
          <w:rFonts w:cstheme="minorHAnsi"/>
          <w:shd w:val="clear" w:color="auto" w:fill="FFFFFF"/>
        </w:rPr>
      </w:pPr>
      <w:r w:rsidRPr="00841D4A">
        <w:rPr>
          <w:rFonts w:cstheme="minorHAnsi"/>
          <w:shd w:val="clear" w:color="auto" w:fill="FFFFFF"/>
        </w:rPr>
        <w:t xml:space="preserve">Ambrose, R.J., Hartman, R.C., Diaz-Campos, M. et al. 2012. Shale Gas-in-Place Calculations Part 1: New Pore-Scale Considerations. </w:t>
      </w:r>
      <w:r w:rsidRPr="000C57B2">
        <w:rPr>
          <w:rFonts w:cstheme="minorHAnsi"/>
          <w:i/>
          <w:shd w:val="clear" w:color="auto" w:fill="FFFFFF"/>
        </w:rPr>
        <w:t>SPE J</w:t>
      </w:r>
      <w:r w:rsidRPr="00841D4A">
        <w:rPr>
          <w:rFonts w:cstheme="minorHAnsi"/>
          <w:shd w:val="clear" w:color="auto" w:fill="FFFFFF"/>
        </w:rPr>
        <w:t xml:space="preserve"> </w:t>
      </w:r>
      <w:r w:rsidRPr="000C57B2">
        <w:rPr>
          <w:rFonts w:cstheme="minorHAnsi"/>
          <w:b/>
          <w:shd w:val="clear" w:color="auto" w:fill="FFFFFF"/>
        </w:rPr>
        <w:t xml:space="preserve">17 </w:t>
      </w:r>
      <w:r w:rsidRPr="00841D4A">
        <w:rPr>
          <w:rFonts w:cstheme="minorHAnsi"/>
          <w:shd w:val="clear" w:color="auto" w:fill="FFFFFF"/>
        </w:rPr>
        <w:t xml:space="preserve">(1), 219-229. </w:t>
      </w:r>
      <w:r w:rsidR="002326F4" w:rsidRPr="002326F4">
        <w:rPr>
          <w:rFonts w:cstheme="minorHAnsi"/>
          <w:shd w:val="clear" w:color="auto" w:fill="FFFFFF"/>
        </w:rPr>
        <w:t>https://doi.org/</w:t>
      </w:r>
      <w:r w:rsidR="002326F4" w:rsidRPr="002326F4">
        <w:rPr>
          <w:rFonts w:cstheme="minorHAnsi"/>
          <w:color w:val="333333"/>
          <w:shd w:val="clear" w:color="auto" w:fill="FFFFFF"/>
        </w:rPr>
        <w:t>10.2118/131772-PA</w:t>
      </w:r>
    </w:p>
    <w:p w:rsidR="000A672B" w:rsidRPr="001628FA" w:rsidRDefault="000A672B" w:rsidP="00AF6C61">
      <w:pPr>
        <w:ind w:left="720" w:hanging="720"/>
        <w:rPr>
          <w:rFonts w:cstheme="minorHAnsi"/>
          <w:color w:val="333333"/>
          <w:shd w:val="clear" w:color="auto" w:fill="FFFFFF"/>
        </w:rPr>
      </w:pPr>
      <w:r w:rsidRPr="001628FA">
        <w:rPr>
          <w:rFonts w:cstheme="minorHAnsi"/>
          <w:color w:val="333333"/>
          <w:shd w:val="clear" w:color="auto" w:fill="FFFFFF"/>
        </w:rPr>
        <w:t xml:space="preserve">Barbosa, G.D., </w:t>
      </w:r>
      <w:proofErr w:type="spellStart"/>
      <w:r w:rsidRPr="001628FA">
        <w:rPr>
          <w:rFonts w:cstheme="minorHAnsi"/>
          <w:color w:val="333333"/>
          <w:shd w:val="clear" w:color="auto" w:fill="FFFFFF"/>
        </w:rPr>
        <w:t>Travalloni</w:t>
      </w:r>
      <w:proofErr w:type="spellEnd"/>
      <w:r w:rsidRPr="001628FA">
        <w:rPr>
          <w:rFonts w:cstheme="minorHAnsi"/>
          <w:color w:val="333333"/>
          <w:shd w:val="clear" w:color="auto" w:fill="FFFFFF"/>
        </w:rPr>
        <w:t xml:space="preserve">, L., </w:t>
      </w:r>
      <w:proofErr w:type="spellStart"/>
      <w:r w:rsidRPr="001628FA">
        <w:rPr>
          <w:rFonts w:cstheme="minorHAnsi"/>
          <w:color w:val="333333"/>
          <w:shd w:val="clear" w:color="auto" w:fill="FFFFFF"/>
        </w:rPr>
        <w:t>Castier</w:t>
      </w:r>
      <w:proofErr w:type="spellEnd"/>
      <w:r w:rsidRPr="001628FA">
        <w:rPr>
          <w:rFonts w:cstheme="minorHAnsi"/>
          <w:color w:val="333333"/>
          <w:shd w:val="clear" w:color="auto" w:fill="FFFFFF"/>
        </w:rPr>
        <w:t xml:space="preserve">, M. et al. 2016. Extending an equation of state to confined fluids with basis on molecular simulations. </w:t>
      </w:r>
      <w:r w:rsidRPr="001628FA">
        <w:rPr>
          <w:rFonts w:cstheme="minorHAnsi"/>
          <w:i/>
          <w:color w:val="333333"/>
          <w:shd w:val="clear" w:color="auto" w:fill="FFFFFF"/>
        </w:rPr>
        <w:t>Chemical Engineering Science</w:t>
      </w:r>
      <w:r w:rsidR="001628FA" w:rsidRPr="001628FA">
        <w:rPr>
          <w:rFonts w:cstheme="minorHAnsi"/>
          <w:color w:val="333333"/>
          <w:shd w:val="clear" w:color="auto" w:fill="FFFFFF"/>
        </w:rPr>
        <w:t xml:space="preserve"> </w:t>
      </w:r>
      <w:r w:rsidR="001628FA" w:rsidRPr="001628FA">
        <w:rPr>
          <w:rFonts w:cstheme="minorHAnsi"/>
          <w:b/>
          <w:color w:val="333333"/>
          <w:shd w:val="clear" w:color="auto" w:fill="FFFFFF"/>
        </w:rPr>
        <w:t>153</w:t>
      </w:r>
      <w:r w:rsidR="001628FA" w:rsidRPr="001628FA">
        <w:rPr>
          <w:rFonts w:cstheme="minorHAnsi"/>
          <w:color w:val="333333"/>
          <w:shd w:val="clear" w:color="auto" w:fill="FFFFFF"/>
        </w:rPr>
        <w:t xml:space="preserve"> (22 October), 212-220. </w:t>
      </w:r>
      <w:r w:rsidR="001628FA" w:rsidRPr="001628FA">
        <w:rPr>
          <w:rFonts w:cstheme="minorHAnsi"/>
          <w:bdr w:val="none" w:sz="0" w:space="0" w:color="auto" w:frame="1"/>
          <w:shd w:val="clear" w:color="auto" w:fill="FFFFFF"/>
        </w:rPr>
        <w:t>https://doi.org/10.1016/j.ces.2016.07.033</w:t>
      </w:r>
    </w:p>
    <w:p w:rsidR="001D2992" w:rsidRPr="001D2992" w:rsidRDefault="001D2992" w:rsidP="00AF6C61">
      <w:pPr>
        <w:ind w:left="720" w:hanging="720"/>
        <w:rPr>
          <w:rFonts w:cstheme="minorHAnsi"/>
          <w:shd w:val="clear" w:color="auto" w:fill="FFFFFF"/>
        </w:rPr>
      </w:pPr>
      <w:r w:rsidRPr="001D2992">
        <w:rPr>
          <w:rFonts w:cstheme="minorHAnsi"/>
          <w:color w:val="333333"/>
          <w:shd w:val="clear" w:color="auto" w:fill="FFFFFF"/>
        </w:rPr>
        <w:t>Bryant, S. L., Mellor, D. W. and Cade, C. A. 1993</w:t>
      </w:r>
      <w:r>
        <w:rPr>
          <w:rFonts w:cstheme="minorHAnsi"/>
          <w:color w:val="333333"/>
          <w:shd w:val="clear" w:color="auto" w:fill="FFFFFF"/>
        </w:rPr>
        <w:t>.</w:t>
      </w:r>
      <w:r w:rsidRPr="001D2992">
        <w:rPr>
          <w:rFonts w:cstheme="minorHAnsi"/>
          <w:color w:val="333333"/>
          <w:shd w:val="clear" w:color="auto" w:fill="FFFFFF"/>
        </w:rPr>
        <w:t xml:space="preserve"> Physically representative network models of transport in porous media. </w:t>
      </w:r>
      <w:proofErr w:type="spellStart"/>
      <w:r w:rsidRPr="001D2992">
        <w:rPr>
          <w:rFonts w:cstheme="minorHAnsi"/>
          <w:i/>
          <w:color w:val="333333"/>
          <w:shd w:val="clear" w:color="auto" w:fill="FFFFFF"/>
        </w:rPr>
        <w:t>AIChE</w:t>
      </w:r>
      <w:proofErr w:type="spellEnd"/>
      <w:r w:rsidRPr="001D2992">
        <w:rPr>
          <w:rFonts w:cstheme="minorHAnsi"/>
          <w:i/>
          <w:color w:val="333333"/>
          <w:shd w:val="clear" w:color="auto" w:fill="FFFFFF"/>
        </w:rPr>
        <w:t xml:space="preserve"> J</w:t>
      </w:r>
      <w:r>
        <w:rPr>
          <w:rFonts w:cstheme="minorHAnsi"/>
          <w:color w:val="333333"/>
          <w:shd w:val="clear" w:color="auto" w:fill="FFFFFF"/>
        </w:rPr>
        <w:t xml:space="preserve">. </w:t>
      </w:r>
      <w:r w:rsidRPr="001D2992">
        <w:rPr>
          <w:rFonts w:cstheme="minorHAnsi"/>
          <w:b/>
          <w:color w:val="333333"/>
          <w:shd w:val="clear" w:color="auto" w:fill="FFFFFF"/>
        </w:rPr>
        <w:t>39</w:t>
      </w:r>
      <w:r>
        <w:rPr>
          <w:rFonts w:cstheme="minorHAnsi"/>
          <w:b/>
          <w:color w:val="333333"/>
          <w:shd w:val="clear" w:color="auto" w:fill="FFFFFF"/>
        </w:rPr>
        <w:t xml:space="preserve"> </w:t>
      </w:r>
      <w:r>
        <w:rPr>
          <w:rFonts w:cstheme="minorHAnsi"/>
          <w:color w:val="333333"/>
          <w:shd w:val="clear" w:color="auto" w:fill="FFFFFF"/>
        </w:rPr>
        <w:t>(3),</w:t>
      </w:r>
      <w:r w:rsidRPr="001D2992">
        <w:rPr>
          <w:rFonts w:cstheme="minorHAnsi"/>
          <w:color w:val="333333"/>
          <w:shd w:val="clear" w:color="auto" w:fill="FFFFFF"/>
        </w:rPr>
        <w:t xml:space="preserve"> 387–396. </w:t>
      </w:r>
      <w:r w:rsidRPr="002326F4">
        <w:rPr>
          <w:rFonts w:cstheme="minorHAnsi"/>
          <w:shd w:val="clear" w:color="auto" w:fill="FFFFFF"/>
        </w:rPr>
        <w:t>https://doi.org/</w:t>
      </w:r>
      <w:r>
        <w:rPr>
          <w:rFonts w:cstheme="minorHAnsi"/>
          <w:color w:val="333333"/>
          <w:shd w:val="clear" w:color="auto" w:fill="FFFFFF"/>
        </w:rPr>
        <w:t>1</w:t>
      </w:r>
      <w:r w:rsidRPr="001D2992">
        <w:rPr>
          <w:rFonts w:cstheme="minorHAnsi"/>
          <w:color w:val="333333"/>
          <w:shd w:val="clear" w:color="auto" w:fill="FFFFFF"/>
        </w:rPr>
        <w:t>0.1002/aic.690390303</w:t>
      </w:r>
    </w:p>
    <w:p w:rsidR="00493A78" w:rsidRPr="00493A78" w:rsidRDefault="00493A78" w:rsidP="00AF6C61">
      <w:pPr>
        <w:ind w:left="720" w:hanging="720"/>
        <w:rPr>
          <w:rFonts w:cstheme="minorHAnsi"/>
          <w:shd w:val="clear" w:color="auto" w:fill="FFFFFF"/>
        </w:rPr>
      </w:pPr>
      <w:proofErr w:type="spellStart"/>
      <w:r w:rsidRPr="00493A78">
        <w:rPr>
          <w:rFonts w:cstheme="minorHAnsi"/>
          <w:shd w:val="clear" w:color="auto" w:fill="FFFFFF"/>
        </w:rPr>
        <w:t>Chareonsuppanimit</w:t>
      </w:r>
      <w:proofErr w:type="spellEnd"/>
      <w:r w:rsidRPr="00493A78">
        <w:rPr>
          <w:rFonts w:cstheme="minorHAnsi"/>
          <w:shd w:val="clear" w:color="auto" w:fill="FFFFFF"/>
        </w:rPr>
        <w:t xml:space="preserve">, P., Mohammad, S.A., Robinson Jr., R.L. et al. 2012. High-pressure adsorption of gases on shales: Measurements and modeling. </w:t>
      </w:r>
      <w:r w:rsidRPr="00493A78">
        <w:rPr>
          <w:rFonts w:cstheme="minorHAnsi"/>
          <w:i/>
          <w:shd w:val="clear" w:color="auto" w:fill="FFFFFF"/>
        </w:rPr>
        <w:t>International Journal of Coal Geology</w:t>
      </w:r>
      <w:r w:rsidRPr="00493A78">
        <w:rPr>
          <w:rFonts w:cstheme="minorHAnsi"/>
          <w:shd w:val="clear" w:color="auto" w:fill="FFFFFF"/>
        </w:rPr>
        <w:t xml:space="preserve"> </w:t>
      </w:r>
      <w:r w:rsidRPr="00493A78">
        <w:rPr>
          <w:rFonts w:cstheme="minorHAnsi"/>
          <w:b/>
          <w:shd w:val="clear" w:color="auto" w:fill="FFFFFF"/>
        </w:rPr>
        <w:t>95</w:t>
      </w:r>
      <w:r w:rsidRPr="00493A78">
        <w:rPr>
          <w:rFonts w:cstheme="minorHAnsi"/>
          <w:shd w:val="clear" w:color="auto" w:fill="FFFFFF"/>
        </w:rPr>
        <w:t xml:space="preserve">, 34-46. </w:t>
      </w:r>
      <w:r w:rsidRPr="00493A78">
        <w:rPr>
          <w:rFonts w:cstheme="minorHAnsi"/>
          <w:bdr w:val="none" w:sz="0" w:space="0" w:color="auto" w:frame="1"/>
          <w:shd w:val="clear" w:color="auto" w:fill="FFFFFF"/>
        </w:rPr>
        <w:t>https://doi.org/10.1016/j.coal.2012.02.005</w:t>
      </w:r>
    </w:p>
    <w:p w:rsidR="00C474A9" w:rsidRDefault="00C474A9" w:rsidP="00AF6C61">
      <w:pPr>
        <w:ind w:left="720" w:hanging="720"/>
        <w:rPr>
          <w:rFonts w:cstheme="minorHAnsi"/>
          <w:shd w:val="clear" w:color="auto" w:fill="FFFFFF"/>
        </w:rPr>
      </w:pPr>
      <w:r>
        <w:rPr>
          <w:rFonts w:cstheme="minorHAnsi"/>
          <w:shd w:val="clear" w:color="auto" w:fill="FFFFFF"/>
        </w:rPr>
        <w:t xml:space="preserve">Chen, J.H., Wong, D.S.H., Tan, C.S. et al. 1997. Adsorption and desorption of carbon dioxide onto and from activated carbon at high pressures. </w:t>
      </w:r>
      <w:r w:rsidRPr="00C474A9">
        <w:rPr>
          <w:rFonts w:cstheme="minorHAnsi"/>
          <w:i/>
          <w:shd w:val="clear" w:color="auto" w:fill="FFFFFF"/>
        </w:rPr>
        <w:t>Ind. Eng. Chem. Res.</w:t>
      </w:r>
      <w:r>
        <w:rPr>
          <w:rFonts w:cstheme="minorHAnsi"/>
          <w:shd w:val="clear" w:color="auto" w:fill="FFFFFF"/>
        </w:rPr>
        <w:t xml:space="preserve"> </w:t>
      </w:r>
      <w:r w:rsidRPr="00C474A9">
        <w:rPr>
          <w:rFonts w:cstheme="minorHAnsi"/>
          <w:b/>
          <w:shd w:val="clear" w:color="auto" w:fill="FFFFFF"/>
        </w:rPr>
        <w:t>36</w:t>
      </w:r>
      <w:r>
        <w:rPr>
          <w:rFonts w:cstheme="minorHAnsi"/>
          <w:shd w:val="clear" w:color="auto" w:fill="FFFFFF"/>
        </w:rPr>
        <w:t xml:space="preserve"> (7), 2808-2815.</w:t>
      </w:r>
    </w:p>
    <w:p w:rsidR="00DE06C3" w:rsidRDefault="00DE06C3" w:rsidP="00AF6C61">
      <w:pPr>
        <w:ind w:left="720" w:hanging="720"/>
        <w:rPr>
          <w:rFonts w:cstheme="minorHAnsi"/>
          <w:shd w:val="clear" w:color="auto" w:fill="FFFFFF"/>
        </w:rPr>
      </w:pPr>
      <w:proofErr w:type="spellStart"/>
      <w:r>
        <w:rPr>
          <w:rFonts w:cstheme="minorHAnsi"/>
          <w:shd w:val="clear" w:color="auto" w:fill="FFFFFF"/>
        </w:rPr>
        <w:t>Comisky</w:t>
      </w:r>
      <w:proofErr w:type="spellEnd"/>
      <w:r>
        <w:rPr>
          <w:rFonts w:cstheme="minorHAnsi"/>
          <w:shd w:val="clear" w:color="auto" w:fill="FFFFFF"/>
        </w:rPr>
        <w:t xml:space="preserve">, J.T., Santiago, M., </w:t>
      </w:r>
      <w:proofErr w:type="spellStart"/>
      <w:r w:rsidR="00072111">
        <w:rPr>
          <w:rFonts w:cstheme="minorHAnsi"/>
          <w:shd w:val="clear" w:color="auto" w:fill="FFFFFF"/>
        </w:rPr>
        <w:t>McCollom</w:t>
      </w:r>
      <w:proofErr w:type="spellEnd"/>
      <w:r w:rsidR="00072111">
        <w:rPr>
          <w:rFonts w:cstheme="minorHAnsi"/>
          <w:shd w:val="clear" w:color="auto" w:fill="FFFFFF"/>
        </w:rPr>
        <w:t>, B. et al. 2011. Sample Size Effects on the Application of Mercury Injection Capillary Pressure for Determining the Storage Capacity of Tight Gas and Oil Shales. Presented at the Canadian Unconventional Resources Conference. Calgary, Alberta, 15-17 November SPE-149432-MS. http://dx.doi.org/10.2118/149432-MS</w:t>
      </w:r>
    </w:p>
    <w:p w:rsidR="00740415" w:rsidRDefault="00740415" w:rsidP="00AF6C61">
      <w:pPr>
        <w:ind w:left="720" w:hanging="720"/>
        <w:rPr>
          <w:rFonts w:cstheme="minorHAnsi"/>
          <w:shd w:val="clear" w:color="auto" w:fill="FFFFFF"/>
        </w:rPr>
      </w:pPr>
      <w:proofErr w:type="spellStart"/>
      <w:r>
        <w:rPr>
          <w:rFonts w:cstheme="minorHAnsi"/>
          <w:shd w:val="clear" w:color="auto" w:fill="FFFFFF"/>
        </w:rPr>
        <w:lastRenderedPageBreak/>
        <w:t>Danesh</w:t>
      </w:r>
      <w:proofErr w:type="spellEnd"/>
      <w:r>
        <w:rPr>
          <w:rFonts w:cstheme="minorHAnsi"/>
          <w:shd w:val="clear" w:color="auto" w:fill="FFFFFF"/>
        </w:rPr>
        <w:t xml:space="preserve">, A. 1998. </w:t>
      </w:r>
      <w:r w:rsidRPr="00740415">
        <w:rPr>
          <w:rFonts w:cstheme="minorHAnsi"/>
          <w:i/>
          <w:shd w:val="clear" w:color="auto" w:fill="FFFFFF"/>
        </w:rPr>
        <w:t xml:space="preserve">PVT and </w:t>
      </w:r>
      <w:r>
        <w:rPr>
          <w:rFonts w:cstheme="minorHAnsi"/>
          <w:i/>
          <w:shd w:val="clear" w:color="auto" w:fill="FFFFFF"/>
        </w:rPr>
        <w:t>P</w:t>
      </w:r>
      <w:r w:rsidRPr="00740415">
        <w:rPr>
          <w:rFonts w:cstheme="minorHAnsi"/>
          <w:i/>
          <w:shd w:val="clear" w:color="auto" w:fill="FFFFFF"/>
        </w:rPr>
        <w:t xml:space="preserve">hase </w:t>
      </w:r>
      <w:r>
        <w:rPr>
          <w:rFonts w:cstheme="minorHAnsi"/>
          <w:i/>
          <w:shd w:val="clear" w:color="auto" w:fill="FFFFFF"/>
        </w:rPr>
        <w:t>B</w:t>
      </w:r>
      <w:r w:rsidRPr="00740415">
        <w:rPr>
          <w:rFonts w:cstheme="minorHAnsi"/>
          <w:i/>
          <w:shd w:val="clear" w:color="auto" w:fill="FFFFFF"/>
        </w:rPr>
        <w:t xml:space="preserve">ehavior of </w:t>
      </w:r>
      <w:r>
        <w:rPr>
          <w:rFonts w:cstheme="minorHAnsi"/>
          <w:i/>
          <w:shd w:val="clear" w:color="auto" w:fill="FFFFFF"/>
        </w:rPr>
        <w:t>P</w:t>
      </w:r>
      <w:r w:rsidRPr="00740415">
        <w:rPr>
          <w:rFonts w:cstheme="minorHAnsi"/>
          <w:i/>
          <w:shd w:val="clear" w:color="auto" w:fill="FFFFFF"/>
        </w:rPr>
        <w:t xml:space="preserve">etroleum </w:t>
      </w:r>
      <w:r>
        <w:rPr>
          <w:rFonts w:cstheme="minorHAnsi"/>
          <w:i/>
          <w:shd w:val="clear" w:color="auto" w:fill="FFFFFF"/>
        </w:rPr>
        <w:t>R</w:t>
      </w:r>
      <w:r w:rsidRPr="00740415">
        <w:rPr>
          <w:rFonts w:cstheme="minorHAnsi"/>
          <w:i/>
          <w:shd w:val="clear" w:color="auto" w:fill="FFFFFF"/>
        </w:rPr>
        <w:t xml:space="preserve">eservoir </w:t>
      </w:r>
      <w:r>
        <w:rPr>
          <w:rFonts w:cstheme="minorHAnsi"/>
          <w:i/>
          <w:shd w:val="clear" w:color="auto" w:fill="FFFFFF"/>
        </w:rPr>
        <w:t>F</w:t>
      </w:r>
      <w:r w:rsidRPr="00740415">
        <w:rPr>
          <w:rFonts w:cstheme="minorHAnsi"/>
          <w:i/>
          <w:shd w:val="clear" w:color="auto" w:fill="FFFFFF"/>
        </w:rPr>
        <w:t>luids</w:t>
      </w:r>
      <w:r>
        <w:rPr>
          <w:rFonts w:cstheme="minorHAnsi"/>
          <w:shd w:val="clear" w:color="auto" w:fill="FFFFFF"/>
        </w:rPr>
        <w:t>, third edition. Boston: Elsevier Science</w:t>
      </w:r>
    </w:p>
    <w:p w:rsidR="0074382A" w:rsidRDefault="0074382A" w:rsidP="00AF6C61">
      <w:pPr>
        <w:ind w:left="720" w:hanging="720"/>
        <w:rPr>
          <w:rFonts w:cstheme="minorHAnsi"/>
        </w:rPr>
      </w:pPr>
      <w:r>
        <w:rPr>
          <w:rFonts w:cstheme="minorHAnsi"/>
          <w:shd w:val="clear" w:color="auto" w:fill="FFFFFF"/>
        </w:rPr>
        <w:t xml:space="preserve">Denney, D. </w:t>
      </w:r>
      <w:r w:rsidR="004307AC" w:rsidRPr="004F0A61">
        <w:rPr>
          <w:rFonts w:cstheme="minorHAnsi"/>
          <w:shd w:val="clear" w:color="auto" w:fill="FFFFFF"/>
        </w:rPr>
        <w:t>2012</w:t>
      </w:r>
      <w:r>
        <w:rPr>
          <w:rFonts w:cstheme="minorHAnsi"/>
          <w:shd w:val="clear" w:color="auto" w:fill="FFFFFF"/>
        </w:rPr>
        <w:t xml:space="preserve">. </w:t>
      </w:r>
      <w:r w:rsidRPr="004F0A61">
        <w:rPr>
          <w:rFonts w:cstheme="minorHAnsi"/>
          <w:shd w:val="clear" w:color="auto" w:fill="FFFFFF"/>
        </w:rPr>
        <w:t>Shale-Gas Reserves Estimation: Multiple Decline-Curve-Analysis Models</w:t>
      </w:r>
      <w:r>
        <w:rPr>
          <w:rFonts w:cstheme="minorHAnsi"/>
          <w:shd w:val="clear" w:color="auto" w:fill="FFFFFF"/>
        </w:rPr>
        <w:t xml:space="preserve">. </w:t>
      </w:r>
      <w:r w:rsidRPr="0074382A">
        <w:rPr>
          <w:rFonts w:cstheme="minorHAnsi"/>
          <w:i/>
          <w:shd w:val="clear" w:color="auto" w:fill="FFFFFF"/>
        </w:rPr>
        <w:t xml:space="preserve">J Pet </w:t>
      </w:r>
      <w:proofErr w:type="spellStart"/>
      <w:r w:rsidRPr="0074382A">
        <w:rPr>
          <w:rFonts w:cstheme="minorHAnsi"/>
          <w:i/>
          <w:shd w:val="clear" w:color="auto" w:fill="FFFFFF"/>
        </w:rPr>
        <w:t>Technol</w:t>
      </w:r>
      <w:proofErr w:type="spellEnd"/>
      <w:r>
        <w:rPr>
          <w:rFonts w:cstheme="minorHAnsi"/>
          <w:shd w:val="clear" w:color="auto" w:fill="FFFFFF"/>
        </w:rPr>
        <w:t xml:space="preserve"> </w:t>
      </w:r>
      <w:r w:rsidRPr="0074382A">
        <w:rPr>
          <w:rFonts w:cstheme="minorHAnsi"/>
          <w:b/>
          <w:shd w:val="clear" w:color="auto" w:fill="FFFFFF"/>
        </w:rPr>
        <w:t>64</w:t>
      </w:r>
      <w:r>
        <w:rPr>
          <w:rFonts w:cstheme="minorHAnsi"/>
          <w:shd w:val="clear" w:color="auto" w:fill="FFFFFF"/>
        </w:rPr>
        <w:t xml:space="preserve"> (11), 144-148. http://dx.doi.org/</w:t>
      </w:r>
      <w:r w:rsidR="00AF6C61">
        <w:rPr>
          <w:rFonts w:cstheme="minorHAnsi"/>
          <w:shd w:val="clear" w:color="auto" w:fill="FFFFFF"/>
        </w:rPr>
        <w:t>10.2118/1112-0144-J</w:t>
      </w:r>
      <w:r w:rsidR="004307AC" w:rsidRPr="004F0A61">
        <w:rPr>
          <w:rFonts w:cstheme="minorHAnsi"/>
          <w:shd w:val="clear" w:color="auto" w:fill="FFFFFF"/>
        </w:rPr>
        <w:t>PT</w:t>
      </w:r>
      <w:r w:rsidR="004307AC" w:rsidRPr="004F0A61">
        <w:rPr>
          <w:rFonts w:cstheme="minorHAnsi"/>
        </w:rPr>
        <w:t xml:space="preserve"> </w:t>
      </w:r>
    </w:p>
    <w:p w:rsidR="00D5326C" w:rsidRDefault="00D5326C" w:rsidP="00AF6C61">
      <w:pPr>
        <w:ind w:left="720" w:hanging="720"/>
        <w:rPr>
          <w:rFonts w:cstheme="minorHAnsi"/>
        </w:rPr>
      </w:pPr>
      <w:proofErr w:type="spellStart"/>
      <w:r>
        <w:rPr>
          <w:rFonts w:cstheme="minorHAnsi"/>
        </w:rPr>
        <w:t>Didar</w:t>
      </w:r>
      <w:proofErr w:type="spellEnd"/>
      <w:r>
        <w:rPr>
          <w:rFonts w:cstheme="minorHAnsi"/>
        </w:rPr>
        <w:t xml:space="preserve">, B.R. and </w:t>
      </w:r>
      <w:proofErr w:type="spellStart"/>
      <w:r>
        <w:rPr>
          <w:rFonts w:cstheme="minorHAnsi"/>
        </w:rPr>
        <w:t>Akkutlu</w:t>
      </w:r>
      <w:proofErr w:type="spellEnd"/>
      <w:r>
        <w:rPr>
          <w:rFonts w:cstheme="minorHAnsi"/>
        </w:rPr>
        <w:t xml:space="preserve">, I.Y. 2013. Pore-size Dependence of Fluid Phase </w:t>
      </w:r>
      <w:proofErr w:type="spellStart"/>
      <w:r>
        <w:rPr>
          <w:rFonts w:cstheme="minorHAnsi"/>
        </w:rPr>
        <w:t>Behior</w:t>
      </w:r>
      <w:proofErr w:type="spellEnd"/>
      <w:r>
        <w:rPr>
          <w:rFonts w:cstheme="minorHAnsi"/>
        </w:rPr>
        <w:t xml:space="preserve"> and Properties in Organic-Rich Shale Reservoirs. Presented at the SPE International Symposium on Oilfield </w:t>
      </w:r>
      <w:proofErr w:type="spellStart"/>
      <w:r>
        <w:rPr>
          <w:rFonts w:cstheme="minorHAnsi"/>
        </w:rPr>
        <w:t>Chemisty</w:t>
      </w:r>
      <w:proofErr w:type="spellEnd"/>
      <w:r>
        <w:rPr>
          <w:rFonts w:cstheme="minorHAnsi"/>
        </w:rPr>
        <w:t>. The Woodlands, Texas, 8-10 April SPE-164099-MS</w:t>
      </w:r>
      <w:r w:rsidR="0030306E">
        <w:rPr>
          <w:rFonts w:cstheme="minorHAnsi"/>
        </w:rPr>
        <w:t xml:space="preserve">. </w:t>
      </w:r>
      <w:r w:rsidR="0030306E">
        <w:rPr>
          <w:rFonts w:cstheme="minorHAnsi"/>
          <w:shd w:val="clear" w:color="auto" w:fill="FFFFFF"/>
        </w:rPr>
        <w:t>http://dx.doi.org/10.2118/164099-MS</w:t>
      </w:r>
    </w:p>
    <w:p w:rsidR="00DE06C3" w:rsidRPr="00DE06C3" w:rsidRDefault="00DE06C3" w:rsidP="00AF6C61">
      <w:pPr>
        <w:ind w:left="720" w:hanging="720"/>
        <w:rPr>
          <w:rFonts w:cstheme="minorHAnsi"/>
        </w:rPr>
      </w:pPr>
      <w:r w:rsidRPr="00DE06C3">
        <w:rPr>
          <w:rFonts w:cstheme="minorHAnsi"/>
        </w:rPr>
        <w:t xml:space="preserve">Dong, X., </w:t>
      </w:r>
      <w:proofErr w:type="spellStart"/>
      <w:r w:rsidRPr="00DE06C3">
        <w:rPr>
          <w:rFonts w:cstheme="minorHAnsi"/>
        </w:rPr>
        <w:t>Lui</w:t>
      </w:r>
      <w:proofErr w:type="spellEnd"/>
      <w:r w:rsidRPr="00DE06C3">
        <w:rPr>
          <w:rFonts w:cstheme="minorHAnsi"/>
        </w:rPr>
        <w:t xml:space="preserve">, H., </w:t>
      </w:r>
      <w:proofErr w:type="spellStart"/>
      <w:r w:rsidRPr="00DE06C3">
        <w:rPr>
          <w:rFonts w:cstheme="minorHAnsi"/>
        </w:rPr>
        <w:t>Hou</w:t>
      </w:r>
      <w:proofErr w:type="spellEnd"/>
      <w:r w:rsidRPr="00DE06C3">
        <w:rPr>
          <w:rFonts w:cstheme="minorHAnsi"/>
        </w:rPr>
        <w:t xml:space="preserve">, J. et al. 2016. Phase Equilibria of Confined Fluids in </w:t>
      </w:r>
      <w:proofErr w:type="spellStart"/>
      <w:r w:rsidRPr="00DE06C3">
        <w:rPr>
          <w:rFonts w:cstheme="minorHAnsi"/>
        </w:rPr>
        <w:t>Nanopores</w:t>
      </w:r>
      <w:proofErr w:type="spellEnd"/>
      <w:r w:rsidRPr="00DE06C3">
        <w:rPr>
          <w:rFonts w:cstheme="minorHAnsi"/>
        </w:rPr>
        <w:t xml:space="preserve"> of Tight and Shale Rocks Considering the Effect of Capillary Pressure and Adsorption Film. </w:t>
      </w:r>
      <w:r w:rsidRPr="00DE06C3">
        <w:rPr>
          <w:rFonts w:cstheme="minorHAnsi"/>
          <w:i/>
        </w:rPr>
        <w:t>Ind. Eng. Chem. Res</w:t>
      </w:r>
      <w:r w:rsidRPr="00DE06C3">
        <w:rPr>
          <w:rFonts w:cstheme="minorHAnsi"/>
        </w:rPr>
        <w:t xml:space="preserve">. </w:t>
      </w:r>
      <w:r w:rsidRPr="00DE06C3">
        <w:rPr>
          <w:rFonts w:cstheme="minorHAnsi"/>
          <w:b/>
        </w:rPr>
        <w:t>55</w:t>
      </w:r>
      <w:r w:rsidRPr="00DE06C3">
        <w:rPr>
          <w:rFonts w:cstheme="minorHAnsi"/>
        </w:rPr>
        <w:t xml:space="preserve"> (3), 798-811. </w:t>
      </w:r>
      <w:r w:rsidRPr="00DE06C3">
        <w:rPr>
          <w:rFonts w:cstheme="minorHAnsi"/>
          <w:shd w:val="clear" w:color="auto" w:fill="FFFFFF"/>
        </w:rPr>
        <w:t>http://dx.doi.org/</w:t>
      </w:r>
      <w:r w:rsidRPr="00DE06C3">
        <w:rPr>
          <w:rFonts w:cstheme="minorHAnsi"/>
          <w:color w:val="000000"/>
          <w:shd w:val="clear" w:color="auto" w:fill="FFFFFF"/>
        </w:rPr>
        <w:t>10.1021/acs.iecr.5b04276</w:t>
      </w:r>
    </w:p>
    <w:p w:rsidR="00464EE2" w:rsidRPr="004F0A61" w:rsidRDefault="00464EE2" w:rsidP="00AF6C61">
      <w:pPr>
        <w:ind w:left="720" w:hanging="720"/>
        <w:rPr>
          <w:rFonts w:cstheme="minorHAnsi"/>
        </w:rPr>
      </w:pPr>
      <w:r w:rsidRPr="004F0A61">
        <w:rPr>
          <w:rFonts w:cstheme="minorHAnsi"/>
        </w:rPr>
        <w:t>EIA</w:t>
      </w:r>
      <w:r>
        <w:rPr>
          <w:rFonts w:cstheme="minorHAnsi"/>
        </w:rPr>
        <w:t>.</w:t>
      </w:r>
      <w:r w:rsidRPr="004F0A61">
        <w:rPr>
          <w:rFonts w:cstheme="minorHAnsi"/>
        </w:rPr>
        <w:t xml:space="preserve"> 201</w:t>
      </w:r>
      <w:r>
        <w:rPr>
          <w:rFonts w:cstheme="minorHAnsi"/>
        </w:rPr>
        <w:t xml:space="preserve">7. Where Our Natural Gas Comes From. (10 January 2017 revision), </w:t>
      </w:r>
      <w:r w:rsidRPr="00464EE2">
        <w:rPr>
          <w:rFonts w:cstheme="minorHAnsi"/>
        </w:rPr>
        <w:t>https://www.eia.gov/energyexplained/index.cfm?page=natural_gas_where</w:t>
      </w:r>
      <w:r>
        <w:rPr>
          <w:rFonts w:cstheme="minorHAnsi"/>
        </w:rPr>
        <w:t xml:space="preserve"> (accessed 20 April 2017). </w:t>
      </w:r>
    </w:p>
    <w:p w:rsidR="000A672B" w:rsidRDefault="00511F48" w:rsidP="000A672B">
      <w:pPr>
        <w:ind w:left="720" w:hanging="720"/>
        <w:rPr>
          <w:rFonts w:cstheme="minorHAnsi"/>
        </w:rPr>
      </w:pPr>
      <w:proofErr w:type="spellStart"/>
      <w:r>
        <w:rPr>
          <w:rFonts w:cstheme="minorHAnsi"/>
        </w:rPr>
        <w:t>Fatt</w:t>
      </w:r>
      <w:proofErr w:type="spellEnd"/>
      <w:r>
        <w:rPr>
          <w:rFonts w:cstheme="minorHAnsi"/>
        </w:rPr>
        <w:t xml:space="preserve">, I. 1956. The Network Model of Porous Media. </w:t>
      </w:r>
      <w:r w:rsidRPr="00511F48">
        <w:rPr>
          <w:rFonts w:cstheme="minorHAnsi"/>
          <w:i/>
        </w:rPr>
        <w:t>Petroleum Transactions, AIME</w:t>
      </w:r>
      <w:r>
        <w:rPr>
          <w:rFonts w:cstheme="minorHAnsi"/>
        </w:rPr>
        <w:t xml:space="preserve"> </w:t>
      </w:r>
      <w:r w:rsidRPr="00511F48">
        <w:rPr>
          <w:rFonts w:cstheme="minorHAnsi"/>
          <w:b/>
        </w:rPr>
        <w:t>207</w:t>
      </w:r>
      <w:r w:rsidR="000A672B">
        <w:rPr>
          <w:rFonts w:cstheme="minorHAnsi"/>
        </w:rPr>
        <w:t xml:space="preserve">, 144-181. </w:t>
      </w:r>
    </w:p>
    <w:p w:rsidR="00072111" w:rsidRPr="004362A5" w:rsidRDefault="00072111" w:rsidP="00AF6C61">
      <w:pPr>
        <w:ind w:left="720" w:hanging="720"/>
        <w:rPr>
          <w:rFonts w:cstheme="minorHAnsi"/>
        </w:rPr>
      </w:pPr>
      <w:proofErr w:type="spellStart"/>
      <w:r w:rsidRPr="004362A5">
        <w:rPr>
          <w:rFonts w:cstheme="minorHAnsi"/>
        </w:rPr>
        <w:t>Giaya</w:t>
      </w:r>
      <w:proofErr w:type="spellEnd"/>
      <w:r w:rsidRPr="004362A5">
        <w:rPr>
          <w:rFonts w:cstheme="minorHAnsi"/>
        </w:rPr>
        <w:t xml:space="preserve">, A. and Thompson, R.W. 2002. Water confined in cylindrical </w:t>
      </w:r>
      <w:proofErr w:type="spellStart"/>
      <w:r w:rsidRPr="004362A5">
        <w:rPr>
          <w:rFonts w:cstheme="minorHAnsi"/>
        </w:rPr>
        <w:t>micropores</w:t>
      </w:r>
      <w:proofErr w:type="spellEnd"/>
      <w:r w:rsidRPr="004362A5">
        <w:rPr>
          <w:rFonts w:cstheme="minorHAnsi"/>
        </w:rPr>
        <w:t xml:space="preserve">. </w:t>
      </w:r>
      <w:r w:rsidRPr="004362A5">
        <w:rPr>
          <w:rFonts w:cstheme="minorHAnsi"/>
          <w:i/>
        </w:rPr>
        <w:t>The Journal of Chemical Physics</w:t>
      </w:r>
      <w:r w:rsidRPr="004362A5">
        <w:rPr>
          <w:rFonts w:cstheme="minorHAnsi"/>
        </w:rPr>
        <w:t xml:space="preserve"> </w:t>
      </w:r>
      <w:r w:rsidRPr="004362A5">
        <w:rPr>
          <w:rFonts w:cstheme="minorHAnsi"/>
          <w:b/>
        </w:rPr>
        <w:t>117</w:t>
      </w:r>
      <w:r w:rsidRPr="004362A5">
        <w:rPr>
          <w:rFonts w:cstheme="minorHAnsi"/>
        </w:rPr>
        <w:t xml:space="preserve"> (7), 3464-3475. </w:t>
      </w:r>
      <w:r w:rsidR="004362A5" w:rsidRPr="004362A5">
        <w:rPr>
          <w:rFonts w:cstheme="minorHAnsi"/>
        </w:rPr>
        <w:t>http://dx.doi.org/10.1063/1.1494419</w:t>
      </w:r>
    </w:p>
    <w:p w:rsidR="003C1D6C" w:rsidRPr="00864CF1" w:rsidRDefault="003C1D6C" w:rsidP="00AF6C61">
      <w:pPr>
        <w:ind w:left="720" w:hanging="720"/>
        <w:rPr>
          <w:rFonts w:cstheme="minorHAnsi"/>
        </w:rPr>
      </w:pPr>
      <w:r w:rsidRPr="00864CF1">
        <w:rPr>
          <w:rFonts w:cstheme="minorHAnsi"/>
        </w:rPr>
        <w:lastRenderedPageBreak/>
        <w:t xml:space="preserve">Hickey, J.J., and </w:t>
      </w:r>
      <w:proofErr w:type="spellStart"/>
      <w:r w:rsidRPr="00864CF1">
        <w:rPr>
          <w:rFonts w:cstheme="minorHAnsi"/>
        </w:rPr>
        <w:t>Henk</w:t>
      </w:r>
      <w:proofErr w:type="spellEnd"/>
      <w:r w:rsidRPr="00864CF1">
        <w:rPr>
          <w:rFonts w:cstheme="minorHAnsi"/>
        </w:rPr>
        <w:t xml:space="preserve">, B. </w:t>
      </w:r>
      <w:r w:rsidR="00864CF1" w:rsidRPr="00864CF1">
        <w:rPr>
          <w:rFonts w:cstheme="minorHAnsi"/>
        </w:rPr>
        <w:t xml:space="preserve">2007. </w:t>
      </w:r>
      <w:proofErr w:type="spellStart"/>
      <w:r w:rsidR="00864CF1" w:rsidRPr="00864CF1">
        <w:rPr>
          <w:rFonts w:cstheme="minorHAnsi"/>
        </w:rPr>
        <w:t>Lithofacies</w:t>
      </w:r>
      <w:proofErr w:type="spellEnd"/>
      <w:r w:rsidR="00864CF1" w:rsidRPr="00864CF1">
        <w:rPr>
          <w:rFonts w:cstheme="minorHAnsi"/>
        </w:rPr>
        <w:t xml:space="preserve"> Summery of the Mississippian Barnett Shale, Mitchell 2 T.P. Sims well, Wise County, Texas. </w:t>
      </w:r>
      <w:r w:rsidR="00864CF1" w:rsidRPr="00864CF1">
        <w:rPr>
          <w:rFonts w:cstheme="minorHAnsi"/>
          <w:i/>
        </w:rPr>
        <w:t>AAPG Bulletin</w:t>
      </w:r>
      <w:r w:rsidR="00864CF1" w:rsidRPr="00864CF1">
        <w:rPr>
          <w:rFonts w:cstheme="minorHAnsi"/>
        </w:rPr>
        <w:t xml:space="preserve"> </w:t>
      </w:r>
      <w:r w:rsidR="00864CF1" w:rsidRPr="00864CF1">
        <w:rPr>
          <w:rFonts w:cstheme="minorHAnsi"/>
          <w:b/>
        </w:rPr>
        <w:t>91</w:t>
      </w:r>
      <w:r w:rsidR="00864CF1" w:rsidRPr="00864CF1">
        <w:rPr>
          <w:rFonts w:cstheme="minorHAnsi"/>
        </w:rPr>
        <w:t xml:space="preserve"> (4), 437-443. </w:t>
      </w:r>
      <w:r w:rsidR="00864CF1" w:rsidRPr="00864CF1">
        <w:rPr>
          <w:rFonts w:cstheme="minorHAnsi"/>
          <w:bdr w:val="none" w:sz="0" w:space="0" w:color="auto" w:frame="1"/>
          <w:shd w:val="clear" w:color="auto" w:fill="FFFFFF"/>
        </w:rPr>
        <w:t>https://doi.org/10.1306/12040606053</w:t>
      </w:r>
    </w:p>
    <w:p w:rsidR="00DE06C3" w:rsidRPr="00DE06C3" w:rsidRDefault="00DE06C3" w:rsidP="00AF6C61">
      <w:pPr>
        <w:ind w:left="720" w:hanging="720"/>
        <w:rPr>
          <w:rFonts w:cstheme="minorHAnsi"/>
        </w:rPr>
      </w:pPr>
      <w:proofErr w:type="spellStart"/>
      <w:r w:rsidRPr="00DE06C3">
        <w:rPr>
          <w:rFonts w:cstheme="minorHAnsi"/>
        </w:rPr>
        <w:t>Holovko</w:t>
      </w:r>
      <w:proofErr w:type="spellEnd"/>
      <w:r w:rsidRPr="00DE06C3">
        <w:rPr>
          <w:rFonts w:cstheme="minorHAnsi"/>
        </w:rPr>
        <w:t xml:space="preserve">, M., and Dong, W. 2009. A Highly Accurate and Analytic Equation of State for a Hard Sphere Fluid in Random Porous Media. </w:t>
      </w:r>
      <w:r w:rsidRPr="00DE06C3">
        <w:rPr>
          <w:rFonts w:cstheme="minorHAnsi"/>
          <w:i/>
        </w:rPr>
        <w:t>J. Phys. Chem. B</w:t>
      </w:r>
      <w:r w:rsidRPr="00DE06C3">
        <w:rPr>
          <w:rFonts w:cstheme="minorHAnsi"/>
        </w:rPr>
        <w:t xml:space="preserve"> </w:t>
      </w:r>
      <w:r w:rsidRPr="00DE06C3">
        <w:rPr>
          <w:rFonts w:cstheme="minorHAnsi"/>
          <w:b/>
        </w:rPr>
        <w:t>113</w:t>
      </w:r>
      <w:r w:rsidRPr="00DE06C3">
        <w:rPr>
          <w:rFonts w:cstheme="minorHAnsi"/>
        </w:rPr>
        <w:t xml:space="preserve"> (18), 6360-6365. </w:t>
      </w:r>
      <w:r w:rsidRPr="00DE06C3">
        <w:rPr>
          <w:rFonts w:cstheme="minorHAnsi"/>
          <w:bdr w:val="none" w:sz="0" w:space="0" w:color="auto" w:frame="1"/>
          <w:shd w:val="clear" w:color="auto" w:fill="FFFFFF"/>
        </w:rPr>
        <w:t>https://doi.org/</w:t>
      </w:r>
      <w:r w:rsidRPr="00DE06C3">
        <w:rPr>
          <w:rFonts w:cstheme="minorHAnsi"/>
          <w:color w:val="000000"/>
          <w:shd w:val="clear" w:color="auto" w:fill="FFFFFF"/>
        </w:rPr>
        <w:t>10.1021/jp809706n</w:t>
      </w:r>
    </w:p>
    <w:p w:rsidR="001628FA" w:rsidRDefault="001628FA" w:rsidP="00AF6C61">
      <w:pPr>
        <w:ind w:left="720" w:hanging="720"/>
        <w:rPr>
          <w:rFonts w:cstheme="minorHAnsi"/>
        </w:rPr>
      </w:pPr>
      <w:r>
        <w:rPr>
          <w:rFonts w:cstheme="minorHAnsi"/>
        </w:rPr>
        <w:t xml:space="preserve">Jiang, C., Bryant, S. and Daigle, H. 2015. A Bundle of Short Conduits Model of the Pore Structure of Gas Shale. Presented at the Unconventional Resources Technology Conference. San Antonio, Texas, 20-22 July URTEC-2169349-MS. </w:t>
      </w:r>
      <w:r w:rsidRPr="00864CF1">
        <w:rPr>
          <w:rFonts w:cstheme="minorHAnsi"/>
          <w:bdr w:val="none" w:sz="0" w:space="0" w:color="auto" w:frame="1"/>
          <w:shd w:val="clear" w:color="auto" w:fill="FFFFFF"/>
        </w:rPr>
        <w:t>https://doi.org/</w:t>
      </w:r>
      <w:r>
        <w:rPr>
          <w:rFonts w:cstheme="minorHAnsi"/>
          <w:bdr w:val="none" w:sz="0" w:space="0" w:color="auto" w:frame="1"/>
          <w:shd w:val="clear" w:color="auto" w:fill="FFFFFF"/>
        </w:rPr>
        <w:t>10.15530/URTEC-2015-2169349</w:t>
      </w:r>
    </w:p>
    <w:p w:rsidR="002E6D64" w:rsidRPr="002E6D64" w:rsidRDefault="002E6D64" w:rsidP="00AF6C61">
      <w:pPr>
        <w:ind w:left="720" w:hanging="720"/>
        <w:rPr>
          <w:rFonts w:cstheme="minorHAnsi"/>
        </w:rPr>
      </w:pPr>
      <w:proofErr w:type="spellStart"/>
      <w:r w:rsidRPr="002E6D64">
        <w:rPr>
          <w:rFonts w:cstheme="minorHAnsi"/>
        </w:rPr>
        <w:t>Kuila</w:t>
      </w:r>
      <w:proofErr w:type="spellEnd"/>
      <w:r w:rsidRPr="002E6D64">
        <w:rPr>
          <w:rFonts w:cstheme="minorHAnsi"/>
        </w:rPr>
        <w:t xml:space="preserve">, U. and Prasad, M. 2013. Specific Surface Area and Pore-size Distribution in Clays and Shales. </w:t>
      </w:r>
      <w:r w:rsidRPr="002E6D64">
        <w:rPr>
          <w:rFonts w:cstheme="minorHAnsi"/>
          <w:i/>
        </w:rPr>
        <w:t>Geophysical Prospecting</w:t>
      </w:r>
      <w:r w:rsidRPr="002E6D64">
        <w:rPr>
          <w:rFonts w:cstheme="minorHAnsi"/>
        </w:rPr>
        <w:t xml:space="preserve"> </w:t>
      </w:r>
      <w:r w:rsidRPr="002E6D64">
        <w:rPr>
          <w:rFonts w:cstheme="minorHAnsi"/>
          <w:b/>
        </w:rPr>
        <w:t>61</w:t>
      </w:r>
      <w:r w:rsidRPr="002E6D64">
        <w:rPr>
          <w:rFonts w:cstheme="minorHAnsi"/>
        </w:rPr>
        <w:t xml:space="preserve"> (1), </w:t>
      </w:r>
      <w:r w:rsidRPr="002E6D64">
        <w:rPr>
          <w:rFonts w:cstheme="minorHAnsi"/>
          <w:color w:val="333333"/>
          <w:shd w:val="clear" w:color="auto" w:fill="FFFFFF"/>
        </w:rPr>
        <w:t xml:space="preserve">341–362. </w:t>
      </w:r>
      <w:r w:rsidRPr="002E6D64">
        <w:rPr>
          <w:rFonts w:cstheme="minorHAnsi"/>
          <w:bdr w:val="none" w:sz="0" w:space="0" w:color="auto" w:frame="1"/>
          <w:shd w:val="clear" w:color="auto" w:fill="FFFFFF"/>
        </w:rPr>
        <w:t>https://doi.org/</w:t>
      </w:r>
      <w:r w:rsidRPr="002E6D64">
        <w:rPr>
          <w:rFonts w:cstheme="minorHAnsi"/>
          <w:color w:val="333333"/>
          <w:shd w:val="clear" w:color="auto" w:fill="FFFFFF"/>
        </w:rPr>
        <w:t>10.1111/1365-2478.12028</w:t>
      </w:r>
    </w:p>
    <w:p w:rsidR="000A672B" w:rsidRPr="000A672B" w:rsidRDefault="000A672B" w:rsidP="00AF6C61">
      <w:pPr>
        <w:ind w:left="720" w:hanging="720"/>
        <w:rPr>
          <w:rFonts w:cstheme="minorHAnsi"/>
        </w:rPr>
      </w:pPr>
      <w:r w:rsidRPr="000A672B">
        <w:rPr>
          <w:rFonts w:cstheme="minorHAnsi"/>
        </w:rPr>
        <w:t xml:space="preserve">Ma, Y. and </w:t>
      </w:r>
      <w:proofErr w:type="spellStart"/>
      <w:r w:rsidRPr="000A672B">
        <w:rPr>
          <w:rFonts w:cstheme="minorHAnsi"/>
        </w:rPr>
        <w:t>Jamili</w:t>
      </w:r>
      <w:proofErr w:type="spellEnd"/>
      <w:r w:rsidRPr="000A672B">
        <w:rPr>
          <w:rFonts w:cstheme="minorHAnsi"/>
        </w:rPr>
        <w:t xml:space="preserve">, A. 2016. Modeling the density profiles and adsorption of pure and mixture hydrocarbons in shales. </w:t>
      </w:r>
      <w:r w:rsidRPr="000A672B">
        <w:rPr>
          <w:rFonts w:cstheme="minorHAnsi"/>
          <w:i/>
        </w:rPr>
        <w:t>Journal of Unconventional Oil and Gas Resources</w:t>
      </w:r>
      <w:r w:rsidRPr="000A672B">
        <w:rPr>
          <w:rFonts w:cstheme="minorHAnsi"/>
        </w:rPr>
        <w:t xml:space="preserve"> </w:t>
      </w:r>
      <w:r w:rsidRPr="000A672B">
        <w:rPr>
          <w:rFonts w:cstheme="minorHAnsi"/>
          <w:b/>
        </w:rPr>
        <w:t>14</w:t>
      </w:r>
      <w:r w:rsidRPr="000A672B">
        <w:rPr>
          <w:rFonts w:cstheme="minorHAnsi"/>
        </w:rPr>
        <w:t xml:space="preserve">, (June) 128-138. </w:t>
      </w:r>
      <w:r w:rsidRPr="000A672B">
        <w:rPr>
          <w:rFonts w:cstheme="minorHAnsi"/>
          <w:bdr w:val="none" w:sz="0" w:space="0" w:color="auto" w:frame="1"/>
          <w:shd w:val="clear" w:color="auto" w:fill="FFFFFF"/>
        </w:rPr>
        <w:t>https://doi.org/10.1016/j.juogr.2016.03.003</w:t>
      </w:r>
    </w:p>
    <w:p w:rsidR="001E7BC6" w:rsidRPr="001E7BC6" w:rsidRDefault="001E7BC6" w:rsidP="00AF6C61">
      <w:pPr>
        <w:ind w:left="720" w:hanging="720"/>
        <w:rPr>
          <w:rFonts w:cstheme="minorHAnsi"/>
        </w:rPr>
      </w:pPr>
      <w:r w:rsidRPr="001E7BC6">
        <w:rPr>
          <w:rFonts w:cstheme="minorHAnsi"/>
        </w:rPr>
        <w:t xml:space="preserve">Mohammad, S.A., Chen, J.S., Robinson Jr., R.L. et al. 2009. Generalized Simplified Local-Density/Peng-Robinson Model for Adsorption of Pure and Mixed Gases on Coals. </w:t>
      </w:r>
      <w:r w:rsidRPr="001E7BC6">
        <w:rPr>
          <w:rFonts w:cstheme="minorHAnsi"/>
          <w:i/>
        </w:rPr>
        <w:t>Energy Fuels</w:t>
      </w:r>
      <w:r w:rsidRPr="001E7BC6">
        <w:rPr>
          <w:rFonts w:cstheme="minorHAnsi"/>
        </w:rPr>
        <w:t xml:space="preserve"> </w:t>
      </w:r>
      <w:r w:rsidRPr="001E7BC6">
        <w:rPr>
          <w:rFonts w:cstheme="minorHAnsi"/>
          <w:b/>
        </w:rPr>
        <w:t>23</w:t>
      </w:r>
      <w:r w:rsidRPr="001E7BC6">
        <w:rPr>
          <w:rFonts w:cstheme="minorHAnsi"/>
        </w:rPr>
        <w:t xml:space="preserve"> (12), 6259-6271. </w:t>
      </w:r>
      <w:r w:rsidRPr="001E7BC6">
        <w:rPr>
          <w:rFonts w:cstheme="minorHAnsi"/>
          <w:bdr w:val="none" w:sz="0" w:space="0" w:color="auto" w:frame="1"/>
          <w:shd w:val="clear" w:color="auto" w:fill="FFFFFF"/>
        </w:rPr>
        <w:t>https://doi.org/</w:t>
      </w:r>
      <w:r w:rsidRPr="001E7BC6">
        <w:rPr>
          <w:rFonts w:cstheme="minorHAnsi"/>
          <w:color w:val="000000"/>
          <w:shd w:val="clear" w:color="auto" w:fill="FFFFFF"/>
        </w:rPr>
        <w:t>10.1021/ef900642j</w:t>
      </w:r>
    </w:p>
    <w:p w:rsidR="00AA253B" w:rsidRPr="0074382A" w:rsidRDefault="00AA253B" w:rsidP="00AF6C61">
      <w:pPr>
        <w:ind w:left="720" w:hanging="720"/>
        <w:rPr>
          <w:rFonts w:cstheme="minorHAnsi"/>
          <w:color w:val="000000"/>
        </w:rPr>
      </w:pPr>
      <w:r w:rsidRPr="0074382A">
        <w:rPr>
          <w:rFonts w:cstheme="minorHAnsi"/>
        </w:rPr>
        <w:t xml:space="preserve">Montgomery, S.L., </w:t>
      </w:r>
      <w:proofErr w:type="spellStart"/>
      <w:r w:rsidRPr="0074382A">
        <w:rPr>
          <w:rFonts w:cstheme="minorHAnsi"/>
        </w:rPr>
        <w:t>Jarvie</w:t>
      </w:r>
      <w:proofErr w:type="spellEnd"/>
      <w:r w:rsidRPr="0074382A">
        <w:rPr>
          <w:rFonts w:cstheme="minorHAnsi"/>
        </w:rPr>
        <w:t>, D.M., Bower, K.A.</w:t>
      </w:r>
      <w:r w:rsidR="0074382A">
        <w:rPr>
          <w:rFonts w:cstheme="minorHAnsi"/>
        </w:rPr>
        <w:t xml:space="preserve"> et al.</w:t>
      </w:r>
      <w:r w:rsidRPr="0074382A">
        <w:rPr>
          <w:rFonts w:cstheme="minorHAnsi"/>
        </w:rPr>
        <w:t xml:space="preserve"> 2005</w:t>
      </w:r>
      <w:r w:rsidR="0074382A">
        <w:rPr>
          <w:rFonts w:cstheme="minorHAnsi"/>
        </w:rPr>
        <w:t>.</w:t>
      </w:r>
      <w:r w:rsidRPr="0074382A">
        <w:rPr>
          <w:rFonts w:cstheme="minorHAnsi"/>
        </w:rPr>
        <w:t xml:space="preserve"> Mississippian Barnett Shale, Fort Worth basin, north-central Texas: Gas-shale play with multi-trillion cubic foot potential. </w:t>
      </w:r>
      <w:r w:rsidRPr="0074382A">
        <w:rPr>
          <w:rFonts w:cstheme="minorHAnsi"/>
          <w:i/>
          <w:color w:val="000000"/>
        </w:rPr>
        <w:t>AAPG Bulletin</w:t>
      </w:r>
      <w:r w:rsidRPr="0074382A">
        <w:rPr>
          <w:rStyle w:val="apple-converted-space"/>
          <w:rFonts w:cstheme="minorHAnsi"/>
          <w:color w:val="000000"/>
        </w:rPr>
        <w:t> </w:t>
      </w:r>
      <w:r w:rsidRPr="0074382A">
        <w:rPr>
          <w:rFonts w:cstheme="minorHAnsi"/>
          <w:b/>
          <w:color w:val="000000"/>
        </w:rPr>
        <w:t>89</w:t>
      </w:r>
      <w:r w:rsidR="0074382A">
        <w:rPr>
          <w:rFonts w:cstheme="minorHAnsi"/>
          <w:b/>
          <w:color w:val="000000"/>
        </w:rPr>
        <w:t xml:space="preserve"> (</w:t>
      </w:r>
      <w:r w:rsidRPr="0074382A">
        <w:rPr>
          <w:rFonts w:cstheme="minorHAnsi"/>
          <w:color w:val="000000"/>
        </w:rPr>
        <w:t>2</w:t>
      </w:r>
      <w:r w:rsidR="0074382A">
        <w:rPr>
          <w:rFonts w:cstheme="minorHAnsi"/>
          <w:color w:val="000000"/>
        </w:rPr>
        <w:t>),</w:t>
      </w:r>
      <w:r w:rsidRPr="0074382A">
        <w:rPr>
          <w:rStyle w:val="apple-converted-space"/>
          <w:rFonts w:cstheme="minorHAnsi"/>
          <w:color w:val="000000"/>
        </w:rPr>
        <w:t> </w:t>
      </w:r>
      <w:r w:rsidRPr="0074382A">
        <w:rPr>
          <w:rFonts w:cstheme="minorHAnsi"/>
          <w:color w:val="000000"/>
        </w:rPr>
        <w:t>155-175.</w:t>
      </w:r>
      <w:r w:rsidR="0074382A">
        <w:rPr>
          <w:rFonts w:cstheme="minorHAnsi"/>
          <w:color w:val="000000"/>
        </w:rPr>
        <w:t xml:space="preserve"> </w:t>
      </w:r>
      <w:r w:rsidR="0074382A">
        <w:rPr>
          <w:rFonts w:cstheme="minorHAnsi"/>
          <w:shd w:val="clear" w:color="auto" w:fill="FFFFFF"/>
        </w:rPr>
        <w:t>http://dx.doi.org/</w:t>
      </w:r>
      <w:r w:rsidRPr="0074382A">
        <w:rPr>
          <w:rFonts w:cstheme="minorHAnsi"/>
          <w:color w:val="000000"/>
        </w:rPr>
        <w:t>10.1306/09170404042</w:t>
      </w:r>
    </w:p>
    <w:p w:rsidR="004C209D" w:rsidRPr="00555498" w:rsidRDefault="004C209D" w:rsidP="00AF6C61">
      <w:pPr>
        <w:ind w:left="720" w:hanging="720"/>
        <w:rPr>
          <w:rFonts w:cstheme="minorHAnsi"/>
          <w:color w:val="333333"/>
          <w:shd w:val="clear" w:color="auto" w:fill="FFFFFF"/>
        </w:rPr>
      </w:pPr>
      <w:r w:rsidRPr="00555498">
        <w:rPr>
          <w:rFonts w:cstheme="minorHAnsi"/>
          <w:color w:val="333333"/>
          <w:shd w:val="clear" w:color="auto" w:fill="FFFFFF"/>
        </w:rPr>
        <w:lastRenderedPageBreak/>
        <w:t xml:space="preserve">Mosher, K., He, J., Liu, Y. et al. 2013. Molecular simulation of methane adsorption in micro- and mesoporous carbons with applications to coal and gas shale systems. </w:t>
      </w:r>
      <w:r w:rsidR="00555498" w:rsidRPr="00555498">
        <w:rPr>
          <w:rFonts w:cstheme="minorHAnsi"/>
          <w:i/>
          <w:color w:val="333333"/>
          <w:shd w:val="clear" w:color="auto" w:fill="FFFFFF"/>
        </w:rPr>
        <w:t>International Journal of Coal Geology</w:t>
      </w:r>
      <w:r w:rsidR="00555498" w:rsidRPr="00555498">
        <w:rPr>
          <w:rFonts w:cstheme="minorHAnsi"/>
          <w:color w:val="333333"/>
          <w:shd w:val="clear" w:color="auto" w:fill="FFFFFF"/>
        </w:rPr>
        <w:t xml:space="preserve"> </w:t>
      </w:r>
      <w:r w:rsidR="00555498" w:rsidRPr="00555498">
        <w:rPr>
          <w:rFonts w:cstheme="minorHAnsi"/>
          <w:b/>
          <w:color w:val="333333"/>
          <w:shd w:val="clear" w:color="auto" w:fill="FFFFFF"/>
        </w:rPr>
        <w:t>109-110</w:t>
      </w:r>
      <w:r w:rsidR="00555498" w:rsidRPr="00555498">
        <w:rPr>
          <w:rFonts w:cstheme="minorHAnsi"/>
          <w:color w:val="333333"/>
          <w:shd w:val="clear" w:color="auto" w:fill="FFFFFF"/>
        </w:rPr>
        <w:t xml:space="preserve">, 36-44. </w:t>
      </w:r>
      <w:r w:rsidR="00555498" w:rsidRPr="00555498">
        <w:rPr>
          <w:rFonts w:cstheme="minorHAnsi"/>
          <w:bdr w:val="none" w:sz="0" w:space="0" w:color="auto" w:frame="1"/>
          <w:shd w:val="clear" w:color="auto" w:fill="FFFFFF"/>
        </w:rPr>
        <w:t>https://doi.org/10.1016/j.coal.2013.01.001</w:t>
      </w:r>
    </w:p>
    <w:p w:rsidR="00E92B1B" w:rsidRPr="00E92B1B" w:rsidRDefault="00E92B1B" w:rsidP="00AF6C61">
      <w:pPr>
        <w:ind w:left="720" w:hanging="720"/>
        <w:rPr>
          <w:rFonts w:cstheme="minorHAnsi"/>
          <w:lang w:bidi="ar-SA"/>
        </w:rPr>
      </w:pPr>
      <w:r w:rsidRPr="00E92B1B">
        <w:rPr>
          <w:rFonts w:cstheme="minorHAnsi"/>
          <w:color w:val="333333"/>
          <w:shd w:val="clear" w:color="auto" w:fill="FFFFFF"/>
        </w:rPr>
        <w:t xml:space="preserve">Purcell, W. R. 1949. Capillary Pressures - Their Measurement Using Mercury and the Calculation of Permeability Therefrom. </w:t>
      </w:r>
      <w:r w:rsidR="000C57B2" w:rsidRPr="000C57B2">
        <w:rPr>
          <w:rFonts w:cstheme="minorHAnsi"/>
          <w:i/>
          <w:color w:val="333333"/>
          <w:shd w:val="clear" w:color="auto" w:fill="FFFFFF"/>
        </w:rPr>
        <w:t xml:space="preserve">J Pet </w:t>
      </w:r>
      <w:proofErr w:type="spellStart"/>
      <w:r w:rsidR="000C57B2" w:rsidRPr="000C57B2">
        <w:rPr>
          <w:rFonts w:cstheme="minorHAnsi"/>
          <w:i/>
          <w:color w:val="333333"/>
          <w:shd w:val="clear" w:color="auto" w:fill="FFFFFF"/>
        </w:rPr>
        <w:t>Technol</w:t>
      </w:r>
      <w:proofErr w:type="spellEnd"/>
      <w:r w:rsidRPr="00E92B1B">
        <w:rPr>
          <w:rFonts w:cstheme="minorHAnsi"/>
          <w:color w:val="333333"/>
          <w:shd w:val="clear" w:color="auto" w:fill="FFFFFF"/>
        </w:rPr>
        <w:t xml:space="preserve"> </w:t>
      </w:r>
      <w:r w:rsidR="000C57B2" w:rsidRPr="000C57B2">
        <w:rPr>
          <w:rFonts w:cstheme="minorHAnsi"/>
          <w:b/>
          <w:color w:val="333333"/>
          <w:shd w:val="clear" w:color="auto" w:fill="FFFFFF"/>
        </w:rPr>
        <w:t>1</w:t>
      </w:r>
      <w:r w:rsidR="000C57B2">
        <w:rPr>
          <w:rFonts w:cstheme="minorHAnsi"/>
          <w:color w:val="333333"/>
          <w:shd w:val="clear" w:color="auto" w:fill="FFFFFF"/>
        </w:rPr>
        <w:t xml:space="preserve"> (2), 39-48.  </w:t>
      </w:r>
      <w:r w:rsidR="000C57B2">
        <w:rPr>
          <w:rFonts w:cstheme="minorHAnsi"/>
          <w:shd w:val="clear" w:color="auto" w:fill="FFFFFF"/>
        </w:rPr>
        <w:t>http://dx.doi.org/</w:t>
      </w:r>
      <w:r w:rsidRPr="00E92B1B">
        <w:rPr>
          <w:rFonts w:cstheme="minorHAnsi"/>
          <w:color w:val="333333"/>
          <w:shd w:val="clear" w:color="auto" w:fill="FFFFFF"/>
        </w:rPr>
        <w:t>10.2118/949039-G</w:t>
      </w:r>
    </w:p>
    <w:p w:rsidR="002326F4" w:rsidRPr="002326F4" w:rsidRDefault="002326F4" w:rsidP="00AF6C61">
      <w:pPr>
        <w:ind w:left="720" w:hanging="720"/>
        <w:rPr>
          <w:rFonts w:cstheme="minorHAnsi"/>
          <w:lang w:bidi="ar-SA"/>
        </w:rPr>
      </w:pPr>
      <w:proofErr w:type="spellStart"/>
      <w:r w:rsidRPr="002326F4">
        <w:rPr>
          <w:rFonts w:cstheme="minorHAnsi"/>
          <w:color w:val="333333"/>
          <w:shd w:val="clear" w:color="auto" w:fill="FFFFFF"/>
        </w:rPr>
        <w:t>Rangarajan</w:t>
      </w:r>
      <w:proofErr w:type="spellEnd"/>
      <w:r w:rsidRPr="002326F4">
        <w:rPr>
          <w:rFonts w:cstheme="minorHAnsi"/>
          <w:color w:val="333333"/>
          <w:shd w:val="clear" w:color="auto" w:fill="FFFFFF"/>
        </w:rPr>
        <w:t>, B., Lira, C. T. and Subramanian, R. 1995</w:t>
      </w:r>
      <w:r>
        <w:rPr>
          <w:rFonts w:cstheme="minorHAnsi"/>
          <w:color w:val="333333"/>
          <w:shd w:val="clear" w:color="auto" w:fill="FFFFFF"/>
        </w:rPr>
        <w:t>.</w:t>
      </w:r>
      <w:r w:rsidRPr="002326F4">
        <w:rPr>
          <w:rFonts w:cstheme="minorHAnsi"/>
          <w:color w:val="333333"/>
          <w:shd w:val="clear" w:color="auto" w:fill="FFFFFF"/>
        </w:rPr>
        <w:t xml:space="preserve"> Simplified local density model for adsorption over large pressure ranges. </w:t>
      </w:r>
      <w:proofErr w:type="spellStart"/>
      <w:r w:rsidRPr="002326F4">
        <w:rPr>
          <w:rFonts w:cstheme="minorHAnsi"/>
          <w:i/>
          <w:color w:val="333333"/>
          <w:shd w:val="clear" w:color="auto" w:fill="FFFFFF"/>
        </w:rPr>
        <w:t>AIChE</w:t>
      </w:r>
      <w:proofErr w:type="spellEnd"/>
      <w:r w:rsidRPr="002326F4">
        <w:rPr>
          <w:rFonts w:cstheme="minorHAnsi"/>
          <w:i/>
          <w:color w:val="333333"/>
          <w:shd w:val="clear" w:color="auto" w:fill="FFFFFF"/>
        </w:rPr>
        <w:t xml:space="preserve"> J</w:t>
      </w:r>
      <w:r w:rsidRPr="002326F4">
        <w:rPr>
          <w:rFonts w:cstheme="minorHAnsi"/>
          <w:color w:val="333333"/>
          <w:shd w:val="clear" w:color="auto" w:fill="FFFFFF"/>
        </w:rPr>
        <w:t xml:space="preserve">, </w:t>
      </w:r>
      <w:r w:rsidRPr="002326F4">
        <w:rPr>
          <w:rFonts w:cstheme="minorHAnsi"/>
          <w:b/>
          <w:color w:val="333333"/>
          <w:shd w:val="clear" w:color="auto" w:fill="FFFFFF"/>
        </w:rPr>
        <w:t>41</w:t>
      </w:r>
      <w:r>
        <w:rPr>
          <w:rFonts w:cstheme="minorHAnsi"/>
          <w:color w:val="333333"/>
          <w:shd w:val="clear" w:color="auto" w:fill="FFFFFF"/>
        </w:rPr>
        <w:t xml:space="preserve"> (4), 838–845. </w:t>
      </w:r>
      <w:r>
        <w:rPr>
          <w:rFonts w:cstheme="minorHAnsi"/>
          <w:shd w:val="clear" w:color="auto" w:fill="FFFFFF"/>
        </w:rPr>
        <w:t>http://dx.doi.org/</w:t>
      </w:r>
      <w:r w:rsidRPr="002326F4">
        <w:rPr>
          <w:rFonts w:cstheme="minorHAnsi"/>
          <w:color w:val="333333"/>
          <w:shd w:val="clear" w:color="auto" w:fill="FFFFFF"/>
        </w:rPr>
        <w:t>10.1002/aic.690410411</w:t>
      </w:r>
    </w:p>
    <w:p w:rsidR="001D2992" w:rsidRDefault="001D2992" w:rsidP="00AF6C61">
      <w:pPr>
        <w:ind w:left="720" w:hanging="720"/>
        <w:rPr>
          <w:rFonts w:cstheme="minorHAnsi"/>
          <w:bdr w:val="none" w:sz="0" w:space="0" w:color="auto" w:frame="1"/>
          <w:shd w:val="clear" w:color="auto" w:fill="FFFFFF"/>
        </w:rPr>
      </w:pPr>
      <w:proofErr w:type="spellStart"/>
      <w:r w:rsidRPr="001D2992">
        <w:rPr>
          <w:rFonts w:cstheme="minorHAnsi"/>
          <w:lang w:bidi="ar-SA"/>
        </w:rPr>
        <w:t>Sakhaee</w:t>
      </w:r>
      <w:proofErr w:type="spellEnd"/>
      <w:r w:rsidRPr="001D2992">
        <w:rPr>
          <w:rFonts w:cstheme="minorHAnsi"/>
          <w:lang w:bidi="ar-SA"/>
        </w:rPr>
        <w:t xml:space="preserve">-Pour, A. and Bryant, S.L. 2015. Pore Structure of Shale. </w:t>
      </w:r>
      <w:r w:rsidRPr="00AF6C61">
        <w:rPr>
          <w:rFonts w:cstheme="minorHAnsi"/>
          <w:i/>
          <w:lang w:bidi="ar-SA"/>
        </w:rPr>
        <w:t>Fuel</w:t>
      </w:r>
      <w:r w:rsidRPr="001D2992">
        <w:rPr>
          <w:rFonts w:cstheme="minorHAnsi"/>
          <w:lang w:bidi="ar-SA"/>
        </w:rPr>
        <w:t xml:space="preserve"> </w:t>
      </w:r>
      <w:r w:rsidRPr="00AF6C61">
        <w:rPr>
          <w:rFonts w:cstheme="minorHAnsi"/>
          <w:b/>
          <w:lang w:bidi="ar-SA"/>
        </w:rPr>
        <w:t>143</w:t>
      </w:r>
      <w:r w:rsidRPr="001D2992">
        <w:rPr>
          <w:rFonts w:cstheme="minorHAnsi"/>
          <w:lang w:bidi="ar-SA"/>
        </w:rPr>
        <w:t xml:space="preserve">, 467-475. </w:t>
      </w:r>
      <w:r w:rsidR="00AF6C61" w:rsidRPr="00AF6C61">
        <w:rPr>
          <w:rFonts w:cstheme="minorHAnsi"/>
          <w:bdr w:val="none" w:sz="0" w:space="0" w:color="auto" w:frame="1"/>
          <w:shd w:val="clear" w:color="auto" w:fill="FFFFFF"/>
        </w:rPr>
        <w:t>https://doi.org/10.1016/j.fuel.2014.11.053</w:t>
      </w:r>
    </w:p>
    <w:p w:rsidR="00AC4208" w:rsidRDefault="00AC4208" w:rsidP="00AF6C61">
      <w:pPr>
        <w:ind w:left="720" w:hanging="720"/>
        <w:rPr>
          <w:rFonts w:cstheme="minorHAnsi"/>
          <w:color w:val="000000"/>
          <w:lang w:eastAsia="zh-CN" w:bidi="ar-SA"/>
        </w:rPr>
      </w:pPr>
      <w:r w:rsidRPr="004F0A61">
        <w:rPr>
          <w:rFonts w:cstheme="minorHAnsi"/>
          <w:lang w:eastAsia="zh-CN" w:bidi="ar-SA"/>
        </w:rPr>
        <w:t>Schoen</w:t>
      </w:r>
      <w:r>
        <w:rPr>
          <w:rFonts w:cstheme="minorHAnsi"/>
          <w:lang w:eastAsia="zh-CN" w:bidi="ar-SA"/>
        </w:rPr>
        <w:t xml:space="preserve">, M., and Diestler, D. 1998. Analytical Treatment of a Simple Fluid in a Slit-pore. </w:t>
      </w:r>
      <w:r w:rsidRPr="001327AA">
        <w:rPr>
          <w:rFonts w:cstheme="minorHAnsi"/>
          <w:i/>
          <w:lang w:eastAsia="zh-CN" w:bidi="ar-SA"/>
        </w:rPr>
        <w:t>The Journal of Chemical Physics</w:t>
      </w:r>
      <w:r>
        <w:rPr>
          <w:rFonts w:cstheme="minorHAnsi"/>
          <w:lang w:eastAsia="zh-CN" w:bidi="ar-SA"/>
        </w:rPr>
        <w:t xml:space="preserve">. </w:t>
      </w:r>
      <w:r w:rsidRPr="00AC4208">
        <w:rPr>
          <w:rFonts w:cstheme="minorHAnsi"/>
          <w:b/>
          <w:lang w:eastAsia="zh-CN" w:bidi="ar-SA"/>
        </w:rPr>
        <w:t>109</w:t>
      </w:r>
      <w:r>
        <w:rPr>
          <w:rFonts w:cstheme="minorHAnsi"/>
          <w:lang w:eastAsia="zh-CN" w:bidi="ar-SA"/>
        </w:rPr>
        <w:t xml:space="preserve"> (13), 5596-5606.  </w:t>
      </w:r>
      <w:r w:rsidRPr="00AC4208">
        <w:rPr>
          <w:rFonts w:cstheme="minorHAnsi"/>
          <w:color w:val="000000"/>
          <w:lang w:eastAsia="zh-CN" w:bidi="ar-SA"/>
        </w:rPr>
        <w:t>http://aip.scitation.org/doi/abs/10.1063/1.477177</w:t>
      </w:r>
    </w:p>
    <w:p w:rsidR="00464EE2" w:rsidRDefault="00464EE2" w:rsidP="00AF6C61">
      <w:pPr>
        <w:ind w:left="720" w:hanging="720"/>
        <w:rPr>
          <w:rFonts w:cstheme="minorHAnsi"/>
          <w:shd w:val="clear" w:color="auto" w:fill="FFFFFF"/>
        </w:rPr>
      </w:pPr>
      <w:proofErr w:type="spellStart"/>
      <w:r w:rsidRPr="004F0A61">
        <w:rPr>
          <w:rFonts w:cstheme="minorHAnsi"/>
          <w:shd w:val="clear" w:color="auto" w:fill="FFFFFF"/>
        </w:rPr>
        <w:t>Shahamat</w:t>
      </w:r>
      <w:proofErr w:type="spellEnd"/>
      <w:r w:rsidRPr="004F0A61">
        <w:rPr>
          <w:rFonts w:cstheme="minorHAnsi"/>
          <w:shd w:val="clear" w:color="auto" w:fill="FFFFFF"/>
        </w:rPr>
        <w:t xml:space="preserve">, M. S., </w:t>
      </w:r>
      <w:r>
        <w:rPr>
          <w:rFonts w:cstheme="minorHAnsi"/>
          <w:shd w:val="clear" w:color="auto" w:fill="FFFFFF"/>
        </w:rPr>
        <w:t>and</w:t>
      </w:r>
      <w:r w:rsidRPr="004F0A61">
        <w:rPr>
          <w:rFonts w:cstheme="minorHAnsi"/>
          <w:shd w:val="clear" w:color="auto" w:fill="FFFFFF"/>
        </w:rPr>
        <w:t xml:space="preserve"> Clarkson, C. R.</w:t>
      </w:r>
      <w:r>
        <w:rPr>
          <w:rFonts w:cstheme="minorHAnsi"/>
          <w:shd w:val="clear" w:color="auto" w:fill="FFFFFF"/>
        </w:rPr>
        <w:t xml:space="preserve"> 2017. </w:t>
      </w:r>
      <w:r w:rsidRPr="004F0A61">
        <w:rPr>
          <w:rFonts w:cstheme="minorHAnsi"/>
          <w:shd w:val="clear" w:color="auto" w:fill="FFFFFF"/>
        </w:rPr>
        <w:t>Multi-Well, Multi-Phase Flowing Material Balance</w:t>
      </w:r>
      <w:r>
        <w:rPr>
          <w:rFonts w:cstheme="minorHAnsi"/>
          <w:shd w:val="clear" w:color="auto" w:fill="FFFFFF"/>
        </w:rPr>
        <w:t>. Presented at the SPE Unconventional Resources Conference, Calgary, Alberta, 15-16 February. SPE-185052-MS.</w:t>
      </w:r>
      <w:r w:rsidRPr="004F0A61">
        <w:rPr>
          <w:rFonts w:cstheme="minorHAnsi"/>
          <w:shd w:val="clear" w:color="auto" w:fill="FFFFFF"/>
        </w:rPr>
        <w:t xml:space="preserve"> </w:t>
      </w:r>
      <w:r w:rsidRPr="00AC4208">
        <w:rPr>
          <w:rFonts w:cstheme="minorHAnsi"/>
          <w:shd w:val="clear" w:color="auto" w:fill="FFFFFF"/>
        </w:rPr>
        <w:t>http://dx.doi.org/10.2118/185052-MS</w:t>
      </w:r>
    </w:p>
    <w:p w:rsidR="00B423E8" w:rsidRDefault="00B423E8" w:rsidP="00AF6C61">
      <w:pPr>
        <w:ind w:left="720" w:hanging="720"/>
        <w:rPr>
          <w:rFonts w:cstheme="minorHAnsi"/>
        </w:rPr>
      </w:pPr>
      <w:proofErr w:type="spellStart"/>
      <w:r>
        <w:rPr>
          <w:rFonts w:cstheme="minorHAnsi"/>
        </w:rPr>
        <w:t>Tinni</w:t>
      </w:r>
      <w:proofErr w:type="spellEnd"/>
      <w:r>
        <w:rPr>
          <w:rFonts w:cstheme="minorHAnsi"/>
        </w:rPr>
        <w:t xml:space="preserve">, A., </w:t>
      </w:r>
      <w:proofErr w:type="spellStart"/>
      <w:r>
        <w:rPr>
          <w:rFonts w:cstheme="minorHAnsi"/>
        </w:rPr>
        <w:t>Odusina</w:t>
      </w:r>
      <w:proofErr w:type="spellEnd"/>
      <w:r>
        <w:rPr>
          <w:rFonts w:cstheme="minorHAnsi"/>
        </w:rPr>
        <w:t xml:space="preserve">, E. </w:t>
      </w:r>
      <w:proofErr w:type="spellStart"/>
      <w:r>
        <w:rPr>
          <w:rFonts w:cstheme="minorHAnsi"/>
        </w:rPr>
        <w:t>Sulucamain</w:t>
      </w:r>
      <w:proofErr w:type="spellEnd"/>
      <w:r>
        <w:rPr>
          <w:rFonts w:cstheme="minorHAnsi"/>
        </w:rPr>
        <w:t>, I. et al. 2014. NMR Response of Brine, Oil, and Methane in Organic Rich Shales.</w:t>
      </w:r>
      <w:r w:rsidR="00D12075">
        <w:rPr>
          <w:rFonts w:cstheme="minorHAnsi"/>
        </w:rPr>
        <w:t xml:space="preserve"> Presented at the SPE Unconventional Resources Conference, The Woodlands, Texas, 1-3 April. SPE-168971-MS. </w:t>
      </w:r>
      <w:r w:rsidR="00D12075" w:rsidRPr="00D12075">
        <w:rPr>
          <w:rFonts w:cstheme="minorHAnsi"/>
          <w:shd w:val="clear" w:color="auto" w:fill="FFFFFF"/>
        </w:rPr>
        <w:t>http://dx.doi.org/</w:t>
      </w:r>
      <w:r w:rsidR="00D12075" w:rsidRPr="00D12075">
        <w:rPr>
          <w:rFonts w:cstheme="minorHAnsi"/>
          <w:color w:val="333333"/>
          <w:shd w:val="clear" w:color="auto" w:fill="FFFFFF"/>
        </w:rPr>
        <w:t>10.2118/168971-MS</w:t>
      </w:r>
    </w:p>
    <w:p w:rsidR="00AC4208" w:rsidRDefault="00AC4208" w:rsidP="00AF6C61">
      <w:pPr>
        <w:ind w:left="720" w:hanging="720"/>
        <w:rPr>
          <w:rStyle w:val="Hyperlink"/>
          <w:rFonts w:cstheme="minorHAnsi"/>
          <w:color w:val="316C9D"/>
          <w:u w:val="none"/>
          <w:bdr w:val="none" w:sz="0" w:space="0" w:color="auto" w:frame="1"/>
          <w:shd w:val="clear" w:color="auto" w:fill="FFFFFF"/>
        </w:rPr>
      </w:pPr>
      <w:proofErr w:type="spellStart"/>
      <w:r w:rsidRPr="004F0A61">
        <w:rPr>
          <w:rFonts w:cstheme="minorHAnsi"/>
        </w:rPr>
        <w:lastRenderedPageBreak/>
        <w:t>Travalloni</w:t>
      </w:r>
      <w:proofErr w:type="spellEnd"/>
      <w:r w:rsidRPr="004F0A61">
        <w:rPr>
          <w:rFonts w:cstheme="minorHAnsi"/>
        </w:rPr>
        <w:t xml:space="preserve">, L., </w:t>
      </w:r>
      <w:proofErr w:type="spellStart"/>
      <w:r w:rsidRPr="004F0A61">
        <w:rPr>
          <w:rFonts w:cstheme="minorHAnsi"/>
        </w:rPr>
        <w:t>Castier</w:t>
      </w:r>
      <w:proofErr w:type="spellEnd"/>
      <w:r w:rsidRPr="004F0A61">
        <w:rPr>
          <w:rFonts w:cstheme="minorHAnsi"/>
        </w:rPr>
        <w:t xml:space="preserve">, M., Tavares, F., </w:t>
      </w:r>
      <w:r>
        <w:rPr>
          <w:rFonts w:cstheme="minorHAnsi"/>
        </w:rPr>
        <w:t>and</w:t>
      </w:r>
      <w:r w:rsidRPr="004F0A61">
        <w:rPr>
          <w:rFonts w:cstheme="minorHAnsi"/>
        </w:rPr>
        <w:t xml:space="preserve"> Sandler, S. 2010. Thermodynamic Modeling of Confined Fluids Using an Extension of the Generalized van der Waals Theory. </w:t>
      </w:r>
      <w:r w:rsidRPr="004F0A61">
        <w:rPr>
          <w:rFonts w:cstheme="minorHAnsi"/>
          <w:i/>
        </w:rPr>
        <w:t>Chemical Engineering Science</w:t>
      </w:r>
      <w:r w:rsidRPr="004F0A61">
        <w:rPr>
          <w:rFonts w:cstheme="minorHAnsi"/>
        </w:rPr>
        <w:t xml:space="preserve">. </w:t>
      </w:r>
      <w:r w:rsidRPr="00AC4208">
        <w:rPr>
          <w:rFonts w:cstheme="minorHAnsi"/>
          <w:b/>
        </w:rPr>
        <w:t>65</w:t>
      </w:r>
      <w:r w:rsidRPr="004F0A61">
        <w:rPr>
          <w:rFonts w:cstheme="minorHAnsi"/>
        </w:rPr>
        <w:t xml:space="preserve"> </w:t>
      </w:r>
      <w:r>
        <w:rPr>
          <w:rFonts w:cstheme="minorHAnsi"/>
        </w:rPr>
        <w:t>(10),</w:t>
      </w:r>
      <w:r w:rsidRPr="004F0A61">
        <w:rPr>
          <w:rFonts w:cstheme="minorHAnsi"/>
        </w:rPr>
        <w:t xml:space="preserve"> 3088-3099 </w:t>
      </w:r>
      <w:r w:rsidRPr="00AC4208">
        <w:rPr>
          <w:rFonts w:cstheme="minorHAnsi"/>
          <w:bdr w:val="none" w:sz="0" w:space="0" w:color="auto" w:frame="1"/>
          <w:shd w:val="clear" w:color="auto" w:fill="FFFFFF"/>
        </w:rPr>
        <w:t>http://doi.org/10.1016/j.ces.2010.01.032</w:t>
      </w:r>
    </w:p>
    <w:p w:rsidR="000A672B" w:rsidRPr="000A672B" w:rsidRDefault="000A672B" w:rsidP="00AF6C61">
      <w:pPr>
        <w:ind w:left="720" w:hanging="720"/>
        <w:rPr>
          <w:rStyle w:val="Hyperlink"/>
          <w:rFonts w:cstheme="minorHAnsi"/>
          <w:color w:val="auto"/>
          <w:u w:val="none"/>
          <w:bdr w:val="none" w:sz="0" w:space="0" w:color="auto" w:frame="1"/>
          <w:shd w:val="clear" w:color="auto" w:fill="FFFFFF"/>
        </w:rPr>
      </w:pPr>
      <w:proofErr w:type="spellStart"/>
      <w:r w:rsidRPr="000A672B">
        <w:rPr>
          <w:rFonts w:cstheme="minorHAnsi"/>
        </w:rPr>
        <w:t>Travalloni</w:t>
      </w:r>
      <w:proofErr w:type="spellEnd"/>
      <w:r w:rsidRPr="000A672B">
        <w:rPr>
          <w:rFonts w:cstheme="minorHAnsi"/>
        </w:rPr>
        <w:t xml:space="preserve">, L., </w:t>
      </w:r>
      <w:proofErr w:type="spellStart"/>
      <w:r w:rsidRPr="000A672B">
        <w:rPr>
          <w:rFonts w:cstheme="minorHAnsi"/>
        </w:rPr>
        <w:t>Castier</w:t>
      </w:r>
      <w:proofErr w:type="spellEnd"/>
      <w:r w:rsidRPr="000A672B">
        <w:rPr>
          <w:rFonts w:cstheme="minorHAnsi"/>
        </w:rPr>
        <w:t xml:space="preserve">, M., Tavares, F. 2014. Phase equilibrium of fluids confined in porous media from an extended Peng-Robinson equation of state. </w:t>
      </w:r>
      <w:r w:rsidRPr="000A672B">
        <w:rPr>
          <w:rFonts w:cstheme="minorHAnsi"/>
          <w:i/>
        </w:rPr>
        <w:t xml:space="preserve">Fluid Phase Equilibria </w:t>
      </w:r>
      <w:r w:rsidRPr="000A672B">
        <w:rPr>
          <w:rFonts w:cstheme="minorHAnsi"/>
          <w:b/>
        </w:rPr>
        <w:t>362</w:t>
      </w:r>
      <w:r w:rsidRPr="000A672B">
        <w:rPr>
          <w:rFonts w:cstheme="minorHAnsi"/>
        </w:rPr>
        <w:t xml:space="preserve"> (2014), 335-341. </w:t>
      </w:r>
      <w:r w:rsidRPr="000A672B">
        <w:rPr>
          <w:rFonts w:cstheme="minorHAnsi"/>
          <w:bdr w:val="none" w:sz="0" w:space="0" w:color="auto" w:frame="1"/>
          <w:shd w:val="clear" w:color="auto" w:fill="FFFFFF"/>
        </w:rPr>
        <w:t>https://doi.org/10.1016/j.fluid.2013.10.049</w:t>
      </w:r>
    </w:p>
    <w:p w:rsidR="00AC4208" w:rsidRDefault="00AC4208" w:rsidP="00AF6C61">
      <w:pPr>
        <w:ind w:left="720" w:hanging="720"/>
        <w:rPr>
          <w:rStyle w:val="Hyperlink"/>
          <w:rFonts w:cstheme="minorHAnsi"/>
          <w:color w:val="auto"/>
          <w:u w:val="none"/>
          <w:bdr w:val="none" w:sz="0" w:space="0" w:color="auto" w:frame="1"/>
          <w:shd w:val="clear" w:color="auto" w:fill="FFFFFF"/>
        </w:rPr>
      </w:pPr>
      <w:r w:rsidRPr="00B26055">
        <w:rPr>
          <w:rStyle w:val="Hyperlink"/>
          <w:rFonts w:cstheme="minorHAnsi"/>
          <w:color w:val="auto"/>
          <w:u w:val="none"/>
          <w:bdr w:val="none" w:sz="0" w:space="0" w:color="auto" w:frame="1"/>
          <w:shd w:val="clear" w:color="auto" w:fill="FFFFFF"/>
        </w:rPr>
        <w:t>Washburn, E.W. 1921</w:t>
      </w:r>
      <w:r>
        <w:rPr>
          <w:rStyle w:val="Hyperlink"/>
          <w:rFonts w:cstheme="minorHAnsi"/>
          <w:color w:val="auto"/>
          <w:u w:val="none"/>
          <w:bdr w:val="none" w:sz="0" w:space="0" w:color="auto" w:frame="1"/>
          <w:shd w:val="clear" w:color="auto" w:fill="FFFFFF"/>
        </w:rPr>
        <w:t>.</w:t>
      </w:r>
      <w:r w:rsidRPr="00B26055">
        <w:rPr>
          <w:rStyle w:val="Hyperlink"/>
          <w:rFonts w:cstheme="minorHAnsi"/>
          <w:color w:val="auto"/>
          <w:u w:val="none"/>
          <w:bdr w:val="none" w:sz="0" w:space="0" w:color="auto" w:frame="1"/>
          <w:shd w:val="clear" w:color="auto" w:fill="FFFFFF"/>
        </w:rPr>
        <w:t xml:space="preserve"> The Dynamics of Capillary Flow. </w:t>
      </w:r>
      <w:r w:rsidRPr="00AC4208">
        <w:rPr>
          <w:rStyle w:val="Hyperlink"/>
          <w:rFonts w:cstheme="minorHAnsi"/>
          <w:i/>
          <w:color w:val="auto"/>
          <w:u w:val="none"/>
          <w:bdr w:val="none" w:sz="0" w:space="0" w:color="auto" w:frame="1"/>
          <w:shd w:val="clear" w:color="auto" w:fill="FFFFFF"/>
        </w:rPr>
        <w:t>Phys. Rev.</w:t>
      </w:r>
      <w:r w:rsidRPr="00B26055">
        <w:rPr>
          <w:rStyle w:val="Hyperlink"/>
          <w:rFonts w:cstheme="minorHAnsi"/>
          <w:color w:val="auto"/>
          <w:u w:val="none"/>
          <w:bdr w:val="none" w:sz="0" w:space="0" w:color="auto" w:frame="1"/>
          <w:shd w:val="clear" w:color="auto" w:fill="FFFFFF"/>
        </w:rPr>
        <w:t xml:space="preserve"> </w:t>
      </w:r>
      <w:r w:rsidRPr="00AC4208">
        <w:rPr>
          <w:rStyle w:val="Hyperlink"/>
          <w:rFonts w:cstheme="minorHAnsi"/>
          <w:b/>
          <w:color w:val="auto"/>
          <w:u w:val="none"/>
          <w:bdr w:val="none" w:sz="0" w:space="0" w:color="auto" w:frame="1"/>
          <w:shd w:val="clear" w:color="auto" w:fill="FFFFFF"/>
        </w:rPr>
        <w:t>17</w:t>
      </w:r>
      <w:r>
        <w:rPr>
          <w:rStyle w:val="Hyperlink"/>
          <w:rFonts w:cstheme="minorHAnsi"/>
          <w:b/>
          <w:color w:val="auto"/>
          <w:u w:val="none"/>
          <w:bdr w:val="none" w:sz="0" w:space="0" w:color="auto" w:frame="1"/>
          <w:shd w:val="clear" w:color="auto" w:fill="FFFFFF"/>
        </w:rPr>
        <w:t xml:space="preserve"> </w:t>
      </w:r>
      <w:r w:rsidRPr="00AC4208">
        <w:rPr>
          <w:rStyle w:val="Hyperlink"/>
          <w:rFonts w:cstheme="minorHAnsi"/>
          <w:color w:val="auto"/>
          <w:u w:val="none"/>
          <w:bdr w:val="none" w:sz="0" w:space="0" w:color="auto" w:frame="1"/>
          <w:shd w:val="clear" w:color="auto" w:fill="FFFFFF"/>
        </w:rPr>
        <w:t>(3)</w:t>
      </w:r>
      <w:r w:rsidRPr="00B26055">
        <w:rPr>
          <w:rStyle w:val="Hyperlink"/>
          <w:rFonts w:cstheme="minorHAnsi"/>
          <w:color w:val="auto"/>
          <w:u w:val="none"/>
          <w:bdr w:val="none" w:sz="0" w:space="0" w:color="auto" w:frame="1"/>
          <w:shd w:val="clear" w:color="auto" w:fill="FFFFFF"/>
        </w:rPr>
        <w:t>, 273</w:t>
      </w:r>
      <w:r>
        <w:rPr>
          <w:rStyle w:val="Hyperlink"/>
          <w:rFonts w:cstheme="minorHAnsi"/>
          <w:color w:val="auto"/>
          <w:u w:val="none"/>
          <w:bdr w:val="none" w:sz="0" w:space="0" w:color="auto" w:frame="1"/>
          <w:shd w:val="clear" w:color="auto" w:fill="FFFFFF"/>
        </w:rPr>
        <w:t>-283.</w:t>
      </w:r>
    </w:p>
    <w:p w:rsidR="00864CF1" w:rsidRDefault="00864CF1" w:rsidP="00AF6C61">
      <w:pPr>
        <w:ind w:left="720" w:hanging="720"/>
        <w:rPr>
          <w:rStyle w:val="Hyperlink"/>
          <w:rFonts w:cstheme="minorHAnsi"/>
          <w:color w:val="auto"/>
          <w:u w:val="none"/>
          <w:bdr w:val="none" w:sz="0" w:space="0" w:color="auto" w:frame="1"/>
          <w:shd w:val="clear" w:color="auto" w:fill="FFFFFF"/>
        </w:rPr>
      </w:pPr>
      <w:r>
        <w:rPr>
          <w:rStyle w:val="Hyperlink"/>
          <w:rFonts w:cstheme="minorHAnsi"/>
          <w:color w:val="auto"/>
          <w:u w:val="none"/>
          <w:bdr w:val="none" w:sz="0" w:space="0" w:color="auto" w:frame="1"/>
          <w:shd w:val="clear" w:color="auto" w:fill="FFFFFF"/>
        </w:rPr>
        <w:t xml:space="preserve">Webb, P.A. 2001. An Introduction to the Physical Characterization of Materials by Mercury Intrusion </w:t>
      </w:r>
      <w:proofErr w:type="spellStart"/>
      <w:r>
        <w:rPr>
          <w:rStyle w:val="Hyperlink"/>
          <w:rFonts w:cstheme="minorHAnsi"/>
          <w:color w:val="auto"/>
          <w:u w:val="none"/>
          <w:bdr w:val="none" w:sz="0" w:space="0" w:color="auto" w:frame="1"/>
          <w:shd w:val="clear" w:color="auto" w:fill="FFFFFF"/>
        </w:rPr>
        <w:t>Porosimetry</w:t>
      </w:r>
      <w:proofErr w:type="spellEnd"/>
      <w:r>
        <w:rPr>
          <w:rStyle w:val="Hyperlink"/>
          <w:rFonts w:cstheme="minorHAnsi"/>
          <w:color w:val="auto"/>
          <w:u w:val="none"/>
          <w:bdr w:val="none" w:sz="0" w:space="0" w:color="auto" w:frame="1"/>
          <w:shd w:val="clear" w:color="auto" w:fill="FFFFFF"/>
        </w:rPr>
        <w:t xml:space="preserve"> with Emphasis on Reduction and Presentation of Experimental Data. Micromeritics,</w:t>
      </w:r>
      <w:r w:rsidR="00395F95">
        <w:rPr>
          <w:rStyle w:val="Hyperlink"/>
          <w:rFonts w:cstheme="minorHAnsi"/>
          <w:color w:val="auto"/>
          <w:u w:val="none"/>
          <w:bdr w:val="none" w:sz="0" w:space="0" w:color="auto" w:frame="1"/>
          <w:shd w:val="clear" w:color="auto" w:fill="FFFFFF"/>
        </w:rPr>
        <w:t xml:space="preserve"> h</w:t>
      </w:r>
      <w:r w:rsidR="002E6D64" w:rsidRPr="002E6D64">
        <w:rPr>
          <w:rStyle w:val="Hyperlink"/>
          <w:rFonts w:cstheme="minorHAnsi"/>
          <w:color w:val="auto"/>
          <w:u w:val="none"/>
          <w:bdr w:val="none" w:sz="0" w:space="0" w:color="auto" w:frame="1"/>
          <w:shd w:val="clear" w:color="auto" w:fill="FFFFFF"/>
        </w:rPr>
        <w:t>ttp://www.micromeritics.com/pdf/app_articles/mercury_paper.pdf</w:t>
      </w:r>
      <w:r w:rsidR="002E6D64">
        <w:rPr>
          <w:rStyle w:val="Hyperlink"/>
          <w:rFonts w:cstheme="minorHAnsi"/>
          <w:color w:val="auto"/>
          <w:u w:val="none"/>
          <w:bdr w:val="none" w:sz="0" w:space="0" w:color="auto" w:frame="1"/>
          <w:shd w:val="clear" w:color="auto" w:fill="FFFFFF"/>
        </w:rPr>
        <w:t xml:space="preserve"> (accessed 20 April 2017).</w:t>
      </w:r>
    </w:p>
    <w:p w:rsidR="00606C4F" w:rsidRPr="0074382A" w:rsidRDefault="00A26D5F" w:rsidP="00AF6C61">
      <w:pPr>
        <w:ind w:left="720" w:hanging="720"/>
        <w:rPr>
          <w:rFonts w:cstheme="minorHAnsi"/>
          <w:shd w:val="clear" w:color="auto" w:fill="FFFFFF"/>
        </w:rPr>
      </w:pPr>
      <w:proofErr w:type="spellStart"/>
      <w:r w:rsidRPr="0074382A">
        <w:rPr>
          <w:rFonts w:cstheme="minorHAnsi"/>
        </w:rPr>
        <w:t>Xiaohu</w:t>
      </w:r>
      <w:proofErr w:type="spellEnd"/>
      <w:r w:rsidRPr="0074382A">
        <w:rPr>
          <w:rFonts w:cstheme="minorHAnsi"/>
        </w:rPr>
        <w:t xml:space="preserve"> D</w:t>
      </w:r>
      <w:r w:rsidR="00B03381" w:rsidRPr="0074382A">
        <w:rPr>
          <w:rFonts w:cstheme="minorHAnsi"/>
        </w:rPr>
        <w:t>.</w:t>
      </w:r>
      <w:r w:rsidRPr="0074382A">
        <w:rPr>
          <w:rFonts w:cstheme="minorHAnsi"/>
        </w:rPr>
        <w:t xml:space="preserve">, </w:t>
      </w:r>
      <w:proofErr w:type="spellStart"/>
      <w:r w:rsidRPr="0074382A">
        <w:rPr>
          <w:rFonts w:cstheme="minorHAnsi"/>
        </w:rPr>
        <w:t>Huiqing</w:t>
      </w:r>
      <w:proofErr w:type="spellEnd"/>
      <w:r w:rsidRPr="0074382A">
        <w:rPr>
          <w:rFonts w:cstheme="minorHAnsi"/>
        </w:rPr>
        <w:t xml:space="preserve"> L</w:t>
      </w:r>
      <w:r w:rsidR="00B03381" w:rsidRPr="0074382A">
        <w:rPr>
          <w:rFonts w:cstheme="minorHAnsi"/>
        </w:rPr>
        <w:t>.</w:t>
      </w:r>
      <w:r w:rsidRPr="0074382A">
        <w:rPr>
          <w:rFonts w:cstheme="minorHAnsi"/>
        </w:rPr>
        <w:t xml:space="preserve">, </w:t>
      </w:r>
      <w:proofErr w:type="spellStart"/>
      <w:r w:rsidRPr="0074382A">
        <w:rPr>
          <w:rFonts w:cstheme="minorHAnsi"/>
        </w:rPr>
        <w:t>Jirui</w:t>
      </w:r>
      <w:proofErr w:type="spellEnd"/>
      <w:r w:rsidRPr="0074382A">
        <w:rPr>
          <w:rFonts w:cstheme="minorHAnsi"/>
        </w:rPr>
        <w:t xml:space="preserve"> H</w:t>
      </w:r>
      <w:r w:rsidR="00B03381" w:rsidRPr="0074382A">
        <w:rPr>
          <w:rFonts w:cstheme="minorHAnsi"/>
        </w:rPr>
        <w:t>.</w:t>
      </w:r>
      <w:r w:rsidRPr="0074382A">
        <w:rPr>
          <w:rFonts w:cstheme="minorHAnsi"/>
        </w:rPr>
        <w:t>,</w:t>
      </w:r>
      <w:r w:rsidR="00B03381" w:rsidRPr="0074382A">
        <w:rPr>
          <w:rFonts w:cstheme="minorHAnsi"/>
        </w:rPr>
        <w:t xml:space="preserve"> et al. 2016. Phase Equilibria of Confined Fluids in </w:t>
      </w:r>
      <w:proofErr w:type="spellStart"/>
      <w:r w:rsidR="00B03381" w:rsidRPr="0074382A">
        <w:rPr>
          <w:rFonts w:cstheme="minorHAnsi"/>
        </w:rPr>
        <w:t>Nanopores</w:t>
      </w:r>
      <w:proofErr w:type="spellEnd"/>
      <w:r w:rsidR="00B03381" w:rsidRPr="0074382A">
        <w:rPr>
          <w:rFonts w:cstheme="minorHAnsi"/>
        </w:rPr>
        <w:t xml:space="preserve"> of Tight and Shale Rocks Considering the Effect of Capillary Pressure and Adsorption Film. </w:t>
      </w:r>
      <w:r w:rsidRPr="0074382A">
        <w:rPr>
          <w:rStyle w:val="HTMLCite"/>
          <w:rFonts w:cstheme="minorHAnsi"/>
          <w:color w:val="000000"/>
        </w:rPr>
        <w:t>Industrial &amp; Engineering Chemistry Research</w:t>
      </w:r>
      <w:r w:rsidRPr="0074382A">
        <w:rPr>
          <w:rStyle w:val="apple-converted-space"/>
          <w:rFonts w:cstheme="minorHAnsi"/>
          <w:color w:val="000000"/>
        </w:rPr>
        <w:t> </w:t>
      </w:r>
      <w:r w:rsidRPr="0074382A">
        <w:rPr>
          <w:rStyle w:val="Emphasis"/>
          <w:rFonts w:asciiTheme="minorHAnsi" w:hAnsiTheme="minorHAnsi" w:cstheme="minorHAnsi"/>
          <w:color w:val="000000"/>
        </w:rPr>
        <w:t>55</w:t>
      </w:r>
      <w:r w:rsidRPr="0074382A">
        <w:rPr>
          <w:rStyle w:val="apple-converted-space"/>
          <w:rFonts w:cstheme="minorHAnsi"/>
          <w:color w:val="000000"/>
        </w:rPr>
        <w:t> </w:t>
      </w:r>
      <w:r w:rsidRPr="0074382A">
        <w:rPr>
          <w:rFonts w:cstheme="minorHAnsi"/>
        </w:rPr>
        <w:t>(3), 798-811</w:t>
      </w:r>
      <w:r w:rsidR="0074382A">
        <w:rPr>
          <w:rFonts w:cstheme="minorHAnsi"/>
        </w:rPr>
        <w:t>.</w:t>
      </w:r>
      <w:r w:rsidR="0074382A" w:rsidRPr="0074382A">
        <w:rPr>
          <w:rFonts w:cstheme="minorHAnsi"/>
          <w:shd w:val="clear" w:color="auto" w:fill="FFFFFF"/>
        </w:rPr>
        <w:t xml:space="preserve"> </w:t>
      </w:r>
      <w:r w:rsidR="0074382A">
        <w:rPr>
          <w:rFonts w:cstheme="minorHAnsi"/>
          <w:shd w:val="clear" w:color="auto" w:fill="FFFFFF"/>
        </w:rPr>
        <w:t>http://dx.doi.org/</w:t>
      </w:r>
      <w:r w:rsidRPr="0074382A">
        <w:rPr>
          <w:rFonts w:cstheme="minorHAnsi"/>
          <w:shd w:val="clear" w:color="auto" w:fill="FFFFFF"/>
        </w:rPr>
        <w:t>10.1021/acs.iecr.5b04276</w:t>
      </w:r>
    </w:p>
    <w:p w:rsidR="00AF6C61" w:rsidRPr="00AF6C61" w:rsidRDefault="00AF6C61" w:rsidP="00AF6C61">
      <w:pPr>
        <w:ind w:left="720" w:hanging="720"/>
        <w:rPr>
          <w:rFonts w:cstheme="minorHAnsi"/>
        </w:rPr>
      </w:pPr>
      <w:r w:rsidRPr="00AF6C61">
        <w:rPr>
          <w:rFonts w:cstheme="minorHAnsi"/>
        </w:rPr>
        <w:t xml:space="preserve">Zapata, Y. and </w:t>
      </w:r>
      <w:proofErr w:type="spellStart"/>
      <w:r w:rsidRPr="00AF6C61">
        <w:rPr>
          <w:rFonts w:cstheme="minorHAnsi"/>
        </w:rPr>
        <w:t>Sakhaee</w:t>
      </w:r>
      <w:proofErr w:type="spellEnd"/>
      <w:r w:rsidRPr="00AF6C61">
        <w:rPr>
          <w:rFonts w:cstheme="minorHAnsi"/>
        </w:rPr>
        <w:t xml:space="preserve">-Pour, A. 2016. Model adsorption-desorption hysteresis in shales: Acyclic pore model. </w:t>
      </w:r>
      <w:r w:rsidRPr="00AF6C61">
        <w:rPr>
          <w:rFonts w:cstheme="minorHAnsi"/>
          <w:i/>
        </w:rPr>
        <w:t>Fuel</w:t>
      </w:r>
      <w:r w:rsidRPr="00AF6C61">
        <w:rPr>
          <w:rFonts w:cstheme="minorHAnsi"/>
        </w:rPr>
        <w:t xml:space="preserve"> </w:t>
      </w:r>
      <w:r w:rsidRPr="00AF6C61">
        <w:rPr>
          <w:rFonts w:cstheme="minorHAnsi"/>
          <w:b/>
        </w:rPr>
        <w:t>181</w:t>
      </w:r>
      <w:r w:rsidRPr="00AF6C61">
        <w:rPr>
          <w:rFonts w:cstheme="minorHAnsi"/>
        </w:rPr>
        <w:t xml:space="preserve">, 557-565. </w:t>
      </w:r>
      <w:r w:rsidRPr="00AF6C61">
        <w:rPr>
          <w:rFonts w:cstheme="minorHAnsi"/>
          <w:bdr w:val="none" w:sz="0" w:space="0" w:color="auto" w:frame="1"/>
          <w:shd w:val="clear" w:color="auto" w:fill="FFFFFF"/>
        </w:rPr>
        <w:t>https://doi.org/10.1016/j.fuel.2016.05.002</w:t>
      </w:r>
      <w:r w:rsidRPr="00AF6C61">
        <w:rPr>
          <w:rFonts w:cstheme="minorHAnsi"/>
        </w:rPr>
        <w:t xml:space="preserve"> </w:t>
      </w:r>
    </w:p>
    <w:p w:rsidR="00AC4208" w:rsidRPr="00AC4208" w:rsidRDefault="00AC4208" w:rsidP="00AF6C61">
      <w:pPr>
        <w:autoSpaceDE w:val="0"/>
        <w:autoSpaceDN w:val="0"/>
        <w:adjustRightInd w:val="0"/>
        <w:ind w:left="720" w:hanging="720"/>
        <w:rPr>
          <w:rFonts w:cstheme="minorHAnsi"/>
          <w:lang w:bidi="ar-SA"/>
        </w:rPr>
      </w:pPr>
      <w:proofErr w:type="spellStart"/>
      <w:r w:rsidRPr="00AC4208">
        <w:rPr>
          <w:rFonts w:cstheme="minorHAnsi"/>
          <w:lang w:eastAsia="zh-CN" w:bidi="ar-SA"/>
        </w:rPr>
        <w:t>Zarragoicoechea</w:t>
      </w:r>
      <w:proofErr w:type="spellEnd"/>
      <w:r w:rsidRPr="00AC4208">
        <w:rPr>
          <w:rFonts w:cstheme="minorHAnsi"/>
          <w:lang w:eastAsia="zh-CN" w:bidi="ar-SA"/>
        </w:rPr>
        <w:t xml:space="preserve">, G. and </w:t>
      </w:r>
      <w:proofErr w:type="spellStart"/>
      <w:r w:rsidRPr="00AC4208">
        <w:rPr>
          <w:rFonts w:cstheme="minorHAnsi"/>
          <w:lang w:eastAsia="zh-CN" w:bidi="ar-SA"/>
        </w:rPr>
        <w:t>Kuz</w:t>
      </w:r>
      <w:proofErr w:type="spellEnd"/>
      <w:r w:rsidRPr="00AC4208">
        <w:rPr>
          <w:rFonts w:cstheme="minorHAnsi"/>
          <w:lang w:eastAsia="zh-CN" w:bidi="ar-SA"/>
        </w:rPr>
        <w:t xml:space="preserve">, V. 2002. Van der Waals Equation of State for a Fluid in a </w:t>
      </w:r>
      <w:proofErr w:type="spellStart"/>
      <w:r w:rsidRPr="00AC4208">
        <w:rPr>
          <w:rFonts w:cstheme="minorHAnsi"/>
          <w:lang w:eastAsia="zh-CN" w:bidi="ar-SA"/>
        </w:rPr>
        <w:t>Nanopore</w:t>
      </w:r>
      <w:proofErr w:type="spellEnd"/>
      <w:r w:rsidRPr="00AC4208">
        <w:rPr>
          <w:rFonts w:cstheme="minorHAnsi"/>
          <w:lang w:eastAsia="zh-CN" w:bidi="ar-SA"/>
        </w:rPr>
        <w:t xml:space="preserve">. </w:t>
      </w:r>
      <w:r w:rsidRPr="00AC4208">
        <w:rPr>
          <w:rFonts w:cstheme="minorHAnsi"/>
          <w:i/>
          <w:lang w:eastAsia="zh-CN" w:bidi="ar-SA"/>
        </w:rPr>
        <w:t>Phys. Rev. E</w:t>
      </w:r>
      <w:r w:rsidRPr="00AC4208">
        <w:rPr>
          <w:rFonts w:cstheme="minorHAnsi"/>
          <w:lang w:eastAsia="zh-CN" w:bidi="ar-SA"/>
        </w:rPr>
        <w:t xml:space="preserve">. </w:t>
      </w:r>
      <w:r w:rsidRPr="00AC4208">
        <w:rPr>
          <w:rFonts w:cstheme="minorHAnsi"/>
          <w:b/>
          <w:lang w:eastAsia="zh-CN" w:bidi="ar-SA"/>
        </w:rPr>
        <w:t>65</w:t>
      </w:r>
      <w:r w:rsidRPr="00AC4208">
        <w:rPr>
          <w:rFonts w:cstheme="minorHAnsi"/>
          <w:lang w:eastAsia="zh-CN" w:bidi="ar-SA"/>
        </w:rPr>
        <w:t xml:space="preserve"> (2), 021110-1-021110-4. </w:t>
      </w:r>
      <w:r w:rsidRPr="00AC4208">
        <w:rPr>
          <w:rFonts w:cstheme="minorHAnsi"/>
          <w:shd w:val="clear" w:color="auto" w:fill="FFFFFF"/>
        </w:rPr>
        <w:t>http://dx.doi.org/</w:t>
      </w:r>
      <w:r w:rsidRPr="00AC4208">
        <w:rPr>
          <w:rFonts w:cstheme="minorHAnsi"/>
          <w:lang w:bidi="ar-SA"/>
        </w:rPr>
        <w:t>10.1103/PhysRevE.65.021110</w:t>
      </w:r>
    </w:p>
    <w:p w:rsidR="00B9757B" w:rsidRPr="00AC4208" w:rsidRDefault="00AC4208" w:rsidP="00AF6C61">
      <w:pPr>
        <w:ind w:left="720" w:hanging="720"/>
        <w:rPr>
          <w:rFonts w:cstheme="minorHAnsi"/>
        </w:rPr>
      </w:pPr>
      <w:r>
        <w:rPr>
          <w:rFonts w:cstheme="minorHAnsi"/>
          <w:lang w:eastAsia="zh-CN" w:bidi="ar-SA"/>
        </w:rPr>
        <w:lastRenderedPageBreak/>
        <w:t xml:space="preserve"> </w:t>
      </w:r>
      <w:proofErr w:type="spellStart"/>
      <w:r w:rsidR="00B9757B" w:rsidRPr="00AC4208">
        <w:rPr>
          <w:rFonts w:cstheme="minorHAnsi"/>
          <w:lang w:eastAsia="zh-CN" w:bidi="ar-SA"/>
        </w:rPr>
        <w:t>Zarragoicoechea</w:t>
      </w:r>
      <w:proofErr w:type="spellEnd"/>
      <w:r w:rsidR="00B9757B" w:rsidRPr="00AC4208">
        <w:rPr>
          <w:rFonts w:cstheme="minorHAnsi"/>
          <w:lang w:eastAsia="zh-CN" w:bidi="ar-SA"/>
        </w:rPr>
        <w:t xml:space="preserve">, G. and </w:t>
      </w:r>
      <w:proofErr w:type="spellStart"/>
      <w:r w:rsidR="00B9757B" w:rsidRPr="00AC4208">
        <w:rPr>
          <w:rFonts w:cstheme="minorHAnsi"/>
          <w:lang w:eastAsia="zh-CN" w:bidi="ar-SA"/>
        </w:rPr>
        <w:t>Kuz</w:t>
      </w:r>
      <w:proofErr w:type="spellEnd"/>
      <w:r w:rsidR="00B9757B" w:rsidRPr="00AC4208">
        <w:rPr>
          <w:rFonts w:cstheme="minorHAnsi"/>
          <w:lang w:eastAsia="zh-CN" w:bidi="ar-SA"/>
        </w:rPr>
        <w:t xml:space="preserve">, V. 2004. Critical Shift of a Confined Fluid in a </w:t>
      </w:r>
      <w:proofErr w:type="spellStart"/>
      <w:r w:rsidR="00B9757B" w:rsidRPr="00AC4208">
        <w:rPr>
          <w:rFonts w:cstheme="minorHAnsi"/>
          <w:lang w:eastAsia="zh-CN" w:bidi="ar-SA"/>
        </w:rPr>
        <w:t>Nanopore</w:t>
      </w:r>
      <w:proofErr w:type="spellEnd"/>
      <w:r w:rsidR="00B9757B" w:rsidRPr="00AC4208">
        <w:rPr>
          <w:rFonts w:cstheme="minorHAnsi"/>
          <w:lang w:eastAsia="zh-CN" w:bidi="ar-SA"/>
        </w:rPr>
        <w:t xml:space="preserve">. </w:t>
      </w:r>
      <w:r w:rsidR="00B9757B" w:rsidRPr="00AC4208">
        <w:rPr>
          <w:rFonts w:cstheme="minorHAnsi"/>
          <w:i/>
          <w:lang w:eastAsia="zh-CN" w:bidi="ar-SA"/>
        </w:rPr>
        <w:t>Fluid Phase Equilibria</w:t>
      </w:r>
      <w:r w:rsidR="00B9757B" w:rsidRPr="00AC4208">
        <w:rPr>
          <w:rFonts w:cstheme="minorHAnsi"/>
          <w:lang w:eastAsia="zh-CN" w:bidi="ar-SA"/>
        </w:rPr>
        <w:t xml:space="preserve">. </w:t>
      </w:r>
      <w:r w:rsidR="00B9757B" w:rsidRPr="00AC4208">
        <w:rPr>
          <w:rFonts w:cstheme="minorHAnsi"/>
          <w:b/>
          <w:lang w:eastAsia="zh-CN" w:bidi="ar-SA"/>
        </w:rPr>
        <w:t>220</w:t>
      </w:r>
      <w:r w:rsidR="00B9757B" w:rsidRPr="00AC4208">
        <w:rPr>
          <w:rFonts w:cstheme="minorHAnsi"/>
          <w:lang w:eastAsia="zh-CN" w:bidi="ar-SA"/>
        </w:rPr>
        <w:t xml:space="preserve"> (1), 7-9. </w:t>
      </w:r>
      <w:r w:rsidR="00B9757B" w:rsidRPr="00AC4208">
        <w:rPr>
          <w:rFonts w:cstheme="minorHAnsi"/>
          <w:bdr w:val="none" w:sz="0" w:space="0" w:color="auto" w:frame="1"/>
          <w:shd w:val="clear" w:color="auto" w:fill="FFFFFF"/>
        </w:rPr>
        <w:t>http://doi.org/10.1016/j.fluid.2004.02.014</w:t>
      </w:r>
    </w:p>
    <w:p w:rsidR="00392F58" w:rsidRDefault="00AC4208" w:rsidP="00AF6C61">
      <w:pPr>
        <w:ind w:left="720" w:hanging="720"/>
      </w:pPr>
      <w:r w:rsidRPr="004F0A61">
        <w:rPr>
          <w:rStyle w:val="nlmstring-name"/>
          <w:rFonts w:cstheme="minorHAnsi"/>
          <w:color w:val="000000"/>
        </w:rPr>
        <w:t>Zhu</w:t>
      </w:r>
      <w:r>
        <w:rPr>
          <w:rStyle w:val="nlmstring-name"/>
          <w:rFonts w:cstheme="minorHAnsi"/>
          <w:color w:val="000000"/>
        </w:rPr>
        <w:t>,</w:t>
      </w:r>
      <w:r w:rsidRPr="004F0A61">
        <w:rPr>
          <w:rStyle w:val="nlmstring-name"/>
          <w:rFonts w:cstheme="minorHAnsi"/>
          <w:color w:val="000000"/>
        </w:rPr>
        <w:t xml:space="preserve"> </w:t>
      </w:r>
      <w:r w:rsidR="00446B7D" w:rsidRPr="004F0A61">
        <w:rPr>
          <w:rStyle w:val="nlmstring-name"/>
          <w:rFonts w:cstheme="minorHAnsi"/>
          <w:color w:val="000000"/>
        </w:rPr>
        <w:t>H. Y.</w:t>
      </w:r>
      <w:r>
        <w:rPr>
          <w:rStyle w:val="nlmstring-name"/>
          <w:rFonts w:cstheme="minorHAnsi"/>
          <w:color w:val="000000"/>
        </w:rPr>
        <w:t xml:space="preserve">, Ni, </w:t>
      </w:r>
      <w:r w:rsidR="00446B7D" w:rsidRPr="004F0A61">
        <w:rPr>
          <w:rStyle w:val="nlmstring-name"/>
          <w:rFonts w:cstheme="minorHAnsi"/>
          <w:color w:val="000000"/>
        </w:rPr>
        <w:t>L. A.,</w:t>
      </w:r>
      <w:r w:rsidR="00446B7D" w:rsidRPr="004F0A61">
        <w:rPr>
          <w:rFonts w:cstheme="minorHAnsi"/>
          <w:color w:val="000000"/>
        </w:rPr>
        <w:t xml:space="preserve"> and</w:t>
      </w:r>
      <w:r w:rsidR="00446B7D" w:rsidRPr="004F0A61">
        <w:rPr>
          <w:rStyle w:val="apple-converted-space"/>
          <w:rFonts w:cstheme="minorHAnsi"/>
          <w:color w:val="000000"/>
        </w:rPr>
        <w:t> </w:t>
      </w:r>
      <w:r w:rsidR="00446B7D" w:rsidRPr="004F0A61">
        <w:rPr>
          <w:rStyle w:val="nlmstring-name"/>
          <w:rFonts w:cstheme="minorHAnsi"/>
          <w:color w:val="000000"/>
        </w:rPr>
        <w:t>G. Q. Lu</w:t>
      </w:r>
      <w:r w:rsidR="00446B7D" w:rsidRPr="004F0A61">
        <w:rPr>
          <w:rFonts w:cstheme="minorHAnsi"/>
          <w:color w:val="000000"/>
        </w:rPr>
        <w:t xml:space="preserve">. 1999. Pore-Size-Dependent Equation of State for Multilayer Adsorption in Cylindrical </w:t>
      </w:r>
      <w:proofErr w:type="spellStart"/>
      <w:r w:rsidR="00446B7D" w:rsidRPr="004F0A61">
        <w:rPr>
          <w:rFonts w:cstheme="minorHAnsi"/>
          <w:color w:val="000000"/>
        </w:rPr>
        <w:t>Mesopores</w:t>
      </w:r>
      <w:proofErr w:type="spellEnd"/>
      <w:r w:rsidR="00446B7D" w:rsidRPr="004F0A61">
        <w:rPr>
          <w:rFonts w:cstheme="minorHAnsi"/>
          <w:color w:val="000000"/>
          <w:lang w:bidi="ar-SA"/>
        </w:rPr>
        <w:t xml:space="preserve">. </w:t>
      </w:r>
      <w:r w:rsidR="00446B7D" w:rsidRPr="004F0A61">
        <w:rPr>
          <w:rStyle w:val="HTMLCite"/>
          <w:rFonts w:cstheme="minorHAnsi"/>
          <w:color w:val="000000"/>
        </w:rPr>
        <w:t>Langmuir</w:t>
      </w:r>
      <w:r w:rsidR="00446B7D" w:rsidRPr="004F0A61">
        <w:rPr>
          <w:rStyle w:val="apple-converted-space"/>
          <w:rFonts w:cstheme="minorHAnsi"/>
          <w:color w:val="000000"/>
        </w:rPr>
        <w:t> </w:t>
      </w:r>
      <w:r w:rsidR="00446B7D" w:rsidRPr="00AC4208">
        <w:rPr>
          <w:rStyle w:val="Emphasis"/>
          <w:rFonts w:asciiTheme="minorHAnsi" w:hAnsiTheme="minorHAnsi" w:cstheme="minorHAnsi"/>
          <w:i w:val="0"/>
          <w:color w:val="000000"/>
        </w:rPr>
        <w:t>15</w:t>
      </w:r>
      <w:r w:rsidR="00446B7D" w:rsidRPr="00AC4208">
        <w:rPr>
          <w:rStyle w:val="apple-converted-space"/>
          <w:rFonts w:cstheme="minorHAnsi"/>
          <w:i/>
          <w:color w:val="000000"/>
        </w:rPr>
        <w:t> </w:t>
      </w:r>
      <w:r w:rsidR="00446B7D" w:rsidRPr="004F0A61">
        <w:rPr>
          <w:rFonts w:cstheme="minorHAnsi"/>
          <w:color w:val="000000"/>
        </w:rPr>
        <w:t>(10), 3632-3641</w:t>
      </w:r>
      <w:r>
        <w:rPr>
          <w:rFonts w:cstheme="minorHAnsi"/>
          <w:color w:val="000000"/>
        </w:rPr>
        <w:t>.</w:t>
      </w:r>
      <w:r w:rsidR="00F55C51">
        <w:rPr>
          <w:rFonts w:cstheme="minorHAnsi"/>
          <w:color w:val="000000"/>
        </w:rPr>
        <w:t xml:space="preserve"> </w:t>
      </w:r>
      <w:r>
        <w:rPr>
          <w:rFonts w:cstheme="minorHAnsi"/>
          <w:shd w:val="clear" w:color="auto" w:fill="FFFFFF"/>
        </w:rPr>
        <w:t>http://dx.doi.org/</w:t>
      </w:r>
      <w:r w:rsidR="00446B7D" w:rsidRPr="004F0A61">
        <w:rPr>
          <w:rFonts w:cstheme="minorHAnsi"/>
          <w:color w:val="000000"/>
          <w:shd w:val="clear" w:color="auto" w:fill="FFFFFF"/>
        </w:rPr>
        <w:t>10.1021/la981515v</w:t>
      </w:r>
    </w:p>
    <w:sectPr w:rsidR="00392F58" w:rsidSect="00C96CA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D7F" w:rsidRDefault="003C2D7F" w:rsidP="008E1C26">
      <w:pPr>
        <w:spacing w:line="240" w:lineRule="auto"/>
      </w:pPr>
      <w:r>
        <w:separator/>
      </w:r>
    </w:p>
  </w:endnote>
  <w:endnote w:type="continuationSeparator" w:id="0">
    <w:p w:rsidR="003C2D7F" w:rsidRDefault="003C2D7F"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373" w:rsidRDefault="00204373" w:rsidP="008E1C26">
    <w:pPr>
      <w:pStyle w:val="Footer"/>
      <w:jc w:val="center"/>
    </w:pPr>
    <w:r>
      <w:fldChar w:fldCharType="begin"/>
    </w:r>
    <w:r>
      <w:instrText xml:space="preserve"> PAGE   \* MERGEFORMAT </w:instrText>
    </w:r>
    <w:r>
      <w:fldChar w:fldCharType="separate"/>
    </w:r>
    <w:r w:rsidR="00BC21FD">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D7F" w:rsidRDefault="003C2D7F" w:rsidP="008E1C26">
      <w:pPr>
        <w:spacing w:line="240" w:lineRule="auto"/>
      </w:pPr>
      <w:r>
        <w:separator/>
      </w:r>
    </w:p>
  </w:footnote>
  <w:footnote w:type="continuationSeparator" w:id="0">
    <w:p w:rsidR="003C2D7F" w:rsidRDefault="003C2D7F"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9A673C"/>
    <w:multiLevelType w:val="multilevel"/>
    <w:tmpl w:val="D102F5E6"/>
    <w:lvl w:ilvl="0">
      <w:start w:val="1"/>
      <w:numFmt w:val="decimal"/>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0"/>
  </w:num>
  <w:num w:numId="3">
    <w:abstractNumId w:val="2"/>
  </w:num>
  <w:num w:numId="4">
    <w:abstractNumId w:val="5"/>
  </w:num>
  <w:num w:numId="5">
    <w:abstractNumId w:val="4"/>
  </w:num>
  <w:num w:numId="6">
    <w:abstractNumId w:val="6"/>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25A12"/>
    <w:rsid w:val="000304FD"/>
    <w:rsid w:val="000312AB"/>
    <w:rsid w:val="000402C8"/>
    <w:rsid w:val="00041638"/>
    <w:rsid w:val="00056503"/>
    <w:rsid w:val="00060D78"/>
    <w:rsid w:val="00066533"/>
    <w:rsid w:val="00072111"/>
    <w:rsid w:val="00076B36"/>
    <w:rsid w:val="00077F0A"/>
    <w:rsid w:val="0008176F"/>
    <w:rsid w:val="000844F6"/>
    <w:rsid w:val="000A672B"/>
    <w:rsid w:val="000B0171"/>
    <w:rsid w:val="000C18E6"/>
    <w:rsid w:val="000C24B8"/>
    <w:rsid w:val="000C57B2"/>
    <w:rsid w:val="000D0CE4"/>
    <w:rsid w:val="000E31D4"/>
    <w:rsid w:val="000F56FF"/>
    <w:rsid w:val="00101D04"/>
    <w:rsid w:val="00105BBB"/>
    <w:rsid w:val="00106C83"/>
    <w:rsid w:val="00111915"/>
    <w:rsid w:val="001315CA"/>
    <w:rsid w:val="001327AA"/>
    <w:rsid w:val="001439F3"/>
    <w:rsid w:val="00144B35"/>
    <w:rsid w:val="001628FA"/>
    <w:rsid w:val="00172104"/>
    <w:rsid w:val="00172240"/>
    <w:rsid w:val="00174266"/>
    <w:rsid w:val="00177E36"/>
    <w:rsid w:val="00180428"/>
    <w:rsid w:val="0018158B"/>
    <w:rsid w:val="00187691"/>
    <w:rsid w:val="00194879"/>
    <w:rsid w:val="00197314"/>
    <w:rsid w:val="001B12EF"/>
    <w:rsid w:val="001C3B63"/>
    <w:rsid w:val="001C6FD8"/>
    <w:rsid w:val="001D1C06"/>
    <w:rsid w:val="001D2992"/>
    <w:rsid w:val="001D5D11"/>
    <w:rsid w:val="001E2404"/>
    <w:rsid w:val="001E4451"/>
    <w:rsid w:val="001E7BC6"/>
    <w:rsid w:val="002020BA"/>
    <w:rsid w:val="00202237"/>
    <w:rsid w:val="00204373"/>
    <w:rsid w:val="00204CF8"/>
    <w:rsid w:val="002074B9"/>
    <w:rsid w:val="0021202F"/>
    <w:rsid w:val="002147D8"/>
    <w:rsid w:val="00220583"/>
    <w:rsid w:val="00225905"/>
    <w:rsid w:val="00230A75"/>
    <w:rsid w:val="002326F4"/>
    <w:rsid w:val="0023375C"/>
    <w:rsid w:val="00241B64"/>
    <w:rsid w:val="00260F9A"/>
    <w:rsid w:val="00266711"/>
    <w:rsid w:val="00271ED6"/>
    <w:rsid w:val="00272CAD"/>
    <w:rsid w:val="002739E8"/>
    <w:rsid w:val="00287A81"/>
    <w:rsid w:val="002912AA"/>
    <w:rsid w:val="002B04B9"/>
    <w:rsid w:val="002D3531"/>
    <w:rsid w:val="002D6E20"/>
    <w:rsid w:val="002E157F"/>
    <w:rsid w:val="002E56D1"/>
    <w:rsid w:val="002E6D64"/>
    <w:rsid w:val="002F0B6D"/>
    <w:rsid w:val="002F1839"/>
    <w:rsid w:val="0030036E"/>
    <w:rsid w:val="00301A5F"/>
    <w:rsid w:val="0030306E"/>
    <w:rsid w:val="0030639F"/>
    <w:rsid w:val="00306FF7"/>
    <w:rsid w:val="003071AA"/>
    <w:rsid w:val="0030767B"/>
    <w:rsid w:val="00311CFA"/>
    <w:rsid w:val="00312AFD"/>
    <w:rsid w:val="00314F3F"/>
    <w:rsid w:val="003218D0"/>
    <w:rsid w:val="003240AA"/>
    <w:rsid w:val="0034031D"/>
    <w:rsid w:val="00343673"/>
    <w:rsid w:val="00343AE4"/>
    <w:rsid w:val="003450B1"/>
    <w:rsid w:val="00351732"/>
    <w:rsid w:val="00354345"/>
    <w:rsid w:val="003635D6"/>
    <w:rsid w:val="00385E9D"/>
    <w:rsid w:val="00386E26"/>
    <w:rsid w:val="003879D9"/>
    <w:rsid w:val="00392CDF"/>
    <w:rsid w:val="00392F58"/>
    <w:rsid w:val="00393159"/>
    <w:rsid w:val="00395F95"/>
    <w:rsid w:val="00396207"/>
    <w:rsid w:val="00396DE1"/>
    <w:rsid w:val="00397ACF"/>
    <w:rsid w:val="003A060D"/>
    <w:rsid w:val="003A6DCA"/>
    <w:rsid w:val="003B73A8"/>
    <w:rsid w:val="003B763D"/>
    <w:rsid w:val="003C1D6C"/>
    <w:rsid w:val="003C2D7F"/>
    <w:rsid w:val="003D30E3"/>
    <w:rsid w:val="003E22B5"/>
    <w:rsid w:val="003E4086"/>
    <w:rsid w:val="003E6DE5"/>
    <w:rsid w:val="003F1757"/>
    <w:rsid w:val="004048C8"/>
    <w:rsid w:val="00411F63"/>
    <w:rsid w:val="0041769D"/>
    <w:rsid w:val="00420F56"/>
    <w:rsid w:val="00423FB6"/>
    <w:rsid w:val="004254A3"/>
    <w:rsid w:val="004307AC"/>
    <w:rsid w:val="004362A5"/>
    <w:rsid w:val="004431F8"/>
    <w:rsid w:val="00444F59"/>
    <w:rsid w:val="00444FEE"/>
    <w:rsid w:val="00446754"/>
    <w:rsid w:val="00446B7D"/>
    <w:rsid w:val="00453F06"/>
    <w:rsid w:val="00461AA9"/>
    <w:rsid w:val="00464EE2"/>
    <w:rsid w:val="00472B7F"/>
    <w:rsid w:val="004737DD"/>
    <w:rsid w:val="00477162"/>
    <w:rsid w:val="00481D0D"/>
    <w:rsid w:val="00486B6E"/>
    <w:rsid w:val="00491EDB"/>
    <w:rsid w:val="00493A78"/>
    <w:rsid w:val="004A3263"/>
    <w:rsid w:val="004A3B97"/>
    <w:rsid w:val="004B55DC"/>
    <w:rsid w:val="004C209D"/>
    <w:rsid w:val="004C2405"/>
    <w:rsid w:val="004C3643"/>
    <w:rsid w:val="004D1B0E"/>
    <w:rsid w:val="004D3633"/>
    <w:rsid w:val="004E1C48"/>
    <w:rsid w:val="004F0A61"/>
    <w:rsid w:val="00511F48"/>
    <w:rsid w:val="00523652"/>
    <w:rsid w:val="005249F9"/>
    <w:rsid w:val="005275A3"/>
    <w:rsid w:val="0053028C"/>
    <w:rsid w:val="005354E8"/>
    <w:rsid w:val="00536E41"/>
    <w:rsid w:val="00555498"/>
    <w:rsid w:val="00565910"/>
    <w:rsid w:val="00574147"/>
    <w:rsid w:val="00575A4D"/>
    <w:rsid w:val="0057775C"/>
    <w:rsid w:val="00582EBC"/>
    <w:rsid w:val="00585973"/>
    <w:rsid w:val="005920D0"/>
    <w:rsid w:val="00595BEC"/>
    <w:rsid w:val="00596960"/>
    <w:rsid w:val="005978BD"/>
    <w:rsid w:val="00597CD6"/>
    <w:rsid w:val="005A2B79"/>
    <w:rsid w:val="005B0705"/>
    <w:rsid w:val="005C67D8"/>
    <w:rsid w:val="0060584C"/>
    <w:rsid w:val="00606C4F"/>
    <w:rsid w:val="006112FC"/>
    <w:rsid w:val="006131DD"/>
    <w:rsid w:val="00616A57"/>
    <w:rsid w:val="00620FC9"/>
    <w:rsid w:val="00626684"/>
    <w:rsid w:val="006273C0"/>
    <w:rsid w:val="00633C74"/>
    <w:rsid w:val="00642E48"/>
    <w:rsid w:val="006459A1"/>
    <w:rsid w:val="00645A8F"/>
    <w:rsid w:val="006476DC"/>
    <w:rsid w:val="006503DE"/>
    <w:rsid w:val="00652132"/>
    <w:rsid w:val="00653C73"/>
    <w:rsid w:val="00654A3B"/>
    <w:rsid w:val="00660B74"/>
    <w:rsid w:val="00661C13"/>
    <w:rsid w:val="0067013E"/>
    <w:rsid w:val="00682AF7"/>
    <w:rsid w:val="00683F51"/>
    <w:rsid w:val="00687735"/>
    <w:rsid w:val="00691FDD"/>
    <w:rsid w:val="0069415A"/>
    <w:rsid w:val="006A16BA"/>
    <w:rsid w:val="006A4676"/>
    <w:rsid w:val="006A6340"/>
    <w:rsid w:val="006B1D41"/>
    <w:rsid w:val="006B5145"/>
    <w:rsid w:val="006B5C7A"/>
    <w:rsid w:val="006B6862"/>
    <w:rsid w:val="006B75F6"/>
    <w:rsid w:val="006D6979"/>
    <w:rsid w:val="006E3332"/>
    <w:rsid w:val="006F0D12"/>
    <w:rsid w:val="006F10CE"/>
    <w:rsid w:val="006F20D4"/>
    <w:rsid w:val="006F33BC"/>
    <w:rsid w:val="006F6C7A"/>
    <w:rsid w:val="006F7E97"/>
    <w:rsid w:val="0070017B"/>
    <w:rsid w:val="00701560"/>
    <w:rsid w:val="00705086"/>
    <w:rsid w:val="00706F8A"/>
    <w:rsid w:val="007214C3"/>
    <w:rsid w:val="007308FD"/>
    <w:rsid w:val="00730F0A"/>
    <w:rsid w:val="00731383"/>
    <w:rsid w:val="00740415"/>
    <w:rsid w:val="0074382A"/>
    <w:rsid w:val="00746E16"/>
    <w:rsid w:val="007478E4"/>
    <w:rsid w:val="007510EC"/>
    <w:rsid w:val="007525EC"/>
    <w:rsid w:val="007559B1"/>
    <w:rsid w:val="007610D7"/>
    <w:rsid w:val="007617B8"/>
    <w:rsid w:val="00761FDB"/>
    <w:rsid w:val="0076409E"/>
    <w:rsid w:val="00764EAC"/>
    <w:rsid w:val="00772424"/>
    <w:rsid w:val="007739FB"/>
    <w:rsid w:val="00775701"/>
    <w:rsid w:val="00777E64"/>
    <w:rsid w:val="0078679A"/>
    <w:rsid w:val="00794BF6"/>
    <w:rsid w:val="007A16D1"/>
    <w:rsid w:val="007A3C32"/>
    <w:rsid w:val="007A45E9"/>
    <w:rsid w:val="007A68FB"/>
    <w:rsid w:val="007B09F2"/>
    <w:rsid w:val="007B1524"/>
    <w:rsid w:val="007B3298"/>
    <w:rsid w:val="007B4AC1"/>
    <w:rsid w:val="007B5757"/>
    <w:rsid w:val="007C7E46"/>
    <w:rsid w:val="007D19E0"/>
    <w:rsid w:val="007D2A51"/>
    <w:rsid w:val="007D6D36"/>
    <w:rsid w:val="007E2696"/>
    <w:rsid w:val="007E2BE4"/>
    <w:rsid w:val="007E5847"/>
    <w:rsid w:val="007F2648"/>
    <w:rsid w:val="007F7A84"/>
    <w:rsid w:val="00803E82"/>
    <w:rsid w:val="00805057"/>
    <w:rsid w:val="00815824"/>
    <w:rsid w:val="00815982"/>
    <w:rsid w:val="00816CCD"/>
    <w:rsid w:val="00841771"/>
    <w:rsid w:val="00841D4A"/>
    <w:rsid w:val="00844477"/>
    <w:rsid w:val="00847F10"/>
    <w:rsid w:val="00851C56"/>
    <w:rsid w:val="00852579"/>
    <w:rsid w:val="00857DEA"/>
    <w:rsid w:val="00864CF1"/>
    <w:rsid w:val="0086523C"/>
    <w:rsid w:val="0088289A"/>
    <w:rsid w:val="008860CB"/>
    <w:rsid w:val="0089466A"/>
    <w:rsid w:val="00895673"/>
    <w:rsid w:val="008966E7"/>
    <w:rsid w:val="00897391"/>
    <w:rsid w:val="008A4233"/>
    <w:rsid w:val="008A4F22"/>
    <w:rsid w:val="008B12A4"/>
    <w:rsid w:val="008B319E"/>
    <w:rsid w:val="008B39D3"/>
    <w:rsid w:val="008C0342"/>
    <w:rsid w:val="008C1B66"/>
    <w:rsid w:val="008D50FC"/>
    <w:rsid w:val="008E1C26"/>
    <w:rsid w:val="008E1CF0"/>
    <w:rsid w:val="008E7423"/>
    <w:rsid w:val="008F1822"/>
    <w:rsid w:val="008F1834"/>
    <w:rsid w:val="008F43F1"/>
    <w:rsid w:val="008F6592"/>
    <w:rsid w:val="0090370B"/>
    <w:rsid w:val="00905733"/>
    <w:rsid w:val="00907BE8"/>
    <w:rsid w:val="00917D6C"/>
    <w:rsid w:val="009245C5"/>
    <w:rsid w:val="00927233"/>
    <w:rsid w:val="00941CCD"/>
    <w:rsid w:val="009501BE"/>
    <w:rsid w:val="009667FE"/>
    <w:rsid w:val="00967183"/>
    <w:rsid w:val="009671ED"/>
    <w:rsid w:val="00973DD6"/>
    <w:rsid w:val="0098018A"/>
    <w:rsid w:val="0098199A"/>
    <w:rsid w:val="00981B1B"/>
    <w:rsid w:val="009904A1"/>
    <w:rsid w:val="00992C28"/>
    <w:rsid w:val="00994BEE"/>
    <w:rsid w:val="00996251"/>
    <w:rsid w:val="009A0731"/>
    <w:rsid w:val="009A340A"/>
    <w:rsid w:val="009A5D0C"/>
    <w:rsid w:val="009B101C"/>
    <w:rsid w:val="009B2F6E"/>
    <w:rsid w:val="009B49FC"/>
    <w:rsid w:val="009B7BE3"/>
    <w:rsid w:val="009C0C37"/>
    <w:rsid w:val="009C2236"/>
    <w:rsid w:val="009C4FEF"/>
    <w:rsid w:val="009D28DC"/>
    <w:rsid w:val="009E1543"/>
    <w:rsid w:val="009E1C03"/>
    <w:rsid w:val="009F56E4"/>
    <w:rsid w:val="00A0094B"/>
    <w:rsid w:val="00A07FBA"/>
    <w:rsid w:val="00A133E4"/>
    <w:rsid w:val="00A17783"/>
    <w:rsid w:val="00A26D5F"/>
    <w:rsid w:val="00A378E4"/>
    <w:rsid w:val="00A460F3"/>
    <w:rsid w:val="00A50007"/>
    <w:rsid w:val="00A53D3E"/>
    <w:rsid w:val="00A550E1"/>
    <w:rsid w:val="00A5626C"/>
    <w:rsid w:val="00A72AEB"/>
    <w:rsid w:val="00A75B21"/>
    <w:rsid w:val="00A76538"/>
    <w:rsid w:val="00A76D67"/>
    <w:rsid w:val="00A773AA"/>
    <w:rsid w:val="00A84FCD"/>
    <w:rsid w:val="00A90647"/>
    <w:rsid w:val="00A96143"/>
    <w:rsid w:val="00A9665E"/>
    <w:rsid w:val="00AA0B13"/>
    <w:rsid w:val="00AA1835"/>
    <w:rsid w:val="00AA1B3B"/>
    <w:rsid w:val="00AA253B"/>
    <w:rsid w:val="00AA4AED"/>
    <w:rsid w:val="00AB2B3E"/>
    <w:rsid w:val="00AC0DC8"/>
    <w:rsid w:val="00AC3A96"/>
    <w:rsid w:val="00AC4208"/>
    <w:rsid w:val="00AC5E50"/>
    <w:rsid w:val="00AD1C8C"/>
    <w:rsid w:val="00AF0BB2"/>
    <w:rsid w:val="00AF3C73"/>
    <w:rsid w:val="00AF6194"/>
    <w:rsid w:val="00AF6C61"/>
    <w:rsid w:val="00B02D9D"/>
    <w:rsid w:val="00B03381"/>
    <w:rsid w:val="00B10CFB"/>
    <w:rsid w:val="00B13AC0"/>
    <w:rsid w:val="00B172C2"/>
    <w:rsid w:val="00B242CA"/>
    <w:rsid w:val="00B26055"/>
    <w:rsid w:val="00B26394"/>
    <w:rsid w:val="00B26B19"/>
    <w:rsid w:val="00B30095"/>
    <w:rsid w:val="00B30312"/>
    <w:rsid w:val="00B36426"/>
    <w:rsid w:val="00B423E8"/>
    <w:rsid w:val="00B47283"/>
    <w:rsid w:val="00B47C4A"/>
    <w:rsid w:val="00B56BC5"/>
    <w:rsid w:val="00B717B4"/>
    <w:rsid w:val="00B73251"/>
    <w:rsid w:val="00B85739"/>
    <w:rsid w:val="00B86DA7"/>
    <w:rsid w:val="00B87AE7"/>
    <w:rsid w:val="00B915E7"/>
    <w:rsid w:val="00B91E22"/>
    <w:rsid w:val="00B9757B"/>
    <w:rsid w:val="00BA1A3A"/>
    <w:rsid w:val="00BA4103"/>
    <w:rsid w:val="00BB0B0D"/>
    <w:rsid w:val="00BB0DF7"/>
    <w:rsid w:val="00BB2DDE"/>
    <w:rsid w:val="00BB3F72"/>
    <w:rsid w:val="00BB678C"/>
    <w:rsid w:val="00BC21FD"/>
    <w:rsid w:val="00BC613C"/>
    <w:rsid w:val="00BD1142"/>
    <w:rsid w:val="00BD249F"/>
    <w:rsid w:val="00BD2769"/>
    <w:rsid w:val="00BD2E2B"/>
    <w:rsid w:val="00BD45C8"/>
    <w:rsid w:val="00BD6CA1"/>
    <w:rsid w:val="00BE34E7"/>
    <w:rsid w:val="00BF29D8"/>
    <w:rsid w:val="00BF4E1D"/>
    <w:rsid w:val="00BF5BE2"/>
    <w:rsid w:val="00BF6824"/>
    <w:rsid w:val="00C16C66"/>
    <w:rsid w:val="00C30761"/>
    <w:rsid w:val="00C30CCE"/>
    <w:rsid w:val="00C36E17"/>
    <w:rsid w:val="00C3745C"/>
    <w:rsid w:val="00C37710"/>
    <w:rsid w:val="00C378FA"/>
    <w:rsid w:val="00C4062A"/>
    <w:rsid w:val="00C40673"/>
    <w:rsid w:val="00C4480F"/>
    <w:rsid w:val="00C474A9"/>
    <w:rsid w:val="00C521B3"/>
    <w:rsid w:val="00C55FD8"/>
    <w:rsid w:val="00C632F9"/>
    <w:rsid w:val="00C63C23"/>
    <w:rsid w:val="00C63C2E"/>
    <w:rsid w:val="00C741B6"/>
    <w:rsid w:val="00C76A79"/>
    <w:rsid w:val="00C8326D"/>
    <w:rsid w:val="00C84DC3"/>
    <w:rsid w:val="00C900F3"/>
    <w:rsid w:val="00C92079"/>
    <w:rsid w:val="00C96CA3"/>
    <w:rsid w:val="00C97811"/>
    <w:rsid w:val="00CD0846"/>
    <w:rsid w:val="00CE1629"/>
    <w:rsid w:val="00CE2483"/>
    <w:rsid w:val="00CF273C"/>
    <w:rsid w:val="00CF4820"/>
    <w:rsid w:val="00CF611B"/>
    <w:rsid w:val="00D11EC3"/>
    <w:rsid w:val="00D12075"/>
    <w:rsid w:val="00D21D56"/>
    <w:rsid w:val="00D21E9D"/>
    <w:rsid w:val="00D22C5B"/>
    <w:rsid w:val="00D23514"/>
    <w:rsid w:val="00D3145C"/>
    <w:rsid w:val="00D332B1"/>
    <w:rsid w:val="00D417E2"/>
    <w:rsid w:val="00D418C5"/>
    <w:rsid w:val="00D41F29"/>
    <w:rsid w:val="00D42391"/>
    <w:rsid w:val="00D5326C"/>
    <w:rsid w:val="00D72088"/>
    <w:rsid w:val="00D74E29"/>
    <w:rsid w:val="00D8139D"/>
    <w:rsid w:val="00D92025"/>
    <w:rsid w:val="00D93989"/>
    <w:rsid w:val="00DA0169"/>
    <w:rsid w:val="00DA0682"/>
    <w:rsid w:val="00DA10D5"/>
    <w:rsid w:val="00DA1971"/>
    <w:rsid w:val="00DA31F0"/>
    <w:rsid w:val="00DA40D4"/>
    <w:rsid w:val="00DB03FD"/>
    <w:rsid w:val="00DB664C"/>
    <w:rsid w:val="00DB6CF4"/>
    <w:rsid w:val="00DD0C32"/>
    <w:rsid w:val="00DD7BDD"/>
    <w:rsid w:val="00DE06C3"/>
    <w:rsid w:val="00DE1EF7"/>
    <w:rsid w:val="00DE308B"/>
    <w:rsid w:val="00DE400B"/>
    <w:rsid w:val="00DE50F8"/>
    <w:rsid w:val="00DE7E89"/>
    <w:rsid w:val="00DF7412"/>
    <w:rsid w:val="00E0501B"/>
    <w:rsid w:val="00E10C06"/>
    <w:rsid w:val="00E10FAE"/>
    <w:rsid w:val="00E13792"/>
    <w:rsid w:val="00E20B9A"/>
    <w:rsid w:val="00E225B2"/>
    <w:rsid w:val="00E252B0"/>
    <w:rsid w:val="00E25771"/>
    <w:rsid w:val="00E30685"/>
    <w:rsid w:val="00E33008"/>
    <w:rsid w:val="00E33FCC"/>
    <w:rsid w:val="00E453E8"/>
    <w:rsid w:val="00E52B19"/>
    <w:rsid w:val="00E53D7E"/>
    <w:rsid w:val="00E6062A"/>
    <w:rsid w:val="00E77477"/>
    <w:rsid w:val="00E77F2F"/>
    <w:rsid w:val="00E819B5"/>
    <w:rsid w:val="00E831C2"/>
    <w:rsid w:val="00E8417E"/>
    <w:rsid w:val="00E86F44"/>
    <w:rsid w:val="00E9136A"/>
    <w:rsid w:val="00E915E0"/>
    <w:rsid w:val="00E92B1B"/>
    <w:rsid w:val="00E948D0"/>
    <w:rsid w:val="00EA7E4F"/>
    <w:rsid w:val="00EC0198"/>
    <w:rsid w:val="00EC1947"/>
    <w:rsid w:val="00EC437A"/>
    <w:rsid w:val="00ED4306"/>
    <w:rsid w:val="00ED79C4"/>
    <w:rsid w:val="00EE0EC7"/>
    <w:rsid w:val="00EE3797"/>
    <w:rsid w:val="00EF740A"/>
    <w:rsid w:val="00EF7DA4"/>
    <w:rsid w:val="00F061D4"/>
    <w:rsid w:val="00F106EA"/>
    <w:rsid w:val="00F11194"/>
    <w:rsid w:val="00F129D4"/>
    <w:rsid w:val="00F27248"/>
    <w:rsid w:val="00F30B08"/>
    <w:rsid w:val="00F42AD5"/>
    <w:rsid w:val="00F46A49"/>
    <w:rsid w:val="00F55C51"/>
    <w:rsid w:val="00F6021C"/>
    <w:rsid w:val="00F637CD"/>
    <w:rsid w:val="00F66507"/>
    <w:rsid w:val="00F676C2"/>
    <w:rsid w:val="00F738B2"/>
    <w:rsid w:val="00F83E61"/>
    <w:rsid w:val="00F91C9F"/>
    <w:rsid w:val="00FA2412"/>
    <w:rsid w:val="00FA2425"/>
    <w:rsid w:val="00FB5390"/>
    <w:rsid w:val="00FC482E"/>
    <w:rsid w:val="00FC5D6F"/>
    <w:rsid w:val="00FC6A58"/>
    <w:rsid w:val="00FD2704"/>
    <w:rsid w:val="00FD544A"/>
    <w:rsid w:val="00FE27B0"/>
    <w:rsid w:val="00FE6365"/>
    <w:rsid w:val="00FF3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B39D3"/>
    <w:pPr>
      <w:keepNext/>
      <w:numPr>
        <w:ilvl w:val="1"/>
        <w:numId w:val="10"/>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8B39D3"/>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B39D3"/>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8B39D3"/>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customStyle="1" w:styleId="nlmstring-name">
    <w:name w:val="nlm_string-name"/>
    <w:basedOn w:val="DefaultParagraphFont"/>
    <w:rsid w:val="00446B7D"/>
  </w:style>
  <w:style w:type="character" w:customStyle="1" w:styleId="apple-converted-space">
    <w:name w:val="apple-converted-space"/>
    <w:basedOn w:val="DefaultParagraphFont"/>
    <w:rsid w:val="00446B7D"/>
  </w:style>
  <w:style w:type="character" w:styleId="HTMLCite">
    <w:name w:val="HTML Cite"/>
    <w:basedOn w:val="DefaultParagraphFont"/>
    <w:uiPriority w:val="99"/>
    <w:semiHidden/>
    <w:unhideWhenUsed/>
    <w:rsid w:val="00446B7D"/>
    <w:rPr>
      <w:i/>
      <w:iCs/>
    </w:rPr>
  </w:style>
  <w:style w:type="paragraph" w:styleId="HTMLPreformatted">
    <w:name w:val="HTML Preformatted"/>
    <w:basedOn w:val="Normal"/>
    <w:link w:val="HTMLPreformattedChar"/>
    <w:uiPriority w:val="99"/>
    <w:semiHidden/>
    <w:unhideWhenUsed/>
    <w:rsid w:val="00425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zh-CN" w:bidi="ar-SA"/>
    </w:rPr>
  </w:style>
  <w:style w:type="character" w:customStyle="1" w:styleId="HTMLPreformattedChar">
    <w:name w:val="HTML Preformatted Char"/>
    <w:basedOn w:val="DefaultParagraphFont"/>
    <w:link w:val="HTMLPreformatted"/>
    <w:uiPriority w:val="99"/>
    <w:semiHidden/>
    <w:rsid w:val="004254A3"/>
    <w:rPr>
      <w:rFonts w:ascii="Courier New" w:hAnsi="Courier New" w:cs="Courier New"/>
      <w:lang w:eastAsia="zh-CN"/>
    </w:rPr>
  </w:style>
  <w:style w:type="paragraph" w:customStyle="1" w:styleId="Header1">
    <w:name w:val="Header1"/>
    <w:basedOn w:val="Normal"/>
    <w:rsid w:val="00AA253B"/>
    <w:pPr>
      <w:spacing w:before="100" w:beforeAutospacing="1" w:after="100" w:afterAutospacing="1" w:line="240" w:lineRule="auto"/>
    </w:pPr>
    <w:rPr>
      <w:rFonts w:ascii="Times New Roman" w:hAnsi="Times New Roman"/>
      <w:lang w:bidi="ar-SA"/>
    </w:rPr>
  </w:style>
  <w:style w:type="paragraph" w:styleId="NormalWeb">
    <w:name w:val="Normal (Web)"/>
    <w:basedOn w:val="Normal"/>
    <w:uiPriority w:val="99"/>
    <w:semiHidden/>
    <w:unhideWhenUsed/>
    <w:rsid w:val="00AA253B"/>
    <w:pPr>
      <w:spacing w:before="100" w:beforeAutospacing="1" w:after="100" w:afterAutospacing="1" w:line="240" w:lineRule="auto"/>
    </w:pPr>
    <w:rPr>
      <w:rFonts w:ascii="Times New Roman" w:hAnsi="Times New Roman"/>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8B39D3"/>
    <w:pPr>
      <w:keepNext/>
      <w:numPr>
        <w:ilvl w:val="1"/>
        <w:numId w:val="10"/>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8B39D3"/>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8B39D3"/>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8B39D3"/>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customStyle="1" w:styleId="nlmstring-name">
    <w:name w:val="nlm_string-name"/>
    <w:basedOn w:val="DefaultParagraphFont"/>
    <w:rsid w:val="00446B7D"/>
  </w:style>
  <w:style w:type="character" w:customStyle="1" w:styleId="apple-converted-space">
    <w:name w:val="apple-converted-space"/>
    <w:basedOn w:val="DefaultParagraphFont"/>
    <w:rsid w:val="00446B7D"/>
  </w:style>
  <w:style w:type="character" w:styleId="HTMLCite">
    <w:name w:val="HTML Cite"/>
    <w:basedOn w:val="DefaultParagraphFont"/>
    <w:uiPriority w:val="99"/>
    <w:semiHidden/>
    <w:unhideWhenUsed/>
    <w:rsid w:val="00446B7D"/>
    <w:rPr>
      <w:i/>
      <w:iCs/>
    </w:rPr>
  </w:style>
  <w:style w:type="paragraph" w:styleId="HTMLPreformatted">
    <w:name w:val="HTML Preformatted"/>
    <w:basedOn w:val="Normal"/>
    <w:link w:val="HTMLPreformattedChar"/>
    <w:uiPriority w:val="99"/>
    <w:semiHidden/>
    <w:unhideWhenUsed/>
    <w:rsid w:val="00425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zh-CN" w:bidi="ar-SA"/>
    </w:rPr>
  </w:style>
  <w:style w:type="character" w:customStyle="1" w:styleId="HTMLPreformattedChar">
    <w:name w:val="HTML Preformatted Char"/>
    <w:basedOn w:val="DefaultParagraphFont"/>
    <w:link w:val="HTMLPreformatted"/>
    <w:uiPriority w:val="99"/>
    <w:semiHidden/>
    <w:rsid w:val="004254A3"/>
    <w:rPr>
      <w:rFonts w:ascii="Courier New" w:hAnsi="Courier New" w:cs="Courier New"/>
      <w:lang w:eastAsia="zh-CN"/>
    </w:rPr>
  </w:style>
  <w:style w:type="paragraph" w:customStyle="1" w:styleId="Header1">
    <w:name w:val="Header1"/>
    <w:basedOn w:val="Normal"/>
    <w:rsid w:val="00AA253B"/>
    <w:pPr>
      <w:spacing w:before="100" w:beforeAutospacing="1" w:after="100" w:afterAutospacing="1" w:line="240" w:lineRule="auto"/>
    </w:pPr>
    <w:rPr>
      <w:rFonts w:ascii="Times New Roman" w:hAnsi="Times New Roman"/>
      <w:lang w:bidi="ar-SA"/>
    </w:rPr>
  </w:style>
  <w:style w:type="paragraph" w:styleId="NormalWeb">
    <w:name w:val="Normal (Web)"/>
    <w:basedOn w:val="Normal"/>
    <w:uiPriority w:val="99"/>
    <w:semiHidden/>
    <w:unhideWhenUsed/>
    <w:rsid w:val="00AA253B"/>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84759">
      <w:bodyDiv w:val="1"/>
      <w:marLeft w:val="0"/>
      <w:marRight w:val="0"/>
      <w:marTop w:val="0"/>
      <w:marBottom w:val="0"/>
      <w:divBdr>
        <w:top w:val="none" w:sz="0" w:space="0" w:color="auto"/>
        <w:left w:val="none" w:sz="0" w:space="0" w:color="auto"/>
        <w:bottom w:val="none" w:sz="0" w:space="0" w:color="auto"/>
        <w:right w:val="none" w:sz="0" w:space="0" w:color="auto"/>
      </w:divBdr>
    </w:div>
    <w:div w:id="195237883">
      <w:bodyDiv w:val="1"/>
      <w:marLeft w:val="0"/>
      <w:marRight w:val="0"/>
      <w:marTop w:val="0"/>
      <w:marBottom w:val="0"/>
      <w:divBdr>
        <w:top w:val="none" w:sz="0" w:space="0" w:color="auto"/>
        <w:left w:val="none" w:sz="0" w:space="0" w:color="auto"/>
        <w:bottom w:val="none" w:sz="0" w:space="0" w:color="auto"/>
        <w:right w:val="none" w:sz="0" w:space="0" w:color="auto"/>
      </w:divBdr>
    </w:div>
    <w:div w:id="270749090">
      <w:bodyDiv w:val="1"/>
      <w:marLeft w:val="0"/>
      <w:marRight w:val="0"/>
      <w:marTop w:val="0"/>
      <w:marBottom w:val="0"/>
      <w:divBdr>
        <w:top w:val="none" w:sz="0" w:space="0" w:color="auto"/>
        <w:left w:val="none" w:sz="0" w:space="0" w:color="auto"/>
        <w:bottom w:val="none" w:sz="0" w:space="0" w:color="auto"/>
        <w:right w:val="none" w:sz="0" w:space="0" w:color="auto"/>
      </w:divBdr>
    </w:div>
    <w:div w:id="304626284">
      <w:bodyDiv w:val="1"/>
      <w:marLeft w:val="0"/>
      <w:marRight w:val="0"/>
      <w:marTop w:val="0"/>
      <w:marBottom w:val="0"/>
      <w:divBdr>
        <w:top w:val="none" w:sz="0" w:space="0" w:color="auto"/>
        <w:left w:val="none" w:sz="0" w:space="0" w:color="auto"/>
        <w:bottom w:val="none" w:sz="0" w:space="0" w:color="auto"/>
        <w:right w:val="none" w:sz="0" w:space="0" w:color="auto"/>
      </w:divBdr>
    </w:div>
    <w:div w:id="502204254">
      <w:bodyDiv w:val="1"/>
      <w:marLeft w:val="0"/>
      <w:marRight w:val="0"/>
      <w:marTop w:val="0"/>
      <w:marBottom w:val="0"/>
      <w:divBdr>
        <w:top w:val="none" w:sz="0" w:space="0" w:color="auto"/>
        <w:left w:val="none" w:sz="0" w:space="0" w:color="auto"/>
        <w:bottom w:val="none" w:sz="0" w:space="0" w:color="auto"/>
        <w:right w:val="none" w:sz="0" w:space="0" w:color="auto"/>
      </w:divBdr>
    </w:div>
    <w:div w:id="1391421364">
      <w:bodyDiv w:val="1"/>
      <w:marLeft w:val="0"/>
      <w:marRight w:val="0"/>
      <w:marTop w:val="0"/>
      <w:marBottom w:val="0"/>
      <w:divBdr>
        <w:top w:val="none" w:sz="0" w:space="0" w:color="auto"/>
        <w:left w:val="none" w:sz="0" w:space="0" w:color="auto"/>
        <w:bottom w:val="none" w:sz="0" w:space="0" w:color="auto"/>
        <w:right w:val="none" w:sz="0" w:space="0" w:color="auto"/>
      </w:divBdr>
    </w:div>
    <w:div w:id="165906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D:\Masters%20Thesis\Final%20Resul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asters%20Thesis\Final%20Resul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asters%20Thesis\Final%20Resul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asters%20Thesis\Final%20Resul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asters%20Thesis\Final%20Resul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Masters%20Thesis\Final%20Resul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Masters%20Thesis\Final%20Resul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Masters%20Thesis\Final%20Result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Masters%20Thesis\Final%20Resul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Sample 1</a:t>
            </a:r>
          </a:p>
        </c:rich>
      </c:tx>
      <c:overlay val="0"/>
      <c:spPr>
        <a:noFill/>
        <a:ln>
          <a:noFill/>
        </a:ln>
        <a:effectLst/>
      </c:spPr>
    </c:title>
    <c:autoTitleDeleted val="0"/>
    <c:plotArea>
      <c:layout/>
      <c:scatterChart>
        <c:scatterStyle val="lineMarker"/>
        <c:varyColors val="0"/>
        <c:ser>
          <c:idx val="0"/>
          <c:order val="0"/>
          <c:tx>
            <c:v>Pore-throat Size</c:v>
          </c:tx>
          <c:spPr>
            <a:ln w="19050" cap="rnd">
              <a:solidFill>
                <a:srgbClr val="0070C0"/>
              </a:solidFill>
              <a:round/>
            </a:ln>
            <a:effectLst/>
          </c:spPr>
          <c:marker>
            <c:symbol val="triangle"/>
            <c:size val="5"/>
            <c:spPr>
              <a:solidFill>
                <a:srgbClr val="0070C0"/>
              </a:solidFill>
              <a:ln w="9525">
                <a:solidFill>
                  <a:srgbClr val="0070C0"/>
                </a:solidFill>
              </a:ln>
              <a:effectLst/>
            </c:spPr>
          </c:marker>
          <c:xVal>
            <c:numRef>
              <c:f>'Pore Size vs Volume Fraction'!$A$7:$A$32</c:f>
              <c:numCache>
                <c:formatCode>0.0000</c:formatCode>
                <c:ptCount val="26"/>
                <c:pt idx="0">
                  <c:v>3.5023041474654302</c:v>
                </c:pt>
                <c:pt idx="1">
                  <c:v>4.1474654377880098</c:v>
                </c:pt>
                <c:pt idx="2">
                  <c:v>4.2396313364055196</c:v>
                </c:pt>
                <c:pt idx="3">
                  <c:v>5.1612903225806397</c:v>
                </c:pt>
                <c:pt idx="4">
                  <c:v>5.4377880184331699</c:v>
                </c:pt>
                <c:pt idx="5">
                  <c:v>6.08294930875575</c:v>
                </c:pt>
                <c:pt idx="6">
                  <c:v>6.35944700460829</c:v>
                </c:pt>
                <c:pt idx="7">
                  <c:v>7.0046082949308701</c:v>
                </c:pt>
                <c:pt idx="8">
                  <c:v>7.4654377880184297</c:v>
                </c:pt>
                <c:pt idx="9">
                  <c:v>7.8341013824884698</c:v>
                </c:pt>
                <c:pt idx="10">
                  <c:v>9.2165898617511495</c:v>
                </c:pt>
                <c:pt idx="11">
                  <c:v>10.506912442396301</c:v>
                </c:pt>
                <c:pt idx="12">
                  <c:v>11.152073732718801</c:v>
                </c:pt>
                <c:pt idx="13">
                  <c:v>12.7188940092165</c:v>
                </c:pt>
                <c:pt idx="14">
                  <c:v>14.470046082949301</c:v>
                </c:pt>
                <c:pt idx="15">
                  <c:v>16.497695852534498</c:v>
                </c:pt>
                <c:pt idx="16">
                  <c:v>17.1428571428571</c:v>
                </c:pt>
                <c:pt idx="17">
                  <c:v>20.092165898617498</c:v>
                </c:pt>
                <c:pt idx="18">
                  <c:v>20.276497695852498</c:v>
                </c:pt>
                <c:pt idx="19">
                  <c:v>24.792626728110498</c:v>
                </c:pt>
                <c:pt idx="20">
                  <c:v>25.622119815668199</c:v>
                </c:pt>
                <c:pt idx="21">
                  <c:v>30.414746543778801</c:v>
                </c:pt>
                <c:pt idx="22">
                  <c:v>30.506912442396299</c:v>
                </c:pt>
                <c:pt idx="23">
                  <c:v>37.419354838709602</c:v>
                </c:pt>
                <c:pt idx="24">
                  <c:v>45.2534562211981</c:v>
                </c:pt>
                <c:pt idx="25">
                  <c:v>56.036866359446996</c:v>
                </c:pt>
              </c:numCache>
            </c:numRef>
          </c:xVal>
          <c:yVal>
            <c:numRef>
              <c:f>'Pore Size vs Volume Fraction'!$C$7:$C$32</c:f>
              <c:numCache>
                <c:formatCode>0.0000</c:formatCode>
                <c:ptCount val="26"/>
                <c:pt idx="0">
                  <c:v>6.3922207627481173E-2</c:v>
                </c:pt>
                <c:pt idx="1">
                  <c:v>8.1791624081260048E-2</c:v>
                </c:pt>
                <c:pt idx="2">
                  <c:v>7.8608131830315356E-2</c:v>
                </c:pt>
                <c:pt idx="3">
                  <c:v>3.8203787507674759E-2</c:v>
                </c:pt>
                <c:pt idx="4">
                  <c:v>7.9090479141064568E-2</c:v>
                </c:pt>
                <c:pt idx="5">
                  <c:v>4.4319161599512595E-2</c:v>
                </c:pt>
                <c:pt idx="6">
                  <c:v>7.2229300201495178E-2</c:v>
                </c:pt>
                <c:pt idx="7">
                  <c:v>3.0357604586154448E-2</c:v>
                </c:pt>
                <c:pt idx="8">
                  <c:v>4.2841655626586109E-2</c:v>
                </c:pt>
                <c:pt idx="9">
                  <c:v>3.524933971072329E-2</c:v>
                </c:pt>
                <c:pt idx="10">
                  <c:v>3.6709921216605927E-2</c:v>
                </c:pt>
                <c:pt idx="11">
                  <c:v>1.0014395199468975E-2</c:v>
                </c:pt>
                <c:pt idx="12">
                  <c:v>3.7922277205845754E-2</c:v>
                </c:pt>
                <c:pt idx="13">
                  <c:v>1.9794480555197717E-2</c:v>
                </c:pt>
                <c:pt idx="14">
                  <c:v>5.8278462017265012E-3</c:v>
                </c:pt>
                <c:pt idx="15">
                  <c:v>9.9777255208739861E-3</c:v>
                </c:pt>
                <c:pt idx="16">
                  <c:v>3.6171723164612084E-2</c:v>
                </c:pt>
                <c:pt idx="17">
                  <c:v>2.1952914252187684E-2</c:v>
                </c:pt>
                <c:pt idx="18">
                  <c:v>2.9786685897875913E-2</c:v>
                </c:pt>
                <c:pt idx="19">
                  <c:v>3.4166173819917989E-2</c:v>
                </c:pt>
                <c:pt idx="20">
                  <c:v>1.3594484128140715E-2</c:v>
                </c:pt>
                <c:pt idx="21">
                  <c:v>3.6335326346035715E-2</c:v>
                </c:pt>
                <c:pt idx="22">
                  <c:v>1.7971715454577063E-2</c:v>
                </c:pt>
                <c:pt idx="23">
                  <c:v>5.9307469613529784E-2</c:v>
                </c:pt>
                <c:pt idx="24">
                  <c:v>6.2932126305417085E-2</c:v>
                </c:pt>
                <c:pt idx="25">
                  <c:v>9.2144320571970004E-4</c:v>
                </c:pt>
              </c:numCache>
            </c:numRef>
          </c:yVal>
          <c:smooth val="0"/>
          <c:extLst xmlns:c16r2="http://schemas.microsoft.com/office/drawing/2015/06/chart">
            <c:ext xmlns:c16="http://schemas.microsoft.com/office/drawing/2014/chart" uri="{C3380CC4-5D6E-409C-BE32-E72D297353CC}">
              <c16:uniqueId val="{00000000-9176-4EDC-980D-1FF6DBCCD1C6}"/>
            </c:ext>
          </c:extLst>
        </c:ser>
        <c:ser>
          <c:idx val="1"/>
          <c:order val="1"/>
          <c:tx>
            <c:v>Pore-body Size</c:v>
          </c:tx>
          <c:spPr>
            <a:ln w="19050" cap="rnd">
              <a:solidFill>
                <a:srgbClr val="FF0000"/>
              </a:solidFill>
              <a:round/>
            </a:ln>
            <a:effectLst/>
          </c:spPr>
          <c:marker>
            <c:symbol val="circle"/>
            <c:size val="5"/>
            <c:spPr>
              <a:solidFill>
                <a:srgbClr val="FF0000"/>
              </a:solidFill>
              <a:ln w="9525">
                <a:solidFill>
                  <a:srgbClr val="FF0000"/>
                </a:solidFill>
              </a:ln>
              <a:effectLst/>
            </c:spPr>
          </c:marker>
          <c:xVal>
            <c:numRef>
              <c:f>'Pore Size vs Volume Fraction'!$E$7:$E$56</c:f>
              <c:numCache>
                <c:formatCode>0.0000</c:formatCode>
                <c:ptCount val="50"/>
                <c:pt idx="0">
                  <c:v>1.84331797235022</c:v>
                </c:pt>
                <c:pt idx="1">
                  <c:v>3.0414746543778701</c:v>
                </c:pt>
                <c:pt idx="2">
                  <c:v>3.6866359447004502</c:v>
                </c:pt>
                <c:pt idx="3">
                  <c:v>4.2396313364055196</c:v>
                </c:pt>
                <c:pt idx="4">
                  <c:v>5.6221198156681904</c:v>
                </c:pt>
                <c:pt idx="5">
                  <c:v>6.7281105990783301</c:v>
                </c:pt>
                <c:pt idx="6">
                  <c:v>7.8341013824884698</c:v>
                </c:pt>
                <c:pt idx="7">
                  <c:v>9.0322580645161192</c:v>
                </c:pt>
                <c:pt idx="8">
                  <c:v>10.691244239631301</c:v>
                </c:pt>
                <c:pt idx="9">
                  <c:v>11.3364055299539</c:v>
                </c:pt>
                <c:pt idx="10">
                  <c:v>12.5345622119815</c:v>
                </c:pt>
                <c:pt idx="11">
                  <c:v>14.193548387096699</c:v>
                </c:pt>
                <c:pt idx="12">
                  <c:v>15.207373271889301</c:v>
                </c:pt>
                <c:pt idx="13">
                  <c:v>16.129032258064498</c:v>
                </c:pt>
                <c:pt idx="14">
                  <c:v>17.695852534562199</c:v>
                </c:pt>
                <c:pt idx="15">
                  <c:v>18.525345622119801</c:v>
                </c:pt>
                <c:pt idx="16">
                  <c:v>19.6313364055299</c:v>
                </c:pt>
                <c:pt idx="17">
                  <c:v>22.119815668202701</c:v>
                </c:pt>
                <c:pt idx="18">
                  <c:v>23.133640552995299</c:v>
                </c:pt>
                <c:pt idx="19">
                  <c:v>24.331797235023</c:v>
                </c:pt>
                <c:pt idx="20">
                  <c:v>25.622119815668199</c:v>
                </c:pt>
                <c:pt idx="21">
                  <c:v>26.820276497695801</c:v>
                </c:pt>
                <c:pt idx="22">
                  <c:v>27.926267281105901</c:v>
                </c:pt>
                <c:pt idx="23">
                  <c:v>29.2165898617511</c:v>
                </c:pt>
                <c:pt idx="24">
                  <c:v>30.138248847926199</c:v>
                </c:pt>
                <c:pt idx="25">
                  <c:v>31.3364055299539</c:v>
                </c:pt>
                <c:pt idx="26">
                  <c:v>32.718894009216498</c:v>
                </c:pt>
                <c:pt idx="27">
                  <c:v>33.824884792626698</c:v>
                </c:pt>
                <c:pt idx="28">
                  <c:v>35.023041474654299</c:v>
                </c:pt>
                <c:pt idx="29">
                  <c:v>36.221198156682</c:v>
                </c:pt>
                <c:pt idx="30">
                  <c:v>37.511520737327103</c:v>
                </c:pt>
                <c:pt idx="31">
                  <c:v>38.525345622119801</c:v>
                </c:pt>
                <c:pt idx="32">
                  <c:v>39.723502304147402</c:v>
                </c:pt>
                <c:pt idx="33">
                  <c:v>40.921658986175103</c:v>
                </c:pt>
                <c:pt idx="34">
                  <c:v>42.119815668202698</c:v>
                </c:pt>
                <c:pt idx="35">
                  <c:v>43.133640552995303</c:v>
                </c:pt>
                <c:pt idx="36">
                  <c:v>44.331797235022997</c:v>
                </c:pt>
                <c:pt idx="37">
                  <c:v>45.437788018433103</c:v>
                </c:pt>
                <c:pt idx="38">
                  <c:v>46.912442396313303</c:v>
                </c:pt>
                <c:pt idx="39">
                  <c:v>47.834101382488399</c:v>
                </c:pt>
                <c:pt idx="40">
                  <c:v>49.216589861751103</c:v>
                </c:pt>
                <c:pt idx="41">
                  <c:v>50.414746543778797</c:v>
                </c:pt>
                <c:pt idx="42">
                  <c:v>51.520737327188897</c:v>
                </c:pt>
                <c:pt idx="43">
                  <c:v>52.903225806451601</c:v>
                </c:pt>
                <c:pt idx="44">
                  <c:v>54.009216589861701</c:v>
                </c:pt>
                <c:pt idx="45">
                  <c:v>55.023041474654299</c:v>
                </c:pt>
                <c:pt idx="46">
                  <c:v>56.221198156682</c:v>
                </c:pt>
                <c:pt idx="47">
                  <c:v>57.3271889400921</c:v>
                </c:pt>
                <c:pt idx="48">
                  <c:v>58.525345622119801</c:v>
                </c:pt>
                <c:pt idx="49">
                  <c:v>60.092165898617502</c:v>
                </c:pt>
              </c:numCache>
            </c:numRef>
          </c:xVal>
          <c:yVal>
            <c:numRef>
              <c:f>'Pore Size vs Volume Fraction'!$G$7:$G$56</c:f>
              <c:numCache>
                <c:formatCode>0.0000</c:formatCode>
                <c:ptCount val="50"/>
                <c:pt idx="0">
                  <c:v>2.3466865032393844E-3</c:v>
                </c:pt>
                <c:pt idx="1">
                  <c:v>2.5716648737868055E-3</c:v>
                </c:pt>
                <c:pt idx="2">
                  <c:v>2.5679241407848179E-3</c:v>
                </c:pt>
                <c:pt idx="3">
                  <c:v>5.3478231516815812E-3</c:v>
                </c:pt>
                <c:pt idx="4">
                  <c:v>5.1078818491262909E-3</c:v>
                </c:pt>
                <c:pt idx="5">
                  <c:v>2.0864383643876654E-3</c:v>
                </c:pt>
                <c:pt idx="6">
                  <c:v>5.5589073710787633E-3</c:v>
                </c:pt>
                <c:pt idx="7">
                  <c:v>4.6242585110137131E-3</c:v>
                </c:pt>
                <c:pt idx="8">
                  <c:v>6.7019684983967613E-3</c:v>
                </c:pt>
                <c:pt idx="9">
                  <c:v>2.2916442890674564E-3</c:v>
                </c:pt>
                <c:pt idx="10">
                  <c:v>1.3649044073494321E-2</c:v>
                </c:pt>
                <c:pt idx="11">
                  <c:v>5.0581835392428829E-3</c:v>
                </c:pt>
                <c:pt idx="12">
                  <c:v>0</c:v>
                </c:pt>
                <c:pt idx="13">
                  <c:v>0</c:v>
                </c:pt>
                <c:pt idx="14">
                  <c:v>0</c:v>
                </c:pt>
                <c:pt idx="15">
                  <c:v>5.9303621581749406E-2</c:v>
                </c:pt>
                <c:pt idx="16">
                  <c:v>1.4999448687207565E-2</c:v>
                </c:pt>
                <c:pt idx="17">
                  <c:v>6.1833960262371465E-2</c:v>
                </c:pt>
                <c:pt idx="18">
                  <c:v>1.4979141850911126E-2</c:v>
                </c:pt>
                <c:pt idx="19">
                  <c:v>9.6379095145187801E-3</c:v>
                </c:pt>
                <c:pt idx="20">
                  <c:v>8.9346517101473732E-3</c:v>
                </c:pt>
                <c:pt idx="21">
                  <c:v>0</c:v>
                </c:pt>
                <c:pt idx="22">
                  <c:v>0</c:v>
                </c:pt>
                <c:pt idx="23">
                  <c:v>0</c:v>
                </c:pt>
                <c:pt idx="24">
                  <c:v>0</c:v>
                </c:pt>
                <c:pt idx="25">
                  <c:v>0</c:v>
                </c:pt>
                <c:pt idx="26">
                  <c:v>0</c:v>
                </c:pt>
                <c:pt idx="27">
                  <c:v>0.15615974924976023</c:v>
                </c:pt>
                <c:pt idx="28">
                  <c:v>7.9524421019142987E-3</c:v>
                </c:pt>
                <c:pt idx="29">
                  <c:v>0</c:v>
                </c:pt>
                <c:pt idx="30">
                  <c:v>0</c:v>
                </c:pt>
                <c:pt idx="31">
                  <c:v>8.1640607117403636E-3</c:v>
                </c:pt>
                <c:pt idx="32">
                  <c:v>1.9289535050044763E-2</c:v>
                </c:pt>
                <c:pt idx="33">
                  <c:v>1.9978364312837112E-2</c:v>
                </c:pt>
                <c:pt idx="34">
                  <c:v>2.113104446787447E-2</c:v>
                </c:pt>
                <c:pt idx="35">
                  <c:v>2.3212495188259446E-2</c:v>
                </c:pt>
                <c:pt idx="36">
                  <c:v>2.3901324451051892E-2</c:v>
                </c:pt>
                <c:pt idx="37">
                  <c:v>2.505453899651805E-2</c:v>
                </c:pt>
                <c:pt idx="38">
                  <c:v>2.6437541426391358E-2</c:v>
                </c:pt>
                <c:pt idx="39">
                  <c:v>2.7823750198837774E-2</c:v>
                </c:pt>
                <c:pt idx="40">
                  <c:v>2.9671137911384891E-2</c:v>
                </c:pt>
                <c:pt idx="41">
                  <c:v>7.5817354614185234E-2</c:v>
                </c:pt>
                <c:pt idx="42">
                  <c:v>3.8934795995563126E-2</c:v>
                </c:pt>
                <c:pt idx="43">
                  <c:v>3.3360569432190616E-2</c:v>
                </c:pt>
                <c:pt idx="44">
                  <c:v>3.5441485762146688E-2</c:v>
                </c:pt>
                <c:pt idx="45">
                  <c:v>3.6363309251919294E-2</c:v>
                </c:pt>
                <c:pt idx="46">
                  <c:v>3.8675616637569118E-2</c:v>
                </c:pt>
                <c:pt idx="47">
                  <c:v>4.0060756629157729E-2</c:v>
                </c:pt>
                <c:pt idx="48">
                  <c:v>4.1445362230317639E-2</c:v>
                </c:pt>
                <c:pt idx="49">
                  <c:v>4.3523606608129511E-2</c:v>
                </c:pt>
              </c:numCache>
            </c:numRef>
          </c:yVal>
          <c:smooth val="0"/>
          <c:extLst xmlns:c16r2="http://schemas.microsoft.com/office/drawing/2015/06/chart">
            <c:ext xmlns:c16="http://schemas.microsoft.com/office/drawing/2014/chart" uri="{C3380CC4-5D6E-409C-BE32-E72D297353CC}">
              <c16:uniqueId val="{00000001-9176-4EDC-980D-1FF6DBCCD1C6}"/>
            </c:ext>
          </c:extLst>
        </c:ser>
        <c:dLbls>
          <c:showLegendKey val="0"/>
          <c:showVal val="0"/>
          <c:showCatName val="0"/>
          <c:showSerName val="0"/>
          <c:showPercent val="0"/>
          <c:showBubbleSize val="0"/>
        </c:dLbls>
        <c:axId val="98502912"/>
        <c:axId val="98509568"/>
      </c:scatterChart>
      <c:valAx>
        <c:axId val="98502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size (nm)</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09568"/>
        <c:crosses val="autoZero"/>
        <c:crossBetween val="midCat"/>
      </c:valAx>
      <c:valAx>
        <c:axId val="985095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Volume fraction</a:t>
                </a:r>
              </a:p>
            </c:rich>
          </c:tx>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02912"/>
        <c:crosses val="autoZero"/>
        <c:crossBetween val="midCat"/>
      </c:valAx>
      <c:spPr>
        <a:noFill/>
        <a:ln>
          <a:noFill/>
        </a:ln>
        <a:effectLst/>
      </c:spPr>
    </c:plotArea>
    <c:legend>
      <c:legendPos val="tr"/>
      <c:layout>
        <c:manualLayout>
          <c:xMode val="edge"/>
          <c:yMode val="edge"/>
          <c:x val="0.76024993697821674"/>
          <c:y val="0.12491975088479794"/>
          <c:w val="0.2009099233358542"/>
          <c:h val="0.11482482372630252"/>
        </c:manualLayout>
      </c:layout>
      <c:overlay val="1"/>
      <c:spPr>
        <a:solidFill>
          <a:schemeClr val="bg1"/>
        </a:solidFill>
        <a:ln>
          <a:solidFill>
            <a:schemeClr val="accent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Sample 2</a:t>
            </a:r>
          </a:p>
        </c:rich>
      </c:tx>
      <c:overlay val="0"/>
      <c:spPr>
        <a:noFill/>
        <a:ln>
          <a:noFill/>
        </a:ln>
        <a:effectLst/>
      </c:spPr>
    </c:title>
    <c:autoTitleDeleted val="0"/>
    <c:plotArea>
      <c:layout/>
      <c:scatterChart>
        <c:scatterStyle val="lineMarker"/>
        <c:varyColors val="0"/>
        <c:ser>
          <c:idx val="0"/>
          <c:order val="0"/>
          <c:tx>
            <c:v>Pore-throat Size</c:v>
          </c:tx>
          <c:spPr>
            <a:ln w="19050" cap="rnd">
              <a:solidFill>
                <a:schemeClr val="accent1"/>
              </a:solidFill>
              <a:round/>
            </a:ln>
            <a:effectLst/>
          </c:spPr>
          <c:marker>
            <c:symbol val="triangle"/>
            <c:size val="5"/>
            <c:spPr>
              <a:solidFill>
                <a:srgbClr val="0070C0"/>
              </a:solidFill>
              <a:ln w="9525">
                <a:solidFill>
                  <a:srgbClr val="0070C0"/>
                </a:solidFill>
              </a:ln>
              <a:effectLst/>
            </c:spPr>
          </c:marker>
          <c:dPt>
            <c:idx val="20"/>
            <c:bubble3D val="0"/>
            <c:spPr>
              <a:ln w="19050" cap="rnd">
                <a:solidFill>
                  <a:srgbClr val="0070C0"/>
                </a:solidFill>
                <a:round/>
              </a:ln>
              <a:effectLst/>
            </c:spPr>
            <c:extLst xmlns:c16r2="http://schemas.microsoft.com/office/drawing/2015/06/chart">
              <c:ext xmlns:c16="http://schemas.microsoft.com/office/drawing/2014/chart" uri="{C3380CC4-5D6E-409C-BE32-E72D297353CC}">
                <c16:uniqueId val="{00000001-8C61-4E67-8E5C-90E57E8FFF4E}"/>
              </c:ext>
            </c:extLst>
          </c:dPt>
          <c:dPt>
            <c:idx val="22"/>
            <c:bubble3D val="0"/>
            <c:spPr>
              <a:ln w="19050" cap="rnd">
                <a:solidFill>
                  <a:srgbClr val="0070C0"/>
                </a:solidFill>
                <a:round/>
              </a:ln>
              <a:effectLst/>
            </c:spPr>
            <c:extLst xmlns:c16r2="http://schemas.microsoft.com/office/drawing/2015/06/chart">
              <c:ext xmlns:c16="http://schemas.microsoft.com/office/drawing/2014/chart" uri="{C3380CC4-5D6E-409C-BE32-E72D297353CC}">
                <c16:uniqueId val="{00000003-8C61-4E67-8E5C-90E57E8FFF4E}"/>
              </c:ext>
            </c:extLst>
          </c:dPt>
          <c:xVal>
            <c:numRef>
              <c:f>'Pore Size vs Volume Fraction'!$I$7:$I$29</c:f>
              <c:numCache>
                <c:formatCode>0.0000</c:formatCode>
                <c:ptCount val="23"/>
                <c:pt idx="0">
                  <c:v>3.07368421052632</c:v>
                </c:pt>
                <c:pt idx="1">
                  <c:v>3.6631578947368402</c:v>
                </c:pt>
                <c:pt idx="2">
                  <c:v>4</c:v>
                </c:pt>
                <c:pt idx="3">
                  <c:v>4.1684210526315804</c:v>
                </c:pt>
                <c:pt idx="4">
                  <c:v>4.5052631578947304</c:v>
                </c:pt>
                <c:pt idx="5">
                  <c:v>4.8421052631578902</c:v>
                </c:pt>
                <c:pt idx="6">
                  <c:v>5.1789473684210501</c:v>
                </c:pt>
                <c:pt idx="7">
                  <c:v>5.4315789473684202</c:v>
                </c:pt>
                <c:pt idx="8">
                  <c:v>6.2736842105263104</c:v>
                </c:pt>
                <c:pt idx="9">
                  <c:v>6.9473684210526301</c:v>
                </c:pt>
                <c:pt idx="10">
                  <c:v>7.5368421052631502</c:v>
                </c:pt>
                <c:pt idx="11">
                  <c:v>8.7157894736842092</c:v>
                </c:pt>
                <c:pt idx="12">
                  <c:v>9.2210526315789494</c:v>
                </c:pt>
                <c:pt idx="13">
                  <c:v>10.4</c:v>
                </c:pt>
                <c:pt idx="14">
                  <c:v>12.6736842105263</c:v>
                </c:pt>
                <c:pt idx="15">
                  <c:v>15.873684210526299</c:v>
                </c:pt>
                <c:pt idx="16">
                  <c:v>19.9157894736842</c:v>
                </c:pt>
                <c:pt idx="17">
                  <c:v>24.7157894736842</c:v>
                </c:pt>
                <c:pt idx="18">
                  <c:v>30.778947368421001</c:v>
                </c:pt>
                <c:pt idx="19">
                  <c:v>37.3473684210526</c:v>
                </c:pt>
                <c:pt idx="20">
                  <c:v>44.589473684210503</c:v>
                </c:pt>
                <c:pt idx="21">
                  <c:v>60.168421052631501</c:v>
                </c:pt>
                <c:pt idx="22">
                  <c:v>65.978947368421004</c:v>
                </c:pt>
              </c:numCache>
            </c:numRef>
          </c:xVal>
          <c:yVal>
            <c:numRef>
              <c:f>'Pore Size vs Volume Fraction'!$K$7:$K$29</c:f>
              <c:numCache>
                <c:formatCode>General</c:formatCode>
                <c:ptCount val="23"/>
                <c:pt idx="0">
                  <c:v>6.7415331035218087E-2</c:v>
                </c:pt>
                <c:pt idx="1">
                  <c:v>7.9782508262553786E-2</c:v>
                </c:pt>
                <c:pt idx="2">
                  <c:v>4.3533885354845557E-2</c:v>
                </c:pt>
                <c:pt idx="3">
                  <c:v>7.9782508262553786E-2</c:v>
                </c:pt>
                <c:pt idx="4">
                  <c:v>2.6902164256014712E-2</c:v>
                </c:pt>
                <c:pt idx="5">
                  <c:v>7.402537403603543E-2</c:v>
                </c:pt>
                <c:pt idx="6">
                  <c:v>3.564447919257973E-2</c:v>
                </c:pt>
                <c:pt idx="7">
                  <c:v>5.8033334517928928E-2</c:v>
                </c:pt>
                <c:pt idx="8">
                  <c:v>4.5026475709868882E-2</c:v>
                </c:pt>
                <c:pt idx="9">
                  <c:v>2.007889406162262E-2</c:v>
                </c:pt>
                <c:pt idx="10">
                  <c:v>3.4365116031131147E-2</c:v>
                </c:pt>
                <c:pt idx="11">
                  <c:v>2.8394754611038044E-2</c:v>
                </c:pt>
                <c:pt idx="12">
                  <c:v>2.6902164256014712E-2</c:v>
                </c:pt>
                <c:pt idx="13">
                  <c:v>4.1614840612672836E-2</c:v>
                </c:pt>
                <c:pt idx="14">
                  <c:v>1.9865666868047874E-2</c:v>
                </c:pt>
                <c:pt idx="15">
                  <c:v>3.223284409538358E-2</c:v>
                </c:pt>
                <c:pt idx="16">
                  <c:v>3.6710615160453458E-2</c:v>
                </c:pt>
                <c:pt idx="17">
                  <c:v>3.5218024805430133E-2</c:v>
                </c:pt>
                <c:pt idx="18">
                  <c:v>3.0313799353210758E-2</c:v>
                </c:pt>
                <c:pt idx="19">
                  <c:v>4.1828067806247579E-2</c:v>
                </c:pt>
                <c:pt idx="20">
                  <c:v>3.3512207256832162E-2</c:v>
                </c:pt>
                <c:pt idx="21">
                  <c:v>3.3725434450406912E-2</c:v>
                </c:pt>
                <c:pt idx="22">
                  <c:v>7.5091510003909151E-2</c:v>
                </c:pt>
              </c:numCache>
            </c:numRef>
          </c:yVal>
          <c:smooth val="0"/>
          <c:extLst xmlns:c16r2="http://schemas.microsoft.com/office/drawing/2015/06/chart">
            <c:ext xmlns:c16="http://schemas.microsoft.com/office/drawing/2014/chart" uri="{C3380CC4-5D6E-409C-BE32-E72D297353CC}">
              <c16:uniqueId val="{00000004-8C61-4E67-8E5C-90E57E8FFF4E}"/>
            </c:ext>
          </c:extLst>
        </c:ser>
        <c:ser>
          <c:idx val="1"/>
          <c:order val="1"/>
          <c:tx>
            <c:v>Pore-body Size</c:v>
          </c:tx>
          <c:spPr>
            <a:ln w="19050" cap="rnd">
              <a:solidFill>
                <a:srgbClr val="FF0000"/>
              </a:solidFill>
              <a:round/>
            </a:ln>
            <a:effectLst/>
          </c:spPr>
          <c:marker>
            <c:symbol val="circle"/>
            <c:size val="5"/>
            <c:spPr>
              <a:solidFill>
                <a:srgbClr val="FF0000"/>
              </a:solidFill>
              <a:ln w="9525">
                <a:solidFill>
                  <a:srgbClr val="FF0000"/>
                </a:solidFill>
              </a:ln>
              <a:effectLst/>
            </c:spPr>
          </c:marker>
          <c:xVal>
            <c:numRef>
              <c:f>'Pore Size vs Volume Fraction'!$M$7:$M$56</c:f>
              <c:numCache>
                <c:formatCode>General</c:formatCode>
                <c:ptCount val="50"/>
                <c:pt idx="0">
                  <c:v>1.81052631578947</c:v>
                </c:pt>
                <c:pt idx="1">
                  <c:v>3.07368421052632</c:v>
                </c:pt>
                <c:pt idx="2">
                  <c:v>4.6736842105263099</c:v>
                </c:pt>
                <c:pt idx="3">
                  <c:v>5.9368421052631604</c:v>
                </c:pt>
                <c:pt idx="4">
                  <c:v>7.3684210526315699</c:v>
                </c:pt>
                <c:pt idx="5">
                  <c:v>8.8000000000000007</c:v>
                </c:pt>
                <c:pt idx="6">
                  <c:v>10.147368421052599</c:v>
                </c:pt>
                <c:pt idx="7">
                  <c:v>11.578947368421</c:v>
                </c:pt>
                <c:pt idx="8">
                  <c:v>12.9263157894736</c:v>
                </c:pt>
                <c:pt idx="9">
                  <c:v>14.2736842105263</c:v>
                </c:pt>
                <c:pt idx="10">
                  <c:v>15.789473684210501</c:v>
                </c:pt>
                <c:pt idx="11">
                  <c:v>17.136842105263099</c:v>
                </c:pt>
                <c:pt idx="12">
                  <c:v>18.399999999999999</c:v>
                </c:pt>
                <c:pt idx="13">
                  <c:v>19.9157894736842</c:v>
                </c:pt>
                <c:pt idx="14">
                  <c:v>21.3473684210526</c:v>
                </c:pt>
                <c:pt idx="15">
                  <c:v>22.6947368421052</c:v>
                </c:pt>
                <c:pt idx="16">
                  <c:v>24.126315789473601</c:v>
                </c:pt>
                <c:pt idx="17">
                  <c:v>25.473684210526301</c:v>
                </c:pt>
                <c:pt idx="18">
                  <c:v>26.821052631578901</c:v>
                </c:pt>
                <c:pt idx="19">
                  <c:v>28.252631578947302</c:v>
                </c:pt>
                <c:pt idx="20">
                  <c:v>29.599999999999898</c:v>
                </c:pt>
                <c:pt idx="21">
                  <c:v>30.947368421052602</c:v>
                </c:pt>
                <c:pt idx="22">
                  <c:v>32.378947368421002</c:v>
                </c:pt>
                <c:pt idx="23">
                  <c:v>33.810526315789403</c:v>
                </c:pt>
                <c:pt idx="24">
                  <c:v>35.157894736842103</c:v>
                </c:pt>
                <c:pt idx="25">
                  <c:v>36.589473684210503</c:v>
                </c:pt>
                <c:pt idx="26">
                  <c:v>37.768421052631503</c:v>
                </c:pt>
                <c:pt idx="27">
                  <c:v>39.284210526315697</c:v>
                </c:pt>
                <c:pt idx="28">
                  <c:v>40.715789473684197</c:v>
                </c:pt>
                <c:pt idx="29">
                  <c:v>42.063157894736797</c:v>
                </c:pt>
                <c:pt idx="30">
                  <c:v>43.494736842105198</c:v>
                </c:pt>
                <c:pt idx="31">
                  <c:v>44.926315789473598</c:v>
                </c:pt>
                <c:pt idx="32">
                  <c:v>46.273684210526298</c:v>
                </c:pt>
                <c:pt idx="33">
                  <c:v>47.621052631578898</c:v>
                </c:pt>
                <c:pt idx="34">
                  <c:v>48.968421052631498</c:v>
                </c:pt>
                <c:pt idx="35">
                  <c:v>50.315789473684198</c:v>
                </c:pt>
                <c:pt idx="36">
                  <c:v>51.831578947368399</c:v>
                </c:pt>
                <c:pt idx="37">
                  <c:v>53.178947368420999</c:v>
                </c:pt>
                <c:pt idx="38">
                  <c:v>54.6105263157894</c:v>
                </c:pt>
                <c:pt idx="39">
                  <c:v>55.9578947368421</c:v>
                </c:pt>
                <c:pt idx="40">
                  <c:v>57.3894736842105</c:v>
                </c:pt>
                <c:pt idx="41">
                  <c:v>58.821052631578901</c:v>
                </c:pt>
                <c:pt idx="42">
                  <c:v>60.168421052631501</c:v>
                </c:pt>
                <c:pt idx="43">
                  <c:v>61.599999999999902</c:v>
                </c:pt>
                <c:pt idx="44">
                  <c:v>63.031578947368402</c:v>
                </c:pt>
                <c:pt idx="45">
                  <c:v>64.378947368420995</c:v>
                </c:pt>
                <c:pt idx="46">
                  <c:v>65.810526315789403</c:v>
                </c:pt>
                <c:pt idx="47">
                  <c:v>67.073684210526295</c:v>
                </c:pt>
                <c:pt idx="48">
                  <c:v>68.589473684210503</c:v>
                </c:pt>
                <c:pt idx="49">
                  <c:v>69.768421052631496</c:v>
                </c:pt>
              </c:numCache>
            </c:numRef>
          </c:xVal>
          <c:yVal>
            <c:numRef>
              <c:f>'Pore Size vs Volume Fraction'!$O$7:$O$56</c:f>
              <c:numCache>
                <c:formatCode>General</c:formatCode>
                <c:ptCount val="50"/>
                <c:pt idx="0">
                  <c:v>2.7662067170007611E-3</c:v>
                </c:pt>
                <c:pt idx="1">
                  <c:v>3.3519916688362194E-3</c:v>
                </c:pt>
                <c:pt idx="2">
                  <c:v>5.6951314761780909E-3</c:v>
                </c:pt>
                <c:pt idx="3">
                  <c:v>4.7188232231189777E-3</c:v>
                </c:pt>
                <c:pt idx="4">
                  <c:v>5.6951314761780909E-3</c:v>
                </c:pt>
                <c:pt idx="5">
                  <c:v>3.7425149700598842E-3</c:v>
                </c:pt>
                <c:pt idx="6">
                  <c:v>7.4524863316844468E-3</c:v>
                </c:pt>
                <c:pt idx="7">
                  <c:v>7.8430096329081111E-3</c:v>
                </c:pt>
                <c:pt idx="8">
                  <c:v>3.7425149700598842E-3</c:v>
                </c:pt>
                <c:pt idx="9">
                  <c:v>8.1359021088258114E-4</c:v>
                </c:pt>
                <c:pt idx="10">
                  <c:v>1.0088518614944056E-3</c:v>
                </c:pt>
                <c:pt idx="11">
                  <c:v>6.1832856027075169E-4</c:v>
                </c:pt>
                <c:pt idx="12">
                  <c:v>2.2780525904711997E-4</c:v>
                </c:pt>
                <c:pt idx="13">
                  <c:v>4.2990106743035751E-2</c:v>
                </c:pt>
                <c:pt idx="14">
                  <c:v>1.174824264514442E-2</c:v>
                </c:pt>
                <c:pt idx="15">
                  <c:v>8.0382712835199155E-3</c:v>
                </c:pt>
                <c:pt idx="16">
                  <c:v>4.2599583441812028E-2</c:v>
                </c:pt>
                <c:pt idx="17">
                  <c:v>1.3896120801874459E-2</c:v>
                </c:pt>
                <c:pt idx="18">
                  <c:v>6.1832856027075169E-4</c:v>
                </c:pt>
                <c:pt idx="19">
                  <c:v>1.0088518614944056E-3</c:v>
                </c:pt>
                <c:pt idx="20">
                  <c:v>8.1359021088258114E-4</c:v>
                </c:pt>
                <c:pt idx="21">
                  <c:v>6.1832856027075169E-4</c:v>
                </c:pt>
                <c:pt idx="22">
                  <c:v>2.2780525904711997E-4</c:v>
                </c:pt>
                <c:pt idx="23">
                  <c:v>7.8527727154386967E-2</c:v>
                </c:pt>
                <c:pt idx="24">
                  <c:v>8.2823483467847042E-2</c:v>
                </c:pt>
                <c:pt idx="25">
                  <c:v>1.8972923717781788E-2</c:v>
                </c:pt>
                <c:pt idx="26">
                  <c:v>1.3115074199427205E-2</c:v>
                </c:pt>
                <c:pt idx="27">
                  <c:v>1.4677167404321807E-2</c:v>
                </c:pt>
                <c:pt idx="28">
                  <c:v>1.5262952356157246E-2</c:v>
                </c:pt>
                <c:pt idx="29">
                  <c:v>1.6043998958604498E-2</c:v>
                </c:pt>
                <c:pt idx="30">
                  <c:v>1.76060921634991E-2</c:v>
                </c:pt>
                <c:pt idx="31">
                  <c:v>1.8387138765946349E-2</c:v>
                </c:pt>
                <c:pt idx="32">
                  <c:v>1.975397032022904E-2</c:v>
                </c:pt>
                <c:pt idx="33">
                  <c:v>2.0925540223900016E-2</c:v>
                </c:pt>
                <c:pt idx="34">
                  <c:v>2.2097110127570894E-2</c:v>
                </c:pt>
                <c:pt idx="35">
                  <c:v>2.3073418380630054E-2</c:v>
                </c:pt>
                <c:pt idx="36">
                  <c:v>2.4635511585524558E-2</c:v>
                </c:pt>
                <c:pt idx="37">
                  <c:v>2.4635511585524558E-2</c:v>
                </c:pt>
                <c:pt idx="38">
                  <c:v>2.8540744597761011E-2</c:v>
                </c:pt>
                <c:pt idx="39">
                  <c:v>2.8345482947149198E-2</c:v>
                </c:pt>
                <c:pt idx="40">
                  <c:v>2.7954959645925571E-2</c:v>
                </c:pt>
                <c:pt idx="41">
                  <c:v>3.1664931007550114E-2</c:v>
                </c:pt>
                <c:pt idx="42">
                  <c:v>3.3031762561832906E-2</c:v>
                </c:pt>
                <c:pt idx="43">
                  <c:v>3.3812809164280158E-2</c:v>
                </c:pt>
                <c:pt idx="44">
                  <c:v>3.5765425670398379E-2</c:v>
                </c:pt>
                <c:pt idx="45">
                  <c:v>3.7522780525904693E-2</c:v>
                </c:pt>
                <c:pt idx="46">
                  <c:v>3.8499088778963859E-2</c:v>
                </c:pt>
                <c:pt idx="47">
                  <c:v>4.045170528508199E-2</c:v>
                </c:pt>
                <c:pt idx="48">
                  <c:v>4.2013798489976585E-2</c:v>
                </c:pt>
                <c:pt idx="49">
                  <c:v>4.1623275188752966E-2</c:v>
                </c:pt>
              </c:numCache>
            </c:numRef>
          </c:yVal>
          <c:smooth val="0"/>
          <c:extLst xmlns:c16r2="http://schemas.microsoft.com/office/drawing/2015/06/chart">
            <c:ext xmlns:c16="http://schemas.microsoft.com/office/drawing/2014/chart" uri="{C3380CC4-5D6E-409C-BE32-E72D297353CC}">
              <c16:uniqueId val="{00000005-8C61-4E67-8E5C-90E57E8FFF4E}"/>
            </c:ext>
          </c:extLst>
        </c:ser>
        <c:dLbls>
          <c:showLegendKey val="0"/>
          <c:showVal val="0"/>
          <c:showCatName val="0"/>
          <c:showSerName val="0"/>
          <c:showPercent val="0"/>
          <c:showBubbleSize val="0"/>
        </c:dLbls>
        <c:axId val="98537856"/>
        <c:axId val="98540160"/>
      </c:scatterChart>
      <c:valAx>
        <c:axId val="985378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size (nm)</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40160"/>
        <c:crosses val="autoZero"/>
        <c:crossBetween val="midCat"/>
      </c:valAx>
      <c:valAx>
        <c:axId val="98540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Volume fraction</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537856"/>
        <c:crosses val="autoZero"/>
        <c:crossBetween val="midCat"/>
      </c:valAx>
      <c:spPr>
        <a:noFill/>
        <a:ln>
          <a:noFill/>
        </a:ln>
        <a:effectLst/>
      </c:spPr>
    </c:plotArea>
    <c:legend>
      <c:legendPos val="tr"/>
      <c:layout>
        <c:manualLayout>
          <c:xMode val="edge"/>
          <c:yMode val="edge"/>
          <c:x val="0.75315813277577581"/>
          <c:y val="0.13889366894776672"/>
          <c:w val="0.20979784836217508"/>
          <c:h val="0.10714363383167952"/>
        </c:manualLayout>
      </c:layout>
      <c:overlay val="1"/>
      <c:spPr>
        <a:solidFill>
          <a:schemeClr val="bg1"/>
        </a:solidFill>
        <a:ln>
          <a:solidFill>
            <a:schemeClr val="accent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Sample 1</a:t>
            </a:r>
          </a:p>
        </c:rich>
      </c:tx>
      <c:overlay val="0"/>
      <c:spPr>
        <a:noFill/>
        <a:ln>
          <a:noFill/>
        </a:ln>
        <a:effectLst/>
      </c:spPr>
    </c:title>
    <c:autoTitleDeleted val="0"/>
    <c:plotArea>
      <c:layout/>
      <c:scatterChart>
        <c:scatterStyle val="smoothMarker"/>
        <c:varyColors val="0"/>
        <c:ser>
          <c:idx val="0"/>
          <c:order val="0"/>
          <c:tx>
            <c:v>pore pressure = 1,000 psi</c:v>
          </c:tx>
          <c:spPr>
            <a:ln w="19050" cap="rnd">
              <a:solidFill>
                <a:srgbClr val="0070C0"/>
              </a:solidFill>
              <a:round/>
            </a:ln>
            <a:effectLst/>
          </c:spPr>
          <c:marker>
            <c:symbol val="none"/>
          </c:marker>
          <c:xVal>
            <c:numRef>
              <c:f>'Pore Size vs Norm. Density'!$A$6:$A$24</c:f>
              <c:numCache>
                <c:formatCode>0.0000</c:formatCode>
                <c:ptCount val="19"/>
                <c:pt idx="0">
                  <c:v>1.84331797235022</c:v>
                </c:pt>
                <c:pt idx="1">
                  <c:v>3.0414746543778701</c:v>
                </c:pt>
                <c:pt idx="2">
                  <c:v>3.5023041474654302</c:v>
                </c:pt>
                <c:pt idx="3">
                  <c:v>3.6866359447004502</c:v>
                </c:pt>
                <c:pt idx="4">
                  <c:v>4.1474654377880098</c:v>
                </c:pt>
                <c:pt idx="5">
                  <c:v>4.2396313364055196</c:v>
                </c:pt>
                <c:pt idx="6">
                  <c:v>5.1612903225806397</c:v>
                </c:pt>
                <c:pt idx="7">
                  <c:v>5.4377880184331699</c:v>
                </c:pt>
                <c:pt idx="8">
                  <c:v>5.6221198156681904</c:v>
                </c:pt>
                <c:pt idx="9">
                  <c:v>6.08294930875575</c:v>
                </c:pt>
                <c:pt idx="10">
                  <c:v>6.35944700460829</c:v>
                </c:pt>
                <c:pt idx="11">
                  <c:v>6.7281105990783301</c:v>
                </c:pt>
                <c:pt idx="12">
                  <c:v>7.0046082949308701</c:v>
                </c:pt>
                <c:pt idx="13">
                  <c:v>7.4654377880184297</c:v>
                </c:pt>
                <c:pt idx="14">
                  <c:v>7.8341013824884698</c:v>
                </c:pt>
                <c:pt idx="15">
                  <c:v>9.0322580645161192</c:v>
                </c:pt>
                <c:pt idx="16">
                  <c:v>9.2165898617511495</c:v>
                </c:pt>
                <c:pt idx="17">
                  <c:v>10.506912442396301</c:v>
                </c:pt>
                <c:pt idx="18">
                  <c:v>10.691244239631301</c:v>
                </c:pt>
              </c:numCache>
            </c:numRef>
          </c:xVal>
          <c:yVal>
            <c:numRef>
              <c:f>'Pore Size vs Norm. Density'!$C$6:$C$24</c:f>
              <c:numCache>
                <c:formatCode>0.0000</c:formatCode>
                <c:ptCount val="19"/>
                <c:pt idx="0">
                  <c:v>3.5189870099476734</c:v>
                </c:pt>
                <c:pt idx="1">
                  <c:v>2.627371244581425</c:v>
                </c:pt>
                <c:pt idx="2">
                  <c:v>2.372742701578924</c:v>
                </c:pt>
                <c:pt idx="3">
                  <c:v>2.2830797329376593</c:v>
                </c:pt>
                <c:pt idx="4">
                  <c:v>2.0870726328180651</c:v>
                </c:pt>
                <c:pt idx="5">
                  <c:v>2.052431747915243</c:v>
                </c:pt>
                <c:pt idx="6">
                  <c:v>1.7799074526506129</c:v>
                </c:pt>
                <c:pt idx="7">
                  <c:v>1.7213285568787347</c:v>
                </c:pt>
                <c:pt idx="8">
                  <c:v>1.6873902802276606</c:v>
                </c:pt>
                <c:pt idx="9">
                  <c:v>1.6185107105258036</c:v>
                </c:pt>
                <c:pt idx="10">
                  <c:v>1.58680499521625</c:v>
                </c:pt>
                <c:pt idx="11">
                  <c:v>1.5538997658010558</c:v>
                </c:pt>
                <c:pt idx="12">
                  <c:v>1.5350872370299384</c:v>
                </c:pt>
                <c:pt idx="13">
                  <c:v>1.5122547621082079</c:v>
                </c:pt>
                <c:pt idx="14">
                  <c:v>1.4992712394131673</c:v>
                </c:pt>
                <c:pt idx="15">
                  <c:v>1.4626371868433206</c:v>
                </c:pt>
                <c:pt idx="16">
                  <c:v>1.454606598132872</c:v>
                </c:pt>
                <c:pt idx="17">
                  <c:v>1.3446179031458667</c:v>
                </c:pt>
                <c:pt idx="18">
                  <c:v>1.3180403391184163</c:v>
                </c:pt>
              </c:numCache>
            </c:numRef>
          </c:yVal>
          <c:smooth val="1"/>
          <c:extLst xmlns:c16r2="http://schemas.microsoft.com/office/drawing/2015/06/chart">
            <c:ext xmlns:c16="http://schemas.microsoft.com/office/drawing/2014/chart" uri="{C3380CC4-5D6E-409C-BE32-E72D297353CC}">
              <c16:uniqueId val="{00000000-D2F0-4350-A005-691E9C9656CD}"/>
            </c:ext>
          </c:extLst>
        </c:ser>
        <c:ser>
          <c:idx val="1"/>
          <c:order val="1"/>
          <c:tx>
            <c:v>pore pressure = 2,000 psi</c:v>
          </c:tx>
          <c:spPr>
            <a:ln w="19050" cap="rnd">
              <a:solidFill>
                <a:srgbClr val="FF0000"/>
              </a:solidFill>
              <a:prstDash val="dash"/>
              <a:round/>
            </a:ln>
            <a:effectLst/>
          </c:spPr>
          <c:marker>
            <c:symbol val="none"/>
          </c:marker>
          <c:xVal>
            <c:numRef>
              <c:f>'Pore Size vs Norm. Density'!$A$6:$A$24</c:f>
              <c:numCache>
                <c:formatCode>0.0000</c:formatCode>
                <c:ptCount val="19"/>
                <c:pt idx="0">
                  <c:v>1.84331797235022</c:v>
                </c:pt>
                <c:pt idx="1">
                  <c:v>3.0414746543778701</c:v>
                </c:pt>
                <c:pt idx="2">
                  <c:v>3.5023041474654302</c:v>
                </c:pt>
                <c:pt idx="3">
                  <c:v>3.6866359447004502</c:v>
                </c:pt>
                <c:pt idx="4">
                  <c:v>4.1474654377880098</c:v>
                </c:pt>
                <c:pt idx="5">
                  <c:v>4.2396313364055196</c:v>
                </c:pt>
                <c:pt idx="6">
                  <c:v>5.1612903225806397</c:v>
                </c:pt>
                <c:pt idx="7">
                  <c:v>5.4377880184331699</c:v>
                </c:pt>
                <c:pt idx="8">
                  <c:v>5.6221198156681904</c:v>
                </c:pt>
                <c:pt idx="9">
                  <c:v>6.08294930875575</c:v>
                </c:pt>
                <c:pt idx="10">
                  <c:v>6.35944700460829</c:v>
                </c:pt>
                <c:pt idx="11">
                  <c:v>6.7281105990783301</c:v>
                </c:pt>
                <c:pt idx="12">
                  <c:v>7.0046082949308701</c:v>
                </c:pt>
                <c:pt idx="13">
                  <c:v>7.4654377880184297</c:v>
                </c:pt>
                <c:pt idx="14">
                  <c:v>7.8341013824884698</c:v>
                </c:pt>
                <c:pt idx="15">
                  <c:v>9.0322580645161192</c:v>
                </c:pt>
                <c:pt idx="16">
                  <c:v>9.2165898617511495</c:v>
                </c:pt>
                <c:pt idx="17">
                  <c:v>10.506912442396301</c:v>
                </c:pt>
                <c:pt idx="18">
                  <c:v>10.691244239631301</c:v>
                </c:pt>
              </c:numCache>
            </c:numRef>
          </c:xVal>
          <c:yVal>
            <c:numRef>
              <c:f>'Pore Size vs Norm. Density'!$E$6:$E$24</c:f>
              <c:numCache>
                <c:formatCode>0.0000</c:formatCode>
                <c:ptCount val="19"/>
                <c:pt idx="0">
                  <c:v>2.1858135199259179</c:v>
                </c:pt>
                <c:pt idx="1">
                  <c:v>1.7845400866924364</c:v>
                </c:pt>
                <c:pt idx="2">
                  <c:v>1.6687660375042144</c:v>
                </c:pt>
                <c:pt idx="3">
                  <c:v>1.627791662980447</c:v>
                </c:pt>
                <c:pt idx="4">
                  <c:v>1.5376989337205904</c:v>
                </c:pt>
                <c:pt idx="5">
                  <c:v>1.5216826626966313</c:v>
                </c:pt>
                <c:pt idx="6">
                  <c:v>1.3940591951147197</c:v>
                </c:pt>
                <c:pt idx="7">
                  <c:v>1.3660154178407684</c:v>
                </c:pt>
                <c:pt idx="8">
                  <c:v>1.3495907205068243</c:v>
                </c:pt>
                <c:pt idx="9">
                  <c:v>1.3156489286180124</c:v>
                </c:pt>
                <c:pt idx="10">
                  <c:v>1.2995975882881654</c:v>
                </c:pt>
                <c:pt idx="11">
                  <c:v>1.2824325671223227</c:v>
                </c:pt>
                <c:pt idx="12">
                  <c:v>1.2722389227887856</c:v>
                </c:pt>
                <c:pt idx="13">
                  <c:v>1.2592174737439381</c:v>
                </c:pt>
                <c:pt idx="14">
                  <c:v>1.2513481451579302</c:v>
                </c:pt>
                <c:pt idx="15">
                  <c:v>1.2298964571354851</c:v>
                </c:pt>
                <c:pt idx="16">
                  <c:v>1.2258057368623165</c:v>
                </c:pt>
                <c:pt idx="17">
                  <c:v>1.1758807124798798</c:v>
                </c:pt>
                <c:pt idx="18">
                  <c:v>1.1643426977922533</c:v>
                </c:pt>
              </c:numCache>
            </c:numRef>
          </c:yVal>
          <c:smooth val="1"/>
          <c:extLst xmlns:c16r2="http://schemas.microsoft.com/office/drawing/2015/06/chart">
            <c:ext xmlns:c16="http://schemas.microsoft.com/office/drawing/2014/chart" uri="{C3380CC4-5D6E-409C-BE32-E72D297353CC}">
              <c16:uniqueId val="{00000001-D2F0-4350-A005-691E9C9656CD}"/>
            </c:ext>
          </c:extLst>
        </c:ser>
        <c:ser>
          <c:idx val="2"/>
          <c:order val="2"/>
          <c:tx>
            <c:v>pore pressure = 3,000 psi</c:v>
          </c:tx>
          <c:spPr>
            <a:ln w="19050" cap="rnd">
              <a:solidFill>
                <a:srgbClr val="FFC000"/>
              </a:solidFill>
              <a:prstDash val="dashDot"/>
              <a:round/>
            </a:ln>
            <a:effectLst/>
          </c:spPr>
          <c:marker>
            <c:symbol val="none"/>
          </c:marker>
          <c:xVal>
            <c:numRef>
              <c:f>'Pore Size vs Norm. Density'!$A$6:$A$24</c:f>
              <c:numCache>
                <c:formatCode>0.0000</c:formatCode>
                <c:ptCount val="19"/>
                <c:pt idx="0">
                  <c:v>1.84331797235022</c:v>
                </c:pt>
                <c:pt idx="1">
                  <c:v>3.0414746543778701</c:v>
                </c:pt>
                <c:pt idx="2">
                  <c:v>3.5023041474654302</c:v>
                </c:pt>
                <c:pt idx="3">
                  <c:v>3.6866359447004502</c:v>
                </c:pt>
                <c:pt idx="4">
                  <c:v>4.1474654377880098</c:v>
                </c:pt>
                <c:pt idx="5">
                  <c:v>4.2396313364055196</c:v>
                </c:pt>
                <c:pt idx="6">
                  <c:v>5.1612903225806397</c:v>
                </c:pt>
                <c:pt idx="7">
                  <c:v>5.4377880184331699</c:v>
                </c:pt>
                <c:pt idx="8">
                  <c:v>5.6221198156681904</c:v>
                </c:pt>
                <c:pt idx="9">
                  <c:v>6.08294930875575</c:v>
                </c:pt>
                <c:pt idx="10">
                  <c:v>6.35944700460829</c:v>
                </c:pt>
                <c:pt idx="11">
                  <c:v>6.7281105990783301</c:v>
                </c:pt>
                <c:pt idx="12">
                  <c:v>7.0046082949308701</c:v>
                </c:pt>
                <c:pt idx="13">
                  <c:v>7.4654377880184297</c:v>
                </c:pt>
                <c:pt idx="14">
                  <c:v>7.8341013824884698</c:v>
                </c:pt>
                <c:pt idx="15">
                  <c:v>9.0322580645161192</c:v>
                </c:pt>
                <c:pt idx="16">
                  <c:v>9.2165898617511495</c:v>
                </c:pt>
                <c:pt idx="17">
                  <c:v>10.506912442396301</c:v>
                </c:pt>
                <c:pt idx="18">
                  <c:v>10.691244239631301</c:v>
                </c:pt>
              </c:numCache>
            </c:numRef>
          </c:xVal>
          <c:yVal>
            <c:numRef>
              <c:f>'Pore Size vs Norm. Density'!$G$6:$G$24</c:f>
              <c:numCache>
                <c:formatCode>0.0000</c:formatCode>
                <c:ptCount val="19"/>
                <c:pt idx="0">
                  <c:v>1.7530639203289988</c:v>
                </c:pt>
                <c:pt idx="1">
                  <c:v>1.5030263083795907</c:v>
                </c:pt>
                <c:pt idx="2">
                  <c:v>1.430570725232859</c:v>
                </c:pt>
                <c:pt idx="3">
                  <c:v>1.4048730016973419</c:v>
                </c:pt>
                <c:pt idx="4">
                  <c:v>1.3482337616182323</c:v>
                </c:pt>
                <c:pt idx="5">
                  <c:v>1.3381403590414127</c:v>
                </c:pt>
                <c:pt idx="6">
                  <c:v>1.2572975430717703</c:v>
                </c:pt>
                <c:pt idx="7">
                  <c:v>1.2393798781785432</c:v>
                </c:pt>
                <c:pt idx="8">
                  <c:v>1.2288426713701712</c:v>
                </c:pt>
                <c:pt idx="9">
                  <c:v>1.2069221439805906</c:v>
                </c:pt>
                <c:pt idx="10">
                  <c:v>1.1964559886950503</c:v>
                </c:pt>
                <c:pt idx="11">
                  <c:v>1.1851500052153039</c:v>
                </c:pt>
                <c:pt idx="12">
                  <c:v>1.1783540825070968</c:v>
                </c:pt>
                <c:pt idx="13">
                  <c:v>1.1695415286079909</c:v>
                </c:pt>
                <c:pt idx="14">
                  <c:v>1.1641305453350455</c:v>
                </c:pt>
                <c:pt idx="15">
                  <c:v>1.1495893050825747</c:v>
                </c:pt>
                <c:pt idx="16">
                  <c:v>1.1469427581544032</c:v>
                </c:pt>
                <c:pt idx="17">
                  <c:v>1.1159838504551576</c:v>
                </c:pt>
                <c:pt idx="18">
                  <c:v>1.1089536275745113</c:v>
                </c:pt>
              </c:numCache>
            </c:numRef>
          </c:yVal>
          <c:smooth val="1"/>
          <c:extLst xmlns:c16r2="http://schemas.microsoft.com/office/drawing/2015/06/chart">
            <c:ext xmlns:c16="http://schemas.microsoft.com/office/drawing/2014/chart" uri="{C3380CC4-5D6E-409C-BE32-E72D297353CC}">
              <c16:uniqueId val="{00000002-D2F0-4350-A005-691E9C9656CD}"/>
            </c:ext>
          </c:extLst>
        </c:ser>
        <c:ser>
          <c:idx val="3"/>
          <c:order val="3"/>
          <c:tx>
            <c:v>pore pressure = 4,000 psi</c:v>
          </c:tx>
          <c:spPr>
            <a:ln w="19050" cap="rnd">
              <a:solidFill>
                <a:schemeClr val="tx1"/>
              </a:solidFill>
              <a:prstDash val="sysDash"/>
              <a:round/>
            </a:ln>
            <a:effectLst/>
          </c:spPr>
          <c:marker>
            <c:symbol val="none"/>
          </c:marker>
          <c:xVal>
            <c:numRef>
              <c:f>'Pore Size vs Norm. Density'!$A$6:$A$24</c:f>
              <c:numCache>
                <c:formatCode>0.0000</c:formatCode>
                <c:ptCount val="19"/>
                <c:pt idx="0">
                  <c:v>1.84331797235022</c:v>
                </c:pt>
                <c:pt idx="1">
                  <c:v>3.0414746543778701</c:v>
                </c:pt>
                <c:pt idx="2">
                  <c:v>3.5023041474654302</c:v>
                </c:pt>
                <c:pt idx="3">
                  <c:v>3.6866359447004502</c:v>
                </c:pt>
                <c:pt idx="4">
                  <c:v>4.1474654377880098</c:v>
                </c:pt>
                <c:pt idx="5">
                  <c:v>4.2396313364055196</c:v>
                </c:pt>
                <c:pt idx="6">
                  <c:v>5.1612903225806397</c:v>
                </c:pt>
                <c:pt idx="7">
                  <c:v>5.4377880184331699</c:v>
                </c:pt>
                <c:pt idx="8">
                  <c:v>5.6221198156681904</c:v>
                </c:pt>
                <c:pt idx="9">
                  <c:v>6.08294930875575</c:v>
                </c:pt>
                <c:pt idx="10">
                  <c:v>6.35944700460829</c:v>
                </c:pt>
                <c:pt idx="11">
                  <c:v>6.7281105990783301</c:v>
                </c:pt>
                <c:pt idx="12">
                  <c:v>7.0046082949308701</c:v>
                </c:pt>
                <c:pt idx="13">
                  <c:v>7.4654377880184297</c:v>
                </c:pt>
                <c:pt idx="14">
                  <c:v>7.8341013824884698</c:v>
                </c:pt>
                <c:pt idx="15">
                  <c:v>9.0322580645161192</c:v>
                </c:pt>
                <c:pt idx="16">
                  <c:v>9.2165898617511495</c:v>
                </c:pt>
                <c:pt idx="17">
                  <c:v>10.506912442396301</c:v>
                </c:pt>
                <c:pt idx="18">
                  <c:v>10.691244239631301</c:v>
                </c:pt>
              </c:numCache>
            </c:numRef>
          </c:xVal>
          <c:yVal>
            <c:numRef>
              <c:f>'Pore Size vs Norm. Density'!$I$6:$I$24</c:f>
              <c:numCache>
                <c:formatCode>0.0000</c:formatCode>
                <c:ptCount val="19"/>
                <c:pt idx="0">
                  <c:v>1.5491523814700199</c:v>
                </c:pt>
                <c:pt idx="1">
                  <c:v>1.3695179248100462</c:v>
                </c:pt>
                <c:pt idx="2">
                  <c:v>1.3170331778776569</c:v>
                </c:pt>
                <c:pt idx="3">
                  <c:v>1.2983463496150407</c:v>
                </c:pt>
                <c:pt idx="4">
                  <c:v>1.2569829609684406</c:v>
                </c:pt>
                <c:pt idx="5">
                  <c:v>1.2495807436675788</c:v>
                </c:pt>
                <c:pt idx="6">
                  <c:v>1.1897821787330773</c:v>
                </c:pt>
                <c:pt idx="7">
                  <c:v>1.1763473322969651</c:v>
                </c:pt>
                <c:pt idx="8">
                  <c:v>1.1683979701020872</c:v>
                </c:pt>
                <c:pt idx="9">
                  <c:v>1.151704776728826</c:v>
                </c:pt>
                <c:pt idx="10">
                  <c:v>1.1436330094310492</c:v>
                </c:pt>
                <c:pt idx="11">
                  <c:v>1.1348076311351665</c:v>
                </c:pt>
                <c:pt idx="12">
                  <c:v>1.129434333856165</c:v>
                </c:pt>
                <c:pt idx="13">
                  <c:v>1.1223785334070999</c:v>
                </c:pt>
                <c:pt idx="14">
                  <c:v>1.1180177958886885</c:v>
                </c:pt>
                <c:pt idx="15">
                  <c:v>1.1069346593597202</c:v>
                </c:pt>
                <c:pt idx="16">
                  <c:v>1.105087068687495</c:v>
                </c:pt>
                <c:pt idx="17">
                  <c:v>1.0846868768422127</c:v>
                </c:pt>
                <c:pt idx="18">
                  <c:v>1.0801380777082574</c:v>
                </c:pt>
              </c:numCache>
            </c:numRef>
          </c:yVal>
          <c:smooth val="1"/>
          <c:extLst xmlns:c16r2="http://schemas.microsoft.com/office/drawing/2015/06/chart">
            <c:ext xmlns:c16="http://schemas.microsoft.com/office/drawing/2014/chart" uri="{C3380CC4-5D6E-409C-BE32-E72D297353CC}">
              <c16:uniqueId val="{00000003-D2F0-4350-A005-691E9C9656CD}"/>
            </c:ext>
          </c:extLst>
        </c:ser>
        <c:dLbls>
          <c:showLegendKey val="0"/>
          <c:showVal val="0"/>
          <c:showCatName val="0"/>
          <c:showSerName val="0"/>
          <c:showPercent val="0"/>
          <c:showBubbleSize val="0"/>
        </c:dLbls>
        <c:axId val="101001472"/>
        <c:axId val="101007744"/>
      </c:scatterChart>
      <c:valAx>
        <c:axId val="1010014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size (nm)</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07744"/>
        <c:crosses val="autoZero"/>
        <c:crossBetween val="midCat"/>
      </c:valAx>
      <c:valAx>
        <c:axId val="101007744"/>
        <c:scaling>
          <c:orientation val="minMax"/>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Normalized density (</a:t>
                </a:r>
                <a:r>
                  <a:rPr lang="el-GR"/>
                  <a:t>ρ/ρ</a:t>
                </a:r>
                <a:r>
                  <a:rPr lang="en-US" baseline="-25000"/>
                  <a:t>bulk</a:t>
                </a:r>
                <a:r>
                  <a:rPr lang="en-US"/>
                  <a:t>)</a:t>
                </a:r>
              </a:p>
            </c:rich>
          </c:tx>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01472"/>
        <c:crosses val="autoZero"/>
        <c:crossBetween val="midCat"/>
      </c:valAx>
      <c:spPr>
        <a:noFill/>
        <a:ln>
          <a:noFill/>
        </a:ln>
        <a:effectLst/>
      </c:spPr>
    </c:plotArea>
    <c:legend>
      <c:legendPos val="tr"/>
      <c:layout>
        <c:manualLayout>
          <c:xMode val="edge"/>
          <c:yMode val="edge"/>
          <c:x val="0.6328109939647375"/>
          <c:y val="0.11450680979136223"/>
          <c:w val="0.32771623885997303"/>
          <c:h val="0.18537717855854657"/>
        </c:manualLayout>
      </c:layout>
      <c:overlay val="1"/>
      <c:spPr>
        <a:solidFill>
          <a:schemeClr val="bg1"/>
        </a:solidFill>
        <a:ln>
          <a:solidFill>
            <a:srgbClr val="0070C0"/>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Sample 2</a:t>
            </a:r>
          </a:p>
        </c:rich>
      </c:tx>
      <c:overlay val="0"/>
      <c:spPr>
        <a:noFill/>
        <a:ln>
          <a:noFill/>
        </a:ln>
        <a:effectLst/>
      </c:spPr>
    </c:title>
    <c:autoTitleDeleted val="0"/>
    <c:plotArea>
      <c:layout/>
      <c:scatterChart>
        <c:scatterStyle val="smoothMarker"/>
        <c:varyColors val="0"/>
        <c:ser>
          <c:idx val="0"/>
          <c:order val="0"/>
          <c:tx>
            <c:v>pore pressure = 1,000 psi</c:v>
          </c:tx>
          <c:spPr>
            <a:ln w="19050" cap="rnd">
              <a:solidFill>
                <a:srgbClr val="0070C0"/>
              </a:solidFill>
              <a:round/>
            </a:ln>
            <a:effectLst/>
          </c:spPr>
          <c:marker>
            <c:symbol val="none"/>
          </c:marker>
          <c:xVal>
            <c:numRef>
              <c:f>'Pore Size vs Norm. Density'!$A$32:$A$51</c:f>
              <c:numCache>
                <c:formatCode>0.0000</c:formatCode>
                <c:ptCount val="20"/>
                <c:pt idx="0">
                  <c:v>1.81052631578947</c:v>
                </c:pt>
                <c:pt idx="1">
                  <c:v>3.07368421052632</c:v>
                </c:pt>
                <c:pt idx="2">
                  <c:v>3.6631578947368402</c:v>
                </c:pt>
                <c:pt idx="3">
                  <c:v>4</c:v>
                </c:pt>
                <c:pt idx="4">
                  <c:v>4.1684210526315804</c:v>
                </c:pt>
                <c:pt idx="5">
                  <c:v>4.5052631578947304</c:v>
                </c:pt>
                <c:pt idx="6">
                  <c:v>4.6736842105263099</c:v>
                </c:pt>
                <c:pt idx="7">
                  <c:v>4.8421052631578902</c:v>
                </c:pt>
                <c:pt idx="8">
                  <c:v>5.1789473684210501</c:v>
                </c:pt>
                <c:pt idx="9">
                  <c:v>5.4315789473684202</c:v>
                </c:pt>
                <c:pt idx="10">
                  <c:v>5.9368421052631604</c:v>
                </c:pt>
                <c:pt idx="11">
                  <c:v>6.2736842105263104</c:v>
                </c:pt>
                <c:pt idx="12">
                  <c:v>6.9473684210526301</c:v>
                </c:pt>
                <c:pt idx="13">
                  <c:v>7.3684210526315699</c:v>
                </c:pt>
                <c:pt idx="14">
                  <c:v>7.5368421052631502</c:v>
                </c:pt>
                <c:pt idx="15">
                  <c:v>8.7157894736842092</c:v>
                </c:pt>
                <c:pt idx="16">
                  <c:v>8.8000000000000007</c:v>
                </c:pt>
                <c:pt idx="17">
                  <c:v>9.2210526315789494</c:v>
                </c:pt>
                <c:pt idx="18">
                  <c:v>10.147368421052599</c:v>
                </c:pt>
                <c:pt idx="19">
                  <c:v>10.4</c:v>
                </c:pt>
              </c:numCache>
            </c:numRef>
          </c:xVal>
          <c:yVal>
            <c:numRef>
              <c:f>'Pore Size vs Norm. Density'!$C$32:$C$51</c:f>
              <c:numCache>
                <c:formatCode>0.0000</c:formatCode>
                <c:ptCount val="20"/>
                <c:pt idx="0">
                  <c:v>3.5815636413727958</c:v>
                </c:pt>
                <c:pt idx="1">
                  <c:v>2.6080993873176954</c:v>
                </c:pt>
                <c:pt idx="2">
                  <c:v>2.2941294789974247</c:v>
                </c:pt>
                <c:pt idx="3">
                  <c:v>2.145581863979849</c:v>
                </c:pt>
                <c:pt idx="4">
                  <c:v>2.0790679373857657</c:v>
                </c:pt>
                <c:pt idx="5">
                  <c:v>1.960548294497698</c:v>
                </c:pt>
                <c:pt idx="6">
                  <c:v>1.9081379575919868</c:v>
                </c:pt>
                <c:pt idx="7">
                  <c:v>1.8600241966373425</c:v>
                </c:pt>
                <c:pt idx="8">
                  <c:v>1.7758771613578002</c:v>
                </c:pt>
                <c:pt idx="9">
                  <c:v>1.7225407138698436</c:v>
                </c:pt>
                <c:pt idx="10">
                  <c:v>1.6380417337407738</c:v>
                </c:pt>
                <c:pt idx="11">
                  <c:v>1.5959425074499938</c:v>
                </c:pt>
                <c:pt idx="12">
                  <c:v>1.5386211089660291</c:v>
                </c:pt>
                <c:pt idx="13">
                  <c:v>1.5163358884592621</c:v>
                </c:pt>
                <c:pt idx="14">
                  <c:v>1.5094531411244072</c:v>
                </c:pt>
                <c:pt idx="15">
                  <c:v>1.4739489536915431</c:v>
                </c:pt>
                <c:pt idx="16">
                  <c:v>1.4711869420654926</c:v>
                </c:pt>
                <c:pt idx="17">
                  <c:v>1.4543960086359902</c:v>
                </c:pt>
                <c:pt idx="18">
                  <c:v>1.3873574776033912</c:v>
                </c:pt>
                <c:pt idx="19">
                  <c:v>1.3585282418136035</c:v>
                </c:pt>
              </c:numCache>
            </c:numRef>
          </c:yVal>
          <c:smooth val="1"/>
          <c:extLst xmlns:c16r2="http://schemas.microsoft.com/office/drawing/2015/06/chart">
            <c:ext xmlns:c16="http://schemas.microsoft.com/office/drawing/2014/chart" uri="{C3380CC4-5D6E-409C-BE32-E72D297353CC}">
              <c16:uniqueId val="{00000000-B8B2-4DBE-A19A-EA13DD77E6D3}"/>
            </c:ext>
          </c:extLst>
        </c:ser>
        <c:ser>
          <c:idx val="1"/>
          <c:order val="1"/>
          <c:tx>
            <c:v>pore pressure = 2,000 psi</c:v>
          </c:tx>
          <c:spPr>
            <a:ln w="19050" cap="rnd">
              <a:solidFill>
                <a:srgbClr val="FF0000"/>
              </a:solidFill>
              <a:prstDash val="dash"/>
              <a:round/>
            </a:ln>
            <a:effectLst/>
          </c:spPr>
          <c:marker>
            <c:symbol val="none"/>
          </c:marker>
          <c:xVal>
            <c:numRef>
              <c:f>'Pore Size vs Norm. Density'!$A$32:$A$51</c:f>
              <c:numCache>
                <c:formatCode>0.0000</c:formatCode>
                <c:ptCount val="20"/>
                <c:pt idx="0">
                  <c:v>1.81052631578947</c:v>
                </c:pt>
                <c:pt idx="1">
                  <c:v>3.07368421052632</c:v>
                </c:pt>
                <c:pt idx="2">
                  <c:v>3.6631578947368402</c:v>
                </c:pt>
                <c:pt idx="3">
                  <c:v>4</c:v>
                </c:pt>
                <c:pt idx="4">
                  <c:v>4.1684210526315804</c:v>
                </c:pt>
                <c:pt idx="5">
                  <c:v>4.5052631578947304</c:v>
                </c:pt>
                <c:pt idx="6">
                  <c:v>4.6736842105263099</c:v>
                </c:pt>
                <c:pt idx="7">
                  <c:v>4.8421052631578902</c:v>
                </c:pt>
                <c:pt idx="8">
                  <c:v>5.1789473684210501</c:v>
                </c:pt>
                <c:pt idx="9">
                  <c:v>5.4315789473684202</c:v>
                </c:pt>
                <c:pt idx="10">
                  <c:v>5.9368421052631604</c:v>
                </c:pt>
                <c:pt idx="11">
                  <c:v>6.2736842105263104</c:v>
                </c:pt>
                <c:pt idx="12">
                  <c:v>6.9473684210526301</c:v>
                </c:pt>
                <c:pt idx="13">
                  <c:v>7.3684210526315699</c:v>
                </c:pt>
                <c:pt idx="14">
                  <c:v>7.5368421052631502</c:v>
                </c:pt>
                <c:pt idx="15">
                  <c:v>8.7157894736842092</c:v>
                </c:pt>
                <c:pt idx="16">
                  <c:v>8.8000000000000007</c:v>
                </c:pt>
                <c:pt idx="17">
                  <c:v>9.2210526315789494</c:v>
                </c:pt>
                <c:pt idx="18">
                  <c:v>10.147368421052599</c:v>
                </c:pt>
                <c:pt idx="19">
                  <c:v>10.4</c:v>
                </c:pt>
              </c:numCache>
            </c:numRef>
          </c:xVal>
          <c:yVal>
            <c:numRef>
              <c:f>'Pore Size vs Norm. Density'!$E$32:$E$51</c:f>
              <c:numCache>
                <c:formatCode>0.0000</c:formatCode>
                <c:ptCount val="20"/>
                <c:pt idx="0">
                  <c:v>2.2114424592502036</c:v>
                </c:pt>
                <c:pt idx="1">
                  <c:v>1.7758031264617253</c:v>
                </c:pt>
                <c:pt idx="2">
                  <c:v>1.6328481824640309</c:v>
                </c:pt>
                <c:pt idx="3">
                  <c:v>1.5646797066014675</c:v>
                </c:pt>
                <c:pt idx="4">
                  <c:v>1.5340008908182317</c:v>
                </c:pt>
                <c:pt idx="5">
                  <c:v>1.4790204606016206</c:v>
                </c:pt>
                <c:pt idx="6">
                  <c:v>1.4545453889897499</c:v>
                </c:pt>
                <c:pt idx="7">
                  <c:v>1.4319647749231741</c:v>
                </c:pt>
                <c:pt idx="8">
                  <c:v>1.3921400050689214</c:v>
                </c:pt>
                <c:pt idx="9">
                  <c:v>1.3665993348521088</c:v>
                </c:pt>
                <c:pt idx="10">
                  <c:v>1.3253784929621502</c:v>
                </c:pt>
                <c:pt idx="11">
                  <c:v>1.3042624449806468</c:v>
                </c:pt>
                <c:pt idx="12">
                  <c:v>1.2741829516730832</c:v>
                </c:pt>
                <c:pt idx="13">
                  <c:v>1.261615028672197</c:v>
                </c:pt>
                <c:pt idx="14">
                  <c:v>1.2575506471927922</c:v>
                </c:pt>
                <c:pt idx="15">
                  <c:v>1.2360051786259816</c:v>
                </c:pt>
                <c:pt idx="16">
                  <c:v>1.2344678728606366</c:v>
                </c:pt>
                <c:pt idx="17">
                  <c:v>1.2257005492186133</c:v>
                </c:pt>
                <c:pt idx="18">
                  <c:v>1.1946656922266956</c:v>
                </c:pt>
                <c:pt idx="19">
                  <c:v>1.1819565770171159</c:v>
                </c:pt>
              </c:numCache>
            </c:numRef>
          </c:yVal>
          <c:smooth val="1"/>
          <c:extLst xmlns:c16r2="http://schemas.microsoft.com/office/drawing/2015/06/chart">
            <c:ext xmlns:c16="http://schemas.microsoft.com/office/drawing/2014/chart" uri="{C3380CC4-5D6E-409C-BE32-E72D297353CC}">
              <c16:uniqueId val="{00000001-B8B2-4DBE-A19A-EA13DD77E6D3}"/>
            </c:ext>
          </c:extLst>
        </c:ser>
        <c:ser>
          <c:idx val="2"/>
          <c:order val="2"/>
          <c:tx>
            <c:v>pore pressure = 3,000 psi</c:v>
          </c:tx>
          <c:spPr>
            <a:ln w="19050" cap="rnd">
              <a:solidFill>
                <a:srgbClr val="FFC000"/>
              </a:solidFill>
              <a:prstDash val="dashDot"/>
              <a:round/>
            </a:ln>
            <a:effectLst/>
          </c:spPr>
          <c:marker>
            <c:symbol val="none"/>
          </c:marker>
          <c:xVal>
            <c:numRef>
              <c:f>'Pore Size vs Norm. Density'!$A$32:$A$51</c:f>
              <c:numCache>
                <c:formatCode>0.0000</c:formatCode>
                <c:ptCount val="20"/>
                <c:pt idx="0">
                  <c:v>1.81052631578947</c:v>
                </c:pt>
                <c:pt idx="1">
                  <c:v>3.07368421052632</c:v>
                </c:pt>
                <c:pt idx="2">
                  <c:v>3.6631578947368402</c:v>
                </c:pt>
                <c:pt idx="3">
                  <c:v>4</c:v>
                </c:pt>
                <c:pt idx="4">
                  <c:v>4.1684210526315804</c:v>
                </c:pt>
                <c:pt idx="5">
                  <c:v>4.5052631578947304</c:v>
                </c:pt>
                <c:pt idx="6">
                  <c:v>4.6736842105263099</c:v>
                </c:pt>
                <c:pt idx="7">
                  <c:v>4.8421052631578902</c:v>
                </c:pt>
                <c:pt idx="8">
                  <c:v>5.1789473684210501</c:v>
                </c:pt>
                <c:pt idx="9">
                  <c:v>5.4315789473684202</c:v>
                </c:pt>
                <c:pt idx="10">
                  <c:v>5.9368421052631604</c:v>
                </c:pt>
                <c:pt idx="11">
                  <c:v>6.2736842105263104</c:v>
                </c:pt>
                <c:pt idx="12">
                  <c:v>6.9473684210526301</c:v>
                </c:pt>
                <c:pt idx="13">
                  <c:v>7.3684210526315699</c:v>
                </c:pt>
                <c:pt idx="14">
                  <c:v>7.5368421052631502</c:v>
                </c:pt>
                <c:pt idx="15">
                  <c:v>8.7157894736842092</c:v>
                </c:pt>
                <c:pt idx="16">
                  <c:v>8.8000000000000007</c:v>
                </c:pt>
                <c:pt idx="17">
                  <c:v>9.2210526315789494</c:v>
                </c:pt>
                <c:pt idx="18">
                  <c:v>10.147368421052599</c:v>
                </c:pt>
                <c:pt idx="19">
                  <c:v>10.4</c:v>
                </c:pt>
              </c:numCache>
            </c:numRef>
          </c:xVal>
          <c:yVal>
            <c:numRef>
              <c:f>'Pore Size vs Norm. Density'!$G$32:$G$51</c:f>
              <c:numCache>
                <c:formatCode>0.0000</c:formatCode>
                <c:ptCount val="20"/>
                <c:pt idx="0">
                  <c:v>1.7687030149467651</c:v>
                </c:pt>
                <c:pt idx="1">
                  <c:v>1.4975651505582368</c:v>
                </c:pt>
                <c:pt idx="2">
                  <c:v>1.4080461059017375</c:v>
                </c:pt>
                <c:pt idx="3">
                  <c:v>1.3652186732186731</c:v>
                </c:pt>
                <c:pt idx="4">
                  <c:v>1.3459040231187724</c:v>
                </c:pt>
                <c:pt idx="5">
                  <c:v>1.3112086326464307</c:v>
                </c:pt>
                <c:pt idx="6">
                  <c:v>1.2957222031716673</c:v>
                </c:pt>
                <c:pt idx="7">
                  <c:v>1.2814061581362941</c:v>
                </c:pt>
                <c:pt idx="8">
                  <c:v>1.2560738431790748</c:v>
                </c:pt>
                <c:pt idx="9">
                  <c:v>1.2397538347653014</c:v>
                </c:pt>
                <c:pt idx="10">
                  <c:v>1.2132304093019577</c:v>
                </c:pt>
                <c:pt idx="11">
                  <c:v>1.1995064514400817</c:v>
                </c:pt>
                <c:pt idx="12">
                  <c:v>1.1796561137473807</c:v>
                </c:pt>
                <c:pt idx="13">
                  <c:v>1.1711773205431173</c:v>
                </c:pt>
                <c:pt idx="14">
                  <c:v>1.1684005675801052</c:v>
                </c:pt>
                <c:pt idx="15">
                  <c:v>1.1536207599243398</c:v>
                </c:pt>
                <c:pt idx="16">
                  <c:v>1.1525962063882063</c:v>
                </c:pt>
                <c:pt idx="17">
                  <c:v>1.1468751758394402</c:v>
                </c:pt>
                <c:pt idx="18">
                  <c:v>1.1274851227836149</c:v>
                </c:pt>
                <c:pt idx="19">
                  <c:v>1.1196947551187544</c:v>
                </c:pt>
              </c:numCache>
            </c:numRef>
          </c:yVal>
          <c:smooth val="1"/>
          <c:extLst xmlns:c16r2="http://schemas.microsoft.com/office/drawing/2015/06/chart">
            <c:ext xmlns:c16="http://schemas.microsoft.com/office/drawing/2014/chart" uri="{C3380CC4-5D6E-409C-BE32-E72D297353CC}">
              <c16:uniqueId val="{00000002-B8B2-4DBE-A19A-EA13DD77E6D3}"/>
            </c:ext>
          </c:extLst>
        </c:ser>
        <c:ser>
          <c:idx val="3"/>
          <c:order val="3"/>
          <c:tx>
            <c:v>pore pressure = 4,000 psi</c:v>
          </c:tx>
          <c:spPr>
            <a:ln w="19050" cap="rnd">
              <a:solidFill>
                <a:schemeClr val="tx1"/>
              </a:solidFill>
              <a:prstDash val="sysDash"/>
              <a:round/>
            </a:ln>
            <a:effectLst/>
          </c:spPr>
          <c:marker>
            <c:symbol val="none"/>
          </c:marker>
          <c:xVal>
            <c:numRef>
              <c:f>'Pore Size vs Norm. Density'!$A$32:$A$51</c:f>
              <c:numCache>
                <c:formatCode>0.0000</c:formatCode>
                <c:ptCount val="20"/>
                <c:pt idx="0">
                  <c:v>1.81052631578947</c:v>
                </c:pt>
                <c:pt idx="1">
                  <c:v>3.07368421052632</c:v>
                </c:pt>
                <c:pt idx="2">
                  <c:v>3.6631578947368402</c:v>
                </c:pt>
                <c:pt idx="3">
                  <c:v>4</c:v>
                </c:pt>
                <c:pt idx="4">
                  <c:v>4.1684210526315804</c:v>
                </c:pt>
                <c:pt idx="5">
                  <c:v>4.5052631578947304</c:v>
                </c:pt>
                <c:pt idx="6">
                  <c:v>4.6736842105263099</c:v>
                </c:pt>
                <c:pt idx="7">
                  <c:v>4.8421052631578902</c:v>
                </c:pt>
                <c:pt idx="8">
                  <c:v>5.1789473684210501</c:v>
                </c:pt>
                <c:pt idx="9">
                  <c:v>5.4315789473684202</c:v>
                </c:pt>
                <c:pt idx="10">
                  <c:v>5.9368421052631604</c:v>
                </c:pt>
                <c:pt idx="11">
                  <c:v>6.2736842105263104</c:v>
                </c:pt>
                <c:pt idx="12">
                  <c:v>6.9473684210526301</c:v>
                </c:pt>
                <c:pt idx="13">
                  <c:v>7.3684210526315699</c:v>
                </c:pt>
                <c:pt idx="14">
                  <c:v>7.5368421052631502</c:v>
                </c:pt>
                <c:pt idx="15">
                  <c:v>8.7157894736842092</c:v>
                </c:pt>
                <c:pt idx="16">
                  <c:v>8.8000000000000007</c:v>
                </c:pt>
                <c:pt idx="17">
                  <c:v>9.2210526315789494</c:v>
                </c:pt>
                <c:pt idx="18">
                  <c:v>10.147368421052599</c:v>
                </c:pt>
                <c:pt idx="19">
                  <c:v>10.4</c:v>
                </c:pt>
              </c:numCache>
            </c:numRef>
          </c:xVal>
          <c:yVal>
            <c:numRef>
              <c:f>'Pore Size vs Norm. Density'!$I$32:$I$51</c:f>
              <c:numCache>
                <c:formatCode>0.0000</c:formatCode>
                <c:ptCount val="20"/>
                <c:pt idx="0">
                  <c:v>1.5580009226567446</c:v>
                </c:pt>
                <c:pt idx="1">
                  <c:v>1.3655710391600051</c:v>
                </c:pt>
                <c:pt idx="2">
                  <c:v>1.3006561542345634</c:v>
                </c:pt>
                <c:pt idx="3">
                  <c:v>1.269416086130462</c:v>
                </c:pt>
                <c:pt idx="4">
                  <c:v>1.2552753497557465</c:v>
                </c:pt>
                <c:pt idx="5">
                  <c:v>1.2297720274506088</c:v>
                </c:pt>
                <c:pt idx="6">
                  <c:v>1.218337263556035</c:v>
                </c:pt>
                <c:pt idx="7">
                  <c:v>1.2077323125240238</c:v>
                </c:pt>
                <c:pt idx="8">
                  <c:v>1.188867493119389</c:v>
                </c:pt>
                <c:pt idx="9">
                  <c:v>1.1766287255259542</c:v>
                </c:pt>
                <c:pt idx="10">
                  <c:v>1.1565344240163367</c:v>
                </c:pt>
                <c:pt idx="11">
                  <c:v>1.1459940987983686</c:v>
                </c:pt>
                <c:pt idx="12">
                  <c:v>1.1304683468999785</c:v>
                </c:pt>
                <c:pt idx="13">
                  <c:v>1.1236950827400862</c:v>
                </c:pt>
                <c:pt idx="14">
                  <c:v>1.121459035946816</c:v>
                </c:pt>
                <c:pt idx="15">
                  <c:v>1.109842130081536</c:v>
                </c:pt>
                <c:pt idx="16">
                  <c:v>1.1090908575047498</c:v>
                </c:pt>
                <c:pt idx="17">
                  <c:v>1.1050403951720535</c:v>
                </c:pt>
                <c:pt idx="18">
                  <c:v>1.0921544480580108</c:v>
                </c:pt>
                <c:pt idx="19">
                  <c:v>1.0870915566814432</c:v>
                </c:pt>
              </c:numCache>
            </c:numRef>
          </c:yVal>
          <c:smooth val="1"/>
          <c:extLst xmlns:c16r2="http://schemas.microsoft.com/office/drawing/2015/06/chart">
            <c:ext xmlns:c16="http://schemas.microsoft.com/office/drawing/2014/chart" uri="{C3380CC4-5D6E-409C-BE32-E72D297353CC}">
              <c16:uniqueId val="{00000003-B8B2-4DBE-A19A-EA13DD77E6D3}"/>
            </c:ext>
          </c:extLst>
        </c:ser>
        <c:dLbls>
          <c:showLegendKey val="0"/>
          <c:showVal val="0"/>
          <c:showCatName val="0"/>
          <c:showSerName val="0"/>
          <c:showPercent val="0"/>
          <c:showBubbleSize val="0"/>
        </c:dLbls>
        <c:axId val="101032704"/>
        <c:axId val="101034624"/>
      </c:scatterChart>
      <c:valAx>
        <c:axId val="1010327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size (nm)</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34624"/>
        <c:crosses val="autoZero"/>
        <c:crossBetween val="midCat"/>
      </c:valAx>
      <c:valAx>
        <c:axId val="101034624"/>
        <c:scaling>
          <c:orientation val="minMax"/>
          <c:min val="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Normalized density (</a:t>
                </a:r>
                <a:r>
                  <a:rPr lang="el-GR"/>
                  <a:t>ρ/ρ</a:t>
                </a:r>
                <a:r>
                  <a:rPr lang="en-US" baseline="-25000"/>
                  <a:t>bulk</a:t>
                </a:r>
                <a:r>
                  <a:rPr lang="en-US"/>
                  <a:t>)</a:t>
                </a:r>
              </a:p>
            </c:rich>
          </c:tx>
          <c:overlay val="0"/>
          <c:spPr>
            <a:noFill/>
            <a:ln>
              <a:noFill/>
            </a:ln>
            <a:effectLst/>
          </c:sp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032704"/>
        <c:crosses val="autoZero"/>
        <c:crossBetween val="midCat"/>
      </c:valAx>
      <c:spPr>
        <a:noFill/>
        <a:ln>
          <a:noFill/>
        </a:ln>
        <a:effectLst/>
      </c:spPr>
    </c:plotArea>
    <c:legend>
      <c:legendPos val="tr"/>
      <c:layout>
        <c:manualLayout>
          <c:xMode val="edge"/>
          <c:yMode val="edge"/>
          <c:x val="0.63014776754600588"/>
          <c:y val="0.11450680979136223"/>
          <c:w val="0.33037927992051846"/>
          <c:h val="0.18537717855854657"/>
        </c:manualLayout>
      </c:layout>
      <c:overlay val="1"/>
      <c:spPr>
        <a:solidFill>
          <a:schemeClr val="bg1"/>
        </a:solidFill>
        <a:ln>
          <a:solidFill>
            <a:srgbClr val="0070C0"/>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Sample 1</a:t>
            </a:r>
          </a:p>
        </c:rich>
      </c:tx>
      <c:overlay val="0"/>
      <c:spPr>
        <a:noFill/>
        <a:ln>
          <a:noFill/>
        </a:ln>
        <a:effectLst/>
      </c:spPr>
    </c:title>
    <c:autoTitleDeleted val="0"/>
    <c:plotArea>
      <c:layout/>
      <c:scatterChart>
        <c:scatterStyle val="lineMarker"/>
        <c:varyColors val="0"/>
        <c:ser>
          <c:idx val="0"/>
          <c:order val="0"/>
          <c:tx>
            <c:v>Pore-throat size</c:v>
          </c:tx>
          <c:spPr>
            <a:ln w="19050" cap="rnd">
              <a:solidFill>
                <a:schemeClr val="accent1"/>
              </a:solidFill>
              <a:round/>
            </a:ln>
            <a:effectLst/>
          </c:spPr>
          <c:marker>
            <c:symbol val="none"/>
          </c:marker>
          <c:xVal>
            <c:numRef>
              <c:f>'S-1 (P v Rho) and (P v Error)'!$S$4:$S$7</c:f>
              <c:numCache>
                <c:formatCode>General</c:formatCode>
                <c:ptCount val="4"/>
                <c:pt idx="0">
                  <c:v>1000</c:v>
                </c:pt>
                <c:pt idx="1">
                  <c:v>2000</c:v>
                </c:pt>
                <c:pt idx="2">
                  <c:v>3000</c:v>
                </c:pt>
                <c:pt idx="3">
                  <c:v>4000</c:v>
                </c:pt>
              </c:numCache>
            </c:numRef>
          </c:xVal>
          <c:yVal>
            <c:numRef>
              <c:f>'S-1 (P v Rho) and (P v Error)'!$T$4:$T$7</c:f>
              <c:numCache>
                <c:formatCode>0.0000</c:formatCode>
                <c:ptCount val="4"/>
                <c:pt idx="0">
                  <c:v>5.9230907535978955E-2</c:v>
                </c:pt>
                <c:pt idx="1">
                  <c:v>0.10189408917089408</c:v>
                </c:pt>
                <c:pt idx="2">
                  <c:v>0.14160281610412528</c:v>
                </c:pt>
                <c:pt idx="3">
                  <c:v>0.17641178770601948</c:v>
                </c:pt>
              </c:numCache>
            </c:numRef>
          </c:yVal>
          <c:smooth val="0"/>
          <c:extLst xmlns:c16r2="http://schemas.microsoft.com/office/drawing/2015/06/chart">
            <c:ext xmlns:c16="http://schemas.microsoft.com/office/drawing/2014/chart" uri="{C3380CC4-5D6E-409C-BE32-E72D297353CC}">
              <c16:uniqueId val="{00000000-2B33-4E69-A30F-B4EFB2D263CA}"/>
            </c:ext>
          </c:extLst>
        </c:ser>
        <c:ser>
          <c:idx val="1"/>
          <c:order val="1"/>
          <c:tx>
            <c:v>Pore-body size</c:v>
          </c:tx>
          <c:spPr>
            <a:ln w="19050" cap="rnd">
              <a:solidFill>
                <a:srgbClr val="FF0000"/>
              </a:solidFill>
              <a:round/>
            </a:ln>
            <a:effectLst/>
          </c:spPr>
          <c:marker>
            <c:symbol val="none"/>
          </c:marker>
          <c:xVal>
            <c:numRef>
              <c:f>'S-1 (P v Rho) and (P v Error)'!$S$4:$S$7</c:f>
              <c:numCache>
                <c:formatCode>General</c:formatCode>
                <c:ptCount val="4"/>
                <c:pt idx="0">
                  <c:v>1000</c:v>
                </c:pt>
                <c:pt idx="1">
                  <c:v>2000</c:v>
                </c:pt>
                <c:pt idx="2">
                  <c:v>3000</c:v>
                </c:pt>
                <c:pt idx="3">
                  <c:v>4000</c:v>
                </c:pt>
              </c:numCache>
            </c:numRef>
          </c:xVal>
          <c:yVal>
            <c:numRef>
              <c:f>'S-1 (P v Rho) and (P v Error)'!$U$4:$U$7</c:f>
              <c:numCache>
                <c:formatCode>0.0000</c:formatCode>
                <c:ptCount val="4"/>
                <c:pt idx="0">
                  <c:v>4.0920077688752353E-2</c:v>
                </c:pt>
                <c:pt idx="1">
                  <c:v>8.3038368750665281E-2</c:v>
                </c:pt>
                <c:pt idx="2">
                  <c:v>0.12329637894013701</c:v>
                </c:pt>
                <c:pt idx="3">
                  <c:v>0.15903196304875608</c:v>
                </c:pt>
              </c:numCache>
            </c:numRef>
          </c:yVal>
          <c:smooth val="0"/>
          <c:extLst xmlns:c16r2="http://schemas.microsoft.com/office/drawing/2015/06/chart">
            <c:ext xmlns:c16="http://schemas.microsoft.com/office/drawing/2014/chart" uri="{C3380CC4-5D6E-409C-BE32-E72D297353CC}">
              <c16:uniqueId val="{00000001-2B33-4E69-A30F-B4EFB2D263CA}"/>
            </c:ext>
          </c:extLst>
        </c:ser>
        <c:ser>
          <c:idx val="2"/>
          <c:order val="2"/>
          <c:tx>
            <c:v>Unconfined</c:v>
          </c:tx>
          <c:spPr>
            <a:ln w="19050" cap="rnd">
              <a:solidFill>
                <a:schemeClr val="tx1"/>
              </a:solidFill>
              <a:prstDash val="dash"/>
              <a:round/>
            </a:ln>
            <a:effectLst/>
          </c:spPr>
          <c:marker>
            <c:symbol val="none"/>
          </c:marker>
          <c:xVal>
            <c:numRef>
              <c:f>'S-1 (P v Rho) and (P v Error)'!$S$4:$S$7</c:f>
              <c:numCache>
                <c:formatCode>General</c:formatCode>
                <c:ptCount val="4"/>
                <c:pt idx="0">
                  <c:v>1000</c:v>
                </c:pt>
                <c:pt idx="1">
                  <c:v>2000</c:v>
                </c:pt>
                <c:pt idx="2">
                  <c:v>3000</c:v>
                </c:pt>
                <c:pt idx="3">
                  <c:v>4000</c:v>
                </c:pt>
              </c:numCache>
            </c:numRef>
          </c:xVal>
          <c:yVal>
            <c:numRef>
              <c:f>'S-1 (P v Rho) and (P v Error)'!$V$4:$V$7</c:f>
              <c:numCache>
                <c:formatCode>0.0000</c:formatCode>
                <c:ptCount val="4"/>
                <c:pt idx="0">
                  <c:v>3.9699999999999999E-2</c:v>
                </c:pt>
                <c:pt idx="1">
                  <c:v>8.1799999999999998E-2</c:v>
                </c:pt>
                <c:pt idx="2">
                  <c:v>0.1221</c:v>
                </c:pt>
                <c:pt idx="3">
                  <c:v>0.15790000000000001</c:v>
                </c:pt>
              </c:numCache>
            </c:numRef>
          </c:yVal>
          <c:smooth val="0"/>
          <c:extLst xmlns:c16r2="http://schemas.microsoft.com/office/drawing/2015/06/chart">
            <c:ext xmlns:c16="http://schemas.microsoft.com/office/drawing/2014/chart" uri="{C3380CC4-5D6E-409C-BE32-E72D297353CC}">
              <c16:uniqueId val="{00000002-2B33-4E69-A30F-B4EFB2D263CA}"/>
            </c:ext>
          </c:extLst>
        </c:ser>
        <c:dLbls>
          <c:showLegendKey val="0"/>
          <c:showVal val="0"/>
          <c:showCatName val="0"/>
          <c:showSerName val="0"/>
          <c:showPercent val="0"/>
          <c:showBubbleSize val="0"/>
        </c:dLbls>
        <c:axId val="113969024"/>
        <c:axId val="113983488"/>
      </c:scatterChart>
      <c:valAx>
        <c:axId val="113969024"/>
        <c:scaling>
          <c:orientation val="minMax"/>
          <c:max val="4000"/>
          <c:min val="1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83488"/>
        <c:crosses val="autoZero"/>
        <c:crossBetween val="midCat"/>
        <c:majorUnit val="1000"/>
      </c:valAx>
      <c:valAx>
        <c:axId val="113983488"/>
        <c:scaling>
          <c:orientation val="minMax"/>
          <c:min val="3.0000000000000006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Effective density (g/cm</a:t>
                </a:r>
                <a:r>
                  <a:rPr lang="en-US" baseline="30000"/>
                  <a:t>3</a:t>
                </a:r>
                <a:r>
                  <a:rPr lang="en-US"/>
                  <a:t>)</a:t>
                </a:r>
              </a:p>
            </c:rich>
          </c:tx>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969024"/>
        <c:crosses val="autoZero"/>
        <c:crossBetween val="midCat"/>
      </c:valAx>
      <c:spPr>
        <a:noFill/>
        <a:ln>
          <a:noFill/>
        </a:ln>
        <a:effectLst/>
      </c:spPr>
    </c:plotArea>
    <c:legend>
      <c:legendPos val="r"/>
      <c:layout>
        <c:manualLayout>
          <c:xMode val="edge"/>
          <c:yMode val="edge"/>
          <c:x val="0.6726763497783117"/>
          <c:y val="0.66878946333258726"/>
          <c:w val="0.27668082803208921"/>
          <c:h val="0.18436563646598439"/>
        </c:manualLayout>
      </c:layout>
      <c:overlay val="1"/>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Sample 2</a:t>
            </a:r>
          </a:p>
        </c:rich>
      </c:tx>
      <c:overlay val="0"/>
      <c:spPr>
        <a:noFill/>
        <a:ln>
          <a:noFill/>
        </a:ln>
        <a:effectLst/>
      </c:spPr>
    </c:title>
    <c:autoTitleDeleted val="0"/>
    <c:plotArea>
      <c:layout/>
      <c:scatterChart>
        <c:scatterStyle val="lineMarker"/>
        <c:varyColors val="0"/>
        <c:ser>
          <c:idx val="0"/>
          <c:order val="0"/>
          <c:tx>
            <c:v>Pore-throat size</c:v>
          </c:tx>
          <c:spPr>
            <a:ln w="19050" cap="rnd">
              <a:solidFill>
                <a:schemeClr val="accent1"/>
              </a:solidFill>
              <a:round/>
            </a:ln>
            <a:effectLst/>
          </c:spPr>
          <c:marker>
            <c:symbol val="none"/>
          </c:marker>
          <c:xVal>
            <c:numRef>
              <c:f>'S-2 (P v Rho) and (P v Error)'!$S$4:$S$7</c:f>
              <c:numCache>
                <c:formatCode>General</c:formatCode>
                <c:ptCount val="4"/>
                <c:pt idx="0">
                  <c:v>1000</c:v>
                </c:pt>
                <c:pt idx="1">
                  <c:v>2000</c:v>
                </c:pt>
                <c:pt idx="2">
                  <c:v>3000</c:v>
                </c:pt>
                <c:pt idx="3">
                  <c:v>4000</c:v>
                </c:pt>
              </c:numCache>
            </c:numRef>
          </c:xVal>
          <c:yVal>
            <c:numRef>
              <c:f>'S-2 (P v Rho) and (P v Error)'!$T$4:$T$7</c:f>
              <c:numCache>
                <c:formatCode>0.0000</c:formatCode>
                <c:ptCount val="4"/>
                <c:pt idx="0">
                  <c:v>6.3618097466479562E-2</c:v>
                </c:pt>
                <c:pt idx="1">
                  <c:v>0.10621686412838542</c:v>
                </c:pt>
                <c:pt idx="2">
                  <c:v>0.14572775296223967</c:v>
                </c:pt>
                <c:pt idx="3">
                  <c:v>0.18035416397440243</c:v>
                </c:pt>
              </c:numCache>
            </c:numRef>
          </c:yVal>
          <c:smooth val="0"/>
          <c:extLst xmlns:c16r2="http://schemas.microsoft.com/office/drawing/2015/06/chart">
            <c:ext xmlns:c16="http://schemas.microsoft.com/office/drawing/2014/chart" uri="{C3380CC4-5D6E-409C-BE32-E72D297353CC}">
              <c16:uniqueId val="{00000000-D326-4D5F-976D-9F7F6B6C67BF}"/>
            </c:ext>
          </c:extLst>
        </c:ser>
        <c:ser>
          <c:idx val="1"/>
          <c:order val="1"/>
          <c:tx>
            <c:v>Pore-body size</c:v>
          </c:tx>
          <c:spPr>
            <a:ln w="19050" cap="rnd">
              <a:solidFill>
                <a:srgbClr val="FF0000"/>
              </a:solidFill>
              <a:round/>
            </a:ln>
            <a:effectLst/>
          </c:spPr>
          <c:marker>
            <c:symbol val="none"/>
          </c:marker>
          <c:xVal>
            <c:numRef>
              <c:f>'S-2 (P v Rho) and (P v Error)'!$S$4:$S$7</c:f>
              <c:numCache>
                <c:formatCode>General</c:formatCode>
                <c:ptCount val="4"/>
                <c:pt idx="0">
                  <c:v>1000</c:v>
                </c:pt>
                <c:pt idx="1">
                  <c:v>2000</c:v>
                </c:pt>
                <c:pt idx="2">
                  <c:v>3000</c:v>
                </c:pt>
                <c:pt idx="3">
                  <c:v>4000</c:v>
                </c:pt>
              </c:numCache>
            </c:numRef>
          </c:xVal>
          <c:yVal>
            <c:numRef>
              <c:f>'S-2 (P v Rho) and (P v Error)'!$U$4:$U$7</c:f>
              <c:numCache>
                <c:formatCode>0.0000</c:formatCode>
                <c:ptCount val="4"/>
                <c:pt idx="0">
                  <c:v>4.0823710362482057E-2</c:v>
                </c:pt>
                <c:pt idx="1">
                  <c:v>8.2936517759849004E-2</c:v>
                </c:pt>
                <c:pt idx="2">
                  <c:v>0.12319653750975308</c:v>
                </c:pt>
                <c:pt idx="3">
                  <c:v>0.15893433474504984</c:v>
                </c:pt>
              </c:numCache>
            </c:numRef>
          </c:yVal>
          <c:smooth val="0"/>
          <c:extLst xmlns:c16r2="http://schemas.microsoft.com/office/drawing/2015/06/chart">
            <c:ext xmlns:c16="http://schemas.microsoft.com/office/drawing/2014/chart" uri="{C3380CC4-5D6E-409C-BE32-E72D297353CC}">
              <c16:uniqueId val="{00000001-D326-4D5F-976D-9F7F6B6C67BF}"/>
            </c:ext>
          </c:extLst>
        </c:ser>
        <c:ser>
          <c:idx val="2"/>
          <c:order val="2"/>
          <c:tx>
            <c:v>Unconfined</c:v>
          </c:tx>
          <c:spPr>
            <a:ln w="19050" cap="rnd">
              <a:solidFill>
                <a:schemeClr val="tx1"/>
              </a:solidFill>
              <a:prstDash val="dash"/>
              <a:round/>
            </a:ln>
            <a:effectLst/>
          </c:spPr>
          <c:marker>
            <c:symbol val="none"/>
          </c:marker>
          <c:xVal>
            <c:numRef>
              <c:f>'S-2 (P v Rho) and (P v Error)'!$S$4:$S$7</c:f>
              <c:numCache>
                <c:formatCode>General</c:formatCode>
                <c:ptCount val="4"/>
                <c:pt idx="0">
                  <c:v>1000</c:v>
                </c:pt>
                <c:pt idx="1">
                  <c:v>2000</c:v>
                </c:pt>
                <c:pt idx="2">
                  <c:v>3000</c:v>
                </c:pt>
                <c:pt idx="3">
                  <c:v>4000</c:v>
                </c:pt>
              </c:numCache>
            </c:numRef>
          </c:xVal>
          <c:yVal>
            <c:numRef>
              <c:f>'S-2 (P v Rho) and (P v Error)'!$V$4:$V$7</c:f>
              <c:numCache>
                <c:formatCode>0.0000</c:formatCode>
                <c:ptCount val="4"/>
                <c:pt idx="0">
                  <c:v>3.9699999999999999E-2</c:v>
                </c:pt>
                <c:pt idx="1">
                  <c:v>8.1799999999999998E-2</c:v>
                </c:pt>
                <c:pt idx="2">
                  <c:v>0.1221</c:v>
                </c:pt>
                <c:pt idx="3">
                  <c:v>0.15790000000000001</c:v>
                </c:pt>
              </c:numCache>
            </c:numRef>
          </c:yVal>
          <c:smooth val="0"/>
          <c:extLst xmlns:c16r2="http://schemas.microsoft.com/office/drawing/2015/06/chart">
            <c:ext xmlns:c16="http://schemas.microsoft.com/office/drawing/2014/chart" uri="{C3380CC4-5D6E-409C-BE32-E72D297353CC}">
              <c16:uniqueId val="{00000002-D326-4D5F-976D-9F7F6B6C67BF}"/>
            </c:ext>
          </c:extLst>
        </c:ser>
        <c:dLbls>
          <c:showLegendKey val="0"/>
          <c:showVal val="0"/>
          <c:showCatName val="0"/>
          <c:showSerName val="0"/>
          <c:showPercent val="0"/>
          <c:showBubbleSize val="0"/>
        </c:dLbls>
        <c:axId val="114015232"/>
        <c:axId val="114017408"/>
      </c:scatterChart>
      <c:valAx>
        <c:axId val="114015232"/>
        <c:scaling>
          <c:orientation val="minMax"/>
          <c:max val="4000"/>
          <c:min val="1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17408"/>
        <c:crosses val="autoZero"/>
        <c:crossBetween val="midCat"/>
        <c:majorUnit val="1000"/>
      </c:valAx>
      <c:valAx>
        <c:axId val="114017408"/>
        <c:scaling>
          <c:orientation val="minMax"/>
          <c:min val="3.0000000000000006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Effective density (g/cm</a:t>
                </a:r>
                <a:r>
                  <a:rPr lang="en-US" baseline="30000"/>
                  <a:t>3</a:t>
                </a:r>
                <a:r>
                  <a:rPr lang="en-US"/>
                  <a:t>)</a:t>
                </a:r>
              </a:p>
            </c:rich>
          </c:tx>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015232"/>
        <c:crosses val="autoZero"/>
        <c:crossBetween val="midCat"/>
      </c:valAx>
      <c:spPr>
        <a:noFill/>
        <a:ln>
          <a:noFill/>
        </a:ln>
        <a:effectLst/>
      </c:spPr>
    </c:plotArea>
    <c:legend>
      <c:legendPos val="r"/>
      <c:layout>
        <c:manualLayout>
          <c:xMode val="edge"/>
          <c:yMode val="edge"/>
          <c:x val="0.67524504352210213"/>
          <c:y val="0.67163917809506546"/>
          <c:w val="0.27447969957145185"/>
          <c:h val="0.182348779292614"/>
        </c:manualLayout>
      </c:layout>
      <c:overlay val="1"/>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Sample 1 </a:t>
            </a:r>
          </a:p>
        </c:rich>
      </c:tx>
      <c:overlay val="0"/>
      <c:spPr>
        <a:noFill/>
        <a:ln>
          <a:noFill/>
        </a:ln>
        <a:effectLst/>
      </c:spPr>
    </c:title>
    <c:autoTitleDeleted val="0"/>
    <c:plotArea>
      <c:layout/>
      <c:scatterChart>
        <c:scatterStyle val="lineMarker"/>
        <c:varyColors val="0"/>
        <c:ser>
          <c:idx val="0"/>
          <c:order val="0"/>
          <c:tx>
            <c:v>Deviation 1</c:v>
          </c:tx>
          <c:spPr>
            <a:ln w="19050" cap="rnd">
              <a:solidFill>
                <a:schemeClr val="accent1"/>
              </a:solidFill>
              <a:round/>
            </a:ln>
            <a:effectLst/>
          </c:spPr>
          <c:marker>
            <c:symbol val="none"/>
          </c:marker>
          <c:xVal>
            <c:numRef>
              <c:f>'S-1 (P v Rho) and (P v Error)'!$X$4:$X$7</c:f>
              <c:numCache>
                <c:formatCode>General</c:formatCode>
                <c:ptCount val="4"/>
                <c:pt idx="0">
                  <c:v>1000</c:v>
                </c:pt>
                <c:pt idx="1">
                  <c:v>2000</c:v>
                </c:pt>
                <c:pt idx="2">
                  <c:v>3000</c:v>
                </c:pt>
                <c:pt idx="3">
                  <c:v>4000</c:v>
                </c:pt>
              </c:numCache>
            </c:numRef>
          </c:xVal>
          <c:yVal>
            <c:numRef>
              <c:f>'S-1 (P v Rho) and (P v Error)'!$Y$4:$Y$7</c:f>
              <c:numCache>
                <c:formatCode>0%</c:formatCode>
                <c:ptCount val="4"/>
                <c:pt idx="0">
                  <c:v>3.073243548494594E-2</c:v>
                </c:pt>
                <c:pt idx="1">
                  <c:v>1.5138982281971681E-2</c:v>
                </c:pt>
                <c:pt idx="2">
                  <c:v>9.7983533180754125E-3</c:v>
                </c:pt>
                <c:pt idx="3">
                  <c:v>7.1688603467768728E-3</c:v>
                </c:pt>
              </c:numCache>
            </c:numRef>
          </c:yVal>
          <c:smooth val="0"/>
          <c:extLst xmlns:c16r2="http://schemas.microsoft.com/office/drawing/2015/06/chart">
            <c:ext xmlns:c16="http://schemas.microsoft.com/office/drawing/2014/chart" uri="{C3380CC4-5D6E-409C-BE32-E72D297353CC}">
              <c16:uniqueId val="{00000000-0A1B-4D98-810A-1DC492F24A59}"/>
            </c:ext>
          </c:extLst>
        </c:ser>
        <c:ser>
          <c:idx val="1"/>
          <c:order val="1"/>
          <c:tx>
            <c:v>Deviation 2</c:v>
          </c:tx>
          <c:spPr>
            <a:ln w="19050" cap="rnd">
              <a:solidFill>
                <a:srgbClr val="FF0000"/>
              </a:solidFill>
              <a:prstDash val="lgDash"/>
              <a:round/>
            </a:ln>
            <a:effectLst/>
          </c:spPr>
          <c:marker>
            <c:symbol val="none"/>
          </c:marker>
          <c:xVal>
            <c:numRef>
              <c:f>'S-1 (P v Rho) and (P v Error)'!$X$4:$X$7</c:f>
              <c:numCache>
                <c:formatCode>General</c:formatCode>
                <c:ptCount val="4"/>
                <c:pt idx="0">
                  <c:v>1000</c:v>
                </c:pt>
                <c:pt idx="1">
                  <c:v>2000</c:v>
                </c:pt>
                <c:pt idx="2">
                  <c:v>3000</c:v>
                </c:pt>
                <c:pt idx="3">
                  <c:v>4000</c:v>
                </c:pt>
              </c:numCache>
            </c:numRef>
          </c:xVal>
          <c:yVal>
            <c:numRef>
              <c:f>'S-1 (P v Rho) and (P v Error)'!$Z$4:$Z$7</c:f>
              <c:numCache>
                <c:formatCode>0%</c:formatCode>
                <c:ptCount val="4"/>
                <c:pt idx="0">
                  <c:v>0.44747788570938307</c:v>
                </c:pt>
                <c:pt idx="1">
                  <c:v>0.22707238477728087</c:v>
                </c:pt>
                <c:pt idx="2">
                  <c:v>0.14847505921383497</c:v>
                </c:pt>
                <c:pt idx="3">
                  <c:v>0.1092851042273501</c:v>
                </c:pt>
              </c:numCache>
            </c:numRef>
          </c:yVal>
          <c:smooth val="0"/>
          <c:extLst xmlns:c16r2="http://schemas.microsoft.com/office/drawing/2015/06/chart">
            <c:ext xmlns:c16="http://schemas.microsoft.com/office/drawing/2014/chart" uri="{C3380CC4-5D6E-409C-BE32-E72D297353CC}">
              <c16:uniqueId val="{00000001-0A1B-4D98-810A-1DC492F24A59}"/>
            </c:ext>
          </c:extLst>
        </c:ser>
        <c:dLbls>
          <c:showLegendKey val="0"/>
          <c:showVal val="0"/>
          <c:showCatName val="0"/>
          <c:showSerName val="0"/>
          <c:showPercent val="0"/>
          <c:showBubbleSize val="0"/>
        </c:dLbls>
        <c:axId val="121654272"/>
        <c:axId val="121656448"/>
      </c:scatterChart>
      <c:valAx>
        <c:axId val="121654272"/>
        <c:scaling>
          <c:orientation val="minMax"/>
          <c:max val="4000"/>
          <c:min val="1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56448"/>
        <c:crosses val="autoZero"/>
        <c:crossBetween val="midCat"/>
        <c:majorUnit val="1000"/>
      </c:valAx>
      <c:valAx>
        <c:axId val="121656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Deviation</a:t>
                </a:r>
                <a:r>
                  <a:rPr lang="en-US" baseline="0"/>
                  <a:t> percent</a:t>
                </a:r>
                <a:endParaRPr lang="en-US"/>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54272"/>
        <c:crosses val="autoZero"/>
        <c:crossBetween val="midCat"/>
        <c:majorUnit val="0.1"/>
      </c:valAx>
      <c:spPr>
        <a:noFill/>
        <a:ln>
          <a:noFill/>
        </a:ln>
        <a:effectLst/>
      </c:spPr>
    </c:plotArea>
    <c:legend>
      <c:legendPos val="r"/>
      <c:layout>
        <c:manualLayout>
          <c:xMode val="edge"/>
          <c:yMode val="edge"/>
          <c:x val="0.73022024259679408"/>
          <c:y val="0.12114803149606299"/>
          <c:w val="0.21908003025045597"/>
          <c:h val="0.1407376537459592"/>
        </c:manualLayout>
      </c:layout>
      <c:overlay val="1"/>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Sample 2 </a:t>
            </a:r>
          </a:p>
        </c:rich>
      </c:tx>
      <c:overlay val="0"/>
      <c:spPr>
        <a:noFill/>
        <a:ln>
          <a:noFill/>
        </a:ln>
        <a:effectLst/>
      </c:spPr>
    </c:title>
    <c:autoTitleDeleted val="0"/>
    <c:plotArea>
      <c:layout/>
      <c:scatterChart>
        <c:scatterStyle val="lineMarker"/>
        <c:varyColors val="0"/>
        <c:ser>
          <c:idx val="0"/>
          <c:order val="0"/>
          <c:tx>
            <c:v>Deviation 1</c:v>
          </c:tx>
          <c:spPr>
            <a:ln w="19050" cap="rnd">
              <a:solidFill>
                <a:schemeClr val="accent1"/>
              </a:solidFill>
              <a:round/>
            </a:ln>
            <a:effectLst/>
          </c:spPr>
          <c:marker>
            <c:symbol val="none"/>
          </c:marker>
          <c:xVal>
            <c:numRef>
              <c:f>'S-2 (P v Rho) and (P v Error)'!$X$4:$X$7</c:f>
              <c:numCache>
                <c:formatCode>General</c:formatCode>
                <c:ptCount val="4"/>
                <c:pt idx="0">
                  <c:v>1000</c:v>
                </c:pt>
                <c:pt idx="1">
                  <c:v>2000</c:v>
                </c:pt>
                <c:pt idx="2">
                  <c:v>3000</c:v>
                </c:pt>
                <c:pt idx="3">
                  <c:v>4000</c:v>
                </c:pt>
              </c:numCache>
            </c:numRef>
          </c:xVal>
          <c:yVal>
            <c:numRef>
              <c:f>'S-2 (P v Rho) and (P v Error)'!$Y$4:$Y$7</c:f>
              <c:numCache>
                <c:formatCode>0%</c:formatCode>
                <c:ptCount val="4"/>
                <c:pt idx="0">
                  <c:v>2.830504691390575E-2</c:v>
                </c:pt>
                <c:pt idx="1">
                  <c:v>1.3893860144853384E-2</c:v>
                </c:pt>
                <c:pt idx="2">
                  <c:v>8.9806511855289248E-3</c:v>
                </c:pt>
                <c:pt idx="3">
                  <c:v>6.5505683663700139E-3</c:v>
                </c:pt>
              </c:numCache>
            </c:numRef>
          </c:yVal>
          <c:smooth val="0"/>
          <c:extLst xmlns:c16r2="http://schemas.microsoft.com/office/drawing/2015/06/chart">
            <c:ext xmlns:c16="http://schemas.microsoft.com/office/drawing/2014/chart" uri="{C3380CC4-5D6E-409C-BE32-E72D297353CC}">
              <c16:uniqueId val="{00000000-D3B7-4FDF-9246-6828B9339E99}"/>
            </c:ext>
          </c:extLst>
        </c:ser>
        <c:ser>
          <c:idx val="1"/>
          <c:order val="1"/>
          <c:tx>
            <c:v>Deviation 2</c:v>
          </c:tx>
          <c:spPr>
            <a:ln w="19050" cap="rnd">
              <a:solidFill>
                <a:srgbClr val="FF0000"/>
              </a:solidFill>
              <a:prstDash val="lgDash"/>
              <a:round/>
            </a:ln>
            <a:effectLst/>
          </c:spPr>
          <c:marker>
            <c:symbol val="none"/>
          </c:marker>
          <c:xVal>
            <c:numRef>
              <c:f>'S-2 (P v Rho) and (P v Error)'!$X$4:$X$7</c:f>
              <c:numCache>
                <c:formatCode>General</c:formatCode>
                <c:ptCount val="4"/>
                <c:pt idx="0">
                  <c:v>1000</c:v>
                </c:pt>
                <c:pt idx="1">
                  <c:v>2000</c:v>
                </c:pt>
                <c:pt idx="2">
                  <c:v>3000</c:v>
                </c:pt>
                <c:pt idx="3">
                  <c:v>4000</c:v>
                </c:pt>
              </c:numCache>
            </c:numRef>
          </c:xVal>
          <c:yVal>
            <c:numRef>
              <c:f>'S-2 (P v Rho) and (P v Error)'!$Z$4:$Z$7</c:f>
              <c:numCache>
                <c:formatCode>0%</c:formatCode>
                <c:ptCount val="4"/>
                <c:pt idx="0">
                  <c:v>0.55836147429034466</c:v>
                </c:pt>
                <c:pt idx="1">
                  <c:v>0.2807007937799727</c:v>
                </c:pt>
                <c:pt idx="2">
                  <c:v>0.18288838231920973</c:v>
                </c:pt>
                <c:pt idx="3">
                  <c:v>0.1347715662805814</c:v>
                </c:pt>
              </c:numCache>
            </c:numRef>
          </c:yVal>
          <c:smooth val="0"/>
          <c:extLst xmlns:c16r2="http://schemas.microsoft.com/office/drawing/2015/06/chart">
            <c:ext xmlns:c16="http://schemas.microsoft.com/office/drawing/2014/chart" uri="{C3380CC4-5D6E-409C-BE32-E72D297353CC}">
              <c16:uniqueId val="{00000001-D3B7-4FDF-9246-6828B9339E99}"/>
            </c:ext>
          </c:extLst>
        </c:ser>
        <c:dLbls>
          <c:showLegendKey val="0"/>
          <c:showVal val="0"/>
          <c:showCatName val="0"/>
          <c:showSerName val="0"/>
          <c:showPercent val="0"/>
          <c:showBubbleSize val="0"/>
        </c:dLbls>
        <c:axId val="121674752"/>
        <c:axId val="114103424"/>
      </c:scatterChart>
      <c:valAx>
        <c:axId val="121674752"/>
        <c:scaling>
          <c:orientation val="minMax"/>
          <c:max val="4000"/>
          <c:min val="10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pressure (psi)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103424"/>
        <c:crosses val="autoZero"/>
        <c:crossBetween val="midCat"/>
        <c:majorUnit val="1000"/>
      </c:valAx>
      <c:valAx>
        <c:axId val="114103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Deviation percent</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674752"/>
        <c:crosses val="autoZero"/>
        <c:crossBetween val="midCat"/>
      </c:valAx>
      <c:spPr>
        <a:noFill/>
        <a:ln>
          <a:noFill/>
        </a:ln>
        <a:effectLst/>
      </c:spPr>
    </c:plotArea>
    <c:legend>
      <c:legendPos val="r"/>
      <c:layout>
        <c:manualLayout>
          <c:xMode val="edge"/>
          <c:yMode val="edge"/>
          <c:x val="0.74234971158266239"/>
          <c:y val="0.12046199322172108"/>
          <c:w val="0.20751145513590463"/>
          <c:h val="0.1223033407231863"/>
        </c:manualLayout>
      </c:layout>
      <c:overlay val="1"/>
      <c:spPr>
        <a:solidFill>
          <a:schemeClr val="bg1"/>
        </a:solidFill>
        <a:ln>
          <a:solidFill>
            <a:schemeClr val="tx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1,000 psi</c:v>
          </c:tx>
          <c:spPr>
            <a:ln w="25400" cap="rnd">
              <a:noFill/>
              <a:round/>
            </a:ln>
            <a:effectLst/>
          </c:spPr>
          <c:marker>
            <c:symbol val="circle"/>
            <c:size val="5"/>
            <c:spPr>
              <a:solidFill>
                <a:srgbClr val="0070C0"/>
              </a:solidFill>
              <a:ln w="9525">
                <a:solidFill>
                  <a:srgbClr val="0070C0"/>
                </a:solidFill>
              </a:ln>
              <a:effectLst/>
            </c:spPr>
          </c:marker>
          <c:trendline>
            <c:spPr>
              <a:ln w="19050" cap="rnd">
                <a:solidFill>
                  <a:srgbClr val="0070C0"/>
                </a:solidFill>
                <a:prstDash val="solid"/>
              </a:ln>
              <a:effectLst/>
            </c:spPr>
            <c:trendlineType val="poly"/>
            <c:order val="3"/>
            <c:dispRSqr val="1"/>
            <c:dispEq val="1"/>
            <c:trendlineLbl>
              <c:layout>
                <c:manualLayout>
                  <c:x val="1.7011206932466775E-2"/>
                  <c:y val="5.811376189916567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'Pore Size vs Density'!$A$6:$A$17</c:f>
              <c:numCache>
                <c:formatCode>General</c:formatCode>
                <c:ptCount val="12"/>
                <c:pt idx="0" formatCode="0.0000">
                  <c:v>1.81052631578947</c:v>
                </c:pt>
                <c:pt idx="1">
                  <c:v>3.1837</c:v>
                </c:pt>
                <c:pt idx="2">
                  <c:v>4.2041000000000004</c:v>
                </c:pt>
                <c:pt idx="3">
                  <c:v>4.3673000000000002</c:v>
                </c:pt>
                <c:pt idx="4">
                  <c:v>5.5510000000000002</c:v>
                </c:pt>
                <c:pt idx="5">
                  <c:v>6.4081999999999999</c:v>
                </c:pt>
                <c:pt idx="6">
                  <c:v>6.7347000000000001</c:v>
                </c:pt>
                <c:pt idx="7">
                  <c:v>7.9184000000000001</c:v>
                </c:pt>
                <c:pt idx="8">
                  <c:v>8.6121999999999996</c:v>
                </c:pt>
                <c:pt idx="9">
                  <c:v>9.1020000000000003</c:v>
                </c:pt>
                <c:pt idx="10">
                  <c:v>10.2857</c:v>
                </c:pt>
                <c:pt idx="11">
                  <c:v>10.8163</c:v>
                </c:pt>
              </c:numCache>
            </c:numRef>
          </c:xVal>
          <c:yVal>
            <c:numRef>
              <c:f>'Pore Size vs Density'!$B$6:$B$17</c:f>
              <c:numCache>
                <c:formatCode>0.0000</c:formatCode>
                <c:ptCount val="12"/>
                <c:pt idx="0">
                  <c:v>0.14218807656249999</c:v>
                </c:pt>
                <c:pt idx="1">
                  <c:v>9.9518722395833328E-2</c:v>
                </c:pt>
                <c:pt idx="2">
                  <c:v>7.9316246614583336E-2</c:v>
                </c:pt>
                <c:pt idx="3">
                  <c:v>7.8973661718750005E-2</c:v>
                </c:pt>
                <c:pt idx="4">
                  <c:v>7.0293565624999985E-2</c:v>
                </c:pt>
                <c:pt idx="5">
                  <c:v>6.5951010859374992E-2</c:v>
                </c:pt>
                <c:pt idx="6">
                  <c:v>6.2076585820312488E-2</c:v>
                </c:pt>
                <c:pt idx="7">
                  <c:v>5.7762022747395829E-2</c:v>
                </c:pt>
                <c:pt idx="8">
                  <c:v>5.7490043763020839E-2</c:v>
                </c:pt>
                <c:pt idx="9">
                  <c:v>5.7296065510416661E-2</c:v>
                </c:pt>
                <c:pt idx="10">
                  <c:v>5.3279634854166667E-2</c:v>
                </c:pt>
                <c:pt idx="11">
                  <c:v>5.3142099552083329E-2</c:v>
                </c:pt>
              </c:numCache>
            </c:numRef>
          </c:yVal>
          <c:smooth val="0"/>
          <c:extLst xmlns:c16r2="http://schemas.microsoft.com/office/drawing/2015/06/chart">
            <c:ext xmlns:c16="http://schemas.microsoft.com/office/drawing/2014/chart" uri="{C3380CC4-5D6E-409C-BE32-E72D297353CC}">
              <c16:uniqueId val="{00000000-791E-445D-BE44-C1ECBDB0F3D5}"/>
            </c:ext>
          </c:extLst>
        </c:ser>
        <c:ser>
          <c:idx val="1"/>
          <c:order val="1"/>
          <c:tx>
            <c:v>2,000 psi</c:v>
          </c:tx>
          <c:spPr>
            <a:ln w="25400" cap="rnd">
              <a:noFill/>
              <a:round/>
            </a:ln>
            <a:effectLst/>
          </c:spPr>
          <c:marker>
            <c:symbol val="triangle"/>
            <c:size val="5"/>
            <c:spPr>
              <a:solidFill>
                <a:srgbClr val="FF0000"/>
              </a:solidFill>
              <a:ln w="9525">
                <a:solidFill>
                  <a:srgbClr val="FF0000"/>
                </a:solidFill>
              </a:ln>
              <a:effectLst/>
            </c:spPr>
          </c:marker>
          <c:trendline>
            <c:spPr>
              <a:ln w="19050" cap="rnd">
                <a:solidFill>
                  <a:srgbClr val="FF0000"/>
                </a:solidFill>
                <a:prstDash val="solid"/>
              </a:ln>
              <a:effectLst/>
            </c:spPr>
            <c:trendlineType val="poly"/>
            <c:order val="3"/>
            <c:dispRSqr val="1"/>
            <c:dispEq val="1"/>
            <c:trendlineLbl>
              <c:layout>
                <c:manualLayout>
                  <c:x val="1.5383205304465146E-2"/>
                  <c:y val="4.753555059348924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'Pore Size vs Density'!$A$6:$A$17</c:f>
              <c:numCache>
                <c:formatCode>General</c:formatCode>
                <c:ptCount val="12"/>
                <c:pt idx="0" formatCode="0.0000">
                  <c:v>1.81052631578947</c:v>
                </c:pt>
                <c:pt idx="1">
                  <c:v>3.1837</c:v>
                </c:pt>
                <c:pt idx="2">
                  <c:v>4.2041000000000004</c:v>
                </c:pt>
                <c:pt idx="3">
                  <c:v>4.3673000000000002</c:v>
                </c:pt>
                <c:pt idx="4">
                  <c:v>5.5510000000000002</c:v>
                </c:pt>
                <c:pt idx="5">
                  <c:v>6.4081999999999999</c:v>
                </c:pt>
                <c:pt idx="6">
                  <c:v>6.7347000000000001</c:v>
                </c:pt>
                <c:pt idx="7">
                  <c:v>7.9184000000000001</c:v>
                </c:pt>
                <c:pt idx="8">
                  <c:v>8.6121999999999996</c:v>
                </c:pt>
                <c:pt idx="9">
                  <c:v>9.1020000000000003</c:v>
                </c:pt>
                <c:pt idx="10">
                  <c:v>10.2857</c:v>
                </c:pt>
                <c:pt idx="11">
                  <c:v>10.8163</c:v>
                </c:pt>
              </c:numCache>
            </c:numRef>
          </c:xVal>
          <c:yVal>
            <c:numRef>
              <c:f>'Pore Size vs Density'!$C$6:$C$17</c:f>
              <c:numCache>
                <c:formatCode>0.0000</c:formatCode>
                <c:ptCount val="12"/>
                <c:pt idx="0">
                  <c:v>0.18089599316666666</c:v>
                </c:pt>
                <c:pt idx="1">
                  <c:v>0.14194911510416663</c:v>
                </c:pt>
                <c:pt idx="2">
                  <c:v>0.12254878932291666</c:v>
                </c:pt>
                <c:pt idx="3">
                  <c:v>0.12210593567708335</c:v>
                </c:pt>
                <c:pt idx="4">
                  <c:v>0.11326081393229163</c:v>
                </c:pt>
                <c:pt idx="5">
                  <c:v>0.1087862386458333</c:v>
                </c:pt>
                <c:pt idx="6">
                  <c:v>0.10520029515625</c:v>
                </c:pt>
                <c:pt idx="7">
                  <c:v>0.10083810442708334</c:v>
                </c:pt>
                <c:pt idx="8">
                  <c:v>0.10036901379166668</c:v>
                </c:pt>
                <c:pt idx="9">
                  <c:v>0.10001506510416665</c:v>
                </c:pt>
                <c:pt idx="10">
                  <c:v>9.6171263812500005E-2</c:v>
                </c:pt>
                <c:pt idx="11">
                  <c:v>9.5930284583333331E-2</c:v>
                </c:pt>
              </c:numCache>
            </c:numRef>
          </c:yVal>
          <c:smooth val="0"/>
          <c:extLst xmlns:c16r2="http://schemas.microsoft.com/office/drawing/2015/06/chart">
            <c:ext xmlns:c16="http://schemas.microsoft.com/office/drawing/2014/chart" uri="{C3380CC4-5D6E-409C-BE32-E72D297353CC}">
              <c16:uniqueId val="{00000001-791E-445D-BE44-C1ECBDB0F3D5}"/>
            </c:ext>
          </c:extLst>
        </c:ser>
        <c:ser>
          <c:idx val="2"/>
          <c:order val="2"/>
          <c:tx>
            <c:v>3,000 psi</c:v>
          </c:tx>
          <c:spPr>
            <a:ln w="25400" cap="rnd">
              <a:noFill/>
              <a:round/>
            </a:ln>
            <a:effectLst/>
          </c:spPr>
          <c:marker>
            <c:symbol val="square"/>
            <c:size val="5"/>
            <c:spPr>
              <a:solidFill>
                <a:schemeClr val="tx1"/>
              </a:solidFill>
              <a:ln w="9525">
                <a:solidFill>
                  <a:schemeClr val="tx1"/>
                </a:solidFill>
              </a:ln>
              <a:effectLst/>
            </c:spPr>
          </c:marker>
          <c:trendline>
            <c:spPr>
              <a:ln w="19050" cap="rnd">
                <a:solidFill>
                  <a:schemeClr val="tx1"/>
                </a:solidFill>
                <a:prstDash val="solid"/>
              </a:ln>
              <a:effectLst/>
            </c:spPr>
            <c:trendlineType val="poly"/>
            <c:order val="3"/>
            <c:dispRSqr val="1"/>
            <c:dispEq val="1"/>
            <c:trendlineLbl>
              <c:layout>
                <c:manualLayout>
                  <c:x val="1.0499200420460262E-2"/>
                  <c:y val="4.368923101030281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'Pore Size vs Density'!$A$6:$A$17</c:f>
              <c:numCache>
                <c:formatCode>General</c:formatCode>
                <c:ptCount val="12"/>
                <c:pt idx="0" formatCode="0.0000">
                  <c:v>1.81052631578947</c:v>
                </c:pt>
                <c:pt idx="1">
                  <c:v>3.1837</c:v>
                </c:pt>
                <c:pt idx="2">
                  <c:v>4.2041000000000004</c:v>
                </c:pt>
                <c:pt idx="3">
                  <c:v>4.3673000000000002</c:v>
                </c:pt>
                <c:pt idx="4">
                  <c:v>5.5510000000000002</c:v>
                </c:pt>
                <c:pt idx="5">
                  <c:v>6.4081999999999999</c:v>
                </c:pt>
                <c:pt idx="6">
                  <c:v>6.7347000000000001</c:v>
                </c:pt>
                <c:pt idx="7">
                  <c:v>7.9184000000000001</c:v>
                </c:pt>
                <c:pt idx="8">
                  <c:v>8.6121999999999996</c:v>
                </c:pt>
                <c:pt idx="9">
                  <c:v>9.1020000000000003</c:v>
                </c:pt>
                <c:pt idx="10">
                  <c:v>10.2857</c:v>
                </c:pt>
                <c:pt idx="11">
                  <c:v>10.8163</c:v>
                </c:pt>
              </c:numCache>
            </c:numRef>
          </c:xVal>
          <c:yVal>
            <c:numRef>
              <c:f>'Pore Size vs Density'!$D$6:$D$17</c:f>
              <c:numCache>
                <c:formatCode>0.0000</c:formatCode>
                <c:ptCount val="12"/>
                <c:pt idx="0">
                  <c:v>0.21595863812500002</c:v>
                </c:pt>
                <c:pt idx="1">
                  <c:v>0.17983399114583334</c:v>
                </c:pt>
                <c:pt idx="2">
                  <c:v>0.16163521921874999</c:v>
                </c:pt>
                <c:pt idx="3">
                  <c:v>0.16113429325520837</c:v>
                </c:pt>
                <c:pt idx="4">
                  <c:v>0.15262089395833334</c:v>
                </c:pt>
                <c:pt idx="5">
                  <c:v>0.14834184273437498</c:v>
                </c:pt>
                <c:pt idx="6">
                  <c:v>0.14500824226562498</c:v>
                </c:pt>
                <c:pt idx="7">
                  <c:v>0.14083906888020831</c:v>
                </c:pt>
                <c:pt idx="8">
                  <c:v>0.13999656070833336</c:v>
                </c:pt>
                <c:pt idx="9">
                  <c:v>0.13986654556249997</c:v>
                </c:pt>
                <c:pt idx="10">
                  <c:v>0.13627608997916671</c:v>
                </c:pt>
                <c:pt idx="11">
                  <c:v>0.13599299787499997</c:v>
                </c:pt>
              </c:numCache>
            </c:numRef>
          </c:yVal>
          <c:smooth val="0"/>
          <c:extLst xmlns:c16r2="http://schemas.microsoft.com/office/drawing/2015/06/chart">
            <c:ext xmlns:c16="http://schemas.microsoft.com/office/drawing/2014/chart" uri="{C3380CC4-5D6E-409C-BE32-E72D297353CC}">
              <c16:uniqueId val="{00000002-791E-445D-BE44-C1ECBDB0F3D5}"/>
            </c:ext>
          </c:extLst>
        </c:ser>
        <c:ser>
          <c:idx val="3"/>
          <c:order val="3"/>
          <c:tx>
            <c:v>4,000 psi</c:v>
          </c:tx>
          <c:spPr>
            <a:ln w="25400" cap="rnd">
              <a:noFill/>
              <a:round/>
            </a:ln>
            <a:effectLst/>
          </c:spPr>
          <c:marker>
            <c:symbol val="diamond"/>
            <c:size val="5"/>
            <c:spPr>
              <a:solidFill>
                <a:srgbClr val="FFC000"/>
              </a:solidFill>
              <a:ln w="9525">
                <a:solidFill>
                  <a:srgbClr val="FFC000"/>
                </a:solidFill>
              </a:ln>
              <a:effectLst/>
            </c:spPr>
          </c:marker>
          <c:trendline>
            <c:spPr>
              <a:ln w="19050" cap="rnd">
                <a:solidFill>
                  <a:srgbClr val="FFC000"/>
                </a:solidFill>
                <a:prstDash val="solid"/>
              </a:ln>
              <a:effectLst/>
            </c:spPr>
            <c:trendlineType val="poly"/>
            <c:order val="3"/>
            <c:dispRSqr val="1"/>
            <c:dispEq val="1"/>
            <c:trendlineLbl>
              <c:layout>
                <c:manualLayout>
                  <c:x val="1.2843522764782607E-2"/>
                  <c:y val="4.046010106945582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'Pore Size vs Density'!$A$6:$A$17</c:f>
              <c:numCache>
                <c:formatCode>General</c:formatCode>
                <c:ptCount val="12"/>
                <c:pt idx="0" formatCode="0.0000">
                  <c:v>1.81052631578947</c:v>
                </c:pt>
                <c:pt idx="1">
                  <c:v>3.1837</c:v>
                </c:pt>
                <c:pt idx="2">
                  <c:v>4.2041000000000004</c:v>
                </c:pt>
                <c:pt idx="3">
                  <c:v>4.3673000000000002</c:v>
                </c:pt>
                <c:pt idx="4">
                  <c:v>5.5510000000000002</c:v>
                </c:pt>
                <c:pt idx="5">
                  <c:v>6.4081999999999999</c:v>
                </c:pt>
                <c:pt idx="6">
                  <c:v>6.7347000000000001</c:v>
                </c:pt>
                <c:pt idx="7">
                  <c:v>7.9184000000000001</c:v>
                </c:pt>
                <c:pt idx="8">
                  <c:v>8.6121999999999996</c:v>
                </c:pt>
                <c:pt idx="9">
                  <c:v>9.1020000000000003</c:v>
                </c:pt>
                <c:pt idx="10">
                  <c:v>10.2857</c:v>
                </c:pt>
                <c:pt idx="11">
                  <c:v>10.8163</c:v>
                </c:pt>
              </c:numCache>
            </c:numRef>
          </c:xVal>
          <c:yVal>
            <c:numRef>
              <c:f>'Pore Size vs Density'!$E$6:$E$17</c:f>
              <c:numCache>
                <c:formatCode>0.0000</c:formatCode>
                <c:ptCount val="12"/>
                <c:pt idx="0">
                  <c:v>0.24600834568749999</c:v>
                </c:pt>
                <c:pt idx="1">
                  <c:v>0.21343789166666666</c:v>
                </c:pt>
                <c:pt idx="2">
                  <c:v>0.19710411848958331</c:v>
                </c:pt>
                <c:pt idx="3">
                  <c:v>0.1940947203125</c:v>
                </c:pt>
                <c:pt idx="4">
                  <c:v>0.18627233981770827</c:v>
                </c:pt>
                <c:pt idx="5">
                  <c:v>0.18231665531249999</c:v>
                </c:pt>
                <c:pt idx="6">
                  <c:v>0.1793181195833333</c:v>
                </c:pt>
                <c:pt idx="7">
                  <c:v>0.17543554770833331</c:v>
                </c:pt>
                <c:pt idx="8">
                  <c:v>0.17488172997916665</c:v>
                </c:pt>
                <c:pt idx="9">
                  <c:v>0.17447965229166665</c:v>
                </c:pt>
                <c:pt idx="10">
                  <c:v>0.17118933450000001</c:v>
                </c:pt>
                <c:pt idx="11">
                  <c:v>0.17091326120833328</c:v>
                </c:pt>
              </c:numCache>
            </c:numRef>
          </c:yVal>
          <c:smooth val="0"/>
          <c:extLst xmlns:c16r2="http://schemas.microsoft.com/office/drawing/2015/06/chart">
            <c:ext xmlns:c16="http://schemas.microsoft.com/office/drawing/2014/chart" uri="{C3380CC4-5D6E-409C-BE32-E72D297353CC}">
              <c16:uniqueId val="{00000003-791E-445D-BE44-C1ECBDB0F3D5}"/>
            </c:ext>
          </c:extLst>
        </c:ser>
        <c:dLbls>
          <c:showLegendKey val="0"/>
          <c:showVal val="0"/>
          <c:showCatName val="0"/>
          <c:showSerName val="0"/>
          <c:showPercent val="0"/>
          <c:showBubbleSize val="0"/>
        </c:dLbls>
        <c:axId val="114160384"/>
        <c:axId val="114162304"/>
      </c:scatterChart>
      <c:valAx>
        <c:axId val="114160384"/>
        <c:scaling>
          <c:orientation val="minMax"/>
          <c:max val="11"/>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Pore size (nm)</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162304"/>
        <c:crosses val="autoZero"/>
        <c:crossBetween val="midCat"/>
      </c:valAx>
      <c:valAx>
        <c:axId val="114162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pore density (g/cm</a:t>
                </a:r>
                <a:r>
                  <a:rPr lang="en-US" baseline="30000"/>
                  <a:t>3</a:t>
                </a:r>
                <a:r>
                  <a:rPr lang="en-US"/>
                  <a:t>)</a:t>
                </a:r>
              </a:p>
            </c:rich>
          </c:tx>
          <c:overlay val="0"/>
          <c:spPr>
            <a:noFill/>
            <a:ln>
              <a:noFill/>
            </a:ln>
            <a:effectLst/>
          </c:sp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160384"/>
        <c:crossesAt val="1"/>
        <c:crossBetween val="midCat"/>
      </c:valAx>
      <c:spPr>
        <a:noFill/>
        <a:ln>
          <a:noFill/>
        </a:ln>
        <a:effectLst/>
      </c:spPr>
    </c:plotArea>
    <c:legend>
      <c:legendPos val="tr"/>
      <c:layout>
        <c:manualLayout>
          <c:xMode val="edge"/>
          <c:yMode val="edge"/>
          <c:x val="0.70952296217210142"/>
          <c:y val="3.4239589502606881E-2"/>
          <c:w val="0.25110658837136884"/>
          <c:h val="0.27938435100051462"/>
        </c:manualLayout>
      </c:layout>
      <c:overlay val="1"/>
      <c:spPr>
        <a:solidFill>
          <a:schemeClr val="bg1"/>
        </a:solidFill>
        <a:ln>
          <a:solidFill>
            <a:schemeClr val="accent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Hei">
    <w:altName w:val="黑体"/>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45235"/>
    <w:rsid w:val="00002399"/>
    <w:rsid w:val="00045235"/>
    <w:rsid w:val="00063D21"/>
    <w:rsid w:val="00097B0D"/>
    <w:rsid w:val="000D44B0"/>
    <w:rsid w:val="00151A9E"/>
    <w:rsid w:val="001924A2"/>
    <w:rsid w:val="00195C5D"/>
    <w:rsid w:val="001D26AE"/>
    <w:rsid w:val="001F1822"/>
    <w:rsid w:val="00220433"/>
    <w:rsid w:val="002F2904"/>
    <w:rsid w:val="00303490"/>
    <w:rsid w:val="003153C5"/>
    <w:rsid w:val="00327900"/>
    <w:rsid w:val="004C5CCC"/>
    <w:rsid w:val="004F10EE"/>
    <w:rsid w:val="0053599A"/>
    <w:rsid w:val="005C08FC"/>
    <w:rsid w:val="00617A9D"/>
    <w:rsid w:val="006D7A58"/>
    <w:rsid w:val="00713126"/>
    <w:rsid w:val="007332C0"/>
    <w:rsid w:val="007629D4"/>
    <w:rsid w:val="007D11E5"/>
    <w:rsid w:val="0086030F"/>
    <w:rsid w:val="008809FC"/>
    <w:rsid w:val="008B7CFD"/>
    <w:rsid w:val="008C0287"/>
    <w:rsid w:val="008C532B"/>
    <w:rsid w:val="008D1845"/>
    <w:rsid w:val="00943536"/>
    <w:rsid w:val="00947D60"/>
    <w:rsid w:val="009A2A94"/>
    <w:rsid w:val="009A7815"/>
    <w:rsid w:val="00A4381C"/>
    <w:rsid w:val="00AA7A4D"/>
    <w:rsid w:val="00AD7AA9"/>
    <w:rsid w:val="00B12DA6"/>
    <w:rsid w:val="00C31C86"/>
    <w:rsid w:val="00C77D58"/>
    <w:rsid w:val="00CB6496"/>
    <w:rsid w:val="00E5448F"/>
    <w:rsid w:val="00E637F6"/>
    <w:rsid w:val="00F32E89"/>
    <w:rsid w:val="00F43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7A58"/>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E636E-329B-4D96-B7EB-EA1F79B7A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8140</Words>
  <Characters>46398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54430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Jim</cp:lastModifiedBy>
  <cp:revision>2</cp:revision>
  <cp:lastPrinted>2017-05-11T19:44:00Z</cp:lastPrinted>
  <dcterms:created xsi:type="dcterms:W3CDTF">2017-05-18T19:54:00Z</dcterms:created>
  <dcterms:modified xsi:type="dcterms:W3CDTF">2017-05-18T19:54:00Z</dcterms:modified>
</cp:coreProperties>
</file>