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3197E" w14:textId="7C76F41B" w:rsidR="00BD5BD8" w:rsidRDefault="00645621" w:rsidP="00224E7A">
      <w:pPr>
        <w:pStyle w:val="Heading1"/>
      </w:pPr>
      <w:r>
        <w:t>“</w:t>
      </w:r>
      <w:r w:rsidR="00404DE2">
        <w:t>De</w:t>
      </w:r>
      <w:r w:rsidR="00BD5BD8">
        <w:t xml:space="preserve"> </w:t>
      </w:r>
      <w:proofErr w:type="spellStart"/>
      <w:r w:rsidR="00BD5BD8">
        <w:t>Elega</w:t>
      </w:r>
      <w:r w:rsidR="00404DE2">
        <w:t>ntia</w:t>
      </w:r>
      <w:proofErr w:type="spellEnd"/>
      <w:r w:rsidR="00BD5BD8">
        <w:t xml:space="preserve"> </w:t>
      </w:r>
      <w:r w:rsidR="00404DE2">
        <w:t>et</w:t>
      </w:r>
      <w:r w:rsidR="00BD5BD8">
        <w:t xml:space="preserve"> </w:t>
      </w:r>
      <w:proofErr w:type="spellStart"/>
      <w:r w:rsidR="00404DE2">
        <w:t>Ornatu</w:t>
      </w:r>
      <w:proofErr w:type="spellEnd"/>
      <w:r w:rsidR="002B43F9">
        <w:t xml:space="preserve"> </w:t>
      </w:r>
      <w:proofErr w:type="spellStart"/>
      <w:r w:rsidR="002B43F9">
        <w:t>aut</w:t>
      </w:r>
      <w:proofErr w:type="spellEnd"/>
      <w:r w:rsidR="00BD5BD8">
        <w:t xml:space="preserve"> </w:t>
      </w:r>
      <w:proofErr w:type="spellStart"/>
      <w:r w:rsidR="00BD5BD8">
        <w:t>Pronun</w:t>
      </w:r>
      <w:r w:rsidR="002B43F9">
        <w:t>tiaione</w:t>
      </w:r>
      <w:proofErr w:type="spellEnd"/>
      <w:r w:rsidR="00BD5BD8">
        <w:t xml:space="preserve"> in </w:t>
      </w:r>
      <w:proofErr w:type="spellStart"/>
      <w:r w:rsidR="002B43F9">
        <w:t>Cane</w:t>
      </w:r>
      <w:r w:rsidR="00D5253D">
        <w:t>ndi</w:t>
      </w:r>
      <w:proofErr w:type="spellEnd"/>
      <w:r>
        <w:t xml:space="preserve">” from </w:t>
      </w:r>
      <w:r w:rsidRPr="00645621">
        <w:rPr>
          <w:i/>
          <w:iCs/>
        </w:rPr>
        <w:t xml:space="preserve">Compendium </w:t>
      </w:r>
      <w:proofErr w:type="spellStart"/>
      <w:r w:rsidRPr="00645621">
        <w:rPr>
          <w:i/>
          <w:iCs/>
        </w:rPr>
        <w:t>Musices</w:t>
      </w:r>
      <w:proofErr w:type="spellEnd"/>
    </w:p>
    <w:p w14:paraId="161AADDC" w14:textId="5E983189" w:rsidR="000F5D29" w:rsidRPr="00224E7A" w:rsidRDefault="000F5D29" w:rsidP="00890EB1">
      <w:pPr>
        <w:jc w:val="center"/>
      </w:pPr>
      <w:r w:rsidRPr="00224E7A">
        <w:t xml:space="preserve">By Adrian Petit </w:t>
      </w:r>
      <w:proofErr w:type="spellStart"/>
      <w:r w:rsidRPr="00224E7A">
        <w:t>Coclico</w:t>
      </w:r>
      <w:proofErr w:type="spellEnd"/>
    </w:p>
    <w:p w14:paraId="7E6E5677" w14:textId="77777777" w:rsidR="001C4037" w:rsidRPr="00224E7A" w:rsidRDefault="001C4037" w:rsidP="00890EB1">
      <w:pPr>
        <w:jc w:val="center"/>
      </w:pPr>
      <w:r w:rsidRPr="00224E7A">
        <w:t>Originally published in 1552</w:t>
      </w:r>
    </w:p>
    <w:p w14:paraId="5E45CCD4" w14:textId="3FF7DFBC" w:rsidR="0003671F" w:rsidRDefault="001152F9" w:rsidP="00890EB1">
      <w:pPr>
        <w:jc w:val="center"/>
        <w:sectPr w:rsidR="0003671F" w:rsidSect="00910A83">
          <w:headerReference w:type="default" r:id="rId7"/>
          <w:footerReference w:type="default" r:id="rId8"/>
          <w:pgSz w:w="12240" w:h="15840" w:code="1"/>
          <w:pgMar w:top="1152" w:right="1440" w:bottom="1152" w:left="1440" w:header="720" w:footer="720" w:gutter="0"/>
          <w:cols w:space="720"/>
          <w:vAlign w:val="center"/>
          <w:titlePg/>
          <w:docGrid w:linePitch="360"/>
        </w:sectPr>
      </w:pPr>
      <w:r w:rsidRPr="00224E7A">
        <w:t>Translated</w:t>
      </w:r>
      <w:r w:rsidR="00897E43" w:rsidRPr="00224E7A">
        <w:t xml:space="preserve"> and annotated</w:t>
      </w:r>
      <w:r w:rsidRPr="00224E7A">
        <w:t xml:space="preserve"> by</w:t>
      </w:r>
      <w:r w:rsidR="00897E43" w:rsidRPr="00224E7A">
        <w:t xml:space="preserve"> Dr.</w:t>
      </w:r>
      <w:r w:rsidRPr="00224E7A">
        <w:t xml:space="preserve"> Sion M.</w:t>
      </w:r>
      <w:r w:rsidR="00897E43" w:rsidRPr="00224E7A">
        <w:t xml:space="preserve"> (Ted)</w:t>
      </w:r>
      <w:r w:rsidRPr="00224E7A">
        <w:t xml:space="preserve"> Honea</w:t>
      </w:r>
    </w:p>
    <w:p w14:paraId="318FB7BE" w14:textId="77777777" w:rsidR="001152F9" w:rsidRPr="00F710BA" w:rsidRDefault="001152F9" w:rsidP="00F710BA">
      <w:pPr>
        <w:pStyle w:val="Heading2"/>
        <w:rPr>
          <w:rFonts w:ascii="Aptos ExtraBold" w:hAnsi="Aptos ExtraBold" w:cstheme="majorHAnsi"/>
          <w:b/>
          <w:color w:val="auto"/>
          <w:sz w:val="32"/>
          <w:szCs w:val="32"/>
        </w:rPr>
      </w:pPr>
      <w:r w:rsidRPr="00F710BA">
        <w:rPr>
          <w:rFonts w:ascii="Aptos ExtraBold" w:hAnsi="Aptos ExtraBold" w:cstheme="majorHAnsi"/>
          <w:b/>
          <w:color w:val="auto"/>
          <w:sz w:val="32"/>
          <w:szCs w:val="32"/>
        </w:rPr>
        <w:lastRenderedPageBreak/>
        <w:t>Translator’s Preface</w:t>
      </w:r>
    </w:p>
    <w:p w14:paraId="7188D3C7" w14:textId="29029F35" w:rsidR="001152F9" w:rsidRDefault="004352AD" w:rsidP="00224E7A">
      <w:r>
        <w:tab/>
        <w:t xml:space="preserve">In </w:t>
      </w:r>
      <w:proofErr w:type="spellStart"/>
      <w:r>
        <w:t>Coclico’s</w:t>
      </w:r>
      <w:proofErr w:type="spellEnd"/>
      <w:r>
        <w:t xml:space="preserve"> </w:t>
      </w:r>
      <w:r>
        <w:rPr>
          <w:i/>
        </w:rPr>
        <w:t xml:space="preserve">Compendium </w:t>
      </w:r>
      <w:proofErr w:type="spellStart"/>
      <w:r>
        <w:rPr>
          <w:i/>
        </w:rPr>
        <w:t>Musices</w:t>
      </w:r>
      <w:proofErr w:type="spellEnd"/>
      <w:r>
        <w:t xml:space="preserve"> (1552) appears the first printed description of the vocal diminution technique that would come to be so closely associated with the Italian renaissance.</w:t>
      </w:r>
      <w:r w:rsidR="003162DF">
        <w:t xml:space="preserve"> </w:t>
      </w:r>
      <w:r>
        <w:t xml:space="preserve">The technique was not, however, restricted to Italian lands, for </w:t>
      </w:r>
      <w:proofErr w:type="spellStart"/>
      <w:r>
        <w:t>Coclico</w:t>
      </w:r>
      <w:proofErr w:type="spellEnd"/>
      <w:r>
        <w:t xml:space="preserve"> is Flemish and is addressing his remarks to German boys.</w:t>
      </w:r>
      <w:r w:rsidR="003162DF">
        <w:t xml:space="preserve"> </w:t>
      </w:r>
      <w:r>
        <w:t xml:space="preserve"> The entire discussion covers almost one and a half pages, of w</w:t>
      </w:r>
      <w:r w:rsidR="00B21801">
        <w:t>hich only two paragraphs totaling</w:t>
      </w:r>
      <w:r>
        <w:t xml:space="preserve"> thirteen lines are devoted to the technique itself.</w:t>
      </w:r>
      <w:r w:rsidR="003162DF">
        <w:t xml:space="preserve"> </w:t>
      </w:r>
      <w:r w:rsidR="00B21801">
        <w:t xml:space="preserve">Of this very brief discussion the most interesting comments are, perhaps, his remark on how long and hard a boy must work to achieve the technique and the cryptic reference to lack of tongue movement in one who </w:t>
      </w:r>
      <w:proofErr w:type="gramStart"/>
      <w:r w:rsidR="00B21801">
        <w:t>masters</w:t>
      </w:r>
      <w:proofErr w:type="gramEnd"/>
      <w:r w:rsidR="00B21801">
        <w:t xml:space="preserve"> it.</w:t>
      </w:r>
      <w:r w:rsidR="003162DF">
        <w:t xml:space="preserve"> </w:t>
      </w:r>
      <w:r w:rsidR="00B21801">
        <w:t>Fou</w:t>
      </w:r>
      <w:r w:rsidR="00674971">
        <w:t>r years later Hermann Finck would</w:t>
      </w:r>
      <w:r w:rsidR="00B21801">
        <w:t xml:space="preserve"> cover the same subject more extensively and allude to two types of articulation, tongue and throat.</w:t>
      </w:r>
      <w:r w:rsidR="003162DF">
        <w:t xml:space="preserve"> </w:t>
      </w:r>
      <w:r w:rsidR="00B21801">
        <w:t>This m</w:t>
      </w:r>
      <w:r w:rsidR="004E5C4E">
        <w:t xml:space="preserve">ay be what </w:t>
      </w:r>
      <w:proofErr w:type="spellStart"/>
      <w:r w:rsidR="004E5C4E">
        <w:t>Coclico</w:t>
      </w:r>
      <w:proofErr w:type="spellEnd"/>
      <w:r w:rsidR="004E5C4E">
        <w:t xml:space="preserve"> refers to</w:t>
      </w:r>
      <w:r w:rsidR="00B21801">
        <w:t xml:space="preserve"> in a censuring way, whereas Finck apparently considers it acceptable </w:t>
      </w:r>
      <w:proofErr w:type="gramStart"/>
      <w:r w:rsidR="00B21801">
        <w:t>for</w:t>
      </w:r>
      <w:proofErr w:type="gramEnd"/>
      <w:r w:rsidR="00B21801">
        <w:t xml:space="preserve"> some circumstances.</w:t>
      </w:r>
    </w:p>
    <w:p w14:paraId="29317EBE" w14:textId="7AF26735" w:rsidR="00B21801" w:rsidRDefault="00B21801" w:rsidP="00224E7A">
      <w:r>
        <w:tab/>
        <w:t>Of the remainder of the text t</w:t>
      </w:r>
      <w:r w:rsidR="004E5C4E">
        <w:t>he most interesting comment is that which implicitly connects no</w:t>
      </w:r>
      <w:r>
        <w:t xml:space="preserve"> l</w:t>
      </w:r>
      <w:r w:rsidR="004E5C4E">
        <w:t>ess than Josquin and Pierre</w:t>
      </w:r>
      <w:r>
        <w:t xml:space="preserve"> de </w:t>
      </w:r>
      <w:r w:rsidR="004E5C4E">
        <w:t>L</w:t>
      </w:r>
      <w:r>
        <w:t>a Rue to the technique.</w:t>
      </w:r>
      <w:r w:rsidR="003162DF">
        <w:t xml:space="preserve"> </w:t>
      </w:r>
      <w:proofErr w:type="spellStart"/>
      <w:r>
        <w:t>Coclico</w:t>
      </w:r>
      <w:proofErr w:type="spellEnd"/>
      <w:r>
        <w:t xml:space="preserve"> specifically says that his own first example is the same as Josquin first gave.</w:t>
      </w:r>
      <w:r w:rsidR="003162DF">
        <w:t xml:space="preserve"> </w:t>
      </w:r>
      <w:r>
        <w:t>To modern sensibilities it is rather disturbing to think of t</w:t>
      </w:r>
      <w:r w:rsidR="004E5C4E">
        <w:t>he beautiful polyphonic sonorities</w:t>
      </w:r>
      <w:r>
        <w:t xml:space="preserve"> of Josquin’s motets being “prettified” with continual vocal diminutions, if such was the case.</w:t>
      </w:r>
      <w:r w:rsidR="003162DF">
        <w:t xml:space="preserve"> </w:t>
      </w:r>
      <w:proofErr w:type="spellStart"/>
      <w:r>
        <w:t>Coclico’s</w:t>
      </w:r>
      <w:proofErr w:type="spellEnd"/>
      <w:r>
        <w:t xml:space="preserve"> chauvinistic remarks about national superiority in singing—German</w:t>
      </w:r>
      <w:r w:rsidR="004E5C4E">
        <w:t>s</w:t>
      </w:r>
      <w:r>
        <w:t xml:space="preserve"> being the least adept—are possibly what stimulated Finck’s defensive response a few years later.</w:t>
      </w:r>
    </w:p>
    <w:p w14:paraId="6AD805D4" w14:textId="523741DC" w:rsidR="00FE49C0" w:rsidRDefault="00FE49C0" w:rsidP="00224E7A">
      <w:r>
        <w:tab/>
        <w:t xml:space="preserve">Of </w:t>
      </w:r>
      <w:proofErr w:type="gramStart"/>
      <w:r>
        <w:t>a practical</w:t>
      </w:r>
      <w:proofErr w:type="gramEnd"/>
      <w:r>
        <w:t xml:space="preserve"> concern, </w:t>
      </w:r>
      <w:proofErr w:type="spellStart"/>
      <w:r>
        <w:t>Coclico’s</w:t>
      </w:r>
      <w:proofErr w:type="spellEnd"/>
      <w:r>
        <w:t xml:space="preserve"> book is neither paginated nor foliated.</w:t>
      </w:r>
      <w:r w:rsidR="003162DF">
        <w:t xml:space="preserve"> </w:t>
      </w:r>
      <w:r>
        <w:t xml:space="preserve">I have </w:t>
      </w:r>
      <w:proofErr w:type="gramStart"/>
      <w:r>
        <w:t>referred the reader</w:t>
      </w:r>
      <w:proofErr w:type="gramEnd"/>
      <w:r>
        <w:t xml:space="preserve"> to the page on which his discussion starts by means of the signature.</w:t>
      </w:r>
      <w:r w:rsidR="003162DF">
        <w:t xml:space="preserve"> </w:t>
      </w:r>
      <w:r>
        <w:t xml:space="preserve">If the reader is unfamiliar with this term, </w:t>
      </w:r>
      <w:r w:rsidR="004E5C4E">
        <w:t>an extensive</w:t>
      </w:r>
      <w:r>
        <w:t xml:space="preserve"> explanation can be found in the preface to the Finck extract in this same translation series.</w:t>
      </w:r>
    </w:p>
    <w:p w14:paraId="7C6488CD" w14:textId="1E9027E3" w:rsidR="008935C0" w:rsidRDefault="008935C0" w:rsidP="00224E7A">
      <w:r>
        <w:tab/>
        <w:t>I</w:t>
      </w:r>
      <w:r w:rsidR="00674971">
        <w:t>deally, it would have been</w:t>
      </w:r>
      <w:r>
        <w:t xml:space="preserve"> desirable to produce musical transcriptions for this and other translations,</w:t>
      </w:r>
      <w:r w:rsidR="007169E2">
        <w:t xml:space="preserve"> but modern music writing programs are not suited to reproducing early music in anything other than distorted modern versions.</w:t>
      </w:r>
      <w:r w:rsidR="003162DF">
        <w:t xml:space="preserve"> </w:t>
      </w:r>
      <w:r w:rsidR="007169E2">
        <w:t xml:space="preserve">I soon reached the point of diminishing returns </w:t>
      </w:r>
      <w:r w:rsidR="00674971">
        <w:t xml:space="preserve">in my attempts </w:t>
      </w:r>
      <w:r w:rsidR="007169E2">
        <w:t xml:space="preserve">and decided that the texts in translation were </w:t>
      </w:r>
      <w:proofErr w:type="gramStart"/>
      <w:r w:rsidR="007169E2">
        <w:t>far</w:t>
      </w:r>
      <w:proofErr w:type="gramEnd"/>
      <w:r w:rsidR="007169E2">
        <w:t xml:space="preserve"> the </w:t>
      </w:r>
      <w:proofErr w:type="gramStart"/>
      <w:r w:rsidR="007169E2">
        <w:t>more</w:t>
      </w:r>
      <w:proofErr w:type="gramEnd"/>
      <w:r w:rsidR="007169E2">
        <w:t xml:space="preserve"> important part that could be accomplished reasonably.</w:t>
      </w:r>
    </w:p>
    <w:p w14:paraId="37E12B2A" w14:textId="6794C390" w:rsidR="00041EFD" w:rsidRDefault="00FE49C0" w:rsidP="00224E7A">
      <w:pPr>
        <w:rPr>
          <w:rFonts w:eastAsia="Times New Roman" w:cs="Times New Roman"/>
        </w:rPr>
      </w:pPr>
      <w:r>
        <w:lastRenderedPageBreak/>
        <w:tab/>
        <w:t xml:space="preserve">The reader may also be interested to know that it is on page A2v and again on </w:t>
      </w:r>
      <w:proofErr w:type="spellStart"/>
      <w:r>
        <w:t>BIv</w:t>
      </w:r>
      <w:proofErr w:type="spellEnd"/>
      <w:r>
        <w:t xml:space="preserve"> that </w:t>
      </w:r>
      <w:proofErr w:type="spellStart"/>
      <w:r>
        <w:t>Coclico’s</w:t>
      </w:r>
      <w:proofErr w:type="spellEnd"/>
      <w:r>
        <w:t xml:space="preserve"> claim to have been a student of Josquin appears.</w:t>
      </w:r>
      <w:r w:rsidR="003162DF">
        <w:t xml:space="preserve"> </w:t>
      </w:r>
      <w:r w:rsidR="003E1FCE">
        <w:t xml:space="preserve">A third instance appears on </w:t>
      </w:r>
      <w:proofErr w:type="spellStart"/>
      <w:r w:rsidR="003E1FCE">
        <w:t>FIIv</w:t>
      </w:r>
      <w:proofErr w:type="spellEnd"/>
      <w:r w:rsidR="003E1FCE">
        <w:t xml:space="preserve"> along with</w:t>
      </w:r>
      <w:r w:rsidR="003E1FCE" w:rsidRPr="003E1FCE">
        <w:t xml:space="preserve"> the author’s famous description of Josquin’s pedagogical technique</w:t>
      </w:r>
      <w:r w:rsidR="003E1FCE">
        <w:t>.</w:t>
      </w:r>
      <w:r w:rsidR="003162DF">
        <w:t xml:space="preserve"> </w:t>
      </w:r>
      <w:r w:rsidR="003E1FCE" w:rsidRPr="003E1FCE">
        <w:rPr>
          <w:rFonts w:eastAsia="Times New Roman" w:cs="Times New Roman"/>
        </w:rPr>
        <w:t xml:space="preserve">In brief, </w:t>
      </w:r>
      <w:r w:rsidR="003E1FCE">
        <w:rPr>
          <w:rFonts w:eastAsia="Times New Roman" w:cs="Times New Roman"/>
        </w:rPr>
        <w:t xml:space="preserve">he says that </w:t>
      </w:r>
      <w:r w:rsidR="003E1FCE" w:rsidRPr="003E1FCE">
        <w:rPr>
          <w:rFonts w:eastAsia="Times New Roman" w:cs="Times New Roman"/>
        </w:rPr>
        <w:t xml:space="preserve">Josquin </w:t>
      </w:r>
      <w:r w:rsidR="003E1FCE">
        <w:rPr>
          <w:rFonts w:eastAsia="Times New Roman" w:cs="Times New Roman"/>
        </w:rPr>
        <w:t xml:space="preserve">did not care for the memorization of precepts but </w:t>
      </w:r>
      <w:r w:rsidR="003E1FCE" w:rsidRPr="003E1FCE">
        <w:rPr>
          <w:rFonts w:eastAsia="Times New Roman" w:cs="Times New Roman"/>
        </w:rPr>
        <w:t>taught by a</w:t>
      </w:r>
      <w:r w:rsidR="003E1FCE">
        <w:rPr>
          <w:rFonts w:eastAsia="Times New Roman" w:cs="Times New Roman"/>
        </w:rPr>
        <w:t>ctual experience in singing and</w:t>
      </w:r>
      <w:r w:rsidR="003E1FCE" w:rsidRPr="003E1FCE">
        <w:rPr>
          <w:rFonts w:eastAsia="Times New Roman" w:cs="Times New Roman"/>
        </w:rPr>
        <w:t xml:space="preserve"> gave occasional rules only when needed.</w:t>
      </w:r>
      <w:r w:rsidR="003162DF">
        <w:rPr>
          <w:rFonts w:eastAsia="Times New Roman" w:cs="Times New Roman"/>
        </w:rPr>
        <w:t xml:space="preserve"> </w:t>
      </w:r>
      <w:r w:rsidR="003E1FCE" w:rsidRPr="003E1FCE">
        <w:rPr>
          <w:rFonts w:eastAsia="Times New Roman" w:cs="Times New Roman"/>
        </w:rPr>
        <w:t>Whenev</w:t>
      </w:r>
      <w:r w:rsidR="004E5C4E">
        <w:rPr>
          <w:rFonts w:eastAsia="Times New Roman" w:cs="Times New Roman"/>
        </w:rPr>
        <w:t>er he found those</w:t>
      </w:r>
      <w:r w:rsidR="003E1FCE">
        <w:rPr>
          <w:rFonts w:eastAsia="Times New Roman" w:cs="Times New Roman"/>
        </w:rPr>
        <w:t xml:space="preserve"> of particular</w:t>
      </w:r>
      <w:r w:rsidR="003E1FCE" w:rsidRPr="003E1FCE">
        <w:rPr>
          <w:rFonts w:eastAsia="Times New Roman" w:cs="Times New Roman"/>
        </w:rPr>
        <w:t xml:space="preserve"> talent, he taught them more thoroughly.</w:t>
      </w:r>
    </w:p>
    <w:p w14:paraId="0FF26459" w14:textId="5825495F" w:rsidR="003162DF" w:rsidRDefault="00041EFD" w:rsidP="00224E7A">
      <w:r>
        <w:tab/>
      </w:r>
      <w:r w:rsidR="004E5C4E">
        <w:t xml:space="preserve">Though this is the first of the early printed sources on the diminution technique, which I consider </w:t>
      </w:r>
      <w:proofErr w:type="gramStart"/>
      <w:r w:rsidR="004E5C4E">
        <w:t>to run</w:t>
      </w:r>
      <w:proofErr w:type="gramEnd"/>
      <w:r w:rsidR="004E5C4E">
        <w:t xml:space="preserve"> through Cerone, it is the last that I have completed in revision.</w:t>
      </w:r>
      <w:r w:rsidR="003162DF">
        <w:t xml:space="preserve"> </w:t>
      </w:r>
      <w:r w:rsidR="004E5C4E">
        <w:t xml:space="preserve">Thus, I feel that </w:t>
      </w:r>
      <w:r>
        <w:t>I cannot close the</w:t>
      </w:r>
      <w:r w:rsidR="004E5C4E">
        <w:t>se opening remarks without thanks</w:t>
      </w:r>
      <w:r>
        <w:t xml:space="preserve"> to Carol MacClintock’s translation</w:t>
      </w:r>
      <w:r w:rsidR="00674971">
        <w:t>s</w:t>
      </w:r>
      <w:r>
        <w:t>.</w:t>
      </w:r>
      <w:r w:rsidR="003162DF">
        <w:t xml:space="preserve"> </w:t>
      </w:r>
      <w:r w:rsidR="00674971">
        <w:t xml:space="preserve">As an example, </w:t>
      </w:r>
      <w:proofErr w:type="spellStart"/>
      <w:r>
        <w:t>Coclico’s</w:t>
      </w:r>
      <w:proofErr w:type="spellEnd"/>
      <w:r>
        <w:t xml:space="preserve"> text is not particularly difficult, though </w:t>
      </w:r>
      <w:r w:rsidR="00674971">
        <w:t>not yet entirely</w:t>
      </w:r>
      <w:r>
        <w:t xml:space="preserve"> settled into the classically inspired humanist style.</w:t>
      </w:r>
      <w:r w:rsidR="003162DF">
        <w:t xml:space="preserve"> </w:t>
      </w:r>
      <w:r>
        <w:t xml:space="preserve">In working on this </w:t>
      </w:r>
      <w:proofErr w:type="gramStart"/>
      <w:r>
        <w:t>translation</w:t>
      </w:r>
      <w:proofErr w:type="gramEnd"/>
      <w:r>
        <w:t xml:space="preserve"> I must have puzzled over one clause two dozen times trying to make sense of it.</w:t>
      </w:r>
      <w:r w:rsidR="003162DF">
        <w:t xml:space="preserve"> </w:t>
      </w:r>
      <w:r>
        <w:t>Finally giving up I consulted MacClintock and was amazed to find a translation</w:t>
      </w:r>
      <w:r w:rsidR="00674971">
        <w:t xml:space="preserve"> that</w:t>
      </w:r>
      <w:r>
        <w:t xml:space="preserve"> I could not justify from the text, until, that is, I went back to it and found that </w:t>
      </w:r>
      <w:r w:rsidR="008935C0">
        <w:t xml:space="preserve">for </w:t>
      </w:r>
      <w:r>
        <w:t>each of those two dozen or so times I had misread “</w:t>
      </w:r>
      <w:proofErr w:type="spellStart"/>
      <w:r>
        <w:rPr>
          <w:i/>
        </w:rPr>
        <w:t>nactus</w:t>
      </w:r>
      <w:proofErr w:type="spellEnd"/>
      <w:r>
        <w:t xml:space="preserve"> </w:t>
      </w:r>
      <w:r>
        <w:rPr>
          <w:i/>
        </w:rPr>
        <w:t>est</w:t>
      </w:r>
      <w:r>
        <w:t>” as “</w:t>
      </w:r>
      <w:proofErr w:type="spellStart"/>
      <w:r>
        <w:rPr>
          <w:i/>
        </w:rPr>
        <w:t>natus</w:t>
      </w:r>
      <w:proofErr w:type="spellEnd"/>
      <w:r>
        <w:rPr>
          <w:i/>
        </w:rPr>
        <w:t xml:space="preserve"> est</w:t>
      </w:r>
      <w:r>
        <w:t>,”</w:t>
      </w:r>
      <w:r w:rsidR="003162DF">
        <w:t xml:space="preserve"> </w:t>
      </w:r>
      <w:r>
        <w:t>no doubt under the influence of too many</w:t>
      </w:r>
      <w:r w:rsidR="008935C0">
        <w:t xml:space="preserve"> chant texts</w:t>
      </w:r>
      <w:r w:rsidR="004E5C4E">
        <w:t>!</w:t>
      </w:r>
      <w:r w:rsidR="003162DF">
        <w:t xml:space="preserve"> </w:t>
      </w:r>
      <w:r w:rsidR="004E5C4E">
        <w:t xml:space="preserve">On </w:t>
      </w:r>
      <w:proofErr w:type="gramStart"/>
      <w:r w:rsidR="004E5C4E">
        <w:t>some</w:t>
      </w:r>
      <w:proofErr w:type="gramEnd"/>
      <w:r w:rsidR="004E5C4E">
        <w:t xml:space="preserve"> few occasions in the translation series that includes thi</w:t>
      </w:r>
      <w:r w:rsidR="008935C0">
        <w:t>s one, I have differed from MacClintock’s reading, but I have only don</w:t>
      </w:r>
      <w:r w:rsidR="004E5C4E">
        <w:t>e so with respect and gratitude.</w:t>
      </w:r>
    </w:p>
    <w:p w14:paraId="15B34D43" w14:textId="69557EE7" w:rsidR="004E5C4E" w:rsidRDefault="004E5C4E" w:rsidP="00224E7A">
      <w:r>
        <w:br w:type="page"/>
      </w:r>
    </w:p>
    <w:p w14:paraId="1AA7AEE0" w14:textId="77777777" w:rsidR="001152F9" w:rsidRPr="00D45FCF" w:rsidRDefault="001152F9" w:rsidP="00D45FCF">
      <w:pPr>
        <w:pStyle w:val="Heading2"/>
        <w:rPr>
          <w:rFonts w:ascii="Aptos ExtraBold" w:hAnsi="Aptos ExtraBold" w:cstheme="majorHAnsi"/>
          <w:b/>
          <w:color w:val="auto"/>
          <w:sz w:val="32"/>
          <w:szCs w:val="32"/>
        </w:rPr>
      </w:pPr>
      <w:r w:rsidRPr="00D45FCF">
        <w:rPr>
          <w:rFonts w:ascii="Aptos ExtraBold" w:hAnsi="Aptos ExtraBold" w:cstheme="majorHAnsi"/>
          <w:b/>
          <w:color w:val="auto"/>
          <w:sz w:val="32"/>
          <w:szCs w:val="32"/>
        </w:rPr>
        <w:lastRenderedPageBreak/>
        <w:t>On Elegance and Ornament, or Performance in Singing</w:t>
      </w:r>
    </w:p>
    <w:p w14:paraId="2DEC8F4F" w14:textId="6EE0BACB" w:rsidR="001152F9" w:rsidRDefault="001152F9" w:rsidP="00224E7A">
      <w:r>
        <w:tab/>
        <w:t>[</w:t>
      </w:r>
      <w:proofErr w:type="spellStart"/>
      <w:r>
        <w:t>HIIIv</w:t>
      </w:r>
      <w:proofErr w:type="spellEnd"/>
      <w:r>
        <w:t xml:space="preserve">] </w:t>
      </w:r>
      <w:proofErr w:type="gramStart"/>
      <w:r>
        <w:t>To</w:t>
      </w:r>
      <w:proofErr w:type="gramEnd"/>
      <w:r>
        <w:t xml:space="preserve"> teach the art of singing well and elegantly to a boy, I advise first that he choose a teacher who sings pleasantly and sweetly with a natural talent and produces pleasant music with charming</w:t>
      </w:r>
      <w:r>
        <w:rPr>
          <w:rStyle w:val="FootnoteReference"/>
        </w:rPr>
        <w:footnoteReference w:id="1"/>
      </w:r>
      <w:r>
        <w:t xml:space="preserve"> </w:t>
      </w:r>
      <w:proofErr w:type="spellStart"/>
      <w:r>
        <w:t>clausulas</w:t>
      </w:r>
      <w:proofErr w:type="spellEnd"/>
      <w:r w:rsidR="009C1F0C">
        <w:rPr>
          <w:rStyle w:val="FootnoteReference"/>
        </w:rPr>
        <w:footnoteReference w:id="2"/>
      </w:r>
      <w:r w:rsidR="009C1F0C">
        <w:t xml:space="preserve"> far removed from the raspings, noises and other unsuitable things that bring the noblest music into the contempt of men.</w:t>
      </w:r>
      <w:r w:rsidR="003162DF">
        <w:t xml:space="preserve"> </w:t>
      </w:r>
      <w:r w:rsidR="009C1F0C">
        <w:t xml:space="preserve"> For each </w:t>
      </w:r>
      <w:r w:rsidR="004E5C4E">
        <w:t xml:space="preserve">one </w:t>
      </w:r>
      <w:r w:rsidR="009C1F0C">
        <w:t>who obtains such a teacher in youth becomes such a singer,</w:t>
      </w:r>
      <w:r w:rsidR="004E5C4E">
        <w:rPr>
          <w:rStyle w:val="FootnoteReference"/>
        </w:rPr>
        <w:footnoteReference w:id="3"/>
      </w:r>
      <w:r w:rsidR="009C1F0C">
        <w:t xml:space="preserve"> which one can see among the Belgians,</w:t>
      </w:r>
      <w:r w:rsidR="009C1F0C">
        <w:rPr>
          <w:rStyle w:val="FootnoteReference"/>
        </w:rPr>
        <w:footnoteReference w:id="4"/>
      </w:r>
      <w:r w:rsidR="009C1F0C">
        <w:t xml:space="preserve"> the people of Hainaut and the Gauls, who possess a singular gift in singing before all peoples.</w:t>
      </w:r>
      <w:r w:rsidR="003162DF">
        <w:t xml:space="preserve"> </w:t>
      </w:r>
      <w:r w:rsidR="009C1F0C">
        <w:t>Most of the chief musicians have lived among them</w:t>
      </w:r>
      <w:r w:rsidR="004E5C4E">
        <w:t>:</w:t>
      </w:r>
      <w:r w:rsidR="003162DF">
        <w:t xml:space="preserve"> </w:t>
      </w:r>
      <w:r w:rsidR="004E5C4E">
        <w:t>Josquin Des Prez, Petrus de L</w:t>
      </w:r>
      <w:r w:rsidR="009C1F0C">
        <w:t xml:space="preserve">a Rue, Jacob </w:t>
      </w:r>
      <w:proofErr w:type="spellStart"/>
      <w:r w:rsidR="009C1F0C">
        <w:t>Scampion</w:t>
      </w:r>
      <w:proofErr w:type="spellEnd"/>
      <w:r w:rsidR="009C1F0C">
        <w:t xml:space="preserve"> and others who are to be admired and have made use of t</w:t>
      </w:r>
      <w:r w:rsidR="0047097D">
        <w:t xml:space="preserve">he sweetest elegances of </w:t>
      </w:r>
      <w:proofErr w:type="spellStart"/>
      <w:r w:rsidR="0047097D">
        <w:t>clausu</w:t>
      </w:r>
      <w:r w:rsidR="009C1F0C">
        <w:t>las</w:t>
      </w:r>
      <w:proofErr w:type="spellEnd"/>
      <w:r w:rsidR="00674971">
        <w:t>.</w:t>
      </w:r>
      <w:r w:rsidR="003162DF">
        <w:t xml:space="preserve"> </w:t>
      </w:r>
      <w:r w:rsidR="00674971">
        <w:t>T</w:t>
      </w:r>
      <w:r w:rsidR="009C1F0C">
        <w:t>he surviving scent of these men is preserved up to the present in the schools of those regions and is imbibed by those desirous of music so long as students faithfully imitate teachers.</w:t>
      </w:r>
      <w:r w:rsidR="003162DF">
        <w:t xml:space="preserve"> </w:t>
      </w:r>
      <w:r w:rsidR="009C1F0C">
        <w:t xml:space="preserve">Let </w:t>
      </w:r>
      <w:r w:rsidR="00674971">
        <w:t>the German boy take care thus to imitate</w:t>
      </w:r>
      <w:r w:rsidR="009C1F0C">
        <w:t xml:space="preserve"> a learned teacher while his voice is unbroken, because after the young voice breaks it is difficult or rare to attain the art of singing well, but acquired in youth it never passes into oblivion.</w:t>
      </w:r>
    </w:p>
    <w:p w14:paraId="67428B8F" w14:textId="2A6C1BB7" w:rsidR="009C1F0C" w:rsidRDefault="009C1F0C" w:rsidP="00224E7A">
      <w:r>
        <w:tab/>
        <w:t>Since indeed there are v</w:t>
      </w:r>
      <w:r w:rsidR="00674971">
        <w:t>ery few in these regions who have experienced</w:t>
      </w:r>
      <w:r>
        <w:t xml:space="preserve"> the </w:t>
      </w:r>
      <w:r w:rsidR="004E5C4E">
        <w:t>sweet song</w:t>
      </w:r>
      <w:r>
        <w:t xml:space="preserve"> of these outstanding old</w:t>
      </w:r>
      <w:r w:rsidR="004E5C4E">
        <w:t>er</w:t>
      </w:r>
      <w:r>
        <w:t xml:space="preserve"> musicians, I made the decision to write out several examples, such as can be applied to all </w:t>
      </w:r>
      <w:proofErr w:type="spellStart"/>
      <w:r>
        <w:t>clausulas</w:t>
      </w:r>
      <w:proofErr w:type="spellEnd"/>
      <w:r>
        <w:t>.</w:t>
      </w:r>
      <w:r>
        <w:rPr>
          <w:rStyle w:val="FootnoteReference"/>
        </w:rPr>
        <w:footnoteReference w:id="5"/>
      </w:r>
      <w:r w:rsidR="003162DF">
        <w:t xml:space="preserve"> </w:t>
      </w:r>
      <w:r>
        <w:t>So long as the syllables or words that are set to the notes remain silent.</w:t>
      </w:r>
      <w:r>
        <w:rPr>
          <w:rStyle w:val="FootnoteReference"/>
        </w:rPr>
        <w:footnoteReference w:id="6"/>
      </w:r>
    </w:p>
    <w:p w14:paraId="7EF0E02F" w14:textId="33B001D6" w:rsidR="006B6169" w:rsidRDefault="006B6169" w:rsidP="00224E7A">
      <w:r>
        <w:tab/>
        <w:t xml:space="preserve">But at first it is difficult to perform this with the throat, except the boy sweats and labors and even makes the effort for himself by any means, and continually daily repeats </w:t>
      </w:r>
      <w:r>
        <w:lastRenderedPageBreak/>
        <w:t>with himself up to the point that he has produced a familiarity and practice in this art, so that he does not even move his tongue,</w:t>
      </w:r>
      <w:r>
        <w:rPr>
          <w:rStyle w:val="FootnoteReference"/>
        </w:rPr>
        <w:footnoteReference w:id="7"/>
      </w:r>
      <w:r>
        <w:t xml:space="preserve"> but performs correctly and ornately from the throat.</w:t>
      </w:r>
      <w:r w:rsidR="004E5C4E">
        <w:rPr>
          <w:rStyle w:val="FootnoteReference"/>
        </w:rPr>
        <w:footnoteReference w:id="8"/>
      </w:r>
      <w:r w:rsidR="003162DF">
        <w:t xml:space="preserve"> </w:t>
      </w:r>
      <w:r>
        <w:t>Here is the first clausula that Josquin taught his students.</w:t>
      </w:r>
    </w:p>
    <w:p w14:paraId="79D57936" w14:textId="77777777" w:rsidR="006B6169" w:rsidRPr="001152F9" w:rsidRDefault="006B6169" w:rsidP="00DF065E">
      <w:pPr>
        <w:jc w:val="center"/>
      </w:pPr>
      <w:r>
        <w:t>Musical Examples</w:t>
      </w:r>
      <w:r>
        <w:rPr>
          <w:rStyle w:val="FootnoteReference"/>
        </w:rPr>
        <w:footnoteReference w:id="9"/>
      </w:r>
    </w:p>
    <w:sectPr w:rsidR="006B6169" w:rsidRPr="001152F9" w:rsidSect="00674971">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07AF3" w14:textId="77777777" w:rsidR="00F006D5" w:rsidRDefault="00F006D5" w:rsidP="00224E7A">
      <w:r>
        <w:separator/>
      </w:r>
    </w:p>
  </w:endnote>
  <w:endnote w:type="continuationSeparator" w:id="0">
    <w:p w14:paraId="5586B9D2" w14:textId="77777777" w:rsidR="00F006D5" w:rsidRDefault="00F006D5" w:rsidP="002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094350"/>
      <w:docPartObj>
        <w:docPartGallery w:val="Page Numbers (Bottom of Page)"/>
        <w:docPartUnique/>
      </w:docPartObj>
    </w:sdtPr>
    <w:sdtEndPr>
      <w:rPr>
        <w:noProof/>
      </w:rPr>
    </w:sdtEndPr>
    <w:sdtContent>
      <w:p w14:paraId="12931290" w14:textId="234F02EB" w:rsidR="00910A83" w:rsidRDefault="00441493" w:rsidP="00DF06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65ACA" w14:textId="77777777" w:rsidR="00F006D5" w:rsidRDefault="00F006D5" w:rsidP="00224E7A">
      <w:r>
        <w:separator/>
      </w:r>
    </w:p>
  </w:footnote>
  <w:footnote w:type="continuationSeparator" w:id="0">
    <w:p w14:paraId="659C9E62" w14:textId="77777777" w:rsidR="00F006D5" w:rsidRDefault="00F006D5" w:rsidP="00224E7A">
      <w:r>
        <w:continuationSeparator/>
      </w:r>
    </w:p>
  </w:footnote>
  <w:footnote w:id="1">
    <w:p w14:paraId="11AAD90C" w14:textId="6A752B9A" w:rsidR="001152F9" w:rsidRPr="009C1F0C" w:rsidRDefault="001152F9" w:rsidP="00224E7A">
      <w:pPr>
        <w:pStyle w:val="FootnoteText"/>
      </w:pPr>
      <w:r>
        <w:rPr>
          <w:rStyle w:val="FootnoteReference"/>
        </w:rPr>
        <w:footnoteRef/>
      </w:r>
      <w:r>
        <w:t xml:space="preserve"> The Latin word is “</w:t>
      </w:r>
      <w:proofErr w:type="spellStart"/>
      <w:r w:rsidR="009C1F0C">
        <w:rPr>
          <w:i/>
        </w:rPr>
        <w:t>lenociniis</w:t>
      </w:r>
      <w:proofErr w:type="spellEnd"/>
      <w:r w:rsidR="009C1F0C">
        <w:rPr>
          <w:i/>
        </w:rPr>
        <w:t>,</w:t>
      </w:r>
      <w:r w:rsidR="009C1F0C">
        <w:t>” which in classical Latin is negative, implying something false or superficial.</w:t>
      </w:r>
      <w:r w:rsidR="003162DF">
        <w:t xml:space="preserve"> </w:t>
      </w:r>
      <w:r w:rsidR="009C1F0C">
        <w:t>Clearly Coclico means it positively.</w:t>
      </w:r>
    </w:p>
  </w:footnote>
  <w:footnote w:id="2">
    <w:p w14:paraId="62555522" w14:textId="791278F5" w:rsidR="009C1F0C" w:rsidRPr="009C1F0C" w:rsidRDefault="009C1F0C" w:rsidP="00224E7A">
      <w:pPr>
        <w:pStyle w:val="FootnoteText"/>
      </w:pPr>
      <w:r>
        <w:rPr>
          <w:rStyle w:val="FootnoteReference"/>
        </w:rPr>
        <w:footnoteRef/>
      </w:r>
      <w:r>
        <w:t xml:space="preserve"> The Latin is “</w:t>
      </w:r>
      <w:r>
        <w:rPr>
          <w:i/>
        </w:rPr>
        <w:t>clausularum</w:t>
      </w:r>
      <w:r>
        <w:t xml:space="preserve">” from </w:t>
      </w:r>
      <w:r>
        <w:rPr>
          <w:i/>
        </w:rPr>
        <w:t>clausula</w:t>
      </w:r>
      <w:r>
        <w:t xml:space="preserve"> which means “cadence.”</w:t>
      </w:r>
      <w:r w:rsidR="003162DF">
        <w:t xml:space="preserve"> </w:t>
      </w:r>
      <w:r>
        <w:t>Coclico seems to use it both in this restricted sense and also in a more general sense of “phrase” or “passage.”</w:t>
      </w:r>
    </w:p>
  </w:footnote>
  <w:footnote w:id="3">
    <w:p w14:paraId="7EAFE6E5" w14:textId="77777777" w:rsidR="004E5C4E" w:rsidRDefault="004E5C4E" w:rsidP="00224E7A">
      <w:pPr>
        <w:pStyle w:val="FootnoteText"/>
      </w:pPr>
      <w:r>
        <w:rPr>
          <w:rStyle w:val="FootnoteReference"/>
        </w:rPr>
        <w:footnoteRef/>
      </w:r>
      <w:r>
        <w:t xml:space="preserve"> That is, he becomes a good singer like his teacher.</w:t>
      </w:r>
    </w:p>
  </w:footnote>
  <w:footnote w:id="4">
    <w:p w14:paraId="3D39CE76" w14:textId="77777777" w:rsidR="009C1F0C" w:rsidRDefault="009C1F0C" w:rsidP="00224E7A">
      <w:pPr>
        <w:pStyle w:val="FootnoteText"/>
      </w:pPr>
      <w:r>
        <w:rPr>
          <w:rStyle w:val="FootnoteReference"/>
        </w:rPr>
        <w:footnoteRef/>
      </w:r>
      <w:r>
        <w:t xml:space="preserve"> Coclico is Flemish.</w:t>
      </w:r>
    </w:p>
  </w:footnote>
  <w:footnote w:id="5">
    <w:p w14:paraId="6DB254AA" w14:textId="77777777" w:rsidR="009C1F0C" w:rsidRDefault="009C1F0C" w:rsidP="00224E7A">
      <w:pPr>
        <w:pStyle w:val="FootnoteText"/>
      </w:pPr>
      <w:r>
        <w:rPr>
          <w:rStyle w:val="FootnoteReference"/>
        </w:rPr>
        <w:footnoteRef/>
      </w:r>
      <w:r>
        <w:t xml:space="preserve"> Here he seems clearly to use the term more generally.</w:t>
      </w:r>
    </w:p>
  </w:footnote>
  <w:footnote w:id="6">
    <w:p w14:paraId="6D66E8C1" w14:textId="167500DE" w:rsidR="009C1F0C" w:rsidRDefault="009C1F0C" w:rsidP="00224E7A">
      <w:pPr>
        <w:pStyle w:val="FootnoteText"/>
      </w:pPr>
      <w:r>
        <w:rPr>
          <w:rStyle w:val="FootnoteReference"/>
        </w:rPr>
        <w:footnoteRef/>
      </w:r>
      <w:r>
        <w:t xml:space="preserve"> Specific words and syllables could prove impediments to the application of the d</w:t>
      </w:r>
      <w:r w:rsidR="006B6169">
        <w:t>iminution technique.</w:t>
      </w:r>
      <w:r w:rsidR="003162DF">
        <w:t xml:space="preserve"> </w:t>
      </w:r>
      <w:r w:rsidR="004E5C4E">
        <w:t xml:space="preserve">Proper text </w:t>
      </w:r>
      <w:proofErr w:type="gramStart"/>
      <w:r w:rsidR="004E5C4E">
        <w:t>underlay</w:t>
      </w:r>
      <w:proofErr w:type="gramEnd"/>
      <w:r w:rsidR="004E5C4E">
        <w:t xml:space="preserve"> is discussed by some of the later authors.</w:t>
      </w:r>
    </w:p>
  </w:footnote>
  <w:footnote w:id="7">
    <w:p w14:paraId="1FFC1CA4" w14:textId="7954184C" w:rsidR="006B6169" w:rsidRPr="006B6169" w:rsidRDefault="006B6169" w:rsidP="00224E7A">
      <w:pPr>
        <w:pStyle w:val="FootnoteText"/>
      </w:pPr>
      <w:r>
        <w:rPr>
          <w:rStyle w:val="FootnoteReference"/>
        </w:rPr>
        <w:footnoteRef/>
      </w:r>
      <w:r>
        <w:t xml:space="preserve"> Finck in his </w:t>
      </w:r>
      <w:r>
        <w:rPr>
          <w:i/>
        </w:rPr>
        <w:t>Practica Musica</w:t>
      </w:r>
      <w:r>
        <w:t xml:space="preserve"> (1556), only four years later, refers to two types of articulation, with the tongue and with the throat.</w:t>
      </w:r>
      <w:r w:rsidR="003162DF">
        <w:t xml:space="preserve"> </w:t>
      </w:r>
      <w:r>
        <w:t>It could be that Coclico refers to the former here.</w:t>
      </w:r>
      <w:r w:rsidR="003162DF">
        <w:t xml:space="preserve"> </w:t>
      </w:r>
      <w:r w:rsidR="004E5C4E">
        <w:t>Maffei (1562, page 30) also seems to allude to this type of articulation in the mouth.</w:t>
      </w:r>
    </w:p>
  </w:footnote>
  <w:footnote w:id="8">
    <w:p w14:paraId="25E3820B" w14:textId="77777777" w:rsidR="004E5C4E" w:rsidRDefault="004E5C4E" w:rsidP="00224E7A">
      <w:pPr>
        <w:pStyle w:val="FootnoteText"/>
      </w:pPr>
      <w:r>
        <w:rPr>
          <w:rStyle w:val="FootnoteReference"/>
        </w:rPr>
        <w:footnoteRef/>
      </w:r>
      <w:r>
        <w:t xml:space="preserve"> Maffei (1562, page 31) asserts that some do not possess the physiological attributes necessary ever to be able to execute throat articulation, but he seems to limit this to those with some pathological impairment.</w:t>
      </w:r>
    </w:p>
  </w:footnote>
  <w:footnote w:id="9">
    <w:p w14:paraId="240097E5" w14:textId="44000799" w:rsidR="006B6169" w:rsidRPr="0047097D" w:rsidRDefault="006B6169" w:rsidP="00224E7A">
      <w:pPr>
        <w:pStyle w:val="FootnoteText"/>
      </w:pPr>
      <w:r>
        <w:rPr>
          <w:rStyle w:val="FootnoteReference"/>
        </w:rPr>
        <w:footnoteRef/>
      </w:r>
      <w:r>
        <w:t xml:space="preserve"> Here Coclico first gives a very few examples of diminutions both on what he must consider characteristic interval and melodic patterns from three to many notes.</w:t>
      </w:r>
      <w:r w:rsidR="003162DF">
        <w:t xml:space="preserve"> </w:t>
      </w:r>
      <w:r>
        <w:t>These are followed by brief examples of diminutions on cadential patterns.</w:t>
      </w:r>
      <w:r w:rsidR="003162DF">
        <w:t xml:space="preserve"> </w:t>
      </w:r>
      <w:r>
        <w:t>Thus Coclico, the first printed source on the vocal technique, already recognizes the distinction in practice between internal and c</w:t>
      </w:r>
      <w:r w:rsidR="00674971">
        <w:t>adential points for diminutions, though Maffei (1562, page 58) rejects diminutions on any but cadences.</w:t>
      </w:r>
      <w:r w:rsidR="003162DF">
        <w:t xml:space="preserve"> </w:t>
      </w:r>
      <w:r>
        <w:t>In each case he labels the diminution variation as “</w:t>
      </w:r>
      <w:r>
        <w:rPr>
          <w:i/>
        </w:rPr>
        <w:t>elegans.</w:t>
      </w:r>
      <w:r>
        <w:t>”</w:t>
      </w:r>
      <w:r w:rsidR="003162DF">
        <w:t xml:space="preserve"> </w:t>
      </w:r>
      <w:r>
        <w:t xml:space="preserve">Somewhat more valuable are the following individual vocal parts (discantus and bassus) </w:t>
      </w:r>
      <w:r w:rsidR="0047097D">
        <w:t>that are presented in diminished form.</w:t>
      </w:r>
      <w:r w:rsidR="003162DF">
        <w:t xml:space="preserve"> </w:t>
      </w:r>
      <w:r w:rsidR="0047097D">
        <w:t xml:space="preserve">Their value is decreased by the fact </w:t>
      </w:r>
      <w:r w:rsidR="006F47F6">
        <w:t>that the original forms are not</w:t>
      </w:r>
      <w:r w:rsidR="0047097D">
        <w:t xml:space="preserve"> given.</w:t>
      </w:r>
      <w:r w:rsidR="003162DF">
        <w:t xml:space="preserve"> </w:t>
      </w:r>
      <w:r w:rsidR="0047097D">
        <w:t xml:space="preserve">Most interesting is the example of a four-voice </w:t>
      </w:r>
      <w:proofErr w:type="gramStart"/>
      <w:r w:rsidR="0047097D">
        <w:t>compositions</w:t>
      </w:r>
      <w:proofErr w:type="gramEnd"/>
      <w:r w:rsidR="0047097D">
        <w:t xml:space="preserve"> (</w:t>
      </w:r>
      <w:r w:rsidR="0047097D">
        <w:rPr>
          <w:i/>
        </w:rPr>
        <w:t>fuga</w:t>
      </w:r>
      <w:r w:rsidR="0047097D">
        <w:t>) to be derived from a single part.</w:t>
      </w:r>
      <w:r w:rsidR="003162DF">
        <w:t xml:space="preserve"> </w:t>
      </w:r>
      <w:r w:rsidR="0047097D">
        <w:t>He presents it in both original and diminished versions.</w:t>
      </w:r>
      <w:r w:rsidR="003162DF">
        <w:t xml:space="preserve"> </w:t>
      </w:r>
      <w:r w:rsidR="0047097D">
        <w:t xml:space="preserve">After this </w:t>
      </w:r>
      <w:r w:rsidR="0047097D">
        <w:rPr>
          <w:i/>
        </w:rPr>
        <w:t>fuga</w:t>
      </w:r>
      <w:r w:rsidR="0047097D">
        <w:t xml:space="preserve"> Coclico makes some remarks specific to the piece and not relevant to the technique, which I omit on </w:t>
      </w:r>
      <w:proofErr w:type="gramStart"/>
      <w:r w:rsidR="0047097D">
        <w:t>that grounds</w:t>
      </w:r>
      <w:proofErr w:type="gramEnd"/>
      <w:r w:rsidR="0047097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A985E" w14:textId="3F623D9C" w:rsidR="009D1730" w:rsidRPr="002A0DF3" w:rsidRDefault="002A0DF3" w:rsidP="00DF065E">
    <w:pPr>
      <w:pStyle w:val="Header"/>
      <w:spacing w:after="240"/>
      <w:jc w:val="center"/>
    </w:pPr>
    <w:r w:rsidRPr="002A0DF3">
      <w:rPr>
        <w:i/>
        <w:iCs/>
      </w:rPr>
      <w:t xml:space="preserve">“De </w:t>
    </w:r>
    <w:proofErr w:type="spellStart"/>
    <w:r w:rsidRPr="002A0DF3">
      <w:rPr>
        <w:i/>
        <w:iCs/>
      </w:rPr>
      <w:t>Elegantia</w:t>
    </w:r>
    <w:proofErr w:type="spellEnd"/>
    <w:r w:rsidRPr="002A0DF3">
      <w:rPr>
        <w:i/>
        <w:iCs/>
      </w:rPr>
      <w:t xml:space="preserve"> et </w:t>
    </w:r>
    <w:proofErr w:type="spellStart"/>
    <w:r w:rsidRPr="002A0DF3">
      <w:rPr>
        <w:i/>
        <w:iCs/>
      </w:rPr>
      <w:t>Ornatu</w:t>
    </w:r>
    <w:proofErr w:type="spellEnd"/>
    <w:r w:rsidRPr="002A0DF3">
      <w:rPr>
        <w:i/>
        <w:iCs/>
      </w:rPr>
      <w:t xml:space="preserve"> </w:t>
    </w:r>
    <w:proofErr w:type="spellStart"/>
    <w:r w:rsidRPr="002A0DF3">
      <w:rPr>
        <w:i/>
        <w:iCs/>
      </w:rPr>
      <w:t>aut</w:t>
    </w:r>
    <w:proofErr w:type="spellEnd"/>
    <w:r w:rsidRPr="002A0DF3">
      <w:rPr>
        <w:i/>
        <w:iCs/>
      </w:rPr>
      <w:t xml:space="preserve"> </w:t>
    </w:r>
    <w:proofErr w:type="spellStart"/>
    <w:r w:rsidRPr="002A0DF3">
      <w:rPr>
        <w:i/>
        <w:iCs/>
      </w:rPr>
      <w:t>Pronuntiaione</w:t>
    </w:r>
    <w:proofErr w:type="spellEnd"/>
    <w:r w:rsidRPr="002A0DF3">
      <w:rPr>
        <w:i/>
        <w:iCs/>
      </w:rPr>
      <w:t xml:space="preserve"> in </w:t>
    </w:r>
    <w:proofErr w:type="spellStart"/>
    <w:r w:rsidRPr="002A0DF3">
      <w:rPr>
        <w:i/>
        <w:iCs/>
      </w:rPr>
      <w:t>Canendi</w:t>
    </w:r>
    <w:proofErr w:type="spellEnd"/>
    <w:r w:rsidRPr="002A0DF3">
      <w:rPr>
        <w:i/>
        <w:iCs/>
      </w:rPr>
      <w:t xml:space="preserve">” from Compendium </w:t>
    </w:r>
    <w:proofErr w:type="spellStart"/>
    <w:r w:rsidRPr="002A0DF3">
      <w:rPr>
        <w:i/>
        <w:iCs/>
      </w:rPr>
      <w:t>Musices</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2F9"/>
    <w:rsid w:val="0003671F"/>
    <w:rsid w:val="00041EFD"/>
    <w:rsid w:val="000B31D8"/>
    <w:rsid w:val="000F44B6"/>
    <w:rsid w:val="000F4A16"/>
    <w:rsid w:val="000F5D29"/>
    <w:rsid w:val="000F79B7"/>
    <w:rsid w:val="001152F9"/>
    <w:rsid w:val="001C4037"/>
    <w:rsid w:val="002053AC"/>
    <w:rsid w:val="00224E7A"/>
    <w:rsid w:val="002953B6"/>
    <w:rsid w:val="002A0DF3"/>
    <w:rsid w:val="002B43F9"/>
    <w:rsid w:val="00314497"/>
    <w:rsid w:val="003162DF"/>
    <w:rsid w:val="00381535"/>
    <w:rsid w:val="003E1FCE"/>
    <w:rsid w:val="004044FF"/>
    <w:rsid w:val="00404DE2"/>
    <w:rsid w:val="004352AD"/>
    <w:rsid w:val="00441493"/>
    <w:rsid w:val="0047097D"/>
    <w:rsid w:val="0048214C"/>
    <w:rsid w:val="004E5C4E"/>
    <w:rsid w:val="005E18CC"/>
    <w:rsid w:val="005F71D9"/>
    <w:rsid w:val="00627065"/>
    <w:rsid w:val="00645621"/>
    <w:rsid w:val="00674971"/>
    <w:rsid w:val="006B14DA"/>
    <w:rsid w:val="006B5FAC"/>
    <w:rsid w:val="006B6169"/>
    <w:rsid w:val="006F47F6"/>
    <w:rsid w:val="007169E2"/>
    <w:rsid w:val="00786CBE"/>
    <w:rsid w:val="007E38F0"/>
    <w:rsid w:val="007F36F0"/>
    <w:rsid w:val="00890EB1"/>
    <w:rsid w:val="008935C0"/>
    <w:rsid w:val="00897E43"/>
    <w:rsid w:val="008A5BC2"/>
    <w:rsid w:val="008B4364"/>
    <w:rsid w:val="008E6734"/>
    <w:rsid w:val="00910A83"/>
    <w:rsid w:val="00985F95"/>
    <w:rsid w:val="009C1F0C"/>
    <w:rsid w:val="009D1730"/>
    <w:rsid w:val="00A06F40"/>
    <w:rsid w:val="00A32017"/>
    <w:rsid w:val="00AF30EC"/>
    <w:rsid w:val="00B21801"/>
    <w:rsid w:val="00B25585"/>
    <w:rsid w:val="00B4595D"/>
    <w:rsid w:val="00BD5BD8"/>
    <w:rsid w:val="00C31D29"/>
    <w:rsid w:val="00D21D80"/>
    <w:rsid w:val="00D45FCF"/>
    <w:rsid w:val="00D5253D"/>
    <w:rsid w:val="00DF065E"/>
    <w:rsid w:val="00EF6A7A"/>
    <w:rsid w:val="00F006D5"/>
    <w:rsid w:val="00F26045"/>
    <w:rsid w:val="00F50E04"/>
    <w:rsid w:val="00F710BA"/>
    <w:rsid w:val="00FE4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40641"/>
  <w15:docId w15:val="{8F111AE0-7637-4B03-AB7C-BEE66636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E7A"/>
    <w:pPr>
      <w:spacing w:after="360" w:line="360" w:lineRule="auto"/>
    </w:pPr>
    <w:rPr>
      <w:rFonts w:ascii="Aptos" w:hAnsi="Aptos"/>
      <w:sz w:val="24"/>
      <w:szCs w:val="24"/>
    </w:rPr>
  </w:style>
  <w:style w:type="paragraph" w:styleId="Heading1">
    <w:name w:val="heading 1"/>
    <w:basedOn w:val="Heading2"/>
    <w:next w:val="Normal"/>
    <w:link w:val="Heading1Char"/>
    <w:uiPriority w:val="9"/>
    <w:qFormat/>
    <w:rsid w:val="00897E43"/>
    <w:pPr>
      <w:jc w:val="center"/>
      <w:outlineLvl w:val="0"/>
    </w:pPr>
    <w:rPr>
      <w:rFonts w:ascii="Aptos ExtraBold" w:hAnsi="Aptos ExtraBold" w:cstheme="majorHAnsi"/>
      <w:b/>
      <w:color w:val="auto"/>
      <w:sz w:val="48"/>
      <w:szCs w:val="48"/>
    </w:rPr>
  </w:style>
  <w:style w:type="paragraph" w:styleId="Heading2">
    <w:name w:val="heading 2"/>
    <w:basedOn w:val="Normal"/>
    <w:next w:val="Normal"/>
    <w:link w:val="Heading2Char"/>
    <w:uiPriority w:val="9"/>
    <w:unhideWhenUsed/>
    <w:qFormat/>
    <w:rsid w:val="00897E4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2F9"/>
  </w:style>
  <w:style w:type="paragraph" w:styleId="Footer">
    <w:name w:val="footer"/>
    <w:basedOn w:val="Normal"/>
    <w:link w:val="FooterChar"/>
    <w:uiPriority w:val="99"/>
    <w:unhideWhenUsed/>
    <w:rsid w:val="00115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2F9"/>
  </w:style>
  <w:style w:type="paragraph" w:styleId="FootnoteText">
    <w:name w:val="footnote text"/>
    <w:basedOn w:val="Normal"/>
    <w:link w:val="FootnoteTextChar"/>
    <w:uiPriority w:val="99"/>
    <w:unhideWhenUsed/>
    <w:rsid w:val="001152F9"/>
    <w:pPr>
      <w:spacing w:after="0" w:line="240" w:lineRule="auto"/>
    </w:pPr>
    <w:rPr>
      <w:sz w:val="20"/>
      <w:szCs w:val="20"/>
    </w:rPr>
  </w:style>
  <w:style w:type="character" w:customStyle="1" w:styleId="FootnoteTextChar">
    <w:name w:val="Footnote Text Char"/>
    <w:basedOn w:val="DefaultParagraphFont"/>
    <w:link w:val="FootnoteText"/>
    <w:uiPriority w:val="99"/>
    <w:rsid w:val="001152F9"/>
    <w:rPr>
      <w:sz w:val="20"/>
      <w:szCs w:val="20"/>
    </w:rPr>
  </w:style>
  <w:style w:type="character" w:styleId="FootnoteReference">
    <w:name w:val="footnote reference"/>
    <w:basedOn w:val="DefaultParagraphFont"/>
    <w:uiPriority w:val="99"/>
    <w:semiHidden/>
    <w:unhideWhenUsed/>
    <w:rsid w:val="001152F9"/>
    <w:rPr>
      <w:vertAlign w:val="superscript"/>
    </w:rPr>
  </w:style>
  <w:style w:type="character" w:customStyle="1" w:styleId="Heading1Char">
    <w:name w:val="Heading 1 Char"/>
    <w:basedOn w:val="DefaultParagraphFont"/>
    <w:link w:val="Heading1"/>
    <w:uiPriority w:val="9"/>
    <w:rsid w:val="00897E43"/>
    <w:rPr>
      <w:rFonts w:ascii="Aptos ExtraBold" w:eastAsiaTheme="majorEastAsia" w:hAnsi="Aptos ExtraBold" w:cstheme="majorHAnsi"/>
      <w:b/>
      <w:sz w:val="48"/>
      <w:szCs w:val="48"/>
    </w:rPr>
  </w:style>
  <w:style w:type="character" w:customStyle="1" w:styleId="Heading2Char">
    <w:name w:val="Heading 2 Char"/>
    <w:basedOn w:val="DefaultParagraphFont"/>
    <w:link w:val="Heading2"/>
    <w:uiPriority w:val="9"/>
    <w:rsid w:val="00897E4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18A7E-1896-4153-9F49-612D253DA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5</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 Honea</dc:creator>
  <cp:lastModifiedBy>Shay Beezley</cp:lastModifiedBy>
  <cp:revision>34</cp:revision>
  <dcterms:created xsi:type="dcterms:W3CDTF">2026-09-10T20:58:00Z</dcterms:created>
  <dcterms:modified xsi:type="dcterms:W3CDTF">2026-10-05T19:39:00Z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4b55ed7-9ba9-43e7-adc9-7a4ed6fd9b0e_Enabled">
    <vt:lpwstr>true</vt:lpwstr>
  </property>
  <property fmtid="{D5CDD505-2E9C-101B-9397-08002B2CF9AE}" pid="3" name="MSIP_Label_14b55ed7-9ba9-43e7-adc9-7a4ed6fd9b0e_SetDate">
    <vt:lpwstr>2026-09-10T20:57:55Z</vt:lpwstr>
  </property>
  <property fmtid="{D5CDD505-2E9C-101B-9397-08002B2CF9AE}" pid="4" name="MSIP_Label_14b55ed7-9ba9-43e7-adc9-7a4ed6fd9b0e_Method">
    <vt:lpwstr>Standard</vt:lpwstr>
  </property>
  <property fmtid="{D5CDD505-2E9C-101B-9397-08002B2CF9AE}" pid="5" name="MSIP_Label_14b55ed7-9ba9-43e7-adc9-7a4ed6fd9b0e_Name">
    <vt:lpwstr>UCO - Internal</vt:lpwstr>
  </property>
  <property fmtid="{D5CDD505-2E9C-101B-9397-08002B2CF9AE}" pid="6" name="MSIP_Label_14b55ed7-9ba9-43e7-adc9-7a4ed6fd9b0e_SiteId">
    <vt:lpwstr>51aa8f26-2e23-4b8c-bca8-7cc441adc4df</vt:lpwstr>
  </property>
  <property fmtid="{D5CDD505-2E9C-101B-9397-08002B2CF9AE}" pid="7" name="MSIP_Label_14b55ed7-9ba9-43e7-adc9-7a4ed6fd9b0e_ActionId">
    <vt:lpwstr>7cf6bf20-8c6c-4579-be12-fe4ebe4de43d</vt:lpwstr>
  </property>
  <property fmtid="{D5CDD505-2E9C-101B-9397-08002B2CF9AE}" pid="8" name="MSIP_Label_14b55ed7-9ba9-43e7-adc9-7a4ed6fd9b0e_ContentBits">
    <vt:lpwstr>0</vt:lpwstr>
  </property>
  <property fmtid="{D5CDD505-2E9C-101B-9397-08002B2CF9AE}" pid="9" name="MSIP_Label_14b55ed7-9ba9-43e7-adc9-7a4ed6fd9b0e_Tag">
    <vt:lpwstr>10, 3, 0, 1</vt:lpwstr>
  </property>
</Properties>
</file>